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三-数据处理"/>
    <w:p>
      <w:pPr>
        <w:pStyle w:val="Heading4"/>
      </w:pPr>
      <w:r>
        <w:t xml:space="preserve">三. 数据处理</w:t>
      </w:r>
    </w:p>
    <w:p>
      <w:pPr>
        <w:pStyle w:val="FirstParagraph"/>
      </w:pPr>
      <w:r>
        <w:rPr>
          <w:bCs/>
          <w:b/>
        </w:rPr>
        <w:t xml:space="preserve">原始数据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样品1 基本参数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频率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 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 千欧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 微法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40Hz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</w:tbl>
    <w:p>
      <w:pPr>
        <w:pStyle w:val="BodyText"/>
      </w:pPr>
      <w:r>
        <w:t xml:space="preserve">饱和磁滞回线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UX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UY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</w:t>
            </w:r>
          </w:p>
        </w:tc>
      </w:tr>
    </w:tbl>
    <w:p>
      <w:pPr>
        <w:pStyle w:val="BodyText"/>
      </w:pPr>
      <w:r>
        <w:t xml:space="preserve">基本磁化曲线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UX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UY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</w:tr>
    </w:tbl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样品2 基本参数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频率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 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 千欧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 微法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40Hz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</w:tbl>
    <w:p>
      <w:pPr>
        <w:pStyle w:val="BodyText"/>
      </w:pPr>
      <w:r>
        <w:t xml:space="preserve">饱和磁滞回线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UX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UY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</w:t>
            </w:r>
          </w:p>
        </w:tc>
      </w:tr>
    </w:tbl>
    <w:p>
      <w:pPr>
        <w:pStyle w:val="BodyText"/>
      </w:pPr>
      <w:r>
        <w:t xml:space="preserve">基本磁化曲线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UX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UY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</w:tbl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样品2 基本参数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频率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 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 千欧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 微法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</w:tr>
    </w:tbl>
    <w:p>
      <w:pPr>
        <w:pStyle w:val="BodyText"/>
      </w:pPr>
      <w:r>
        <w:t xml:space="preserve">饱和磁滞回线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UX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UY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-92</w:t>
            </w:r>
          </w:p>
        </w:tc>
      </w:tr>
    </w:tbl>
    <w:p>
      <w:pPr>
        <w:pStyle w:val="BodyText"/>
      </w:pPr>
      <w:r>
        <w:t xml:space="preserve">基本磁化曲线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UX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UY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经过测量得到样品1(40Hz)和样品2(40Hz和100Hz)的</w:t>
      </w:r>
      <m:oMath>
        <m:sSub>
          <m:e>
            <m:r>
              <m:t>U</m:t>
            </m:r>
          </m:e>
          <m:sub>
            <m:r>
              <m:t>X</m:t>
            </m:r>
          </m:sub>
        </m:sSub>
      </m:oMath>
      <w:r>
        <w:t xml:space="preserve">和</w:t>
      </w:r>
      <m:oMath>
        <m:sSub>
          <m:e>
            <m:r>
              <m:t>U</m:t>
            </m:r>
          </m:e>
          <m:sub>
            <m:r>
              <m:t>Y</m:t>
            </m:r>
          </m:sub>
        </m:sSub>
      </m:oMath>
      <w:r>
        <w:t xml:space="preserve">，由公式</w:t>
      </w:r>
    </w:p>
    <w:p>
      <w:pPr>
        <w:pStyle w:val="BodyText"/>
      </w:pPr>
      <m:oMath>
        <m:r>
          <m:t>H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X</m:t>
                </m:r>
              </m:sub>
            </m:s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num>
          <m:den>
            <m:r>
              <m:t>L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den>
        </m:f>
      </m:oMath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Y</m:t>
                </m:r>
              </m:sub>
            </m:sSub>
            <m:r>
              <m:t>C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num>
          <m:den>
            <m:r>
              <m:t>S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计算得作图数据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 A/m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</w:tr>
    </w:tbl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 A/m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</w:tbl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 A/m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-357.80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</w:tr>
    </w:tbl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 A/m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</w:tbl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 A/m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</w:tr>
    </w:tbl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 A/m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作图如下</w:t>
      </w:r>
    </w:p>
    <w:p>
      <w:pPr>
        <w:pStyle w:val="CaptionedFigure"/>
      </w:pPr>
      <w:r>
        <w:drawing>
          <wp:inline>
            <wp:extent cx="5334000" cy="3204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AppData\Roaming\Typora\typora-user-images\image-202111010052394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204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AppData\Roaming\Typora\typora-user-images\image-202111010048208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样品1剩磁为0.13T，矫顽力为10.96 A/m</w:t>
      </w:r>
    </w:p>
    <w:p>
      <w:pPr>
        <w:pStyle w:val="CaptionedFigure"/>
      </w:pPr>
      <w:r>
        <w:drawing>
          <wp:inline>
            <wp:extent cx="5334000" cy="3204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AppData\Roaming\Typora\typora-user-images\image-202111010056353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204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AppData\Roaming\Typora\typora-user-images\image-202111010057408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样品2(40Hz)剩磁为0.6T，矫顽力为74.10 A/m</w:t>
      </w:r>
    </w:p>
    <w:p>
      <w:pPr>
        <w:pStyle w:val="CaptionedFigure"/>
      </w:pPr>
      <w:r>
        <w:drawing>
          <wp:inline>
            <wp:extent cx="5334000" cy="3204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AppData\Roaming\Typora\typora-user-images\image-202111010059101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204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Yang\AppData\Roaming\Typora\typora-user-images\image-202111010059556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样品2(100Hz)剩磁为0.4T，矫顽力为71.35 A/m</w:t>
      </w:r>
    </w:p>
    <w:bookmarkEnd w:id="26"/>
    <w:bookmarkStart w:id="27" w:name="四-实验结论及现象分析"/>
    <w:p>
      <w:pPr>
        <w:pStyle w:val="Heading4"/>
      </w:pPr>
      <w:r>
        <w:t xml:space="preserve">四. 实验结论及现象分析</w:t>
      </w:r>
    </w:p>
    <w:p>
      <w:pPr>
        <w:pStyle w:val="FirstParagraph"/>
      </w:pPr>
      <w:r>
        <w:t xml:space="preserve">由实验结果可知，我们的样品1是软磁材料，其磁滞回线为瘦窄形状，样品2是硬磁材料，磁滞回线为胖宽形。</w:t>
      </w:r>
    </w:p>
    <w:p>
      <w:pPr>
        <w:pStyle w:val="BodyText"/>
      </w:pPr>
      <w:r>
        <w:t xml:space="preserve">随着交流信号频率增加，同一样品磁滞回线由相对细长变为椭圆形。</w:t>
      </w:r>
    </w:p>
    <w:bookmarkEnd w:id="27"/>
    <w:bookmarkStart w:id="28" w:name="五-讨论问题"/>
    <w:p>
      <w:pPr>
        <w:pStyle w:val="Heading4"/>
      </w:pPr>
      <w:r>
        <w:t xml:space="preserve">五. 讨论问题</w:t>
      </w:r>
    </w:p>
    <w:p>
      <w:pPr>
        <w:numPr>
          <w:ilvl w:val="0"/>
          <w:numId w:val="1001"/>
        </w:numPr>
      </w:pPr>
      <w:r>
        <w:t xml:space="preserve">某两种材料的磁滞回线，一个很宽一个很窄，它们各属于哪类磁性材料？分别可以应用于什么场合？</w:t>
      </w:r>
    </w:p>
    <w:p>
      <w:pPr>
        <w:numPr>
          <w:ilvl w:val="0"/>
          <w:numId w:val="1000"/>
        </w:numPr>
      </w:pPr>
      <w:r>
        <w:t xml:space="preserve">答：磁滞回线较宽的是硬磁，较窄的是软磁。磁滞回线宽肥，磁化后可长久保持很强磁性，适于制成磁电式电表中的永磁铁、耳机中的永久磁铁、永磁扬声器。软磁材料适用于继电器、电机、以及各种高频电磁元件的磁芯、磁棒。</w:t>
      </w:r>
    </w:p>
    <w:p>
      <w:pPr>
        <w:numPr>
          <w:ilvl w:val="0"/>
          <w:numId w:val="1001"/>
        </w:numPr>
      </w:pPr>
      <w:r>
        <w:t xml:space="preserve">一钢制部件不慎被磁化，请设计一种退磁方案。</w:t>
      </w:r>
    </w:p>
    <w:p>
      <w:pPr>
        <w:numPr>
          <w:ilvl w:val="0"/>
          <w:numId w:val="1000"/>
        </w:numPr>
      </w:pPr>
      <w:r>
        <w:t xml:space="preserve">答：沿着被磁化的方向施加逆向的磁场直到部件不再显示磁性。或者可以使用高温加热、剧烈撞击来使磁性消失。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2021-11-05T10:06:32Z</dcterms:created>
  <dcterms:modified xsi:type="dcterms:W3CDTF">2021-11-05T10:06:32Z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