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r>
        <w:rPr>
          <w:rFonts w:eastAsia="Times New Roman" w:cs="Times New Roman"/>
          <w:b/>
          <w:color w:val="222222"/>
          <w:sz w:val="48"/>
          <w:szCs w:val="48"/>
        </w:rPr>
        <w:t>AvaxSportsBook</w:t>
      </w:r>
    </w:p>
    <w:p w14:paraId="6848D16D" w14:textId="3EBDB8C4"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r w:rsidR="00B63649">
        <w:rPr>
          <w:rFonts w:eastAsia="Times New Roman" w:cs="Times New Roman"/>
          <w:color w:val="222222"/>
          <w:sz w:val="28"/>
          <w:szCs w:val="28"/>
        </w:rPr>
        <w:t xml:space="preserve"> Contract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24716FCC" w:rsidR="00232267" w:rsidRDefault="001A658D">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11</w:t>
      </w:r>
      <w:r w:rsidR="00232267">
        <w:rPr>
          <w:rFonts w:eastAsia="Times New Roman" w:cs="Times New Roman"/>
          <w:color w:val="222222"/>
          <w:sz w:val="24"/>
          <w:szCs w:val="24"/>
        </w:rPr>
        <w:t>/</w:t>
      </w:r>
      <w:r>
        <w:rPr>
          <w:rFonts w:eastAsia="Times New Roman" w:cs="Times New Roman"/>
          <w:color w:val="222222"/>
          <w:sz w:val="24"/>
          <w:szCs w:val="24"/>
        </w:rPr>
        <w:t>24</w:t>
      </w:r>
      <w:r w:rsidR="00232267">
        <w:rPr>
          <w:rFonts w:eastAsia="Times New Roman" w:cs="Times New Roman"/>
          <w:color w:val="222222"/>
          <w:sz w:val="24"/>
          <w:szCs w:val="24"/>
        </w:rPr>
        <w:t>/23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5310672F"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r w:rsidR="00C742E4" w:rsidRPr="00D706A8">
        <w:rPr>
          <w:rFonts w:eastAsia="Times New Roman" w:cs="Times New Roman"/>
          <w:color w:val="222222"/>
          <w:sz w:val="24"/>
          <w:szCs w:val="24"/>
        </w:rPr>
        <w:t>AvaxSportsBook</w:t>
      </w:r>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 xml:space="preserve">application </w:t>
      </w:r>
      <w:r w:rsidR="001A658D">
        <w:rPr>
          <w:rFonts w:eastAsia="Times New Roman" w:cs="Times New Roman"/>
          <w:color w:val="222222"/>
          <w:sz w:val="24"/>
          <w:szCs w:val="24"/>
        </w:rPr>
        <w:t>for</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4.5% vig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4A899244" w:rsidR="008B63AE" w:rsidRDefault="00A07E3C" w:rsidP="00757992">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 xml:space="preserve">odds. </w:t>
      </w:r>
      <w:r w:rsidR="001A658D">
        <w:t>I</w:t>
      </w:r>
      <w:r w:rsidR="0053055B">
        <w:t xml:space="preserve">t is straightforward to </w:t>
      </w:r>
      <w:r w:rsidR="004330C6">
        <w:t>apply</w:t>
      </w:r>
      <w:r w:rsidR="0053055B">
        <w:t xml:space="preserve"> escrow account</w:t>
      </w:r>
      <w:r w:rsidR="004330C6">
        <w:t>ing logic where bets</w:t>
      </w:r>
      <w:r w:rsidR="00A81C40">
        <w:t xml:space="preserve"> are </w:t>
      </w:r>
      <w:r w:rsidR="00187392">
        <w:t>cross</w:t>
      </w:r>
      <w:r w:rsidR="001A658D">
        <w:t>-</w:t>
      </w:r>
      <w:r w:rsidR="00187392">
        <w:t>margined</w:t>
      </w:r>
      <w:r w:rsidR="00A81C40">
        <w:t xml:space="preserve"> for the house, </w:t>
      </w:r>
      <w:r w:rsidR="00F12F99">
        <w:t>permissionless</w:t>
      </w:r>
      <w:r w:rsidR="00615E1F">
        <w:t>,</w:t>
      </w:r>
      <w:r w:rsidR="00E945C1">
        <w:t xml:space="preserve"> </w:t>
      </w:r>
      <w:r w:rsidR="00F12F99">
        <w:t>and</w:t>
      </w:r>
      <w:r w:rsidR="004330C6">
        <w:t xml:space="preserve"> </w:t>
      </w:r>
      <w:r w:rsidR="00246E48">
        <w:t>secure</w:t>
      </w:r>
      <w:r w:rsidR="004330C6">
        <w:t xml:space="preserve">. </w:t>
      </w:r>
    </w:p>
    <w:p w14:paraId="022A6CD7" w14:textId="6285B7B2" w:rsidR="0093555B" w:rsidRDefault="00615E1F" w:rsidP="006C3875">
      <w:r>
        <w:t>No 'wisdom of the crowd' is</w:t>
      </w:r>
      <w:r w:rsidR="006C3875">
        <w:t xml:space="preserve"> </w:t>
      </w:r>
      <w:r>
        <w:t>needed to</w:t>
      </w:r>
      <w:r w:rsidR="006C3875">
        <w:t xml:space="preserve"> </w:t>
      </w:r>
      <w:r w:rsidR="006C3875" w:rsidRPr="00B164B9">
        <w:t>add</w:t>
      </w:r>
      <w:r w:rsidR="006C3875">
        <w:t xml:space="preserve"> efficiency to any big sportsbook</w:t>
      </w:r>
      <w:r>
        <w:t>'</w:t>
      </w:r>
      <w:r w:rsidR="006C3875">
        <w:t>s odds, making the oracle</w:t>
      </w:r>
      <w:r>
        <w:t>'</w:t>
      </w:r>
      <w:r w:rsidR="006C3875">
        <w:t>s consensus mechanism a simple exercise in filtering out blatantly wrong data.</w:t>
      </w:r>
      <w:r w:rsidR="006C3875">
        <w:rPr>
          <w:rStyle w:val="FootnoteReference"/>
        </w:rPr>
        <w:footnoteReference w:id="3"/>
      </w:r>
      <w:r w:rsidR="006C3875">
        <w:t xml:space="preserve"> </w:t>
      </w:r>
      <w:r w:rsidR="004C0778">
        <w:t>Four</w:t>
      </w:r>
      <w:r w:rsidR="006C3875">
        <w:t xml:space="preserve"> off-chain data types are needed: scheduling information about who vs whom</w:t>
      </w:r>
      <w:r w:rsidR="00ED1CAF">
        <w:t>,</w:t>
      </w:r>
      <w:r w:rsidR="006C3875">
        <w:t xml:space="preserve"> start times to prevent betting after a contest starts, odds, and finally</w:t>
      </w:r>
      <w:r>
        <w:t>,</w:t>
      </w:r>
      <w:r w:rsidR="006C3875">
        <w:t xml:space="preserve"> the outcome. </w:t>
      </w:r>
      <w:r w:rsidR="0093555B">
        <w:t xml:space="preserve">A weekly slate of bets focused on 32 weekend events gives the oracle sufficient time to thoroughly vet the data without a large investment. </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settle/new schedule</w:t>
                            </w:r>
                          </w:p>
                          <w:p w14:paraId="7A0EFA8F" w14:textId="6F797978" w:rsidR="00E8157F" w:rsidRPr="00E8157F" w:rsidRDefault="00E8157F" w:rsidP="0093555B">
                            <w:pPr>
                              <w:jc w:val="center"/>
                              <w:rPr>
                                <w:color w:val="002060"/>
                                <w:sz w:val="20"/>
                                <w:szCs w:val="20"/>
                              </w:rPr>
                            </w:pPr>
                            <w:r w:rsidRPr="00E8157F">
                              <w:rPr>
                                <w:color w:val="002060"/>
                                <w:sz w:val="20"/>
                                <w:szCs w:val="20"/>
                              </w:rPr>
                              <w:t xml:space="preserve">avax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settle/new schedule</w:t>
                      </w:r>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r w:rsidR="00D10E3B" w:rsidRPr="00E8654A">
        <w:rPr>
          <w:i/>
          <w:iCs/>
        </w:rPr>
        <w:t>AvaxSportsBook</w:t>
      </w:r>
      <w:r w:rsidR="00D10E3B">
        <w:t xml:space="preserve"> (hereafter, </w:t>
      </w:r>
      <w:r w:rsidR="00D10E3B" w:rsidRPr="00E8654A">
        <w:rPr>
          <w:b/>
          <w:bCs/>
        </w:rPr>
        <w:t>ASB</w:t>
      </w:r>
      <w:r w:rsidR="00D10E3B">
        <w:t xml:space="preserve">) </w:t>
      </w:r>
      <w:r w:rsidR="00D10E3B" w:rsidRPr="00A206C1">
        <w:t>contract users</w:t>
      </w:r>
      <w:r w:rsidR="00D10E3B">
        <w:t>: bettors, liquidity providers, and the oracle collective. The total vig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1CCCDEC5" w14:textId="77777777" w:rsidR="003A16F1" w:rsidRDefault="003A16F1" w:rsidP="00D10E3B"/>
    <w:p w14:paraId="06CACEA9" w14:textId="402007F6"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bet of 10 AVAX, and</w:t>
      </w:r>
      <w:r w:rsidR="00173AA0">
        <w:t xml:space="preserve"> </w:t>
      </w:r>
      <w:r w:rsidR="001A658D">
        <w:t xml:space="preserve">also when the book </w:t>
      </w:r>
      <w:r w:rsidR="00173AA0">
        <w:t>has 510 on one team and 500 on its opponent</w:t>
      </w:r>
      <w:r>
        <w:t>.</w:t>
      </w:r>
      <w:r>
        <w:rPr>
          <w:rStyle w:val="FootnoteReference"/>
          <w:rFonts w:eastAsia="Times New Roman"/>
          <w:color w:val="222222"/>
        </w:rPr>
        <w:footnoteReference w:id="5"/>
      </w:r>
      <w:r>
        <w:t xml:space="preserve">  LP capital of </w:t>
      </w:r>
      <w:r w:rsidRPr="007734A2">
        <w:rPr>
          <w:i/>
          <w:iCs/>
        </w:rPr>
        <w:t>X</w:t>
      </w:r>
      <w:r>
        <w:t xml:space="preserve"> </w:t>
      </w:r>
      <w:r w:rsidR="001A658D">
        <w:t xml:space="preserve"> AVAX </w:t>
      </w:r>
      <w:r>
        <w:t xml:space="preserve">supports a book of infinite size when bets of size </w:t>
      </w:r>
      <w:r w:rsidRPr="007734A2">
        <w:rPr>
          <w:i/>
          <w:iCs/>
        </w:rPr>
        <w:t>X</w:t>
      </w:r>
      <w:r>
        <w:t xml:space="preserve"> are made sequentially. The required LP capital </w:t>
      </w:r>
      <w:r>
        <w:lastRenderedPageBreak/>
        <w:t xml:space="preserve">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w:t>
      </w:r>
      <w:r w:rsidR="001A658D">
        <w:t>, limiting LP exposure to any single event</w:t>
      </w:r>
      <w:r>
        <w:t xml:space="preserve">.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15941A7D" w:rsidR="00D94CA8" w:rsidRDefault="00D94CA8" w:rsidP="00D94CA8">
      <w:r>
        <w:t xml:space="preserve">The main problem in developing such a contract is </w:t>
      </w:r>
      <w:r w:rsidR="001A658D">
        <w:t>monetizing it isn't easy</w:t>
      </w:r>
      <w:r w:rsidR="00216AEC">
        <w:t xml:space="preserve">. </w:t>
      </w:r>
      <w:r w:rsidR="00ED1CAF">
        <w:t xml:space="preserve">The only way </w:t>
      </w:r>
      <w:r w:rsidR="00216AEC">
        <w:t xml:space="preserve">I could figure this out is to </w:t>
      </w:r>
      <w:r w:rsidR="00ED1CAF">
        <w:t>give it away</w:t>
      </w:r>
      <w:r w:rsidR="00216AEC">
        <w:t xml:space="preserve">, </w:t>
      </w:r>
      <w:r w:rsidR="00615E1F">
        <w:t xml:space="preserve">which is </w:t>
      </w:r>
      <w:r w:rsidR="00ED1CAF">
        <w:t xml:space="preserve">likely </w:t>
      </w:r>
      <w:r w:rsidR="00615E1F">
        <w:t xml:space="preserve">the primary </w:t>
      </w:r>
      <w:r w:rsidR="00ED1CAF">
        <w:t xml:space="preserve">reason why no one else has created such a contract. </w:t>
      </w:r>
      <w:r w:rsidR="00BB7C11">
        <w:t xml:space="preserve">Administering, funding, or owning </w:t>
      </w:r>
      <w:r w:rsidR="00C85BA1">
        <w:t>an unpermissioned sports betting</w:t>
      </w:r>
      <w:r w:rsidR="00BB7C11">
        <w:t xml:space="preserve"> contract is illegal in many regions. </w:t>
      </w:r>
      <w:r w:rsidR="00C85BA1">
        <w:t>However, the blockchain is global</w:t>
      </w:r>
      <w:r w:rsidR="001A658D">
        <w:t>,</w:t>
      </w:r>
      <w:r w:rsidR="00C85BA1">
        <w:t xml:space="preserve"> and </w:t>
      </w:r>
      <w:r w:rsidR="001A658D">
        <w:t>millions, perhaps billions of people worldwide,</w:t>
      </w:r>
      <w:r w:rsidR="000E0F64">
        <w:t xml:space="preserve">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1127E9D0" w:rsidR="00FF400E" w:rsidRDefault="00BB7C11" w:rsidP="00FF400E">
      <w:r>
        <w:t xml:space="preserve">I created </w:t>
      </w:r>
      <w:r w:rsidR="00FF400E">
        <w:t>a blockchain app</w:t>
      </w:r>
      <w:r>
        <w:t xml:space="preserve"> that works</w:t>
      </w:r>
      <w:r w:rsidR="00FF400E">
        <w:t xml:space="preserve">, and abandoning the hope of profiting from this contract is better than never releasing it. I have no control or financial interest and cannot </w:t>
      </w:r>
      <w:r w:rsidR="00615E1F">
        <w:t>turn off</w:t>
      </w:r>
      <w:r w:rsidR="00FF400E">
        <w:t xml:space="preserve"> the contracts. </w:t>
      </w:r>
      <w:r w:rsidR="001A658D">
        <w:t>No ASB foundation, ICO, or governance issues regarding upgrades and extensions exist</w:t>
      </w:r>
      <w:r w:rsidR="00FF400E">
        <w:t xml:space="preserve">. </w:t>
      </w:r>
      <w:r w:rsidR="00FB10D8">
        <w:t xml:space="preserve">While I </w:t>
      </w:r>
      <w:r w:rsidR="00187392">
        <w:t>may</w:t>
      </w:r>
      <w:r w:rsidR="00FB10D8">
        <w:t xml:space="preserve"> comment on this contract on various platforms, I will not generate any</w:t>
      </w:r>
      <w:r w:rsidR="00615E1F">
        <w:t xml:space="preserve"> </w:t>
      </w:r>
      <w:r w:rsidR="00FB10D8">
        <w:t>more code</w:t>
      </w:r>
      <w:r w:rsidR="00C85BA1">
        <w:t xml:space="preserve"> (my GitHub repo is read-only and archived). </w:t>
      </w:r>
    </w:p>
    <w:p w14:paraId="5A071D97" w14:textId="7BAD54DD" w:rsidR="00A90E81" w:rsidRDefault="00CD2CA7" w:rsidP="00FF400E">
      <w:r>
        <w:t>Th</w:t>
      </w:r>
      <w:r w:rsidR="001A658D">
        <w:t>ree independent initial oracle accounts</w:t>
      </w:r>
      <w:r w:rsidR="00214242">
        <w:t xml:space="preserve"> administer the contract. As I </w:t>
      </w:r>
      <w:r w:rsidR="001A658D">
        <w:t>worked</w:t>
      </w:r>
      <w:r w:rsidR="00214242">
        <w:t xml:space="preserve"> on this for several years, I eventually found three who would act as oracle administrators. I provide tools to make their job as easy as possible, </w:t>
      </w:r>
      <w:r w:rsidR="001A658D">
        <w:t>which</w:t>
      </w:r>
      <w:r w:rsidR="00214242">
        <w:t xml:space="preserv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r w:rsidR="00BB7C11">
        <w:t xml:space="preserve">I will stop all communication with them when this is publicly announced, and they will probably, at least initially, read my </w:t>
      </w:r>
      <w:r w:rsidR="00BB0D8E">
        <w:t>t</w:t>
      </w:r>
      <w:r w:rsidR="00BB7C11">
        <w:t xml:space="preserve">weets and substack. </w:t>
      </w:r>
    </w:p>
    <w:p w14:paraId="764FECDF" w14:textId="23818197" w:rsidR="003F0CC2" w:rsidRDefault="001A658D" w:rsidP="00D94CA8">
      <w:r>
        <w:t xml:space="preserve">Sixty percent of the oracle tokens are distributed via an initial LP rewards program. These tokens have already been minted and are sitting in the betting contract. No mechanism exists to create more of these tokens (1 million). </w:t>
      </w:r>
    </w:p>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dapp</w:t>
      </w:r>
      <w:r w:rsidR="00615E1F">
        <w:t>'</w:t>
      </w:r>
      <w:r w:rsidR="00B164B9">
        <w:t>s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vig reflects an equilibrium balancing the demands of bettors and bookies </w:t>
      </w:r>
      <w:r w:rsidR="00615E1F">
        <w:t>instead of</w:t>
      </w:r>
      <w:r>
        <w:t xml:space="preserve"> monopoly power. By taking the standard vig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s vig too generous, they can join the house and receive income proportional to the liquidity they provide.</w:t>
      </w:r>
    </w:p>
    <w:p w14:paraId="66B1A1E0" w14:textId="3E1C8566" w:rsidR="00465DC8" w:rsidRPr="00AE2708" w:rsidRDefault="00465DC8" w:rsidP="00757992">
      <w:r w:rsidRPr="008C17C5">
        <w:lastRenderedPageBreak/>
        <w:t>Creating a game where honesty is an oracle's best strategy is straightforward</w:t>
      </w:r>
      <w:r w:rsidR="00ED1CAF">
        <w:t xml:space="preserve">. </w:t>
      </w:r>
      <w:r w:rsidR="00E911CA">
        <w:t>As long as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8923E79"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the vig, this would average about 2.5 AVAX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E78894D"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w:t>
      </w:r>
      <w:r w:rsidR="001A658D">
        <w:rPr>
          <w:rFonts w:eastAsia="Times New Roman"/>
          <w:color w:val="222222"/>
        </w:rPr>
        <w:t>,</w:t>
      </w:r>
      <w:r w:rsidR="00E911CA">
        <w:rPr>
          <w:rFonts w:eastAsia="Times New Roman"/>
          <w:color w:val="222222"/>
        </w:rPr>
        <w:t xml:space="preserve">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44C106CC"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protects the contract against </w:t>
      </w:r>
      <w:r w:rsidR="006747D3">
        <w:rPr>
          <w:rFonts w:eastAsia="Times New Roman"/>
          <w:color w:val="222222"/>
        </w:rPr>
        <w:t xml:space="preserve">insiders, </w:t>
      </w:r>
      <w:r w:rsidR="001A658D">
        <w:rPr>
          <w:rFonts w:eastAsia="Times New Roman"/>
          <w:color w:val="222222"/>
        </w:rPr>
        <w:t xml:space="preserve">the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xml:space="preserve"> </w:t>
      </w:r>
      <w:r w:rsidR="00615E1F">
        <w:rPr>
          <w:rFonts w:eastAsia="Times New Roman"/>
          <w:color w:val="222222"/>
        </w:rPr>
        <w:t xml:space="preserve">and </w:t>
      </w:r>
      <w:r w:rsidR="002D6DBE">
        <w:rPr>
          <w:rFonts w:eastAsia="Times New Roman"/>
          <w:color w:val="222222"/>
        </w:rPr>
        <w:t>no need for an administrator off the blockchain</w:t>
      </w:r>
      <w:r w:rsidR="00D62D5E">
        <w:rPr>
          <w:rFonts w:eastAsia="Times New Roman"/>
          <w:color w:val="222222"/>
        </w:rPr>
        <w:t>.</w:t>
      </w:r>
    </w:p>
    <w:p w14:paraId="24E3EACE" w14:textId="616D811D" w:rsidR="00ED1CAF" w:rsidRDefault="00B46C5D" w:rsidP="00B46C5D">
      <w:r>
        <w:t xml:space="preserve">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The objective was to make administering the contract feasible for a student to do this as a</w:t>
      </w:r>
      <w:r w:rsidR="001A658D">
        <w:t xml:space="preserve"> hobby</w:t>
      </w:r>
      <w:r w:rsidR="00187392">
        <w:t xml:space="preserve">, taking only an hour or so each week. </w:t>
      </w:r>
    </w:p>
    <w:p w14:paraId="2F130D2B" w14:textId="77777777" w:rsidR="009C17F5" w:rsidRDefault="009C17F5" w:rsidP="00096CE3">
      <w:pPr>
        <w:pStyle w:val="Heading3"/>
        <w:numPr>
          <w:ilvl w:val="0"/>
          <w:numId w:val="0"/>
        </w:numPr>
        <w:ind w:left="1080"/>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Larger token holders will bear significant costs if one of the other token holders submits fraudulent data</w:t>
      </w:r>
      <w:r w:rsidR="008B0FD6">
        <w:t xml:space="preserve">, justifying the time needed to evaluate or create oracle data. </w:t>
      </w:r>
    </w:p>
    <w:p w14:paraId="035BC7E3" w14:textId="0CA88803" w:rsidR="009C17F5" w:rsidRDefault="00BB0D8E" w:rsidP="009C17F5">
      <w:r>
        <w:lastRenderedPageBreak/>
        <w:t>The token floor</w:t>
      </w:r>
      <w:r w:rsidR="00FB10D8">
        <w:t xml:space="preserve"> </w:t>
      </w:r>
      <w:r w:rsidR="00615E1F">
        <w:t>incentivizes</w:t>
      </w:r>
      <w:r w:rsidR="00FB10D8">
        <w:t xml:space="preserve"> smaller token holders to create or join a vault</w:t>
      </w:r>
      <w:r>
        <w:t xml:space="preserve"> contract</w:t>
      </w:r>
      <w:r w:rsidR="00FB10D8">
        <w:t xml:space="preserve"> where the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vaults. It </w:t>
      </w:r>
      <w:r w:rsidR="001A658D">
        <w:t>targets a</w:t>
      </w:r>
      <w:r w:rsidR="009C17F5">
        <w:t xml:space="preserv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6ACC29FB"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(ie, 22%)</w:t>
      </w:r>
      <w:r>
        <w:t xml:space="preserve">. The vaults should be independent, </w:t>
      </w:r>
      <w:r w:rsidR="00615E1F">
        <w:t>making</w:t>
      </w:r>
      <w:r>
        <w:t xml:space="preserve"> the contract more robust, </w:t>
      </w:r>
      <w:r w:rsidR="001A658D">
        <w:t xml:space="preserve">and </w:t>
      </w:r>
      <w:r w:rsidR="004C0778">
        <w:t>maximizing</w:t>
      </w:r>
      <w:r>
        <w:t xml:space="preserve"> the present value of their tokens.</w:t>
      </w:r>
      <w:r>
        <w:rPr>
          <w:rStyle w:val="FootnoteReference"/>
        </w:rPr>
        <w:footnoteReference w:id="11"/>
      </w:r>
      <w:r w:rsidR="00187392">
        <w:t xml:space="preserve"> If the contract works</w:t>
      </w:r>
      <w:r w:rsidR="001A658D">
        <w:t>,</w:t>
      </w:r>
      <w:r w:rsidR="00187392">
        <w:t xml:space="preserve"> </w:t>
      </w:r>
      <w:r w:rsidR="001A658D">
        <w:t>others will be incentivized to create vaults, and if it is not popular,</w:t>
      </w:r>
      <w:r w:rsidR="00CD2CA7">
        <w:t xml:space="preserve"> I would have wasted time creating them</w:t>
      </w:r>
      <w:r w:rsidR="00187392">
        <w:t>.</w:t>
      </w:r>
    </w:p>
    <w:p w14:paraId="2996AA48" w14:textId="50388449" w:rsidR="00F66FE6" w:rsidRDefault="00F66FE6" w:rsidP="007727CA">
      <w:bookmarkStart w:id="3" w:name="_Hlk29815489"/>
      <w:bookmarkEnd w:id="1"/>
    </w:p>
    <w:p w14:paraId="4C2367A1" w14:textId="1E153DC2" w:rsidR="00563999" w:rsidRDefault="0057200E" w:rsidP="00096CE3">
      <w:pPr>
        <w:pStyle w:val="Heading3"/>
        <w:numPr>
          <w:ilvl w:val="0"/>
          <w:numId w:val="0"/>
        </w:numPr>
        <w:ind w:left="1080"/>
      </w:pPr>
      <w:bookmarkStart w:id="4" w:name="_Toc144663836"/>
      <w:bookmarkEnd w:id="3"/>
      <w:r>
        <w:t xml:space="preserve">Timing of </w:t>
      </w:r>
      <w:r w:rsidR="009C17F5">
        <w:t>Oracle Data</w:t>
      </w:r>
      <w:bookmarkEnd w:id="4"/>
      <w:r w:rsidR="00FB10D8">
        <w:t xml:space="preserve"> and Betting</w:t>
      </w:r>
    </w:p>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0D8897FD" w:rsidR="00DC50A3" w:rsidRDefault="00FB10D8" w:rsidP="00DC50A3">
      <w:r>
        <w:t xml:space="preserve">Each game is given a starting time between next Friday </w:t>
      </w:r>
      <w:r w:rsidR="001A658D">
        <w:t xml:space="preserve">at </w:t>
      </w:r>
      <w:r w:rsidR="0043211F">
        <w:t>9</w:t>
      </w:r>
      <w:r w:rsidR="00615E1F">
        <w:t xml:space="preserve"> </w:t>
      </w:r>
      <w:r>
        <w:t xml:space="preserve">PM </w:t>
      </w:r>
      <w:r w:rsidR="001D62FE">
        <w:t>GMT</w:t>
      </w:r>
      <w:r>
        <w:t xml:space="preserve"> and </w:t>
      </w:r>
      <w:r w:rsidR="001D62FE">
        <w:t xml:space="preserve">Tuesday </w:t>
      </w:r>
      <w:r w:rsidR="001A658D">
        <w:t xml:space="preserve">at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xml:space="preserve">. LPs cannot withdraw or deposit from when odds are posted (~Friday) through </w:t>
      </w:r>
      <w:r w:rsidR="001A658D">
        <w:t xml:space="preserve">a </w:t>
      </w:r>
      <w:r>
        <w:t>settlement (~Tuesday), as otherwise, LPs could game the contract by anticipating unusual losses or winnings as they accrue over the weekend</w:t>
      </w:r>
      <w:r w:rsidR="00615E1F">
        <w:t>'</w:t>
      </w:r>
      <w:r>
        <w:t>s events.</w:t>
      </w:r>
    </w:p>
    <w:p w14:paraId="29C9894C" w14:textId="239CBC13"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as long as the blockchain exists, users </w:t>
      </w:r>
      <w:r w:rsidR="00615E1F">
        <w:t>can</w:t>
      </w:r>
      <w:r>
        <w:t xml:space="preserve"> </w:t>
      </w:r>
      <w:r w:rsidR="001A658D">
        <w:t>safely let unredeemed money sit in the contract</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outcomes/new schedule sent for evaluation</w:t>
      </w:r>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contract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evaluation</w:t>
      </w:r>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odds sent to betting contract</w:t>
      </w:r>
    </w:p>
    <w:p w14:paraId="3F800632" w14:textId="77777777" w:rsidR="009C17F5" w:rsidRDefault="009C17F5" w:rsidP="00435DEB"/>
    <w:p w14:paraId="32A1FCE1" w14:textId="4EE7E989" w:rsidR="009B27E6" w:rsidRDefault="009B27E6" w:rsidP="00EF7BE5">
      <w:pPr>
        <w:tabs>
          <w:tab w:val="left" w:pos="720"/>
        </w:tabs>
      </w:pPr>
      <w:r>
        <w:t>Settlements should happen Tuesday evening, though if there are no Monday night events</w:t>
      </w:r>
      <w:r w:rsidR="001A658D">
        <w:t>,</w:t>
      </w:r>
      <w:r>
        <w:t xml:space="preserve">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lastRenderedPageBreak/>
        <w:t xml:space="preserve">The </w:t>
      </w:r>
      <w:r w:rsidR="008B0FD6">
        <w:t xml:space="preserve">initial </w:t>
      </w:r>
      <w:r w:rsidR="00563999">
        <w:t>data</w:t>
      </w:r>
      <w:r w:rsidR="00435DEB">
        <w:t xml:space="preserve"> </w:t>
      </w:r>
      <w:r w:rsidR="00563999">
        <w:t xml:space="preserve">sender can </w:t>
      </w:r>
      <w:r w:rsidR="00435DEB">
        <w:t xml:space="preserve">costlessly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73EB1B90"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that a single person with </w:t>
      </w:r>
      <w:r w:rsidR="00435DEB">
        <w:t>student-level resources</w:t>
      </w:r>
      <w:r w:rsidR="001A658D">
        <w:t xml:space="preserve"> of time and money</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096CE3">
      <w:pPr>
        <w:pStyle w:val="Heading3"/>
        <w:numPr>
          <w:ilvl w:val="0"/>
          <w:numId w:val="0"/>
        </w:numPr>
        <w:ind w:left="1080"/>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 ~0.909)</w:t>
      </w:r>
      <w:r>
        <w:t xml:space="preserve">. Note this implies the oracle token depositors have no economic risk, unlike the LPs. </w:t>
      </w:r>
    </w:p>
    <w:p w14:paraId="74B4663B" w14:textId="3A553BF9" w:rsidR="0057200E" w:rsidRDefault="009C17F5" w:rsidP="00757992">
      <w:r>
        <w:t>Another way the oracle</w:t>
      </w:r>
      <w:r w:rsidR="003B06DC">
        <w:t xml:space="preserve"> token holders can accrue </w:t>
      </w:r>
      <w:r>
        <w:t>revenue is when negligent token depositors claim revenue</w:t>
      </w:r>
      <w:r w:rsidR="001A658D">
        <w:t>. I</w:t>
      </w:r>
      <w:r>
        <w:t xml:space="preserve">f </w:t>
      </w:r>
      <w:r w:rsidR="001A658D">
        <w:t>an oracle account does</w:t>
      </w:r>
      <w:r>
        <w:t xml:space="preserve">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545CC669" w14:textId="72EA892F" w:rsidR="00012D6D"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bettor. Each bet is represented by the unique combination of epoch, match, and pick. At settlement, a bets hash refers to a struct containing this information, and a mapping generated at settlement allows redemption. </w:t>
      </w:r>
      <w:r w:rsidR="00563999">
        <w:t>Redemptions can only occur when a bettor has no active bets, so a bettor should redeem his bets after settlement and before betting again if he wants to redeem.</w:t>
      </w:r>
    </w:p>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concFactor (concentration factor) is used so that given LP capital </w:t>
      </w:r>
      <w:r w:rsidR="0061055C" w:rsidRPr="008B0FD6">
        <w:rPr>
          <w:i/>
          <w:iCs/>
        </w:rPr>
        <w:t>x</w:t>
      </w:r>
      <w:r w:rsidR="0061055C">
        <w:t xml:space="preserve"> and concFactor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64A470C4" w:rsidR="001D024C" w:rsidRDefault="000F08C0" w:rsidP="00757992">
      <w:r>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any good hacker would strenuously avoid until the</w:t>
      </w:r>
      <w:r w:rsidR="001A658D">
        <w:t>y</w:t>
      </w:r>
      <w:r w:rsidR="000C0381">
        <w:t xml:space="preserve"> cheat. A hack would almost surely use a bettor-oracle conspiracy to maximize their cheat </w:t>
      </w:r>
      <w:r w:rsidR="000C0381">
        <w:lastRenderedPageBreak/>
        <w:t>payoff, as the LP exposure is passive</w:t>
      </w:r>
      <w:r w:rsidR="00615E1F">
        <w:t>,</w:t>
      </w:r>
      <w:r w:rsidR="008B0FD6">
        <w:t xml:space="preserve"> while a bettor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For example, a book with 10 bet on team A and zero on its opponent will generate an expected return for the LP, statistically, in that over time</w:t>
      </w:r>
      <w:r w:rsidR="00615E1F">
        <w:t>,</w:t>
      </w:r>
      <w:r w:rsidR="0081573F">
        <w:t xml:space="preserve"> the vig in the odds spread implies bettors need a 2.2% edge in predicting winners to beat the house, which is difficult (as proven by the nice casinos). If a book had 110 bet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809AE37"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w:t>
      </w:r>
      <w:r w:rsidR="001A658D">
        <w:t>,</w:t>
      </w:r>
      <w:r w:rsidR="002F4EDB">
        <w:t xml:space="preserve"> allowing </w:t>
      </w:r>
      <w:r w:rsidR="00615E1F">
        <w:t>their</w:t>
      </w:r>
      <w:r w:rsidR="002F4EDB">
        <w:t xml:space="preserve"> bet. Thus, </w:t>
      </w:r>
      <w:r w:rsidR="001A658D">
        <w:t>al</w:t>
      </w:r>
      <w:r w:rsidR="002F4EDB">
        <w:t xml:space="preserve">though a finite amount of LP capital can support </w:t>
      </w:r>
      <w:r w:rsidR="00615E1F">
        <w:t>unlimited</w:t>
      </w:r>
      <w:r w:rsidR="002F4EDB">
        <w:t xml:space="preserve"> betting, too little will lower the LP</w:t>
      </w:r>
      <w:r w:rsidR="00615E1F">
        <w:t>'</w:t>
      </w:r>
      <w:r w:rsidR="002F4EDB">
        <w:t>s return on capital</w:t>
      </w:r>
      <w:r w:rsidR="001A658D">
        <w:t xml:space="preserve"> if casual bettors attempt to bet when the contract is maxed out on their bet of choice</w:t>
      </w:r>
      <w:r w:rsidR="002F4EDB">
        <w:t xml:space="preserve">.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EA7AE6">
      <w:pPr>
        <w:pStyle w:val="Heading3"/>
        <w:numPr>
          <w:ilvl w:val="0"/>
          <w:numId w:val="0"/>
        </w:numPr>
        <w:ind w:left="1080"/>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6D577D"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The margin adjustment is applied at the time of a bet, so there must be sufficient free LP collateral to accommodate a bet</w:t>
      </w:r>
      <w:r w:rsidR="001A658D">
        <w:t>,</w:t>
      </w:r>
      <w:r>
        <w:t xml:space="preserve"> adding to LP exposure. </w:t>
      </w:r>
    </w:p>
    <w:p w14:paraId="688CD598" w14:textId="7F48B62B" w:rsidR="00012D6D" w:rsidRDefault="00012D6D">
      <w:r>
        <w:t xml:space="preserve">For example, assume two teams are given even odds so that for either team, a 1 AVAX bet pays the winner 2 AVAX. If there </w:t>
      </w:r>
      <w:r w:rsidR="001A658D">
        <w:t>are</w:t>
      </w:r>
      <w:r>
        <w:t xml:space="preserve"> 10 AVAX on team A and 10 AVAX on its opponent, team B, it would be a 'flat' book in that the LPs have no exposure to this game; payoffs are funded by betting counterparties, not 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7E523854" w14:textId="441189B1" w:rsidR="00B46C5D" w:rsidRPr="00654C1C" w:rsidRDefault="00EE427A" w:rsidP="00096CE3">
      <w:pPr>
        <w:pStyle w:val="Heading3"/>
        <w:numPr>
          <w:ilvl w:val="0"/>
          <w:numId w:val="0"/>
        </w:numPr>
        <w:ind w:left="1080"/>
      </w:pPr>
      <w:r>
        <w:lastRenderedPageBreak/>
        <w:t xml:space="preserve">LP Oracle </w:t>
      </w:r>
      <w:r w:rsidR="003F0CC2">
        <w:t xml:space="preserve">Token </w:t>
      </w:r>
      <w:r w:rsidR="00B46C5D" w:rsidRPr="00654C1C">
        <w:t>Rewards</w:t>
      </w:r>
    </w:p>
    <w:p w14:paraId="6DC843DC" w14:textId="2FEF02BC" w:rsidR="00012D6D"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334DE48F" w14:textId="77777777" w:rsidR="003F0CC2" w:rsidRDefault="003F0CC2" w:rsidP="003F0CC2">
      <w:pPr>
        <w:pStyle w:val="Heading2"/>
      </w:pPr>
      <w:bookmarkStart w:id="10" w:name="_Toc144663832"/>
      <w:r>
        <w:t>Avalanche</w:t>
      </w:r>
      <w:bookmarkEnd w:id="10"/>
    </w:p>
    <w:p w14:paraId="4E460FF3" w14:textId="47F6EF5A" w:rsidR="003F0CC2" w:rsidRDefault="003F0CC2" w:rsidP="003F0CC2">
      <w:r>
        <w:t>I used to be an Ethereum maxi, but I became convinced that Avalanche</w:t>
      </w:r>
      <w:r w:rsidR="00615E1F">
        <w:t>'</w:t>
      </w:r>
      <w:r>
        <w:t xml:space="preserve">s blockchain is </w:t>
      </w:r>
      <w:r w:rsidR="003C2493">
        <w:t>significantly</w:t>
      </w:r>
      <w:r>
        <w:t xml:space="preserve"> more efficient.</w:t>
      </w:r>
      <w:r w:rsidR="001A658D">
        <w:rPr>
          <w:rStyle w:val="FootnoteReference"/>
        </w:rPr>
        <w:footnoteReference w:id="12"/>
      </w:r>
      <w:r>
        <w:t xml:space="preserve"> Avalanche</w:t>
      </w:r>
      <w:r w:rsidR="00615E1F">
        <w:t>'</w:t>
      </w:r>
      <w:r>
        <w:t xml:space="preserve">s </w:t>
      </w:r>
      <w:r w:rsidRPr="006729E6">
        <w:t>Proof-of-Stake consensus mechanism</w:t>
      </w:r>
      <w:r>
        <w:t xml:space="preserve"> </w:t>
      </w:r>
      <w:r w:rsidR="001A658D">
        <w:t xml:space="preserve">dominates Ethereum's because its </w:t>
      </w:r>
      <w:r>
        <w:t xml:space="preserve">validators survey a fixed number of other validators </w:t>
      </w:r>
      <w:r w:rsidR="001A658D">
        <w:t>as the network grows</w:t>
      </w:r>
      <w:r w:rsidRPr="006729E6">
        <w:t xml:space="preserve">. </w:t>
      </w:r>
      <w:r w:rsidR="001A658D">
        <w:t>It should come as no surprise that a</w:t>
      </w:r>
      <w:r>
        <w:t xml:space="preserve"> second</w:t>
      </w:r>
      <w:r w:rsidR="00615E1F">
        <w:t>-</w:t>
      </w:r>
      <w:r>
        <w:t>generation consensus mechanism</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0D740119"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76DC25" w:rsidR="003F0CC2" w:rsidRDefault="003F0CC2" w:rsidP="003F0CC2">
      <w:r>
        <w:t xml:space="preserve">I call it </w:t>
      </w:r>
      <w:r w:rsidRPr="00972200">
        <w:rPr>
          <w:i/>
          <w:iCs/>
        </w:rPr>
        <w:t>Avax</w:t>
      </w:r>
      <w:r>
        <w:t xml:space="preserve">SportsBook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w:t>
      </w:r>
      <w:r w:rsidR="001A658D">
        <w:t>'</w:t>
      </w:r>
      <w:r w:rsidR="00043B8A">
        <w:t>s C-chain</w:t>
      </w:r>
      <w:r>
        <w:t xml:space="preserve">. </w:t>
      </w:r>
      <w:r w:rsidR="00043B8A">
        <w:t>Avalanche</w:t>
      </w:r>
      <w:r w:rsidR="001A658D">
        <w:t>'</w:t>
      </w:r>
      <w:r w:rsidR="00043B8A">
        <w:t>s</w:t>
      </w:r>
      <w:r>
        <w:t xml:space="preserve"> Core Wallet</w:t>
      </w:r>
      <w:r w:rsidR="00BB0D8E">
        <w:t xml:space="preserve"> </w:t>
      </w:r>
      <w:r w:rsidR="001A658D">
        <w:t>(or core.app) provides a secure</w:t>
      </w:r>
      <w:r w:rsidR="00BB0D8E">
        <w:t xml:space="preserve"> bridg</w:t>
      </w:r>
      <w:r w:rsidR="001A658D">
        <w:t xml:space="preserve">ing mechanism to move </w:t>
      </w:r>
      <w:r w:rsidR="00615E1F">
        <w:t>B</w:t>
      </w:r>
      <w:r w:rsidR="00FC79FE">
        <w:t xml:space="preserve">itcoin or ETH onto </w:t>
      </w:r>
      <w:r w:rsidR="00043B8A">
        <w:t>Avalanche</w:t>
      </w:r>
      <w:r w:rsidR="001A658D">
        <w:t>'</w:t>
      </w:r>
      <w:r w:rsidR="00043B8A">
        <w:t xml:space="preserv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8B034C0"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 xml:space="preserve">s credibility. These are readable logs that do not require obscure knowledge about hashing functions. </w:t>
      </w:r>
    </w:p>
    <w:p w14:paraId="489FBAB9" w14:textId="4E4A7520" w:rsidR="003F0CC2" w:rsidRDefault="00A65F27" w:rsidP="00BA5E7D">
      <w:pPr>
        <w:rPr>
          <w:rFonts w:eastAsia="Times New Roman"/>
          <w:color w:val="222222"/>
        </w:rPr>
      </w:pPr>
      <w:r>
        <w:rPr>
          <w:rFonts w:eastAsia="Times New Roman"/>
          <w:color w:val="222222"/>
        </w:rPr>
        <w:t xml:space="preserve">I encourage people to copy or extend the contract. My incentive is to create something popular because there is joy in creating something people like, and I want to encourage crypto </w:t>
      </w:r>
      <w:r w:rsidR="00BB0D8E">
        <w:rPr>
          <w:rFonts w:eastAsia="Times New Roman"/>
          <w:color w:val="222222"/>
        </w:rPr>
        <w:t>use</w:t>
      </w:r>
      <w:r>
        <w:rPr>
          <w:rFonts w:eastAsia="Times New Roman"/>
          <w:color w:val="222222"/>
        </w:rPr>
        <w:t xml:space="preserve">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4D29C5DB" w14:textId="2CC25638" w:rsidR="00BB0D8E" w:rsidRDefault="00BB0D8E" w:rsidP="005C4360">
      <w:pPr>
        <w:pStyle w:val="Heading2"/>
        <w:rPr>
          <w:rFonts w:eastAsia="Times New Roman"/>
        </w:rPr>
      </w:pPr>
      <w:r>
        <w:rPr>
          <w:rFonts w:eastAsia="Times New Roman"/>
        </w:rPr>
        <w:t>Audit</w:t>
      </w:r>
    </w:p>
    <w:p w14:paraId="5CB79AEC" w14:textId="03C89B5D" w:rsidR="00BB0D8E" w:rsidRDefault="005C4360" w:rsidP="00BA5E7D">
      <w:r>
        <w:rPr>
          <w:rFonts w:eastAsia="Times New Roman"/>
          <w:color w:val="222222"/>
        </w:rPr>
        <w:t>I think the contract is safe, but I realize I am fallible, and could benefit from a knowledgeable third-party review. However, a</w:t>
      </w:r>
      <w:r w:rsidR="00BB0D8E">
        <w:rPr>
          <w:rFonts w:eastAsia="Times New Roman"/>
          <w:color w:val="222222"/>
        </w:rPr>
        <w:t xml:space="preserve">s I have no financial interest in this dapp I did not pay for an audit. </w:t>
      </w:r>
      <w:r w:rsidR="001A658D">
        <w:t>There are several test scripts in the repo, and one can build upon these to assess the contract for bugs or attack vectors.</w:t>
      </w:r>
      <w:r w:rsidR="001A658D">
        <w:rPr>
          <w:rFonts w:eastAsia="Times New Roman"/>
          <w:color w:val="222222"/>
        </w:rPr>
        <w:t xml:space="preserve"> </w:t>
      </w:r>
      <w:r>
        <w:rPr>
          <w:rFonts w:eastAsia="Times New Roman"/>
          <w:color w:val="222222"/>
        </w:rPr>
        <w:t xml:space="preserve">A </w:t>
      </w:r>
      <w:r>
        <w:rPr>
          <w:rFonts w:eastAsia="Times New Roman"/>
          <w:color w:val="222222"/>
        </w:rPr>
        <w:lastRenderedPageBreak/>
        <w:t xml:space="preserve">casual bettor who does not have the </w:t>
      </w:r>
      <w:r w:rsidR="001A658D">
        <w:rPr>
          <w:rFonts w:eastAsia="Times New Roman"/>
          <w:color w:val="222222"/>
        </w:rPr>
        <w:t>ability</w:t>
      </w:r>
      <w:r>
        <w:rPr>
          <w:rFonts w:eastAsia="Times New Roman"/>
          <w:color w:val="222222"/>
        </w:rPr>
        <w:t xml:space="preserve"> to audit these contracts themselves should just post modest sums so a worst-case scenario would not be too painful.</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dapp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dapp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DFE1C00"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odds on big games and</w:t>
      </w:r>
      <w:r w:rsidR="000106A5">
        <w:t xml:space="preserve"> cash out </w:t>
      </w:r>
      <w:r w:rsidR="001A658D">
        <w:t>quickly</w:t>
      </w:r>
      <w:r w:rsidR="000106A5">
        <w:t xml:space="preserve">.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3"/>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A9DC617" w:rsidR="00012D6D" w:rsidRDefault="00012D6D" w:rsidP="00096CE3">
      <w:pPr>
        <w:pStyle w:val="Heading3"/>
        <w:numPr>
          <w:ilvl w:val="0"/>
          <w:numId w:val="0"/>
        </w:numPr>
        <w:ind w:left="1080"/>
      </w:pPr>
      <w:bookmarkStart w:id="13" w:name="_Toc144663826"/>
      <w:r>
        <w:lastRenderedPageBreak/>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8"/>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9"/>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0.75pt" o:ole="">
            <v:imagedata r:id="rId10" o:title=""/>
          </v:shape>
          <o:OLEObject Type="Embed" ProgID="Equation.DSMT4" ShapeID="_x0000_i1025" DrawAspect="Content" ObjectID="_1762074277" r:id="rId11"/>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1 + vig</w:t>
      </w:r>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75pt;height:20.25pt" o:ole="">
            <v:imagedata r:id="rId12" o:title=""/>
          </v:shape>
          <o:OLEObject Type="Embed" ProgID="Equation.DSMT4" ShapeID="_x0000_i1026" DrawAspect="Content" ObjectID="_1762074278" r:id="rId13"/>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52.4% win probabilities, so the 2.4% premium reflects the vig</w:t>
      </w:r>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vig. This is done by setting the vig at 2.25% in terms of the odds </w:t>
      </w:r>
      <w:r w:rsidR="00D94FCC">
        <w:t>the LPs experienced in the betting contract</w:t>
      </w:r>
      <w:r>
        <w:t xml:space="preserve">. This </w:t>
      </w:r>
      <w:r w:rsidR="00F94A7B">
        <w:t xml:space="preserve">implies the even bet probability of winning is 51.2%. </w:t>
      </w:r>
      <w:r w:rsidR="002212C0">
        <w:t>The contract applies this logic at the time of the bet with the following logic</w:t>
      </w:r>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betPayoff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_betAmt)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betPayoff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_betAmt)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floating point arithmetic in Solidity. </w:t>
      </w:r>
    </w:p>
    <w:p w14:paraId="74232C46" w14:textId="0B14A84C" w:rsidR="00F94A7B" w:rsidRDefault="00F94A7B">
      <w:r>
        <w:t xml:space="preserve">When a bettor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vig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(outcomeMap[epochMatch]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betContracts[_subkId].betAmount;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(outcomeMap[epochMatch]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(betContracts[_subkId].payoff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oracleDiv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(winningsPot);</w:t>
      </w:r>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sportsbooks</w:t>
      </w:r>
    </w:p>
    <w:p w14:paraId="4B41192A" w14:textId="794F12F7" w:rsidR="00246E48" w:rsidRDefault="00246E48" w:rsidP="00142D15">
      <w:pPr>
        <w:pStyle w:val="ListParagraph"/>
        <w:numPr>
          <w:ilvl w:val="1"/>
          <w:numId w:val="8"/>
        </w:numPr>
        <w:tabs>
          <w:tab w:val="left" w:pos="1107"/>
        </w:tabs>
      </w:pPr>
      <w:r>
        <w:t>Home team: +135</w:t>
      </w:r>
      <w:r w:rsidR="000214EA">
        <w:t xml:space="preserve"> </w:t>
      </w:r>
      <w:r w:rsidR="00425694">
        <w:t>moneyline,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moneyline,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team is first</w:t>
      </w:r>
    </w:p>
    <w:p w14:paraId="323E7002" w14:textId="4094FBB5" w:rsidR="00246E48" w:rsidRDefault="00246E48" w:rsidP="00142D15">
      <w:pPr>
        <w:pStyle w:val="ListParagraph"/>
        <w:numPr>
          <w:ilvl w:val="1"/>
          <w:numId w:val="12"/>
        </w:numPr>
        <w:tabs>
          <w:tab w:val="left" w:pos="1107"/>
        </w:tabs>
      </w:pPr>
      <w:r>
        <w:t xml:space="preserve">team[0]: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Translate into win probability</w:t>
      </w:r>
    </w:p>
    <w:p w14:paraId="51259F0A" w14:textId="3657D73D" w:rsidR="001E4415" w:rsidRDefault="001E4415" w:rsidP="001E4415">
      <w:pPr>
        <w:pStyle w:val="ListParagraph"/>
        <w:numPr>
          <w:ilvl w:val="1"/>
          <w:numId w:val="12"/>
        </w:numPr>
        <w:tabs>
          <w:tab w:val="left" w:pos="1107"/>
        </w:tabs>
      </w:pPr>
      <w:r>
        <w:t>Prob(win) = 1/decimalOdds</w:t>
      </w:r>
    </w:p>
    <w:p w14:paraId="5DD488EA" w14:textId="1EE941E3" w:rsidR="00142D15" w:rsidRDefault="00142D15" w:rsidP="00142D15">
      <w:pPr>
        <w:pStyle w:val="ListParagraph"/>
        <w:numPr>
          <w:ilvl w:val="1"/>
          <w:numId w:val="12"/>
        </w:numPr>
        <w:tabs>
          <w:tab w:val="left" w:pos="1107"/>
        </w:tabs>
      </w:pPr>
      <w:r>
        <w:t xml:space="preserve">team[0]: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/2</w:t>
      </w:r>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r>
        <w:t>team[0]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prob(team[0]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prob(team[</w:t>
      </w:r>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 xml:space="preserve">Translate prob(team[0]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Odds(team[0])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Odds(team[0])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5% oracle fee applied to winnings</w:t>
      </w:r>
    </w:p>
    <w:p w14:paraId="2EE4E731" w14:textId="04A66A94" w:rsidR="00574E7C" w:rsidRDefault="00536868" w:rsidP="00574E7C">
      <w:pPr>
        <w:pStyle w:val="ListParagraph"/>
        <w:numPr>
          <w:ilvl w:val="1"/>
          <w:numId w:val="12"/>
        </w:numPr>
        <w:tabs>
          <w:tab w:val="left" w:pos="1107"/>
        </w:tabs>
      </w:pPr>
      <w:r>
        <w:t xml:space="preserve">Net decimal </w:t>
      </w:r>
      <w:r w:rsidR="00574E7C">
        <w:t>Odds(team[0])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Odds(team[1])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In this example, the vig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vig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r>
        <w:t xml:space="preserve">LPshares =  </w:t>
      </w:r>
      <w:r w:rsidR="00035183">
        <w:t>AVAX</w:t>
      </w:r>
      <w:r>
        <w:t xml:space="preserve"> invested </w:t>
      </w:r>
      <w:r>
        <w:rPr>
          <w:rFonts w:cs="Times New Roman"/>
        </w:rPr>
        <w:t>×</w:t>
      </w:r>
      <w:r>
        <w:t xml:space="preserve"> Total</w:t>
      </w:r>
      <w:r w:rsidR="00D27B4D">
        <w:t>Lp</w:t>
      </w:r>
      <w:r>
        <w:t>Shares / TotalL</w:t>
      </w:r>
      <w:r w:rsidR="00D27B4D">
        <w:t>p</w:t>
      </w:r>
      <w:r w:rsidR="00035183">
        <w:t>A</w:t>
      </w:r>
      <w:r w:rsidR="00D27B4D">
        <w:t>vax</w:t>
      </w:r>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r w:rsidR="00D27B4D">
        <w:t>TotalLpAvax</w:t>
      </w:r>
      <w:r w:rsidR="00D27B4D">
        <w:rPr>
          <w:rFonts w:cs="Times New Roman"/>
        </w:rPr>
        <w:t xml:space="preserve"> </w:t>
      </w:r>
      <w:r w:rsidR="00892E04">
        <w:rPr>
          <w:rFonts w:cs="Times New Roman"/>
        </w:rPr>
        <w:t>×</w:t>
      </w:r>
      <w:r w:rsidR="00892E04">
        <w:t xml:space="preserve"> SharesSold  /  </w:t>
      </w:r>
      <w:r w:rsidR="00D27B4D">
        <w:t>TotalLpShares</w:t>
      </w:r>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4" o:title=""/>
          </v:shape>
          <o:OLEObject Type="Embed" ProgID="Equation.DSMT4" ShapeID="_x0000_i1027" DrawAspect="Content" ObjectID="_1762074279" r:id="rId15"/>
        </w:object>
      </w:r>
      <w:bookmarkEnd w:id="21"/>
    </w:p>
    <w:p w14:paraId="1A0A2CA0" w14:textId="4E448D22" w:rsidR="009C7E0F" w:rsidRDefault="009F2459">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16" o:title=""/>
          </v:shape>
          <o:OLEObject Type="Embed" ProgID="Equation.DSMT4" ShapeID="_x0000_i1028" DrawAspect="Content" ObjectID="_1762074280" r:id="rId17"/>
        </w:object>
      </w:r>
      <w:bookmarkEnd w:id="22"/>
    </w:p>
    <w:p w14:paraId="45D31170" w14:textId="3145B543" w:rsidR="006F6AE8" w:rsidRDefault="006F6AE8" w:rsidP="002A50D4">
      <w:r>
        <w:t>Having tokens in the oracle is a necessary but insufficient condition for being paid. The contract then takes the total number of tokens</w:t>
      </w:r>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75pt;height:30.75pt" o:ole="">
            <v:imagedata r:id="rId18" o:title=""/>
          </v:shape>
          <o:OLEObject Type="Embed" ProgID="Equation.DSMT4" ShapeID="_x0000_i1029" DrawAspect="Content" ObjectID="_1762074281" r:id="rId19"/>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0" o:title=""/>
          </v:shape>
          <o:OLEObject Type="Embed" ProgID="Equation.DSMT4" ShapeID="_x0000_i1030" DrawAspect="Content" ObjectID="_1762074282" r:id="rId21"/>
        </w:object>
      </w:r>
    </w:p>
    <w:p w14:paraId="2560EBEF" w14:textId="77777777" w:rsidR="00AF24F1" w:rsidRDefault="009F2459">
      <w:r>
        <w:t xml:space="preserve">This account's </w:t>
      </w:r>
      <w:r w:rsidR="00995617" w:rsidRPr="00DE28F8">
        <w:rPr>
          <w:i/>
          <w:iCs/>
        </w:rPr>
        <w:t>OraclePoughback</w:t>
      </w:r>
      <w:r w:rsidR="00995617">
        <w:t xml:space="preserve"> is </w:t>
      </w:r>
      <w:r w:rsidR="002A50D4">
        <w:t>sent</w:t>
      </w:r>
      <w:r w:rsidR="00995617">
        <w:t xml:space="preserve"> to the Oracle </w:t>
      </w:r>
      <w:r w:rsidR="00995617" w:rsidRPr="00DE28F8">
        <w:rPr>
          <w:i/>
          <w:iCs/>
        </w:rPr>
        <w:t>feePool</w:t>
      </w:r>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Margin</w:t>
      </w:r>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2" o:title=""/>
          </v:shape>
          <o:OLEObject Type="Embed" ProgID="Equation.DSMT4" ShapeID="_x0000_i1031" DrawAspect="Content" ObjectID="_1762074283" r:id="rId23"/>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4" o:title=""/>
          </v:shape>
          <o:OLEObject Type="Embed" ProgID="Equation.DSMT4" ShapeID="_x0000_i1032" DrawAspect="Content" ObjectID="_1762074284" r:id="rId25"/>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26" o:title=""/>
          </v:shape>
          <o:OLEObject Type="Embed" ProgID="Equation.DSMT4" ShapeID="_x0000_i1033" DrawAspect="Content" ObjectID="_1762074285" r:id="rId27"/>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w:t>
      </w:r>
      <w:r w:rsidR="00D94FCC">
        <w:t>m</w:t>
      </w:r>
      <w:r>
        <w:t xml:space="preserve">argin (margin[1]),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28" o:title=""/>
          </v:shape>
          <o:OLEObject Type="Embed" ProgID="Equation.DSMT4" ShapeID="_x0000_i1034" DrawAspect="Content" ObjectID="_1762074286" r:id="rId29"/>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i</w:t>
      </w:r>
      <w:r w:rsidR="00436F0B">
        <w:t xml:space="preserve"> for the pick and </w:t>
      </w:r>
      <w:r w:rsidR="00436F0B" w:rsidRPr="00337CB8">
        <w:rPr>
          <w:i/>
          <w:iCs/>
        </w:rPr>
        <w:t>-i</w:t>
      </w:r>
      <w:r w:rsidR="00436F0B">
        <w:t xml:space="preserve"> for the opponent. The potential liability for pick </w:t>
      </w:r>
      <w:r w:rsidR="00436F0B" w:rsidRPr="00337CB8">
        <w:rPr>
          <w:i/>
          <w:iCs/>
        </w:rPr>
        <w:t>i</w:t>
      </w:r>
      <w:r w:rsidR="00436F0B">
        <w:t xml:space="preserve"> is</w:t>
      </w:r>
    </w:p>
    <w:p w14:paraId="77B8FD7F" w14:textId="17102726" w:rsidR="00CC21B6" w:rsidRDefault="00436F0B" w:rsidP="00E07CCF">
      <w:pPr>
        <w:jc w:val="center"/>
      </w:pPr>
      <w:r w:rsidRPr="00436F0B">
        <w:rPr>
          <w:position w:val="-10"/>
        </w:rPr>
        <w:object w:dxaOrig="2320" w:dyaOrig="360" w14:anchorId="0EE1E50E">
          <v:shape id="_x0000_i1035" type="#_x0000_t75" style="width:115.5pt;height:18pt" o:ole="">
            <v:imagedata r:id="rId30" o:title=""/>
          </v:shape>
          <o:OLEObject Type="Embed" ProgID="Equation.DSMT4" ShapeID="_x0000_i1035" DrawAspect="Content" ObjectID="_1762074287" r:id="rId31"/>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2" o:title=""/>
          </v:shape>
          <o:OLEObject Type="Embed" ProgID="Equation.DSMT4" ShapeID="_x0000_i1036" DrawAspect="Content" ObjectID="_1762074288" r:id="rId33"/>
        </w:object>
      </w:r>
    </w:p>
    <w:p w14:paraId="635022BB" w14:textId="5AF3E789" w:rsidR="00436F0B" w:rsidRDefault="00436F0B">
      <w:r>
        <w:t>The amount of available LP capital is</w:t>
      </w:r>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4" o:title=""/>
          </v:shape>
          <o:OLEObject Type="Embed" ProgID="Equation.DSMT4" ShapeID="_x0000_i1037" DrawAspect="Content" ObjectID="_1762074289" r:id="rId35"/>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75pt" o:ole="">
            <v:imagedata r:id="rId36" o:title=""/>
          </v:shape>
          <o:OLEObject Type="Embed" ProgID="Equation.DSMT4" ShapeID="_x0000_i1038" DrawAspect="Content" ObjectID="_1762074290" r:id="rId37"/>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38" o:title=""/>
          </v:shape>
          <o:OLEObject Type="Embed" ProgID="Equation.DSMT4" ShapeID="_x0000_i1039" DrawAspect="Content" ObjectID="_1762074291" r:id="rId39"/>
        </w:object>
      </w:r>
    </w:p>
    <w:p w14:paraId="4F736100" w14:textId="01C51722" w:rsidR="009C7E0F" w:rsidRPr="00096CE3" w:rsidRDefault="006F6AE8">
      <w:r>
        <w:t xml:space="preserve">LP exposure across matches is independent. The assumption for LP exposure is the worst-case scenario, so there will be no chance of insolvency, as a bet cannot be taken without capital available. </w:t>
      </w: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r w:rsidR="00043B8A">
        <w:t>odds on</w:t>
      </w:r>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bettor sock-puppet account, they could maximize their take</w:t>
      </w:r>
      <w:r w:rsidR="00DC16B8">
        <w:t xml:space="preserve"> by maxing out LP exposure</w:t>
      </w:r>
      <w:r>
        <w:t xml:space="preserve"> and not have to dilute their theft with unaffiliated bettors.</w:t>
      </w:r>
    </w:p>
    <w:p w14:paraId="1C88F2BE" w14:textId="5EC1EF09"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w:t>
      </w:r>
      <w:r w:rsidR="001A658D">
        <w:t>'</w:t>
      </w:r>
      <w:r w:rsidR="00651620">
        <w:t>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dapp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9F2459">
      <w:pPr>
        <w:pStyle w:val="MTDisplayEquation"/>
      </w:pPr>
      <w:r>
        <w:lastRenderedPageBreak/>
        <w:tab/>
      </w:r>
      <w:r>
        <w:rPr>
          <w:position w:val="-40"/>
        </w:rPr>
        <w:object w:dxaOrig="4160" w:dyaOrig="920" w14:anchorId="1ED5F32B">
          <v:shape id="_x0000_i1040" type="#_x0000_t75" style="width:208.5pt;height:45pt" o:ole="">
            <v:imagedata r:id="rId40" o:title=""/>
          </v:shape>
          <o:OLEObject Type="Embed" ProgID="Equation.DSMT4" ShapeID="_x0000_i1040" DrawAspect="Content" ObjectID="_1762074292" r:id="rId41"/>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WeeklyPayBack </w:t>
      </w:r>
    </w:p>
    <w:p w14:paraId="68305047" w14:textId="22D8F368" w:rsidR="009C7E0F" w:rsidRDefault="009F2459">
      <w:pPr>
        <w:ind w:left="720"/>
      </w:pPr>
      <w:r>
        <w:t>PayoffPot  = WeeklyWinnings * 95 /100</w:t>
      </w:r>
    </w:p>
    <w:p w14:paraId="13F5BFDB" w14:textId="2331FA4E" w:rsidR="006B7C30" w:rsidRDefault="006B7C30" w:rsidP="006B7C30">
      <w:pPr>
        <w:ind w:left="720"/>
      </w:pPr>
      <w:r>
        <w:t>Oracle fee revenue = WeeklyWinnings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r>
        <w:t>bookiePool = bookiePool + bettorLocked – redemptionPot – payoffPot</w:t>
      </w:r>
    </w:p>
    <w:p w14:paraId="508BD7E8" w14:textId="0C7A2F8B" w:rsidR="009C7E0F" w:rsidRDefault="009F2459">
      <w:r>
        <w:t xml:space="preserve">The oracle revenues </w:t>
      </w:r>
      <w:r w:rsidR="00747B64">
        <w:t>are</w:t>
      </w:r>
      <w:r>
        <w:t xml:space="preserve"> then just 5% of the WeeklyWinnings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settleRefresh</w:t>
      </w:r>
      <w:r w:rsidRPr="0006554D">
        <w:t>Post</w:t>
      </w:r>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settleRefresh</w:t>
      </w:r>
      <w:r w:rsidRPr="0006554D">
        <w:t xml:space="preserve"> voteProcess</w:t>
      </w:r>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update voteProcess</w:t>
      </w:r>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lastRenderedPageBreak/>
        <w:t>Simple Restrictions in the Contract</w:t>
      </w:r>
    </w:p>
    <w:p w14:paraId="7E9C3383" w14:textId="77777777" w:rsidR="00651620" w:rsidRDefault="00651620" w:rsidP="00651620"/>
    <w:p w14:paraId="129343D0" w14:textId="73742473" w:rsidR="00651620" w:rsidRPr="00651620" w:rsidRDefault="00651620" w:rsidP="00651620">
      <w:r>
        <w:t>The contract prioritizes simplicity to minimize attack surfaces and make the oracle</w:t>
      </w:r>
      <w:r w:rsidR="001A658D">
        <w:t>'</w:t>
      </w:r>
      <w:r>
        <w:t xml:space="preserv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as long as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vig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odds on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w:t>
      </w:r>
      <w:r w:rsidRPr="009D252D">
        <w:lastRenderedPageBreak/>
        <w:t>sportsbook vig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884E911" w:rsidR="0063464F" w:rsidRDefault="0063464F" w:rsidP="0063464F">
      <w:r>
        <w:t>As no healthy adult sleeps more than 10 hours a day, the 12-hour window between 3:00 and 15:00 GMT ensures token holders can evaluate and vote before the data submission is processed</w:t>
      </w:r>
      <w:r w:rsidR="001A658D">
        <w:t>,</w:t>
      </w:r>
      <w:r>
        <w:t xml:space="preserve">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79543719" w:rsidR="0063464F" w:rsidRDefault="0063464F" w:rsidP="00A563F8">
      <w:r>
        <w:t xml:space="preserve">The oracle cannot settle </w:t>
      </w:r>
      <w:r w:rsidR="00A563F8">
        <w:t>for at least 48 hours after Friday evening, which makes the oracle</w:t>
      </w:r>
      <w:r w:rsidR="001A658D">
        <w:t>'</w:t>
      </w:r>
      <w:r w:rsidR="00A563F8">
        <w:t>s duties less onero</w:t>
      </w:r>
      <w:r w:rsidR="001A658D">
        <w:t>u</w:t>
      </w:r>
      <w:r w:rsidR="00A563F8">
        <w:t xml:space="preserve">s. </w:t>
      </w:r>
      <w:r w:rsidR="001A658D">
        <w:t>The oracle can halt betting on a match if the odds change significantly before an event</w:t>
      </w:r>
      <w:r w:rsidR="00A563F8">
        <w:t xml:space="preserve">. This moves the start time back four days, and as betting is only possible </w:t>
      </w:r>
      <w:r w:rsidR="001A658D">
        <w:t>before</w:t>
      </w:r>
      <w:r w:rsidR="00A563F8">
        <w:t xml:space="preserve"> the start time, </w:t>
      </w:r>
      <w:r w:rsidR="001A658D">
        <w:t xml:space="preserve">it </w:t>
      </w:r>
      <w:r w:rsidR="00A563F8">
        <w:t xml:space="preserve">precludes betting. </w:t>
      </w:r>
      <w:r>
        <w:t>Maximum 32 events</w:t>
      </w:r>
    </w:p>
    <w:p w14:paraId="3CE7C306" w14:textId="7267E916" w:rsidR="0063464F" w:rsidRDefault="0063464F" w:rsidP="0063464F">
      <w:r>
        <w:t xml:space="preserve">The settlement function loops through the events, and 32 is big enough to capture </w:t>
      </w:r>
      <w:r w:rsidR="00651620">
        <w:t>the weekend</w:t>
      </w:r>
      <w:r w:rsidR="001A658D">
        <w:t>'</w:t>
      </w:r>
      <w:r w:rsidR="00651620">
        <w:t>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Easily anticipated games</w:t>
      </w:r>
    </w:p>
    <w:p w14:paraId="60C3CBC9" w14:textId="76C16E34" w:rsidR="0063464F" w:rsidRDefault="0063464F" w:rsidP="0063464F">
      <w:r>
        <w:t>Football, boxing, and MMA will be the primary focus, as matches and odds are well-publicized early in the week, making it easier for the oracle collective to assess odds data. High</w:t>
      </w:r>
      <w:r w:rsidR="001A658D">
        <w:t>-</w:t>
      </w:r>
      <w:r>
        <w:t>profile events other than football, boxing</w:t>
      </w:r>
      <w:r w:rsidR="001A658D">
        <w:t>,</w:t>
      </w:r>
      <w:r>
        <w:t xml:space="preserve">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This dapp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No adjudication process</w:t>
      </w:r>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t>Everything in AVAX, no stablecoin</w:t>
      </w:r>
    </w:p>
    <w:p w14:paraId="3B71574C" w14:textId="75ADB8D9" w:rsidR="0063464F" w:rsidRDefault="0063464F" w:rsidP="0063464F">
      <w:r>
        <w:t xml:space="preserve">By using native AVAX for all bets, we eliminate costly swapping into and out of stablecoins. As stablecoins are generally centralized, we eliminate an attack surface as well, as one could imagine Circle, at the behest of some US regulator, preventing the betting contract from receiving or sending USDC. </w:t>
      </w:r>
      <w:r>
        <w:lastRenderedPageBreak/>
        <w:t xml:space="preserve">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297940B1" w:rsidR="0063464F" w:rsidRDefault="0063464F" w:rsidP="0063464F">
      <w:pPr>
        <w:pStyle w:val="Heading3"/>
      </w:pPr>
      <w:r>
        <w:t xml:space="preserve">No token withdrawals during </w:t>
      </w:r>
      <w:r w:rsidR="001A658D">
        <w:t xml:space="preserve">a </w:t>
      </w:r>
      <w:r>
        <w:t>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Oracle token holders are only paid if they vote</w:t>
      </w:r>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3442ECE0" w:rsidR="0063464F" w:rsidRDefault="0063464F" w:rsidP="0063464F">
      <w:pPr>
        <w:pStyle w:val="Heading3"/>
      </w:pPr>
      <w:r>
        <w:t xml:space="preserve">Token holders cannot send data for </w:t>
      </w:r>
      <w:r w:rsidR="001A658D">
        <w:t>three</w:t>
      </w:r>
      <w:r>
        <w:t xml:space="preserve"> epochs after a rejected submission</w:t>
      </w:r>
    </w:p>
    <w:p w14:paraId="2B33E301" w14:textId="2355CACC" w:rsidR="0063464F" w:rsidRDefault="0063464F" w:rsidP="0063464F">
      <w:r>
        <w:t xml:space="preserve">If an evil token holder tries to hack the contract, it is in the best interest of the other token holders to reject the data submission. If the evil token holder were a computer wiz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w:t>
      </w:r>
      <w:r w:rsidR="001A658D">
        <w:t>four</w:t>
      </w:r>
      <w:r>
        <w:t xml:space="preserve"> epochs, but it would be pointless.</w:t>
      </w:r>
    </w:p>
    <w:p w14:paraId="0098678C" w14:textId="77777777" w:rsidR="0063464F" w:rsidRDefault="0063464F" w:rsidP="0063464F">
      <w:pPr>
        <w:pStyle w:val="Heading3"/>
      </w:pPr>
      <w:r>
        <w:t>Token holders can only adjust the concentration limit or halt an event's betting activity once an epoch</w:t>
      </w:r>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epoch  </w:t>
      </w:r>
    </w:p>
    <w:p w14:paraId="564393DC" w14:textId="77777777" w:rsidR="0063464F" w:rsidRDefault="0063464F" w:rsidP="0063464F">
      <w:r>
        <w:t>Suppose LPs could deposit and withdraw quickly without a fee. In that case, some LPs might find it profitable to scare away other LPs by depositing large amounts to discourage other LPs, who would see 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lastRenderedPageBreak/>
        <w:t>LPs cannot withdraw in the same epoch they claim token rewards</w:t>
      </w:r>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LPs cannot fund or withdraw when betting is active</w:t>
      </w:r>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100/concFactor in any event.</w:t>
      </w:r>
      <w:r>
        <w:rPr>
          <w:rStyle w:val="FootnoteReference"/>
        </w:rPr>
        <w:footnoteReference w:id="14"/>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Min bet size 1 avax</w:t>
      </w:r>
    </w:p>
    <w:p w14:paraId="09F843B8" w14:textId="3F9E93D2" w:rsidR="0063464F" w:rsidRDefault="0063464F" w:rsidP="0063464F">
      <w:r>
        <w:t xml:space="preserve">While testing with trace amounts can be fun, </w:t>
      </w:r>
      <w:r w:rsidR="001A658D">
        <w:t>DDOS-type risks are</w:t>
      </w:r>
      <w:r>
        <w:t xml:space="preserve"> generated by allowing trace-amount transactions. </w:t>
      </w:r>
    </w:p>
    <w:p w14:paraId="144A90CF" w14:textId="4199B947" w:rsidR="0063464F" w:rsidRDefault="0063464F" w:rsidP="0063464F">
      <w:pPr>
        <w:pStyle w:val="Heading3"/>
      </w:pPr>
      <w:r>
        <w:t xml:space="preserve">No betting after </w:t>
      </w:r>
      <w:r w:rsidR="001A658D">
        <w:t xml:space="preserve">the </w:t>
      </w:r>
      <w:r>
        <w:t>game start time</w:t>
      </w:r>
    </w:p>
    <w:p w14:paraId="0BA21A10" w14:textId="4165B867" w:rsidR="0063464F" w:rsidRDefault="0063464F" w:rsidP="0063464F">
      <w:r>
        <w:t>Obviously, a match with fixed odds is easier to bet on when it is partially completed. The ambiguity of block</w:t>
      </w:r>
      <w:r w:rsidR="001A658D">
        <w:t xml:space="preserve"> </w:t>
      </w:r>
      <w:r>
        <w:t>time is insignificant to this requirement, as a mere couple of seconds would not expose the contract to risk</w:t>
      </w:r>
    </w:p>
    <w:p w14:paraId="64CE8884" w14:textId="77777777" w:rsidR="0063464F" w:rsidRDefault="0063464F" w:rsidP="0063464F">
      <w:pPr>
        <w:pStyle w:val="Heading3"/>
      </w:pPr>
      <w:r>
        <w:t>bets constrained by bookie capital</w:t>
      </w:r>
    </w:p>
    <w:p w14:paraId="62580C57" w14:textId="21E5865E" w:rsidR="0063464F" w:rsidRDefault="0063464F" w:rsidP="0063464F">
      <w:pPr>
        <w:pStyle w:val="ListParagraph"/>
        <w:numPr>
          <w:ilvl w:val="1"/>
          <w:numId w:val="20"/>
        </w:numPr>
      </w:pPr>
      <w:r>
        <w:t>ex</w:t>
      </w:r>
      <w:r w:rsidR="001A658D">
        <w:t>-</w:t>
      </w:r>
      <w:r>
        <w:t xml:space="preserve">ante limit of LPcapital/x per match, where x is a number </w:t>
      </w:r>
      <w:r w:rsidR="001A658D">
        <w:t>the oracle chooses</w:t>
      </w:r>
      <w:r>
        <w:t>. For example, if x=10 and total capital w</w:t>
      </w:r>
      <w:r w:rsidR="001A658D">
        <w:t>ere</w:t>
      </w:r>
      <w:r>
        <w:t xml:space="preserve"> 100, then the LPs would have at most 10 avax at risk to any one particular event. </w:t>
      </w:r>
    </w:p>
    <w:p w14:paraId="19622964" w14:textId="7AC8708D" w:rsidR="0063464F" w:rsidRDefault="0063464F" w:rsidP="0063464F">
      <w:pPr>
        <w:pStyle w:val="ListParagraph"/>
        <w:numPr>
          <w:ilvl w:val="1"/>
          <w:numId w:val="20"/>
        </w:numPr>
      </w:pPr>
      <w:r>
        <w:t xml:space="preserve">If 10 units were available, and the concentration parameter was set to 5, then five matches could have 2 units of exposure to the LPs, and use up all of the LP capital. A further bet of 1 unit would not be possible because </w:t>
      </w:r>
      <w:r w:rsidR="001A658D">
        <w:t>no more free LP capital would be</w:t>
      </w:r>
      <w:r>
        <w:t xml:space="preserve">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1884D143"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w:t>
      </w:r>
      <w:r w:rsidR="001A658D">
        <w:t xml:space="preserve"> (trades already taken would still be valid)</w:t>
      </w:r>
      <w:r>
        <w:t xml:space="preserve">. </w:t>
      </w:r>
    </w:p>
    <w:p w14:paraId="4AD1E512" w14:textId="76B0346A" w:rsidR="007C2D15" w:rsidRDefault="007C2D15" w:rsidP="007C2D15">
      <w:r>
        <w:t>If an initial data</w:t>
      </w:r>
      <w:r w:rsidR="00DC16B8">
        <w:t xml:space="preserve"> </w:t>
      </w:r>
      <w:r>
        <w:t xml:space="preserve">submission is rejected, the week is not ruined. </w:t>
      </w:r>
      <w:r w:rsidR="001A658D">
        <w:t>A replacement can be made the following day</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 xml:space="preserve">choose to cheat </w:t>
      </w:r>
      <w:r w:rsidR="00AD70B8">
        <w:lastRenderedPageBreak/>
        <w:t>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6F7BA01A" w:rsidR="006C64C8" w:rsidRDefault="006C64C8">
      <w:r>
        <w:t xml:space="preserve">The ASB oracle token has 3 decimals. AVAX has 18 decimals, just like ETH. Within the betting contract, however, </w:t>
      </w:r>
      <w:r w:rsidR="001A658D">
        <w:t>AVAX</w:t>
      </w:r>
      <w:r>
        <w:t xml:space="preserve"> has 4 decimals. Thus, if you deposit 1.234</w:t>
      </w:r>
      <w:r w:rsidR="001A658D">
        <w:t>05654</w:t>
      </w:r>
      <w:r>
        <w:t xml:space="preserve"> avax it </w:t>
      </w:r>
      <w:r w:rsidR="00F2444A">
        <w:t xml:space="preserve">is recorded as </w:t>
      </w:r>
      <w:r>
        <w:t>12340</w:t>
      </w:r>
      <w:r w:rsidR="00F2444A">
        <w:t xml:space="preserve">. </w:t>
      </w:r>
      <w:r>
        <w:t>The frontend adjusts for this</w:t>
      </w:r>
      <w:r w:rsidR="00F2444A">
        <w:t xml:space="preserve"> so that a user typing 1.234 into the bet is betting 1.234 AVAX, </w:t>
      </w:r>
      <w:r>
        <w:t xml:space="preserve">but if using Remix or Python, one must </w:t>
      </w:r>
      <w:r w:rsidR="00F2444A">
        <w:t>send 12340</w:t>
      </w:r>
      <w:r w:rsidR="001A658D">
        <w:t>.</w:t>
      </w:r>
      <w:r>
        <w:t xml:space="preserve"> </w:t>
      </w:r>
      <w:r w:rsidR="00F92AB0">
        <w:t>LP shares have no decimals</w:t>
      </w:r>
      <w:r w:rsidR="001A658D">
        <w:t>; they are</w:t>
      </w:r>
      <w:r w:rsidR="00F92AB0">
        <w:t xml:space="preserve"> not tokens and are not transferable. </w:t>
      </w:r>
    </w:p>
    <w:p w14:paraId="35560684" w14:textId="5F55A576" w:rsidR="00E8157F" w:rsidRDefault="00E8157F" w:rsidP="00E8157F">
      <w:pPr>
        <w:pStyle w:val="Heading2"/>
      </w:pPr>
      <w:r>
        <w:t>Contract Data</w:t>
      </w:r>
    </w:p>
    <w:p w14:paraId="6C298021" w14:textId="1951F452" w:rsidR="00E8157F" w:rsidRDefault="00E8157F">
      <w:r>
        <w:t xml:space="preserve">Contracts </w:t>
      </w:r>
      <w:r w:rsidR="00F376B4">
        <w:t>are verified and active on the</w:t>
      </w:r>
      <w:r>
        <w:t xml:space="preserve"> Avalanche C-chain</w:t>
      </w:r>
      <w:r w:rsidR="00F376B4">
        <w:t xml:space="preserve">. </w:t>
      </w:r>
      <w:r>
        <w:t xml:space="preserve"> All contracts compiled </w:t>
      </w:r>
      <w:r w:rsidR="00797B1E">
        <w:t>in</w:t>
      </w:r>
      <w:r>
        <w:t xml:space="preserve"> v0.8.19, optimization enabled with 2000 runs</w:t>
      </w:r>
      <w:r w:rsidR="00F376B4">
        <w:t>.</w:t>
      </w:r>
      <w:r>
        <w:t xml:space="preserve"> They are in the GitHub repo, and one can access them via Remix or </w:t>
      </w:r>
      <w:r w:rsidR="00022FF1">
        <w:t>P</w:t>
      </w:r>
      <w:r>
        <w:t xml:space="preserve">ython. </w:t>
      </w:r>
    </w:p>
    <w:p w14:paraId="40942260" w14:textId="19C8D415" w:rsidR="00E8157F" w:rsidRPr="00E8157F" w:rsidRDefault="00000000" w:rsidP="00E8157F">
      <w:hyperlink r:id="rId42" w:history="1">
        <w:r w:rsidR="00E8157F" w:rsidRPr="00797B1E">
          <w:rPr>
            <w:rStyle w:val="Hyperlink"/>
          </w:rPr>
          <w:t>https://avascan.info/blockchain/all/address/0xB73Cb2696726b7356e03c697672e2Dcc751407D0/contract</w:t>
        </w:r>
      </w:hyperlink>
    </w:p>
    <w:p w14:paraId="311C7CC9" w14:textId="3D86F723" w:rsidR="00E8157F" w:rsidRPr="00E8157F" w:rsidRDefault="00000000" w:rsidP="00E8157F">
      <w:hyperlink r:id="rId43" w:history="1">
        <w:r w:rsidR="00E8157F" w:rsidRPr="00797B1E">
          <w:rPr>
            <w:rStyle w:val="Hyperlink"/>
          </w:rPr>
          <w:t>https://avascan.info/blockchain/c/address/0xD8Fc0B73066D090520428e4F6809be92af9fda95/contract</w:t>
        </w:r>
      </w:hyperlink>
    </w:p>
    <w:p w14:paraId="4F584DBF" w14:textId="787F68CE" w:rsidR="00797B1E" w:rsidRDefault="00000000" w:rsidP="00E8157F">
      <w:hyperlink r:id="rId44" w:history="1">
        <w:r w:rsidR="00797B1E" w:rsidRPr="00797B1E">
          <w:rPr>
            <w:rStyle w:val="Hyperlink"/>
          </w:rPr>
          <w:t>https://avascan.info/blockchain/all/address/0x43B8B88f5f0193B2dc86723D6BC515ACF424F917/contract</w:t>
        </w:r>
      </w:hyperlink>
    </w:p>
    <w:p w14:paraId="57DB88AD" w14:textId="3A09D6C6" w:rsidR="00797B1E" w:rsidRPr="00797B1E" w:rsidRDefault="00797B1E" w:rsidP="00797B1E">
      <w:r w:rsidRPr="00797B1E">
        <w:t>download</w:t>
      </w:r>
      <w:r>
        <w:t xml:space="preserve"> all</w:t>
      </w:r>
      <w:r w:rsidRPr="00797B1E">
        <w:t xml:space="preserve"> into Remix via</w:t>
      </w:r>
      <w:r>
        <w:t xml:space="preserve"> the gist</w:t>
      </w:r>
    </w:p>
    <w:p w14:paraId="761930D3" w14:textId="291F3991" w:rsidR="00797B1E" w:rsidRPr="00797B1E" w:rsidRDefault="00000000" w:rsidP="00797B1E">
      <w:hyperlink r:id="rId45" w:history="1">
        <w:r w:rsidR="00797B1E" w:rsidRPr="00797B1E">
          <w:rPr>
            <w:rStyle w:val="Hyperlink"/>
          </w:rPr>
          <w:t>https://gist.github.com/efalken/1f658d097963f0d8e690e871685d7fec</w:t>
        </w:r>
      </w:hyperlink>
    </w:p>
    <w:p w14:paraId="45039F61" w14:textId="77777777" w:rsidR="00797B1E" w:rsidRPr="00797B1E" w:rsidRDefault="00797B1E" w:rsidP="00797B1E"/>
    <w:sectPr w:rsidR="00797B1E" w:rsidRPr="00797B1E">
      <w:headerReference w:type="default" r:id="rId46"/>
      <w:footerReference w:type="default" r:id="rId47"/>
      <w:headerReference w:type="firs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C706" w14:textId="77777777" w:rsidR="00F36FA7" w:rsidRDefault="00F36FA7">
      <w:pPr>
        <w:spacing w:after="0" w:line="240" w:lineRule="auto"/>
      </w:pPr>
      <w:r>
        <w:separator/>
      </w:r>
    </w:p>
  </w:endnote>
  <w:endnote w:type="continuationSeparator" w:id="0">
    <w:p w14:paraId="59EE29D6" w14:textId="77777777" w:rsidR="00F36FA7" w:rsidRDefault="00F36FA7">
      <w:pPr>
        <w:spacing w:after="0" w:line="240" w:lineRule="auto"/>
      </w:pPr>
      <w:r>
        <w:continuationSeparator/>
      </w:r>
    </w:p>
  </w:endnote>
  <w:endnote w:type="continuationNotice" w:id="1">
    <w:p w14:paraId="2CD8F2F5" w14:textId="77777777" w:rsidR="00F36FA7" w:rsidRDefault="00F36F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3ABB" w14:textId="77777777" w:rsidR="00F36FA7" w:rsidRDefault="00F36FA7">
      <w:pPr>
        <w:spacing w:after="0" w:line="240" w:lineRule="auto"/>
      </w:pPr>
      <w:r>
        <w:separator/>
      </w:r>
    </w:p>
  </w:footnote>
  <w:footnote w:type="continuationSeparator" w:id="0">
    <w:p w14:paraId="64C6B8A4" w14:textId="77777777" w:rsidR="00F36FA7" w:rsidRDefault="00F36FA7">
      <w:pPr>
        <w:spacing w:after="0" w:line="240" w:lineRule="auto"/>
      </w:pPr>
      <w:r>
        <w:continuationSeparator/>
      </w:r>
    </w:p>
  </w:footnote>
  <w:footnote w:type="continuationNotice" w:id="1">
    <w:p w14:paraId="251ADC07" w14:textId="77777777" w:rsidR="00F36FA7" w:rsidRDefault="00F36FA7">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4E6F2FB8"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avax bet on a 5:1 favorite, and 1 avax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Poyo-</w:t>
      </w:r>
      <w:r w:rsidR="00DA7468">
        <w:t>P</w:t>
      </w:r>
      <w:r>
        <w:t>oyo, who</w:t>
      </w:r>
      <w:r w:rsidR="00DA7468">
        <w:t>se</w:t>
      </w:r>
      <w:r>
        <w:t xml:space="preserve"> intentionally deceptive bets were dismissed as the actions of a rogue agent. If the implications of his actions were immediately fatal for Augur he would have been disciplined by those with an equity interest in the dapp.</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dapp</w:t>
      </w:r>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6749212C" w14:textId="36F66B70" w:rsidR="001A658D" w:rsidRDefault="001A658D">
      <w:pPr>
        <w:pStyle w:val="FootnoteText"/>
      </w:pPr>
      <w:r>
        <w:rPr>
          <w:rStyle w:val="FootnoteReference"/>
        </w:rPr>
        <w:footnoteRef/>
      </w:r>
      <w:r>
        <w:t xml:space="preserve"> The earlier version of this was call ‘sporteth,’ and that may sometimes appear in the code or documentation.</w:t>
      </w:r>
    </w:p>
  </w:footnote>
  <w:footnote w:id="13">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14">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ACC" w14:textId="628FCAB9" w:rsidR="009C7E0F" w:rsidRDefault="009C7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NqwFAMqYxWQ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96CE3"/>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658D"/>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6DC7"/>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C4360"/>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45AF"/>
    <w:rsid w:val="00654C1C"/>
    <w:rsid w:val="0066006E"/>
    <w:rsid w:val="00667083"/>
    <w:rsid w:val="0066763C"/>
    <w:rsid w:val="00667B33"/>
    <w:rsid w:val="00672B05"/>
    <w:rsid w:val="006747D3"/>
    <w:rsid w:val="006749DC"/>
    <w:rsid w:val="00675D4B"/>
    <w:rsid w:val="00676DE6"/>
    <w:rsid w:val="006833E6"/>
    <w:rsid w:val="006846F3"/>
    <w:rsid w:val="0068491C"/>
    <w:rsid w:val="00697E43"/>
    <w:rsid w:val="006A0046"/>
    <w:rsid w:val="006A1762"/>
    <w:rsid w:val="006B4A4D"/>
    <w:rsid w:val="006B4D71"/>
    <w:rsid w:val="006B7C30"/>
    <w:rsid w:val="006C2F85"/>
    <w:rsid w:val="006C3875"/>
    <w:rsid w:val="006C4A36"/>
    <w:rsid w:val="006C64C8"/>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16BE"/>
    <w:rsid w:val="0079356B"/>
    <w:rsid w:val="00794862"/>
    <w:rsid w:val="0079636B"/>
    <w:rsid w:val="00797B01"/>
    <w:rsid w:val="00797B1E"/>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0058"/>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30E4"/>
    <w:rsid w:val="00A34981"/>
    <w:rsid w:val="00A37023"/>
    <w:rsid w:val="00A37F23"/>
    <w:rsid w:val="00A41C02"/>
    <w:rsid w:val="00A42C3F"/>
    <w:rsid w:val="00A42E8F"/>
    <w:rsid w:val="00A432DB"/>
    <w:rsid w:val="00A43B47"/>
    <w:rsid w:val="00A44D84"/>
    <w:rsid w:val="00A44EF5"/>
    <w:rsid w:val="00A563F8"/>
    <w:rsid w:val="00A62EFE"/>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364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0D8E"/>
    <w:rsid w:val="00BB3843"/>
    <w:rsid w:val="00BB48E6"/>
    <w:rsid w:val="00BB7C11"/>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5BA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A7AE6"/>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2444A"/>
    <w:rsid w:val="00F36FA7"/>
    <w:rsid w:val="00F371CB"/>
    <w:rsid w:val="00F376B4"/>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0870371">
      <w:bodyDiv w:val="1"/>
      <w:marLeft w:val="0"/>
      <w:marRight w:val="0"/>
      <w:marTop w:val="0"/>
      <w:marBottom w:val="0"/>
      <w:divBdr>
        <w:top w:val="none" w:sz="0" w:space="0" w:color="auto"/>
        <w:left w:val="none" w:sz="0" w:space="0" w:color="auto"/>
        <w:bottom w:val="none" w:sz="0" w:space="0" w:color="auto"/>
        <w:right w:val="none" w:sz="0" w:space="0" w:color="auto"/>
      </w:divBdr>
      <w:divsChild>
        <w:div w:id="1071465222">
          <w:marLeft w:val="0"/>
          <w:marRight w:val="0"/>
          <w:marTop w:val="0"/>
          <w:marBottom w:val="0"/>
          <w:divBdr>
            <w:top w:val="none" w:sz="0" w:space="0" w:color="auto"/>
            <w:left w:val="none" w:sz="0" w:space="0" w:color="auto"/>
            <w:bottom w:val="none" w:sz="0" w:space="0" w:color="auto"/>
            <w:right w:val="none" w:sz="0" w:space="0" w:color="auto"/>
          </w:divBdr>
          <w:divsChild>
            <w:div w:id="9595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hyperlink" Target="https://avascan.info/blockchain/all/address/0xB73Cb2696726b7356e03c697672e2Dcc751407D0/contract"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hyperlink" Target="https://gist.github.com/efalken/1f658d097963f0d8e690e871685d7fec"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hyperlink" Target="https://avascan.info/blockchain/all/address/0x43B8B88f5f0193B2dc86723D6BC515ACF424F917/contra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hyperlink" Target="https://avascan.info/blockchain/c/address/0xD8Fc0B73066D090520428e4F6809be92af9fda95/contract" TargetMode="External"/><Relationship Id="rId48"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9324</Words>
  <Characters>53150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