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E74B5"/>
          <w:sz w:val="22"/>
        </w:rPr>
        <w:t>FRIDAY PROGRESS REPORT</w:t>
      </w:r>
    </w:p>
    <w:p>
      <w:pPr>
        <w:spacing w:after="80"/>
      </w:pPr>
      <w:r>
        <w:rPr>
          <w:rFonts w:ascii="Calibri" w:hAnsi="Calibri"/>
          <w:b/>
          <w:color w:val="0B2545"/>
          <w:sz w:val="44"/>
        </w:rPr>
        <w:t>Unified Conv Engine and INT8 DSP Reduction</w:t>
      </w:r>
    </w:p>
    <w:p>
      <w:pPr>
        <w:spacing w:after="280"/>
      </w:pPr>
      <w:r>
        <w:rPr>
          <w:rFonts w:ascii="Calibri" w:hAnsi="Calibri"/>
          <w:color w:val="606974"/>
          <w:sz w:val="22"/>
        </w:rPr>
        <w:t>Reporting date: Friday, July 10, 2026</w:t>
      </w:r>
    </w:p>
    <w:tbl>
      <w:tblPr>
        <w:tblStyle w:val="TableGrid"/>
        <w:tblW w:type="dxa" w:w="9360"/>
        <w:jc w:val="center"/>
        <w:tblLayout w:type="fixed"/>
        <w:tblLook w:firstColumn="1" w:firstRow="1" w:lastColumn="0" w:lastRow="0" w:noHBand="0" w:noVBand="1" w:val="04A0"/>
        <w:tblInd w:type="dxa" w:w="120"/>
      </w:tblPr>
      <w:tblGrid>
        <w:gridCol w:w="1872"/>
        <w:gridCol w:w="7488"/>
      </w:tblGrid>
      <w:tr>
        <w:tc>
          <w:tcPr>
            <w:tcW w:type="dxa" w:w="1872"/>
            <w:vAlign w:val="center"/>
            <w:tcMar>
              <w:top w:w="80" w:type="dxa"/>
              <w:start w:w="120" w:type="dxa"/>
              <w:bottom w:w="80" w:type="dxa"/>
              <w:end w:w="120" w:type="dxa"/>
            </w:tcMar>
            <w:shd w:fill="F2F4F7"/>
          </w:tcPr>
          <w:p>
            <w:pPr>
              <w:spacing w:after="0"/>
            </w:pPr>
            <w:r>
              <w:rPr>
                <w:rFonts w:ascii="Calibri" w:hAnsi="Calibri"/>
                <w:b/>
                <w:color w:val="0B2545"/>
                <w:sz w:val="20"/>
              </w:rPr>
              <w:t>Project</w:t>
            </w:r>
          </w:p>
        </w:tc>
        <w:tc>
          <w:tcPr>
            <w:tcW w:type="dxa" w:w="7488"/>
            <w:vAlign w:val="center"/>
            <w:tcMar>
              <w:top w:w="80" w:type="dxa"/>
              <w:start w:w="120" w:type="dxa"/>
              <w:bottom w:w="80" w:type="dxa"/>
              <w:end w:w="120" w:type="dxa"/>
            </w:tcMar>
          </w:tcPr>
          <w:p>
            <w:pPr>
              <w:spacing w:after="0"/>
            </w:pPr>
            <w:r>
              <w:rPr>
                <w:rFonts w:ascii="Calibri" w:hAnsi="Calibri"/>
                <w:color w:val="000000"/>
                <w:sz w:val="20"/>
              </w:rPr>
              <w:t>Lightweight YOLO object detection on PYNQ-Z2 FPGA</w:t>
            </w:r>
          </w:p>
        </w:tc>
      </w:tr>
      <w:tr>
        <w:tc>
          <w:tcPr>
            <w:tcW w:type="dxa" w:w="1872"/>
            <w:vAlign w:val="center"/>
            <w:tcMar>
              <w:top w:w="80" w:type="dxa"/>
              <w:start w:w="120" w:type="dxa"/>
              <w:bottom w:w="80" w:type="dxa"/>
              <w:end w:w="120" w:type="dxa"/>
            </w:tcMar>
            <w:shd w:fill="F2F4F7"/>
          </w:tcPr>
          <w:p>
            <w:pPr>
              <w:spacing w:after="0"/>
            </w:pPr>
            <w:r>
              <w:rPr>
                <w:rFonts w:ascii="Calibri" w:hAnsi="Calibri"/>
                <w:b/>
                <w:color w:val="0B2545"/>
                <w:sz w:val="20"/>
              </w:rPr>
              <w:t>Current focus</w:t>
            </w:r>
          </w:p>
        </w:tc>
        <w:tc>
          <w:tcPr>
            <w:tcW w:type="dxa" w:w="7488"/>
            <w:vAlign w:val="center"/>
            <w:tcMar>
              <w:top w:w="80" w:type="dxa"/>
              <w:start w:w="120" w:type="dxa"/>
              <w:bottom w:w="80" w:type="dxa"/>
              <w:end w:w="120" w:type="dxa"/>
            </w:tcMar>
          </w:tcPr>
          <w:p>
            <w:pPr>
              <w:spacing w:after="0"/>
            </w:pPr>
            <w:r>
              <w:rPr>
                <w:rFonts w:ascii="Calibri" w:hAnsi="Calibri"/>
                <w:color w:val="000000"/>
                <w:sz w:val="20"/>
              </w:rPr>
              <w:t>Runtime-configurable unified Conv1x1/Conv3x3 engine with INT8 DSP reduction</w:t>
            </w:r>
          </w:p>
        </w:tc>
      </w:tr>
      <w:tr>
        <w:tc>
          <w:tcPr>
            <w:tcW w:type="dxa" w:w="1872"/>
            <w:vAlign w:val="center"/>
            <w:tcMar>
              <w:top w:w="80" w:type="dxa"/>
              <w:start w:w="120" w:type="dxa"/>
              <w:bottom w:w="80" w:type="dxa"/>
              <w:end w:w="120" w:type="dxa"/>
            </w:tcMar>
            <w:shd w:fill="F2F4F7"/>
          </w:tcPr>
          <w:p>
            <w:pPr>
              <w:spacing w:after="0"/>
            </w:pPr>
            <w:r>
              <w:rPr>
                <w:rFonts w:ascii="Calibri" w:hAnsi="Calibri"/>
                <w:b/>
                <w:color w:val="0B2545"/>
                <w:sz w:val="20"/>
              </w:rPr>
              <w:t>Target board</w:t>
            </w:r>
          </w:p>
        </w:tc>
        <w:tc>
          <w:tcPr>
            <w:tcW w:type="dxa" w:w="7488"/>
            <w:vAlign w:val="center"/>
            <w:tcMar>
              <w:top w:w="80" w:type="dxa"/>
              <w:start w:w="120" w:type="dxa"/>
              <w:bottom w:w="80" w:type="dxa"/>
              <w:end w:w="120" w:type="dxa"/>
            </w:tcMar>
          </w:tcPr>
          <w:p>
            <w:pPr>
              <w:spacing w:after="0"/>
            </w:pPr>
            <w:r>
              <w:rPr>
                <w:rFonts w:ascii="Calibri" w:hAnsi="Calibri"/>
                <w:color w:val="000000"/>
                <w:sz w:val="20"/>
              </w:rPr>
              <w:t>PYNQ-Z2 / xc7z020clg400-1; KV260 remains a future higher-headroom option</w:t>
            </w:r>
          </w:p>
        </w:tc>
      </w:tr>
      <w:tr>
        <w:tc>
          <w:tcPr>
            <w:tcW w:type="dxa" w:w="1872"/>
            <w:vAlign w:val="center"/>
            <w:tcMar>
              <w:top w:w="80" w:type="dxa"/>
              <w:start w:w="120" w:type="dxa"/>
              <w:bottom w:w="80" w:type="dxa"/>
              <w:end w:w="120" w:type="dxa"/>
            </w:tcMar>
            <w:shd w:fill="F2F4F7"/>
          </w:tcPr>
          <w:p>
            <w:pPr>
              <w:spacing w:after="0"/>
            </w:pPr>
            <w:r>
              <w:rPr>
                <w:rFonts w:ascii="Calibri" w:hAnsi="Calibri"/>
                <w:b/>
                <w:color w:val="0B2545"/>
                <w:sz w:val="20"/>
              </w:rPr>
              <w:t>Evidence boundary</w:t>
            </w:r>
          </w:p>
        </w:tc>
        <w:tc>
          <w:tcPr>
            <w:tcW w:type="dxa" w:w="7488"/>
            <w:vAlign w:val="center"/>
            <w:tcMar>
              <w:top w:w="80" w:type="dxa"/>
              <w:start w:w="120" w:type="dxa"/>
              <w:bottom w:w="80" w:type="dxa"/>
              <w:end w:w="120" w:type="dxa"/>
            </w:tcMar>
          </w:tcPr>
          <w:p>
            <w:pPr>
              <w:spacing w:after="0"/>
            </w:pPr>
            <w:r>
              <w:rPr>
                <w:rFonts w:ascii="Calibri" w:hAnsi="Calibri"/>
                <w:color w:val="000000"/>
                <w:sz w:val="20"/>
              </w:rPr>
              <w:t>CSim, HLS synthesis, Vivado implementation, and bitstream generation are reported separately. No PYNQ board execution has been completed yet.</w:t>
            </w:r>
          </w:p>
        </w:tc>
      </w:tr>
    </w:tbl>
    <w:p>
      <w:pPr>
        <w:pStyle w:val="Heading1"/>
      </w:pPr>
      <w:r>
        <w:t>Executive Summary</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b/>
                <w:color w:val="0B2545"/>
                <w:sz w:val="22"/>
              </w:rPr>
              <w:t>Main result</w:t>
            </w:r>
          </w:p>
          <w:p>
            <w:pPr>
              <w:spacing w:after="0"/>
            </w:pPr>
            <w:r>
              <w:rPr>
                <w:rFonts w:ascii="Calibri" w:hAnsi="Calibri"/>
                <w:color w:val="000000"/>
                <w:sz w:val="21"/>
              </w:rPr>
              <w:t>The unified convolution direction is now technically meaningful: one runtime-configurable engine handles Conv1x1 and Conv3x3, and the INT8 LUT-multiplier variant has reached Vivado implementation and bitstream generation while using only 42 DSP48E after implementation.</w:t>
            </w:r>
          </w:p>
        </w:tc>
      </w:tr>
    </w:tbl>
    <w:p>
      <w:pPr>
        <w:pStyle w:val="ListBullet"/>
        <w:spacing w:after="80"/>
        <w:ind w:left="720" w:hanging="360"/>
      </w:pPr>
      <w:r>
        <w:rPr>
          <w:rFonts w:ascii="Calibri" w:hAnsi="Calibri"/>
          <w:color w:val="000000"/>
          <w:sz w:val="21"/>
        </w:rPr>
        <w:t>The fixed-point unified engine passed CSim on real YOLO26n layer22 Conv1x1 and Conv3x3 golden tensors and passed HLS synthesis/IP packaging.</w:t>
      </w:r>
    </w:p>
    <w:p>
      <w:pPr>
        <w:pStyle w:val="ListBullet"/>
        <w:spacing w:after="80"/>
        <w:ind w:left="720" w:hanging="360"/>
      </w:pPr>
      <w:r>
        <w:rPr>
          <w:rFonts w:ascii="Calibri" w:hAnsi="Calibri"/>
          <w:color w:val="000000"/>
          <w:sz w:val="21"/>
        </w:rPr>
        <w:t>The INT8 unified engine passed CSim on the same two real layer cases using testbench-derived symmetric INT8 quantization.</w:t>
      </w:r>
    </w:p>
    <w:p>
      <w:pPr>
        <w:pStyle w:val="ListBullet"/>
        <w:spacing w:after="80"/>
        <w:ind w:left="720" w:hanging="360"/>
      </w:pPr>
      <w:r>
        <w:rPr>
          <w:rFonts w:ascii="Calibri" w:hAnsi="Calibri"/>
          <w:color w:val="000000"/>
          <w:sz w:val="21"/>
        </w:rPr>
        <w:t>The INT8 LUT-multiplier variant was implemented in Vivado 2018.2; final impl_2 with Performance_Explore met 100 MHz timing with WNS 0.151 ns and generated a bitstream.</w:t>
      </w:r>
    </w:p>
    <w:p>
      <w:pPr>
        <w:pStyle w:val="ListBullet"/>
        <w:spacing w:after="80"/>
        <w:ind w:left="720" w:hanging="360"/>
      </w:pPr>
      <w:r>
        <w:rPr>
          <w:rFonts w:ascii="Calibri" w:hAnsi="Calibri"/>
          <w:color w:val="000000"/>
          <w:sz w:val="21"/>
        </w:rPr>
        <w:t>Board-level validation remains pending because PYNQ/Kria board access is not yet available.</w:t>
      </w:r>
    </w:p>
    <w:p>
      <w:pPr>
        <w:pStyle w:val="Heading1"/>
      </w:pPr>
      <w:r>
        <w:t>1. Unified Conv Engine Work Completed</w:t>
      </w:r>
    </w:p>
    <w:p>
      <w:r>
        <w:rPr>
          <w:b/>
        </w:rPr>
        <w:t xml:space="preserve">Target. </w:t>
      </w:r>
      <w:r>
        <w:t>Move away from separate Conv1x1 and Conv3x3 IP blocks and toward one runtime-configurable accelerator that can be reused by software scheduling. The kernel type, stride, padding, and dimensions are selected through AXI-Lite registers, so the FPGA does not need a new bitstream when switching between Conv1x1 and Conv3x3.</w:t>
      </w:r>
    </w:p>
    <w:p>
      <w:r>
        <w:rPr>
          <w:b/>
        </w:rPr>
        <w:t xml:space="preserve">Why this matters. </w:t>
      </w:r>
      <w:r>
        <w:t>The previous dual-IP direction was too DSP-heavy for a PYNQ-Z2 system-level design. A shared physical datapath is a cleaner architecture for PYNQ-Z2 because it reduces concurrent hardware duplication and leaves more resource budget for AXI interconnect, control, buffering, and future blocks.</w:t>
      </w:r>
    </w:p>
    <w:tbl>
      <w:tblPr>
        <w:tblStyle w:val="TableGrid"/>
        <w:tblW w:type="dxa" w:w="9360"/>
        <w:jc w:val="center"/>
        <w:tblLayout w:type="fixed"/>
        <w:tblLook w:firstColumn="1" w:firstRow="1" w:lastColumn="0" w:lastRow="0" w:noHBand="0" w:noVBand="1" w:val="04A0"/>
        <w:tblInd w:type="dxa" w:w="120"/>
      </w:tblPr>
      <w:tblGrid>
        <w:gridCol w:w="2088"/>
        <w:gridCol w:w="2880"/>
        <w:gridCol w:w="2736"/>
        <w:gridCol w:w="1655"/>
      </w:tblGrid>
      <w:tr>
        <w:trPr>
          <w:tblHeader w:val="true"/>
        </w:trPr>
        <w:tc>
          <w:tcPr>
            <w:tcW w:type="dxa" w:w="2088"/>
            <w:vAlign w:val="center"/>
            <w:tcMar>
              <w:top w:w="80" w:type="dxa"/>
              <w:start w:w="120" w:type="dxa"/>
              <w:bottom w:w="80" w:type="dxa"/>
              <w:end w:w="120" w:type="dxa"/>
            </w:tcMar>
            <w:shd w:fill="E8EEF5"/>
          </w:tcPr>
          <w:p>
            <w:pPr>
              <w:spacing w:after="0"/>
              <w:jc w:val="center"/>
            </w:pPr>
            <w:r>
              <w:rPr>
                <w:rFonts w:ascii="Calibri" w:hAnsi="Calibri"/>
                <w:b/>
                <w:color w:val="0B2545"/>
                <w:sz w:val="18"/>
              </w:rPr>
              <w:t>Engine</w:t>
            </w:r>
          </w:p>
        </w:tc>
        <w:tc>
          <w:tcPr>
            <w:tcW w:type="dxa" w:w="2880"/>
            <w:vAlign w:val="center"/>
            <w:tcMar>
              <w:top w:w="80" w:type="dxa"/>
              <w:start w:w="120" w:type="dxa"/>
              <w:bottom w:w="80" w:type="dxa"/>
              <w:end w:w="120" w:type="dxa"/>
            </w:tcMar>
            <w:shd w:fill="E8EEF5"/>
          </w:tcPr>
          <w:p>
            <w:pPr>
              <w:spacing w:after="0"/>
              <w:jc w:val="center"/>
            </w:pPr>
            <w:r>
              <w:rPr>
                <w:rFonts w:ascii="Calibri" w:hAnsi="Calibri"/>
                <w:b/>
                <w:color w:val="0B2545"/>
                <w:sz w:val="18"/>
              </w:rPr>
              <w:t>Runtime support</w:t>
            </w:r>
          </w:p>
        </w:tc>
        <w:tc>
          <w:tcPr>
            <w:tcW w:type="dxa" w:w="2736"/>
            <w:vAlign w:val="center"/>
            <w:tcMar>
              <w:top w:w="80" w:type="dxa"/>
              <w:start w:w="120" w:type="dxa"/>
              <w:bottom w:w="80" w:type="dxa"/>
              <w:end w:w="120" w:type="dxa"/>
            </w:tcMar>
            <w:shd w:fill="E8EEF5"/>
          </w:tcPr>
          <w:p>
            <w:pPr>
              <w:spacing w:after="0"/>
              <w:jc w:val="center"/>
            </w:pPr>
            <w:r>
              <w:rPr>
                <w:rFonts w:ascii="Calibri" w:hAnsi="Calibri"/>
                <w:b/>
                <w:color w:val="0B2545"/>
                <w:sz w:val="18"/>
              </w:rPr>
              <w:t>Validation completed</w:t>
            </w:r>
          </w:p>
        </w:tc>
        <w:tc>
          <w:tcPr>
            <w:tcW w:type="dxa" w:w="1655"/>
            <w:vAlign w:val="center"/>
            <w:tcMar>
              <w:top w:w="80" w:type="dxa"/>
              <w:start w:w="120" w:type="dxa"/>
              <w:bottom w:w="80" w:type="dxa"/>
              <w:end w:w="120" w:type="dxa"/>
            </w:tcMar>
            <w:shd w:fill="E8EEF5"/>
          </w:tcPr>
          <w:p>
            <w:pPr>
              <w:spacing w:after="0"/>
              <w:jc w:val="center"/>
            </w:pPr>
            <w:r>
              <w:rPr>
                <w:rFonts w:ascii="Calibri" w:hAnsi="Calibri"/>
                <w:b/>
                <w:color w:val="0B2545"/>
                <w:sz w:val="18"/>
              </w:rPr>
              <w:t>Evidence boundary</w:t>
            </w:r>
          </w:p>
        </w:tc>
      </w:tr>
      <w:tr>
        <w:tc>
          <w:tcPr>
            <w:tcW w:type="dxa" w:w="2088"/>
          </w:tcPr>
          <w:p>
            <w:pPr>
              <w:spacing w:after="0"/>
              <w:jc w:val="left"/>
            </w:pPr>
            <w:r>
              <w:rPr>
                <w:rFonts w:ascii="Calibri" w:hAnsi="Calibri"/>
                <w:color w:val="000000"/>
                <w:sz w:val="17"/>
              </w:rPr>
              <w:t>Fixed-point unified v1</w:t>
            </w:r>
          </w:p>
        </w:tc>
        <w:tc>
          <w:tcPr>
            <w:tcW w:type="dxa" w:w="2880"/>
          </w:tcPr>
          <w:p>
            <w:pPr>
              <w:spacing w:after="0"/>
              <w:jc w:val="left"/>
            </w:pPr>
            <w:r>
              <w:rPr>
                <w:rFonts w:ascii="Calibri" w:hAnsi="Calibri"/>
                <w:color w:val="000000"/>
                <w:sz w:val="17"/>
              </w:rPr>
              <w:t>Conv1x1, Conv3x3, stride 1/2 where applicable, padding, activation enable</w:t>
            </w:r>
          </w:p>
        </w:tc>
        <w:tc>
          <w:tcPr>
            <w:tcW w:type="dxa" w:w="2736"/>
          </w:tcPr>
          <w:p>
            <w:pPr>
              <w:spacing w:after="0"/>
              <w:jc w:val="left"/>
            </w:pPr>
            <w:r>
              <w:rPr>
                <w:rFonts w:ascii="Calibri" w:hAnsi="Calibri"/>
                <w:color w:val="000000"/>
                <w:sz w:val="17"/>
              </w:rPr>
              <w:t>Synthetic CSim, 2 real golden tensor CSim cases, HLS synthesis, IP packaging</w:t>
            </w:r>
          </w:p>
        </w:tc>
        <w:tc>
          <w:tcPr>
            <w:tcW w:type="dxa" w:w="1655"/>
          </w:tcPr>
          <w:p>
            <w:pPr>
              <w:spacing w:after="0"/>
              <w:jc w:val="left"/>
            </w:pPr>
            <w:r>
              <w:rPr>
                <w:rFonts w:ascii="Calibri" w:hAnsi="Calibri"/>
                <w:color w:val="000000"/>
                <w:sz w:val="17"/>
              </w:rPr>
              <w:t>No Vivado implementation yet</w:t>
            </w:r>
          </w:p>
        </w:tc>
      </w:tr>
      <w:tr>
        <w:tc>
          <w:tcPr>
            <w:tcW w:type="dxa" w:w="2088"/>
          </w:tcPr>
          <w:p>
            <w:pPr>
              <w:spacing w:after="0"/>
              <w:jc w:val="left"/>
            </w:pPr>
            <w:r>
              <w:rPr>
                <w:rFonts w:ascii="Calibri" w:hAnsi="Calibri"/>
                <w:color w:val="000000"/>
                <w:sz w:val="17"/>
              </w:rPr>
              <w:t>INT8 unified default-DSP</w:t>
            </w:r>
          </w:p>
        </w:tc>
        <w:tc>
          <w:tcPr>
            <w:tcW w:type="dxa" w:w="2880"/>
          </w:tcPr>
          <w:p>
            <w:pPr>
              <w:spacing w:after="0"/>
              <w:jc w:val="left"/>
            </w:pPr>
            <w:r>
              <w:rPr>
                <w:rFonts w:ascii="Calibri" w:hAnsi="Calibri"/>
                <w:color w:val="000000"/>
                <w:sz w:val="17"/>
              </w:rPr>
              <w:t>Same runtime engine with INT8 activations/weights and INT32 bias/requantization</w:t>
            </w:r>
          </w:p>
        </w:tc>
        <w:tc>
          <w:tcPr>
            <w:tcW w:type="dxa" w:w="2736"/>
          </w:tcPr>
          <w:p>
            <w:pPr>
              <w:spacing w:after="0"/>
              <w:jc w:val="left"/>
            </w:pPr>
            <w:r>
              <w:rPr>
                <w:rFonts w:ascii="Calibri" w:hAnsi="Calibri"/>
                <w:color w:val="000000"/>
                <w:sz w:val="17"/>
              </w:rPr>
              <w:t>2 real golden tensor CSim cases, HLS synthesis, IP packaging</w:t>
            </w:r>
          </w:p>
        </w:tc>
        <w:tc>
          <w:tcPr>
            <w:tcW w:type="dxa" w:w="1655"/>
          </w:tcPr>
          <w:p>
            <w:pPr>
              <w:spacing w:after="0"/>
              <w:jc w:val="left"/>
            </w:pPr>
            <w:r>
              <w:rPr>
                <w:rFonts w:ascii="Calibri" w:hAnsi="Calibri"/>
                <w:color w:val="000000"/>
                <w:sz w:val="17"/>
              </w:rPr>
              <w:t>No Vivado implementation yet</w:t>
            </w:r>
          </w:p>
        </w:tc>
      </w:tr>
      <w:tr>
        <w:tc>
          <w:tcPr>
            <w:tcW w:type="dxa" w:w="2088"/>
          </w:tcPr>
          <w:p>
            <w:pPr>
              <w:spacing w:after="0"/>
              <w:jc w:val="left"/>
            </w:pPr>
            <w:r>
              <w:rPr>
                <w:rFonts w:ascii="Calibri" w:hAnsi="Calibri"/>
                <w:color w:val="000000"/>
                <w:sz w:val="17"/>
              </w:rPr>
              <w:t>INT8 unified LUT-multiplier</w:t>
            </w:r>
          </w:p>
        </w:tc>
        <w:tc>
          <w:tcPr>
            <w:tcW w:type="dxa" w:w="2880"/>
          </w:tcPr>
          <w:p>
            <w:pPr>
              <w:spacing w:after="0"/>
              <w:jc w:val="left"/>
            </w:pPr>
            <w:r>
              <w:rPr>
                <w:rFonts w:ascii="Calibri" w:hAnsi="Calibri"/>
                <w:color w:val="000000"/>
                <w:sz w:val="17"/>
              </w:rPr>
              <w:t>Same INT8 runtime interface, compiled with LUT-multiplier variant</w:t>
            </w:r>
          </w:p>
        </w:tc>
        <w:tc>
          <w:tcPr>
            <w:tcW w:type="dxa" w:w="2736"/>
          </w:tcPr>
          <w:p>
            <w:pPr>
              <w:spacing w:after="0"/>
              <w:jc w:val="left"/>
            </w:pPr>
            <w:r>
              <w:rPr>
                <w:rFonts w:ascii="Calibri" w:hAnsi="Calibri"/>
                <w:color w:val="000000"/>
                <w:sz w:val="17"/>
              </w:rPr>
              <w:t>2 real golden tensor CSim cases, HLS synthesis, IP packaging, Vivado implementation, bitstream</w:t>
            </w:r>
          </w:p>
        </w:tc>
        <w:tc>
          <w:tcPr>
            <w:tcW w:type="dxa" w:w="1655"/>
          </w:tcPr>
          <w:p>
            <w:pPr>
              <w:spacing w:after="0"/>
              <w:jc w:val="left"/>
            </w:pPr>
            <w:r>
              <w:rPr>
                <w:rFonts w:ascii="Calibri" w:hAnsi="Calibri"/>
                <w:color w:val="000000"/>
                <w:sz w:val="17"/>
              </w:rPr>
              <w:t>No board execution yet</w:t>
            </w:r>
          </w:p>
        </w:tc>
      </w:tr>
    </w:tbl>
    <w:p>
      <w:pPr>
        <w:pStyle w:val="Heading1"/>
      </w:pPr>
      <w:r>
        <w:t>2. Resource Comparison</w:t>
      </w:r>
    </w:p>
    <w:p>
      <w:r>
        <w:rPr>
          <w:b/>
        </w:rPr>
        <w:t xml:space="preserve">Comparison rule. </w:t>
      </w:r>
      <w:r>
        <w:t>The first table compares HLS synthesis estimates for the three unified designs. The Vivado row is shown separately because post-implementation utilization is a different evidence level from HLS synthesis.</w:t>
      </w:r>
    </w:p>
    <w:tbl>
      <w:tblPr>
        <w:tblStyle w:val="TableGrid"/>
        <w:tblW w:type="dxa" w:w="9360"/>
        <w:jc w:val="center"/>
        <w:tblLayout w:type="fixed"/>
        <w:tblLook w:firstColumn="1" w:firstRow="1" w:lastColumn="0" w:lastRow="0" w:noHBand="0" w:noVBand="1" w:val="04A0"/>
        <w:tblInd w:type="dxa" w:w="120"/>
      </w:tblPr>
      <w:tblGrid>
        <w:gridCol w:w="1655"/>
        <w:gridCol w:w="648"/>
        <w:gridCol w:w="792"/>
        <w:gridCol w:w="1080"/>
        <w:gridCol w:w="1080"/>
        <w:gridCol w:w="1872"/>
        <w:gridCol w:w="2232"/>
      </w:tblGrid>
      <w:tr>
        <w:trPr>
          <w:tblHeader w:val="true"/>
        </w:trPr>
        <w:tc>
          <w:tcPr>
            <w:tcW w:type="dxa" w:w="1655"/>
            <w:vAlign w:val="center"/>
            <w:tcMar>
              <w:top w:w="80" w:type="dxa"/>
              <w:start w:w="120" w:type="dxa"/>
              <w:bottom w:w="80" w:type="dxa"/>
              <w:end w:w="120" w:type="dxa"/>
            </w:tcMar>
            <w:shd w:fill="E8EEF5"/>
          </w:tcPr>
          <w:p>
            <w:pPr>
              <w:spacing w:after="0"/>
              <w:jc w:val="center"/>
            </w:pPr>
            <w:r>
              <w:rPr>
                <w:rFonts w:ascii="Calibri" w:hAnsi="Calibri"/>
                <w:b/>
                <w:color w:val="0B2545"/>
                <w:sz w:val="18"/>
              </w:rPr>
              <w:t>Design</w:t>
            </w:r>
          </w:p>
        </w:tc>
        <w:tc>
          <w:tcPr>
            <w:tcW w:type="dxa" w:w="648"/>
            <w:vAlign w:val="center"/>
            <w:tcMar>
              <w:top w:w="80" w:type="dxa"/>
              <w:start w:w="120" w:type="dxa"/>
              <w:bottom w:w="80" w:type="dxa"/>
              <w:end w:w="120" w:type="dxa"/>
            </w:tcMar>
            <w:shd w:fill="E8EEF5"/>
          </w:tcPr>
          <w:p>
            <w:pPr>
              <w:spacing w:after="0"/>
              <w:jc w:val="center"/>
            </w:pPr>
            <w:r>
              <w:rPr>
                <w:rFonts w:ascii="Calibri" w:hAnsi="Calibri"/>
                <w:b/>
                <w:color w:val="0B2545"/>
                <w:sz w:val="18"/>
              </w:rPr>
              <w:t>Stage</w:t>
            </w:r>
          </w:p>
        </w:tc>
        <w:tc>
          <w:tcPr>
            <w:tcW w:type="dxa" w:w="792"/>
            <w:vAlign w:val="center"/>
            <w:tcMar>
              <w:top w:w="80" w:type="dxa"/>
              <w:start w:w="120" w:type="dxa"/>
              <w:bottom w:w="80" w:type="dxa"/>
              <w:end w:w="120" w:type="dxa"/>
            </w:tcMar>
            <w:shd w:fill="E8EEF5"/>
          </w:tcPr>
          <w:p>
            <w:pPr>
              <w:spacing w:after="0"/>
              <w:jc w:val="center"/>
            </w:pPr>
            <w:r>
              <w:rPr>
                <w:rFonts w:ascii="Calibri" w:hAnsi="Calibri"/>
                <w:b/>
                <w:color w:val="0B2545"/>
                <w:sz w:val="18"/>
              </w:rPr>
              <w:t>Est. clock</w:t>
            </w:r>
          </w:p>
        </w:tc>
        <w:tc>
          <w:tcPr>
            <w:tcW w:type="dxa" w:w="1080"/>
            <w:vAlign w:val="center"/>
            <w:tcMar>
              <w:top w:w="80" w:type="dxa"/>
              <w:start w:w="120" w:type="dxa"/>
              <w:bottom w:w="80" w:type="dxa"/>
              <w:end w:w="120" w:type="dxa"/>
            </w:tcMar>
            <w:shd w:fill="E8EEF5"/>
          </w:tcPr>
          <w:p>
            <w:pPr>
              <w:spacing w:after="0"/>
              <w:jc w:val="center"/>
            </w:pPr>
            <w:r>
              <w:rPr>
                <w:rFonts w:ascii="Calibri" w:hAnsi="Calibri"/>
                <w:b/>
                <w:color w:val="0B2545"/>
                <w:sz w:val="18"/>
              </w:rPr>
              <w:t>BRAM_18K</w:t>
            </w:r>
          </w:p>
        </w:tc>
        <w:tc>
          <w:tcPr>
            <w:tcW w:type="dxa" w:w="1080"/>
            <w:vAlign w:val="center"/>
            <w:tcMar>
              <w:top w:w="80" w:type="dxa"/>
              <w:start w:w="120" w:type="dxa"/>
              <w:bottom w:w="80" w:type="dxa"/>
              <w:end w:w="120" w:type="dxa"/>
            </w:tcMar>
            <w:shd w:fill="E8EEF5"/>
          </w:tcPr>
          <w:p>
            <w:pPr>
              <w:spacing w:after="0"/>
              <w:jc w:val="center"/>
            </w:pPr>
            <w:r>
              <w:rPr>
                <w:rFonts w:ascii="Calibri" w:hAnsi="Calibri"/>
                <w:b/>
                <w:color w:val="0B2545"/>
                <w:sz w:val="18"/>
              </w:rPr>
              <w:t>DSP48E</w:t>
            </w:r>
          </w:p>
        </w:tc>
        <w:tc>
          <w:tcPr>
            <w:tcW w:type="dxa" w:w="1872"/>
            <w:vAlign w:val="center"/>
            <w:tcMar>
              <w:top w:w="80" w:type="dxa"/>
              <w:start w:w="120" w:type="dxa"/>
              <w:bottom w:w="80" w:type="dxa"/>
              <w:end w:w="120" w:type="dxa"/>
            </w:tcMar>
            <w:shd w:fill="E8EEF5"/>
          </w:tcPr>
          <w:p>
            <w:pPr>
              <w:spacing w:after="0"/>
              <w:jc w:val="center"/>
            </w:pPr>
            <w:r>
              <w:rPr>
                <w:rFonts w:ascii="Calibri" w:hAnsi="Calibri"/>
                <w:b/>
                <w:color w:val="0B2545"/>
                <w:sz w:val="18"/>
              </w:rPr>
              <w:t>FF / LUT</w:t>
            </w:r>
          </w:p>
        </w:tc>
        <w:tc>
          <w:tcPr>
            <w:tcW w:type="dxa" w:w="2232"/>
            <w:vAlign w:val="center"/>
            <w:tcMar>
              <w:top w:w="80" w:type="dxa"/>
              <w:start w:w="120" w:type="dxa"/>
              <w:bottom w:w="80" w:type="dxa"/>
              <w:end w:w="120" w:type="dxa"/>
            </w:tcMar>
            <w:shd w:fill="E8EEF5"/>
          </w:tcPr>
          <w:p>
            <w:pPr>
              <w:spacing w:after="0"/>
              <w:jc w:val="center"/>
            </w:pPr>
            <w:r>
              <w:rPr>
                <w:rFonts w:ascii="Calibri" w:hAnsi="Calibri"/>
                <w:b/>
                <w:color w:val="0B2545"/>
                <w:sz w:val="18"/>
              </w:rPr>
              <w:t>Status</w:t>
            </w:r>
          </w:p>
        </w:tc>
      </w:tr>
      <w:tr>
        <w:tc>
          <w:tcPr>
            <w:tcW w:type="dxa" w:w="1655"/>
          </w:tcPr>
          <w:p>
            <w:pPr>
              <w:spacing w:after="0"/>
              <w:jc w:val="left"/>
            </w:pPr>
            <w:r>
              <w:rPr>
                <w:rFonts w:ascii="Calibri" w:hAnsi="Calibri"/>
                <w:color w:val="000000"/>
                <w:sz w:val="17"/>
              </w:rPr>
              <w:t>Fixed-point unified</w:t>
            </w:r>
          </w:p>
        </w:tc>
        <w:tc>
          <w:tcPr>
            <w:tcW w:type="dxa" w:w="648"/>
          </w:tcPr>
          <w:p>
            <w:pPr>
              <w:spacing w:after="0"/>
              <w:jc w:val="left"/>
            </w:pPr>
            <w:r>
              <w:rPr>
                <w:rFonts w:ascii="Calibri" w:hAnsi="Calibri"/>
                <w:color w:val="000000"/>
                <w:sz w:val="17"/>
              </w:rPr>
              <w:t>HLS</w:t>
            </w:r>
          </w:p>
        </w:tc>
        <w:tc>
          <w:tcPr>
            <w:tcW w:type="dxa" w:w="792"/>
          </w:tcPr>
          <w:p>
            <w:pPr>
              <w:spacing w:after="0"/>
              <w:jc w:val="center"/>
            </w:pPr>
            <w:r>
              <w:rPr>
                <w:rFonts w:ascii="Calibri" w:hAnsi="Calibri"/>
                <w:color w:val="000000"/>
                <w:sz w:val="17"/>
              </w:rPr>
              <w:t>8.750 ns</w:t>
            </w:r>
          </w:p>
        </w:tc>
        <w:tc>
          <w:tcPr>
            <w:tcW w:type="dxa" w:w="1080"/>
          </w:tcPr>
          <w:p>
            <w:pPr>
              <w:spacing w:after="0"/>
              <w:jc w:val="center"/>
            </w:pPr>
            <w:r>
              <w:rPr>
                <w:rFonts w:ascii="Calibri" w:hAnsi="Calibri"/>
                <w:color w:val="000000"/>
                <w:sz w:val="17"/>
              </w:rPr>
              <w:t>146 (52%)</w:t>
            </w:r>
          </w:p>
        </w:tc>
        <w:tc>
          <w:tcPr>
            <w:tcW w:type="dxa" w:w="1080"/>
          </w:tcPr>
          <w:p>
            <w:pPr>
              <w:spacing w:after="0"/>
              <w:jc w:val="center"/>
            </w:pPr>
            <w:r>
              <w:rPr>
                <w:rFonts w:ascii="Calibri" w:hAnsi="Calibri"/>
                <w:color w:val="000000"/>
                <w:sz w:val="17"/>
              </w:rPr>
              <w:t>81 (36%)</w:t>
            </w:r>
          </w:p>
        </w:tc>
        <w:tc>
          <w:tcPr>
            <w:tcW w:type="dxa" w:w="1872"/>
          </w:tcPr>
          <w:p>
            <w:pPr>
              <w:spacing w:after="0"/>
              <w:jc w:val="center"/>
            </w:pPr>
            <w:r>
              <w:rPr>
                <w:rFonts w:ascii="Calibri" w:hAnsi="Calibri"/>
                <w:color w:val="000000"/>
                <w:sz w:val="17"/>
              </w:rPr>
              <w:t>8,754 / 13,021</w:t>
            </w:r>
          </w:p>
        </w:tc>
        <w:tc>
          <w:tcPr>
            <w:tcW w:type="dxa" w:w="2232"/>
          </w:tcPr>
          <w:p>
            <w:pPr>
              <w:spacing w:after="0"/>
              <w:jc w:val="left"/>
            </w:pPr>
            <w:r>
              <w:rPr>
                <w:rFonts w:ascii="Calibri" w:hAnsi="Calibri"/>
                <w:color w:val="000000"/>
                <w:sz w:val="17"/>
              </w:rPr>
              <w:t>CSim + HLS + IP</w:t>
            </w:r>
          </w:p>
        </w:tc>
      </w:tr>
      <w:tr>
        <w:tc>
          <w:tcPr>
            <w:tcW w:type="dxa" w:w="1655"/>
          </w:tcPr>
          <w:p>
            <w:pPr>
              <w:spacing w:after="0"/>
              <w:jc w:val="left"/>
            </w:pPr>
            <w:r>
              <w:rPr>
                <w:rFonts w:ascii="Calibri" w:hAnsi="Calibri"/>
                <w:color w:val="000000"/>
                <w:sz w:val="17"/>
              </w:rPr>
              <w:t>INT8 unified</w:t>
            </w:r>
          </w:p>
        </w:tc>
        <w:tc>
          <w:tcPr>
            <w:tcW w:type="dxa" w:w="648"/>
          </w:tcPr>
          <w:p>
            <w:pPr>
              <w:spacing w:after="0"/>
              <w:jc w:val="left"/>
            </w:pPr>
            <w:r>
              <w:rPr>
                <w:rFonts w:ascii="Calibri" w:hAnsi="Calibri"/>
                <w:color w:val="000000"/>
                <w:sz w:val="17"/>
              </w:rPr>
              <w:t>HLS</w:t>
            </w:r>
          </w:p>
        </w:tc>
        <w:tc>
          <w:tcPr>
            <w:tcW w:type="dxa" w:w="792"/>
          </w:tcPr>
          <w:p>
            <w:pPr>
              <w:spacing w:after="0"/>
              <w:jc w:val="center"/>
            </w:pPr>
            <w:r>
              <w:rPr>
                <w:rFonts w:ascii="Calibri" w:hAnsi="Calibri"/>
                <w:color w:val="000000"/>
                <w:sz w:val="17"/>
              </w:rPr>
              <w:t>8.750 ns</w:t>
            </w:r>
          </w:p>
        </w:tc>
        <w:tc>
          <w:tcPr>
            <w:tcW w:type="dxa" w:w="1080"/>
          </w:tcPr>
          <w:p>
            <w:pPr>
              <w:spacing w:after="0"/>
              <w:jc w:val="center"/>
            </w:pPr>
            <w:r>
              <w:rPr>
                <w:rFonts w:ascii="Calibri" w:hAnsi="Calibri"/>
                <w:color w:val="000000"/>
                <w:sz w:val="17"/>
              </w:rPr>
              <w:t>130 (46%)</w:t>
            </w:r>
          </w:p>
        </w:tc>
        <w:tc>
          <w:tcPr>
            <w:tcW w:type="dxa" w:w="1080"/>
          </w:tcPr>
          <w:p>
            <w:pPr>
              <w:spacing w:after="0"/>
              <w:jc w:val="center"/>
            </w:pPr>
            <w:r>
              <w:rPr>
                <w:rFonts w:ascii="Calibri" w:hAnsi="Calibri"/>
                <w:color w:val="000000"/>
                <w:sz w:val="17"/>
              </w:rPr>
              <w:t>71 (32%)</w:t>
            </w:r>
          </w:p>
        </w:tc>
        <w:tc>
          <w:tcPr>
            <w:tcW w:type="dxa" w:w="1872"/>
          </w:tcPr>
          <w:p>
            <w:pPr>
              <w:spacing w:after="0"/>
              <w:jc w:val="center"/>
            </w:pPr>
            <w:r>
              <w:rPr>
                <w:rFonts w:ascii="Calibri" w:hAnsi="Calibri"/>
                <w:color w:val="000000"/>
                <w:sz w:val="17"/>
              </w:rPr>
              <w:t>17,899 / 19,769</w:t>
            </w:r>
          </w:p>
        </w:tc>
        <w:tc>
          <w:tcPr>
            <w:tcW w:type="dxa" w:w="2232"/>
          </w:tcPr>
          <w:p>
            <w:pPr>
              <w:spacing w:after="0"/>
              <w:jc w:val="left"/>
            </w:pPr>
            <w:r>
              <w:rPr>
                <w:rFonts w:ascii="Calibri" w:hAnsi="Calibri"/>
                <w:color w:val="000000"/>
                <w:sz w:val="17"/>
              </w:rPr>
              <w:t>CSim + HLS + IP</w:t>
            </w:r>
          </w:p>
        </w:tc>
      </w:tr>
      <w:tr>
        <w:tc>
          <w:tcPr>
            <w:tcW w:type="dxa" w:w="1655"/>
          </w:tcPr>
          <w:p>
            <w:pPr>
              <w:spacing w:after="0"/>
              <w:jc w:val="left"/>
            </w:pPr>
            <w:r>
              <w:rPr>
                <w:rFonts w:ascii="Calibri" w:hAnsi="Calibri"/>
                <w:color w:val="000000"/>
                <w:sz w:val="17"/>
              </w:rPr>
              <w:t>INT8 + LUT multiplier</w:t>
            </w:r>
          </w:p>
        </w:tc>
        <w:tc>
          <w:tcPr>
            <w:tcW w:type="dxa" w:w="648"/>
          </w:tcPr>
          <w:p>
            <w:pPr>
              <w:spacing w:after="0"/>
              <w:jc w:val="left"/>
            </w:pPr>
            <w:r>
              <w:rPr>
                <w:rFonts w:ascii="Calibri" w:hAnsi="Calibri"/>
                <w:color w:val="000000"/>
                <w:sz w:val="17"/>
              </w:rPr>
              <w:t>HLS</w:t>
            </w:r>
          </w:p>
        </w:tc>
        <w:tc>
          <w:tcPr>
            <w:tcW w:type="dxa" w:w="792"/>
          </w:tcPr>
          <w:p>
            <w:pPr>
              <w:spacing w:after="0"/>
              <w:jc w:val="center"/>
            </w:pPr>
            <w:r>
              <w:rPr>
                <w:rFonts w:ascii="Calibri" w:hAnsi="Calibri"/>
                <w:color w:val="000000"/>
                <w:sz w:val="17"/>
              </w:rPr>
              <w:t>8.750 ns</w:t>
            </w:r>
          </w:p>
        </w:tc>
        <w:tc>
          <w:tcPr>
            <w:tcW w:type="dxa" w:w="1080"/>
          </w:tcPr>
          <w:p>
            <w:pPr>
              <w:spacing w:after="0"/>
              <w:jc w:val="center"/>
            </w:pPr>
            <w:r>
              <w:rPr>
                <w:rFonts w:ascii="Calibri" w:hAnsi="Calibri"/>
                <w:color w:val="000000"/>
                <w:sz w:val="17"/>
              </w:rPr>
              <w:t>130 (46%)</w:t>
            </w:r>
          </w:p>
        </w:tc>
        <w:tc>
          <w:tcPr>
            <w:tcW w:type="dxa" w:w="1080"/>
          </w:tcPr>
          <w:p>
            <w:pPr>
              <w:spacing w:after="0"/>
              <w:jc w:val="center"/>
            </w:pPr>
            <w:r>
              <w:rPr>
                <w:rFonts w:ascii="Calibri" w:hAnsi="Calibri"/>
                <w:color w:val="000000"/>
                <w:sz w:val="17"/>
              </w:rPr>
              <w:t>39 (17%)</w:t>
            </w:r>
          </w:p>
        </w:tc>
        <w:tc>
          <w:tcPr>
            <w:tcW w:type="dxa" w:w="1872"/>
          </w:tcPr>
          <w:p>
            <w:pPr>
              <w:spacing w:after="0"/>
              <w:jc w:val="center"/>
            </w:pPr>
            <w:r>
              <w:rPr>
                <w:rFonts w:ascii="Calibri" w:hAnsi="Calibri"/>
                <w:color w:val="000000"/>
                <w:sz w:val="17"/>
              </w:rPr>
              <w:t>18,412 / 23,001</w:t>
            </w:r>
          </w:p>
        </w:tc>
        <w:tc>
          <w:tcPr>
            <w:tcW w:type="dxa" w:w="2232"/>
          </w:tcPr>
          <w:p>
            <w:pPr>
              <w:spacing w:after="0"/>
              <w:jc w:val="left"/>
            </w:pPr>
            <w:r>
              <w:rPr>
                <w:rFonts w:ascii="Calibri" w:hAnsi="Calibri"/>
                <w:color w:val="000000"/>
                <w:sz w:val="17"/>
              </w:rPr>
              <w:t>CSim + HLS + IP</w:t>
            </w:r>
          </w:p>
        </w:tc>
      </w:tr>
    </w:tbl>
    <w:tbl>
      <w:tblPr>
        <w:tblStyle w:val="TableGrid"/>
        <w:tblW w:type="dxa" w:w="9360"/>
        <w:jc w:val="center"/>
        <w:tblLayout w:type="fixed"/>
        <w:tblLook w:firstColumn="1" w:firstRow="1" w:lastColumn="0" w:lastRow="0" w:noHBand="0" w:noVBand="1" w:val="04A0"/>
        <w:tblInd w:type="dxa" w:w="120"/>
      </w:tblPr>
      <w:tblGrid>
        <w:gridCol w:w="1584"/>
        <w:gridCol w:w="1655"/>
        <w:gridCol w:w="1655"/>
        <w:gridCol w:w="1080"/>
        <w:gridCol w:w="1007"/>
        <w:gridCol w:w="1512"/>
        <w:gridCol w:w="864"/>
      </w:tblGrid>
      <w:tr>
        <w:trPr>
          <w:tblHeader w:val="true"/>
        </w:trPr>
        <w:tc>
          <w:tcPr>
            <w:tcW w:type="dxa" w:w="1584"/>
            <w:vAlign w:val="center"/>
            <w:tcMar>
              <w:top w:w="80" w:type="dxa"/>
              <w:start w:w="120" w:type="dxa"/>
              <w:bottom w:w="80" w:type="dxa"/>
              <w:end w:w="120" w:type="dxa"/>
            </w:tcMar>
            <w:shd w:fill="E8EEF5"/>
          </w:tcPr>
          <w:p>
            <w:pPr>
              <w:spacing w:after="0"/>
              <w:jc w:val="center"/>
            </w:pPr>
            <w:r>
              <w:rPr>
                <w:rFonts w:ascii="Calibri" w:hAnsi="Calibri"/>
                <w:b/>
                <w:color w:val="0B2545"/>
                <w:sz w:val="18"/>
              </w:rPr>
              <w:t>Implemented design</w:t>
            </w:r>
          </w:p>
        </w:tc>
        <w:tc>
          <w:tcPr>
            <w:tcW w:type="dxa" w:w="1655"/>
            <w:vAlign w:val="center"/>
            <w:tcMar>
              <w:top w:w="80" w:type="dxa"/>
              <w:start w:w="120" w:type="dxa"/>
              <w:bottom w:w="80" w:type="dxa"/>
              <w:end w:w="120" w:type="dxa"/>
            </w:tcMar>
            <w:shd w:fill="E8EEF5"/>
          </w:tcPr>
          <w:p>
            <w:pPr>
              <w:spacing w:after="0"/>
              <w:jc w:val="center"/>
            </w:pPr>
            <w:r>
              <w:rPr>
                <w:rFonts w:ascii="Calibri" w:hAnsi="Calibri"/>
                <w:b/>
                <w:color w:val="0B2545"/>
                <w:sz w:val="18"/>
              </w:rPr>
              <w:t>Run</w:t>
            </w:r>
          </w:p>
        </w:tc>
        <w:tc>
          <w:tcPr>
            <w:tcW w:type="dxa" w:w="1655"/>
            <w:vAlign w:val="center"/>
            <w:tcMar>
              <w:top w:w="80" w:type="dxa"/>
              <w:start w:w="120" w:type="dxa"/>
              <w:bottom w:w="80" w:type="dxa"/>
              <w:end w:w="120" w:type="dxa"/>
            </w:tcMar>
            <w:shd w:fill="E8EEF5"/>
          </w:tcPr>
          <w:p>
            <w:pPr>
              <w:spacing w:after="0"/>
              <w:jc w:val="center"/>
            </w:pPr>
            <w:r>
              <w:rPr>
                <w:rFonts w:ascii="Calibri" w:hAnsi="Calibri"/>
                <w:b/>
                <w:color w:val="0B2545"/>
                <w:sz w:val="18"/>
              </w:rPr>
              <w:t>Timing</w:t>
            </w:r>
          </w:p>
        </w:tc>
        <w:tc>
          <w:tcPr>
            <w:tcW w:type="dxa" w:w="1080"/>
            <w:vAlign w:val="center"/>
            <w:tcMar>
              <w:top w:w="80" w:type="dxa"/>
              <w:start w:w="120" w:type="dxa"/>
              <w:bottom w:w="80" w:type="dxa"/>
              <w:end w:w="120" w:type="dxa"/>
            </w:tcMar>
            <w:shd w:fill="E8EEF5"/>
          </w:tcPr>
          <w:p>
            <w:pPr>
              <w:spacing w:after="0"/>
              <w:jc w:val="center"/>
            </w:pPr>
            <w:r>
              <w:rPr>
                <w:rFonts w:ascii="Calibri" w:hAnsi="Calibri"/>
                <w:b/>
                <w:color w:val="0B2545"/>
                <w:sz w:val="18"/>
              </w:rPr>
              <w:t>BRAM tiles</w:t>
            </w:r>
          </w:p>
        </w:tc>
        <w:tc>
          <w:tcPr>
            <w:tcW w:type="dxa" w:w="1007"/>
            <w:vAlign w:val="center"/>
            <w:tcMar>
              <w:top w:w="80" w:type="dxa"/>
              <w:start w:w="120" w:type="dxa"/>
              <w:bottom w:w="80" w:type="dxa"/>
              <w:end w:w="120" w:type="dxa"/>
            </w:tcMar>
            <w:shd w:fill="E8EEF5"/>
          </w:tcPr>
          <w:p>
            <w:pPr>
              <w:spacing w:after="0"/>
              <w:jc w:val="center"/>
            </w:pPr>
            <w:r>
              <w:rPr>
                <w:rFonts w:ascii="Calibri" w:hAnsi="Calibri"/>
                <w:b/>
                <w:color w:val="0B2545"/>
                <w:sz w:val="18"/>
              </w:rPr>
              <w:t>DSP48E</w:t>
            </w:r>
          </w:p>
        </w:tc>
        <w:tc>
          <w:tcPr>
            <w:tcW w:type="dxa" w:w="1512"/>
            <w:vAlign w:val="center"/>
            <w:tcMar>
              <w:top w:w="80" w:type="dxa"/>
              <w:start w:w="120" w:type="dxa"/>
              <w:bottom w:w="80" w:type="dxa"/>
              <w:end w:w="120" w:type="dxa"/>
            </w:tcMar>
            <w:shd w:fill="E8EEF5"/>
          </w:tcPr>
          <w:p>
            <w:pPr>
              <w:spacing w:after="0"/>
              <w:jc w:val="center"/>
            </w:pPr>
            <w:r>
              <w:rPr>
                <w:rFonts w:ascii="Calibri" w:hAnsi="Calibri"/>
                <w:b/>
                <w:color w:val="0B2545"/>
                <w:sz w:val="18"/>
              </w:rPr>
              <w:t>FF / LUT</w:t>
            </w:r>
          </w:p>
        </w:tc>
        <w:tc>
          <w:tcPr>
            <w:tcW w:type="dxa" w:w="864"/>
            <w:vAlign w:val="center"/>
            <w:tcMar>
              <w:top w:w="80" w:type="dxa"/>
              <w:start w:w="120" w:type="dxa"/>
              <w:bottom w:w="80" w:type="dxa"/>
              <w:end w:w="120" w:type="dxa"/>
            </w:tcMar>
            <w:shd w:fill="E8EEF5"/>
          </w:tcPr>
          <w:p>
            <w:pPr>
              <w:spacing w:after="0"/>
              <w:jc w:val="center"/>
            </w:pPr>
            <w:r>
              <w:rPr>
                <w:rFonts w:ascii="Calibri" w:hAnsi="Calibri"/>
                <w:b/>
                <w:color w:val="0B2545"/>
                <w:sz w:val="18"/>
              </w:rPr>
              <w:t>Power</w:t>
            </w:r>
          </w:p>
        </w:tc>
      </w:tr>
      <w:tr>
        <w:tc>
          <w:tcPr>
            <w:tcW w:type="dxa" w:w="1584"/>
          </w:tcPr>
          <w:p>
            <w:pPr>
              <w:spacing w:after="0"/>
              <w:jc w:val="left"/>
            </w:pPr>
            <w:r>
              <w:rPr>
                <w:rFonts w:ascii="Calibri" w:hAnsi="Calibri"/>
                <w:color w:val="000000"/>
                <w:sz w:val="17"/>
              </w:rPr>
              <w:t>INT8 + LUT multiplier</w:t>
            </w:r>
          </w:p>
        </w:tc>
        <w:tc>
          <w:tcPr>
            <w:tcW w:type="dxa" w:w="1655"/>
          </w:tcPr>
          <w:p>
            <w:pPr>
              <w:spacing w:after="0"/>
              <w:jc w:val="left"/>
            </w:pPr>
            <w:r>
              <w:rPr>
                <w:rFonts w:ascii="Calibri" w:hAnsi="Calibri"/>
                <w:color w:val="000000"/>
                <w:sz w:val="17"/>
              </w:rPr>
              <w:t>Vivado impl_2, Performance_Explore</w:t>
            </w:r>
          </w:p>
        </w:tc>
        <w:tc>
          <w:tcPr>
            <w:tcW w:type="dxa" w:w="1655"/>
          </w:tcPr>
          <w:p>
            <w:pPr>
              <w:spacing w:after="0"/>
              <w:jc w:val="left"/>
            </w:pPr>
            <w:r>
              <w:rPr>
                <w:rFonts w:ascii="Calibri" w:hAnsi="Calibri"/>
                <w:color w:val="000000"/>
                <w:sz w:val="17"/>
              </w:rPr>
              <w:t>WNS 0.151 ns, TNS 0.000 ns</w:t>
            </w:r>
          </w:p>
        </w:tc>
        <w:tc>
          <w:tcPr>
            <w:tcW w:type="dxa" w:w="1080"/>
          </w:tcPr>
          <w:p>
            <w:pPr>
              <w:spacing w:after="0"/>
              <w:jc w:val="left"/>
            </w:pPr>
            <w:r>
              <w:rPr>
                <w:rFonts w:ascii="Calibri" w:hAnsi="Calibri"/>
                <w:color w:val="000000"/>
                <w:sz w:val="17"/>
              </w:rPr>
              <w:t>65 / 140 (46.43%)</w:t>
            </w:r>
          </w:p>
        </w:tc>
        <w:tc>
          <w:tcPr>
            <w:tcW w:type="dxa" w:w="1007"/>
          </w:tcPr>
          <w:p>
            <w:pPr>
              <w:spacing w:after="0"/>
              <w:jc w:val="left"/>
            </w:pPr>
            <w:r>
              <w:rPr>
                <w:rFonts w:ascii="Calibri" w:hAnsi="Calibri"/>
                <w:color w:val="000000"/>
                <w:sz w:val="17"/>
              </w:rPr>
              <w:t>42 / 220 (19.09%)</w:t>
            </w:r>
          </w:p>
        </w:tc>
        <w:tc>
          <w:tcPr>
            <w:tcW w:type="dxa" w:w="1512"/>
          </w:tcPr>
          <w:p>
            <w:pPr>
              <w:spacing w:after="0"/>
              <w:jc w:val="left"/>
            </w:pPr>
            <w:r>
              <w:rPr>
                <w:rFonts w:ascii="Calibri" w:hAnsi="Calibri"/>
                <w:color w:val="000000"/>
                <w:sz w:val="17"/>
              </w:rPr>
              <w:t>19,462 / 15,817</w:t>
            </w:r>
          </w:p>
        </w:tc>
        <w:tc>
          <w:tcPr>
            <w:tcW w:type="dxa" w:w="864"/>
          </w:tcPr>
          <w:p>
            <w:pPr>
              <w:spacing w:after="0"/>
              <w:jc w:val="left"/>
            </w:pPr>
            <w:r>
              <w:rPr>
                <w:rFonts w:ascii="Calibri" w:hAnsi="Calibri"/>
                <w:color w:val="000000"/>
                <w:sz w:val="17"/>
              </w:rPr>
              <w:t>1.968 W</w:t>
            </w:r>
          </w:p>
        </w:tc>
      </w:tr>
    </w:tbl>
    <w:p>
      <w:r>
        <w:rPr>
          <w:b/>
        </w:rPr>
        <w:t xml:space="preserve">Interpretation. </w:t>
      </w:r>
      <w:r>
        <w:t>At HLS level, the LUT-multiplier INT8 variant reduces DSP use from 81 to 39 compared with the fixed-point unified engine, a 51.9% reduction. After Vivado implementation, the LUT-multiplier variant uses 42 DSP48E and still meets 100 MHz timing. The tradeoff is higher LUT/FF use and unchanged BRAM pressure, which is expected because local buffering and maximum compile-time bounds still dominate BRAM.</w:t>
      </w:r>
    </w:p>
    <w:p>
      <w:pPr>
        <w:pStyle w:val="Heading1"/>
      </w:pPr>
      <w:r>
        <w:t>3. INT8 Work and Validation Status</w:t>
      </w:r>
    </w:p>
    <w:tbl>
      <w:tblPr>
        <w:tblStyle w:val="TableGrid"/>
        <w:tblW w:type="dxa" w:w="9360"/>
        <w:jc w:val="center"/>
        <w:tblLayout w:type="fixed"/>
        <w:tblLook w:firstColumn="1" w:firstRow="1" w:lastColumn="0" w:lastRow="0" w:noHBand="0" w:noVBand="1" w:val="04A0"/>
        <w:tblInd w:type="dxa" w:w="120"/>
      </w:tblPr>
      <w:tblGrid>
        <w:gridCol w:w="2376"/>
        <w:gridCol w:w="792"/>
        <w:gridCol w:w="2808"/>
        <w:gridCol w:w="864"/>
        <w:gridCol w:w="1296"/>
        <w:gridCol w:w="1224"/>
      </w:tblGrid>
      <w:tr>
        <w:trPr>
          <w:tblHeader w:val="true"/>
        </w:trPr>
        <w:tc>
          <w:tcPr>
            <w:tcW w:type="dxa" w:w="2376"/>
            <w:vAlign w:val="center"/>
            <w:tcMar>
              <w:top w:w="80" w:type="dxa"/>
              <w:start w:w="120" w:type="dxa"/>
              <w:bottom w:w="80" w:type="dxa"/>
              <w:end w:w="120" w:type="dxa"/>
            </w:tcMar>
            <w:shd w:fill="E8EEF5"/>
          </w:tcPr>
          <w:p>
            <w:pPr>
              <w:spacing w:after="0"/>
              <w:jc w:val="center"/>
            </w:pPr>
            <w:r>
              <w:rPr>
                <w:rFonts w:ascii="Calibri" w:hAnsi="Calibri"/>
                <w:b/>
                <w:color w:val="0B2545"/>
                <w:sz w:val="18"/>
              </w:rPr>
              <w:t>Golden tensor case</w:t>
            </w:r>
          </w:p>
        </w:tc>
        <w:tc>
          <w:tcPr>
            <w:tcW w:type="dxa" w:w="792"/>
            <w:vAlign w:val="center"/>
            <w:tcMar>
              <w:top w:w="80" w:type="dxa"/>
              <w:start w:w="120" w:type="dxa"/>
              <w:bottom w:w="80" w:type="dxa"/>
              <w:end w:w="120" w:type="dxa"/>
            </w:tcMar>
            <w:shd w:fill="E8EEF5"/>
          </w:tcPr>
          <w:p>
            <w:pPr>
              <w:spacing w:after="0"/>
              <w:jc w:val="center"/>
            </w:pPr>
            <w:r>
              <w:rPr>
                <w:rFonts w:ascii="Calibri" w:hAnsi="Calibri"/>
                <w:b/>
                <w:color w:val="0B2545"/>
                <w:sz w:val="18"/>
              </w:rPr>
              <w:t>Kernel</w:t>
            </w:r>
          </w:p>
        </w:tc>
        <w:tc>
          <w:tcPr>
            <w:tcW w:type="dxa" w:w="2808"/>
            <w:vAlign w:val="center"/>
            <w:tcMar>
              <w:top w:w="80" w:type="dxa"/>
              <w:start w:w="120" w:type="dxa"/>
              <w:bottom w:w="80" w:type="dxa"/>
              <w:end w:w="120" w:type="dxa"/>
            </w:tcMar>
            <w:shd w:fill="E8EEF5"/>
          </w:tcPr>
          <w:p>
            <w:pPr>
              <w:spacing w:after="0"/>
              <w:jc w:val="center"/>
            </w:pPr>
            <w:r>
              <w:rPr>
                <w:rFonts w:ascii="Calibri" w:hAnsi="Calibri"/>
                <w:b/>
                <w:color w:val="0B2545"/>
                <w:sz w:val="18"/>
              </w:rPr>
              <w:t>Shape</w:t>
            </w:r>
          </w:p>
        </w:tc>
        <w:tc>
          <w:tcPr>
            <w:tcW w:type="dxa" w:w="864"/>
            <w:vAlign w:val="center"/>
            <w:tcMar>
              <w:top w:w="80" w:type="dxa"/>
              <w:start w:w="120" w:type="dxa"/>
              <w:bottom w:w="80" w:type="dxa"/>
              <w:end w:w="120" w:type="dxa"/>
            </w:tcMar>
            <w:shd w:fill="E8EEF5"/>
          </w:tcPr>
          <w:p>
            <w:pPr>
              <w:spacing w:after="0"/>
              <w:jc w:val="center"/>
            </w:pPr>
            <w:r>
              <w:rPr>
                <w:rFonts w:ascii="Calibri" w:hAnsi="Calibri"/>
                <w:b/>
                <w:color w:val="0B2545"/>
                <w:sz w:val="18"/>
              </w:rPr>
              <w:t>CSim</w:t>
            </w:r>
          </w:p>
        </w:tc>
        <w:tc>
          <w:tcPr>
            <w:tcW w:type="dxa" w:w="1296"/>
            <w:vAlign w:val="center"/>
            <w:tcMar>
              <w:top w:w="80" w:type="dxa"/>
              <w:start w:w="120" w:type="dxa"/>
              <w:bottom w:w="80" w:type="dxa"/>
              <w:end w:w="120" w:type="dxa"/>
            </w:tcMar>
            <w:shd w:fill="E8EEF5"/>
          </w:tcPr>
          <w:p>
            <w:pPr>
              <w:spacing w:after="0"/>
              <w:jc w:val="center"/>
            </w:pPr>
            <w:r>
              <w:rPr>
                <w:rFonts w:ascii="Calibri" w:hAnsi="Calibri"/>
                <w:b/>
                <w:color w:val="0B2545"/>
                <w:sz w:val="18"/>
              </w:rPr>
              <w:t>Max abs error vs FP32</w:t>
            </w:r>
          </w:p>
        </w:tc>
        <w:tc>
          <w:tcPr>
            <w:tcW w:type="dxa" w:w="1224"/>
            <w:vAlign w:val="center"/>
            <w:tcMar>
              <w:top w:w="80" w:type="dxa"/>
              <w:start w:w="120" w:type="dxa"/>
              <w:bottom w:w="80" w:type="dxa"/>
              <w:end w:w="120" w:type="dxa"/>
            </w:tcMar>
            <w:shd w:fill="E8EEF5"/>
          </w:tcPr>
          <w:p>
            <w:pPr>
              <w:spacing w:after="0"/>
              <w:jc w:val="center"/>
            </w:pPr>
            <w:r>
              <w:rPr>
                <w:rFonts w:ascii="Calibri" w:hAnsi="Calibri"/>
                <w:b/>
                <w:color w:val="0B2545"/>
                <w:sz w:val="18"/>
              </w:rPr>
              <w:t>Mean abs error</w:t>
            </w:r>
          </w:p>
        </w:tc>
      </w:tr>
      <w:tr>
        <w:tc>
          <w:tcPr>
            <w:tcW w:type="dxa" w:w="2376"/>
          </w:tcPr>
          <w:p>
            <w:pPr>
              <w:spacing w:after="0"/>
              <w:jc w:val="left"/>
            </w:pPr>
            <w:r>
              <w:rPr>
                <w:rFonts w:ascii="Calibri" w:hAnsi="Calibri"/>
                <w:color w:val="000000"/>
                <w:sz w:val="17"/>
              </w:rPr>
              <w:t>layer22 C3k2 internal Conv1x1</w:t>
            </w:r>
          </w:p>
        </w:tc>
        <w:tc>
          <w:tcPr>
            <w:tcW w:type="dxa" w:w="792"/>
          </w:tcPr>
          <w:p>
            <w:pPr>
              <w:spacing w:after="0"/>
              <w:jc w:val="center"/>
            </w:pPr>
            <w:r>
              <w:rPr>
                <w:rFonts w:ascii="Calibri" w:hAnsi="Calibri"/>
                <w:color w:val="000000"/>
                <w:sz w:val="17"/>
              </w:rPr>
              <w:t>1x1</w:t>
            </w:r>
          </w:p>
        </w:tc>
        <w:tc>
          <w:tcPr>
            <w:tcW w:type="dxa" w:w="2808"/>
          </w:tcPr>
          <w:p>
            <w:pPr>
              <w:spacing w:after="0"/>
              <w:jc w:val="left"/>
            </w:pPr>
            <w:r>
              <w:rPr>
                <w:rFonts w:ascii="Calibri" w:hAnsi="Calibri"/>
                <w:color w:val="000000"/>
                <w:sz w:val="17"/>
              </w:rPr>
              <w:t>1x384x20x20 -&gt; 1x256x20x20</w:t>
            </w:r>
          </w:p>
        </w:tc>
        <w:tc>
          <w:tcPr>
            <w:tcW w:type="dxa" w:w="864"/>
          </w:tcPr>
          <w:p>
            <w:pPr>
              <w:spacing w:after="0"/>
              <w:jc w:val="center"/>
            </w:pPr>
            <w:r>
              <w:rPr>
                <w:rFonts w:ascii="Calibri" w:hAnsi="Calibri"/>
                <w:color w:val="000000"/>
                <w:sz w:val="17"/>
              </w:rPr>
              <w:t>Passed</w:t>
            </w:r>
          </w:p>
        </w:tc>
        <w:tc>
          <w:tcPr>
            <w:tcW w:type="dxa" w:w="1296"/>
          </w:tcPr>
          <w:p>
            <w:pPr>
              <w:spacing w:after="0"/>
              <w:jc w:val="center"/>
            </w:pPr>
            <w:r>
              <w:rPr>
                <w:rFonts w:ascii="Calibri" w:hAnsi="Calibri"/>
                <w:color w:val="000000"/>
                <w:sz w:val="17"/>
              </w:rPr>
              <w:t>0.0598524</w:t>
            </w:r>
          </w:p>
        </w:tc>
        <w:tc>
          <w:tcPr>
            <w:tcW w:type="dxa" w:w="1224"/>
          </w:tcPr>
          <w:p>
            <w:pPr>
              <w:spacing w:after="0"/>
              <w:jc w:val="center"/>
            </w:pPr>
            <w:r>
              <w:rPr>
                <w:rFonts w:ascii="Calibri" w:hAnsi="Calibri"/>
                <w:color w:val="000000"/>
                <w:sz w:val="17"/>
              </w:rPr>
              <w:t>0.0101449</w:t>
            </w:r>
          </w:p>
        </w:tc>
      </w:tr>
      <w:tr>
        <w:tc>
          <w:tcPr>
            <w:tcW w:type="dxa" w:w="2376"/>
          </w:tcPr>
          <w:p>
            <w:pPr>
              <w:spacing w:after="0"/>
              <w:jc w:val="left"/>
            </w:pPr>
            <w:r>
              <w:rPr>
                <w:rFonts w:ascii="Calibri" w:hAnsi="Calibri"/>
                <w:color w:val="000000"/>
                <w:sz w:val="17"/>
              </w:rPr>
              <w:t>layer22 C3k2 internal Conv3x3</w:t>
            </w:r>
          </w:p>
        </w:tc>
        <w:tc>
          <w:tcPr>
            <w:tcW w:type="dxa" w:w="792"/>
          </w:tcPr>
          <w:p>
            <w:pPr>
              <w:spacing w:after="0"/>
              <w:jc w:val="center"/>
            </w:pPr>
            <w:r>
              <w:rPr>
                <w:rFonts w:ascii="Calibri" w:hAnsi="Calibri"/>
                <w:color w:val="000000"/>
                <w:sz w:val="17"/>
              </w:rPr>
              <w:t>3x3</w:t>
            </w:r>
          </w:p>
        </w:tc>
        <w:tc>
          <w:tcPr>
            <w:tcW w:type="dxa" w:w="2808"/>
          </w:tcPr>
          <w:p>
            <w:pPr>
              <w:spacing w:after="0"/>
              <w:jc w:val="left"/>
            </w:pPr>
            <w:r>
              <w:rPr>
                <w:rFonts w:ascii="Calibri" w:hAnsi="Calibri"/>
                <w:color w:val="000000"/>
                <w:sz w:val="17"/>
              </w:rPr>
              <w:t>1x128x20x20 -&gt; 1x64x20x20</w:t>
            </w:r>
          </w:p>
        </w:tc>
        <w:tc>
          <w:tcPr>
            <w:tcW w:type="dxa" w:w="864"/>
          </w:tcPr>
          <w:p>
            <w:pPr>
              <w:spacing w:after="0"/>
              <w:jc w:val="center"/>
            </w:pPr>
            <w:r>
              <w:rPr>
                <w:rFonts w:ascii="Calibri" w:hAnsi="Calibri"/>
                <w:color w:val="000000"/>
                <w:sz w:val="17"/>
              </w:rPr>
              <w:t>Passed</w:t>
            </w:r>
          </w:p>
        </w:tc>
        <w:tc>
          <w:tcPr>
            <w:tcW w:type="dxa" w:w="1296"/>
          </w:tcPr>
          <w:p>
            <w:pPr>
              <w:spacing w:after="0"/>
              <w:jc w:val="center"/>
            </w:pPr>
            <w:r>
              <w:rPr>
                <w:rFonts w:ascii="Calibri" w:hAnsi="Calibri"/>
                <w:color w:val="000000"/>
                <w:sz w:val="17"/>
              </w:rPr>
              <w:t>0.0543421</w:t>
            </w:r>
          </w:p>
        </w:tc>
        <w:tc>
          <w:tcPr>
            <w:tcW w:type="dxa" w:w="1224"/>
          </w:tcPr>
          <w:p>
            <w:pPr>
              <w:spacing w:after="0"/>
              <w:jc w:val="center"/>
            </w:pPr>
            <w:r>
              <w:rPr>
                <w:rFonts w:ascii="Calibri" w:hAnsi="Calibri"/>
                <w:color w:val="000000"/>
                <w:sz w:val="17"/>
              </w:rPr>
              <w:t>0.0104062</w:t>
            </w:r>
          </w:p>
        </w:tc>
      </w:tr>
    </w:tbl>
    <w:p>
      <w:r>
        <w:rPr>
          <w:b/>
        </w:rPr>
        <w:t xml:space="preserve">Important boundary. </w:t>
      </w:r>
      <w:r>
        <w:t>These INT8 tests use temporary symmetric scales derived inside the testbench from FP32 golden tensors. This verifies the hardware arithmetic contract, tensor layout, AXI interface direction, bias handling, and requantization path. It is not final QAT model accuracy evidence. Final accuracy evidence requires QAT-exported INT8 tensors and quantization parameters from the software track.</w:t>
      </w:r>
    </w:p>
    <w:p>
      <w:pPr>
        <w:pStyle w:val="Heading1"/>
      </w:pPr>
      <w:r>
        <w:t>4. DSP-Reduction Methods Used</w:t>
      </w:r>
    </w:p>
    <w:tbl>
      <w:tblPr>
        <w:tblStyle w:val="TableGrid"/>
        <w:tblW w:type="dxa" w:w="9360"/>
        <w:jc w:val="center"/>
        <w:tblLayout w:type="fixed"/>
        <w:tblLook w:firstColumn="1" w:firstRow="1" w:lastColumn="0" w:lastRow="0" w:noHBand="0" w:noVBand="1" w:val="04A0"/>
        <w:tblInd w:type="dxa" w:w="120"/>
      </w:tblPr>
      <w:tblGrid>
        <w:gridCol w:w="1944"/>
        <w:gridCol w:w="3600"/>
        <w:gridCol w:w="3816"/>
      </w:tblGrid>
      <w:tr>
        <w:trPr>
          <w:tblHeader w:val="true"/>
        </w:trPr>
        <w:tc>
          <w:tcPr>
            <w:tcW w:type="dxa" w:w="1944"/>
            <w:vAlign w:val="center"/>
            <w:tcMar>
              <w:top w:w="80" w:type="dxa"/>
              <w:start w:w="120" w:type="dxa"/>
              <w:bottom w:w="80" w:type="dxa"/>
              <w:end w:w="120" w:type="dxa"/>
            </w:tcMar>
            <w:shd w:fill="E8EEF5"/>
          </w:tcPr>
          <w:p>
            <w:pPr>
              <w:spacing w:after="0"/>
              <w:jc w:val="center"/>
            </w:pPr>
            <w:r>
              <w:rPr>
                <w:rFonts w:ascii="Calibri" w:hAnsi="Calibri"/>
                <w:b/>
                <w:color w:val="0B2545"/>
                <w:sz w:val="18"/>
              </w:rPr>
              <w:t>Method</w:t>
            </w:r>
          </w:p>
        </w:tc>
        <w:tc>
          <w:tcPr>
            <w:tcW w:type="dxa" w:w="3600"/>
            <w:vAlign w:val="center"/>
            <w:tcMar>
              <w:top w:w="80" w:type="dxa"/>
              <w:start w:w="120" w:type="dxa"/>
              <w:bottom w:w="80" w:type="dxa"/>
              <w:end w:w="120" w:type="dxa"/>
            </w:tcMar>
            <w:shd w:fill="E8EEF5"/>
          </w:tcPr>
          <w:p>
            <w:pPr>
              <w:spacing w:after="0"/>
              <w:jc w:val="center"/>
            </w:pPr>
            <w:r>
              <w:rPr>
                <w:rFonts w:ascii="Calibri" w:hAnsi="Calibri"/>
                <w:b/>
                <w:color w:val="0B2545"/>
                <w:sz w:val="18"/>
              </w:rPr>
              <w:t>How it reduces DSP pressure</w:t>
            </w:r>
          </w:p>
        </w:tc>
        <w:tc>
          <w:tcPr>
            <w:tcW w:type="dxa" w:w="3816"/>
            <w:vAlign w:val="center"/>
            <w:tcMar>
              <w:top w:w="80" w:type="dxa"/>
              <w:start w:w="120" w:type="dxa"/>
              <w:bottom w:w="80" w:type="dxa"/>
              <w:end w:w="120" w:type="dxa"/>
            </w:tcMar>
            <w:shd w:fill="E8EEF5"/>
          </w:tcPr>
          <w:p>
            <w:pPr>
              <w:spacing w:after="0"/>
              <w:jc w:val="center"/>
            </w:pPr>
            <w:r>
              <w:rPr>
                <w:rFonts w:ascii="Calibri" w:hAnsi="Calibri"/>
                <w:b/>
                <w:color w:val="0B2545"/>
                <w:sz w:val="18"/>
              </w:rPr>
              <w:t>Current evidence</w:t>
            </w:r>
          </w:p>
        </w:tc>
      </w:tr>
      <w:tr>
        <w:tc>
          <w:tcPr>
            <w:tcW w:type="dxa" w:w="1944"/>
          </w:tcPr>
          <w:p>
            <w:pPr>
              <w:spacing w:after="0"/>
              <w:jc w:val="left"/>
            </w:pPr>
            <w:r>
              <w:rPr>
                <w:rFonts w:ascii="Calibri" w:hAnsi="Calibri"/>
                <w:color w:val="000000"/>
                <w:sz w:val="17"/>
              </w:rPr>
              <w:t>Unified physical datapath</w:t>
            </w:r>
          </w:p>
        </w:tc>
        <w:tc>
          <w:tcPr>
            <w:tcW w:type="dxa" w:w="3600"/>
          </w:tcPr>
          <w:p>
            <w:pPr>
              <w:spacing w:after="0"/>
              <w:jc w:val="left"/>
            </w:pPr>
            <w:r>
              <w:rPr>
                <w:rFonts w:ascii="Calibri" w:hAnsi="Calibri"/>
                <w:color w:val="000000"/>
                <w:sz w:val="17"/>
              </w:rPr>
              <w:t>One accelerator handles Conv1x1 and Conv3x3 at runtime instead of keeping separate physical Conv1x1 and Conv3x3 datapaths active in the overlay.</w:t>
            </w:r>
          </w:p>
        </w:tc>
        <w:tc>
          <w:tcPr>
            <w:tcW w:type="dxa" w:w="3816"/>
          </w:tcPr>
          <w:p>
            <w:pPr>
              <w:spacing w:after="0"/>
              <w:jc w:val="left"/>
            </w:pPr>
            <w:r>
              <w:rPr>
                <w:rFonts w:ascii="Calibri" w:hAnsi="Calibri"/>
                <w:color w:val="000000"/>
                <w:sz w:val="17"/>
              </w:rPr>
              <w:t>Fixed-point unified HLS uses 81 DSP; previous separate planning point used 214 DSP after implementation.</w:t>
            </w:r>
          </w:p>
        </w:tc>
      </w:tr>
      <w:tr>
        <w:tc>
          <w:tcPr>
            <w:tcW w:type="dxa" w:w="1944"/>
          </w:tcPr>
          <w:p>
            <w:pPr>
              <w:spacing w:after="0"/>
              <w:jc w:val="left"/>
            </w:pPr>
            <w:r>
              <w:rPr>
                <w:rFonts w:ascii="Calibri" w:hAnsi="Calibri"/>
                <w:color w:val="000000"/>
                <w:sz w:val="17"/>
              </w:rPr>
              <w:t>INT8 arithmetic path</w:t>
            </w:r>
          </w:p>
        </w:tc>
        <w:tc>
          <w:tcPr>
            <w:tcW w:type="dxa" w:w="3600"/>
          </w:tcPr>
          <w:p>
            <w:pPr>
              <w:spacing w:after="0"/>
              <w:jc w:val="left"/>
            </w:pPr>
            <w:r>
              <w:rPr>
                <w:rFonts w:ascii="Calibri" w:hAnsi="Calibri"/>
                <w:color w:val="000000"/>
                <w:sz w:val="17"/>
              </w:rPr>
              <w:t>Moves activations and weights to 8-bit values with INT32 accumulation/requantization, enabling smaller multiply logic and future QAT compatibility.</w:t>
            </w:r>
          </w:p>
        </w:tc>
        <w:tc>
          <w:tcPr>
            <w:tcW w:type="dxa" w:w="3816"/>
          </w:tcPr>
          <w:p>
            <w:pPr>
              <w:spacing w:after="0"/>
              <w:jc w:val="left"/>
            </w:pPr>
            <w:r>
              <w:rPr>
                <w:rFonts w:ascii="Calibri" w:hAnsi="Calibri"/>
                <w:color w:val="000000"/>
                <w:sz w:val="17"/>
              </w:rPr>
              <w:t>INT8 default HLS uses 71 DSP versus 81 DSP for fixed-point unified.</w:t>
            </w:r>
          </w:p>
        </w:tc>
      </w:tr>
      <w:tr>
        <w:tc>
          <w:tcPr>
            <w:tcW w:type="dxa" w:w="1944"/>
          </w:tcPr>
          <w:p>
            <w:pPr>
              <w:spacing w:after="0"/>
              <w:jc w:val="left"/>
            </w:pPr>
            <w:r>
              <w:rPr>
                <w:rFonts w:ascii="Calibri" w:hAnsi="Calibri"/>
                <w:color w:val="000000"/>
                <w:sz w:val="17"/>
              </w:rPr>
              <w:t>LUT-multiplier variant</w:t>
            </w:r>
          </w:p>
        </w:tc>
        <w:tc>
          <w:tcPr>
            <w:tcW w:type="dxa" w:w="3600"/>
          </w:tcPr>
          <w:p>
            <w:pPr>
              <w:spacing w:after="0"/>
              <w:jc w:val="left"/>
            </w:pPr>
            <w:r>
              <w:rPr>
                <w:rFonts w:ascii="Calibri" w:hAnsi="Calibri"/>
                <w:color w:val="000000"/>
                <w:sz w:val="17"/>
              </w:rPr>
              <w:t>Compiles the INT8 multiplier path to reduce DSP inference and shift arithmetic cost into LUT fabric.</w:t>
            </w:r>
          </w:p>
        </w:tc>
        <w:tc>
          <w:tcPr>
            <w:tcW w:type="dxa" w:w="3816"/>
          </w:tcPr>
          <w:p>
            <w:pPr>
              <w:spacing w:after="0"/>
              <w:jc w:val="left"/>
            </w:pPr>
            <w:r>
              <w:rPr>
                <w:rFonts w:ascii="Calibri" w:hAnsi="Calibri"/>
                <w:color w:val="000000"/>
                <w:sz w:val="17"/>
              </w:rPr>
              <w:t>HLS DSP falls to 39; Vivado post-implementation uses 42 DSP and meets timing.</w:t>
            </w:r>
          </w:p>
        </w:tc>
      </w:tr>
      <w:tr>
        <w:tc>
          <w:tcPr>
            <w:tcW w:type="dxa" w:w="1944"/>
          </w:tcPr>
          <w:p>
            <w:pPr>
              <w:spacing w:after="0"/>
              <w:jc w:val="left"/>
            </w:pPr>
            <w:r>
              <w:rPr>
                <w:rFonts w:ascii="Calibri" w:hAnsi="Calibri"/>
                <w:color w:val="000000"/>
                <w:sz w:val="17"/>
              </w:rPr>
              <w:t>Runtime reuse instead of per-layer IP</w:t>
            </w:r>
          </w:p>
        </w:tc>
        <w:tc>
          <w:tcPr>
            <w:tcW w:type="dxa" w:w="3600"/>
          </w:tcPr>
          <w:p>
            <w:pPr>
              <w:spacing w:after="0"/>
              <w:jc w:val="left"/>
            </w:pPr>
            <w:r>
              <w:rPr>
                <w:rFonts w:ascii="Calibri" w:hAnsi="Calibri"/>
                <w:color w:val="000000"/>
                <w:sz w:val="17"/>
              </w:rPr>
              <w:t>Keeps one reusable engine and changes layer parameters through AXI-Lite registers, avoiding a one-IP-per-layer architecture.</w:t>
            </w:r>
          </w:p>
        </w:tc>
        <w:tc>
          <w:tcPr>
            <w:tcW w:type="dxa" w:w="3816"/>
          </w:tcPr>
          <w:p>
            <w:pPr>
              <w:spacing w:after="0"/>
              <w:jc w:val="left"/>
            </w:pPr>
            <w:r>
              <w:rPr>
                <w:rFonts w:ascii="Calibri" w:hAnsi="Calibri"/>
                <w:color w:val="000000"/>
                <w:sz w:val="17"/>
              </w:rPr>
              <w:t>Engine supports runtime Conv1x1/Conv3x3 selection and the layer22 1x1/3x3 golden cases.</w:t>
            </w:r>
          </w:p>
        </w:tc>
      </w:tr>
      <w:tr>
        <w:tc>
          <w:tcPr>
            <w:tcW w:type="dxa" w:w="1944"/>
          </w:tcPr>
          <w:p>
            <w:pPr>
              <w:spacing w:after="0"/>
              <w:jc w:val="left"/>
            </w:pPr>
            <w:r>
              <w:rPr>
                <w:rFonts w:ascii="Calibri" w:hAnsi="Calibri"/>
                <w:color w:val="000000"/>
                <w:sz w:val="17"/>
              </w:rPr>
              <w:t>PYNQ-aware resource target</w:t>
            </w:r>
          </w:p>
        </w:tc>
        <w:tc>
          <w:tcPr>
            <w:tcW w:type="dxa" w:w="3600"/>
          </w:tcPr>
          <w:p>
            <w:pPr>
              <w:spacing w:after="0"/>
              <w:jc w:val="left"/>
            </w:pPr>
            <w:r>
              <w:rPr>
                <w:rFonts w:ascii="Calibri" w:hAnsi="Calibri"/>
                <w:color w:val="000000"/>
                <w:sz w:val="17"/>
              </w:rPr>
              <w:t>Optimizes for a running full-system path, not only isolated kernel latency, so DSP headroom is preserved for control/interconnect and future blocks.</w:t>
            </w:r>
          </w:p>
        </w:tc>
        <w:tc>
          <w:tcPr>
            <w:tcW w:type="dxa" w:w="3816"/>
          </w:tcPr>
          <w:p>
            <w:pPr>
              <w:spacing w:after="0"/>
              <w:jc w:val="left"/>
            </w:pPr>
            <w:r>
              <w:rPr>
                <w:rFonts w:ascii="Calibri" w:hAnsi="Calibri"/>
                <w:color w:val="000000"/>
                <w:sz w:val="17"/>
              </w:rPr>
              <w:t>INT8 LUT-multiplier implementation uses 19.09% DSP on PYNQ-Z2.</w:t>
            </w:r>
          </w:p>
        </w:tc>
      </w:tr>
    </w:tbl>
    <w:p>
      <w:pPr>
        <w:pStyle w:val="Heading1"/>
      </w:pPr>
      <w:r>
        <w:t>5. Required QAT INT8 Handoff From Software Track</w:t>
      </w:r>
    </w:p>
    <w:p>
      <w:r>
        <w:rPr>
          <w:b/>
        </w:rPr>
        <w:t xml:space="preserve">Target for next week. </w:t>
      </w:r>
      <w:r>
        <w:t>The hardware INT8 interface is ready for final-style values. The next blocker is receiving a QAT INT8 model package whose tensors and quantization metadata can be plugged into the HLS testbench and then the PYNQ driver.</w:t>
      </w:r>
    </w:p>
    <w:tbl>
      <w:tblPr>
        <w:tblStyle w:val="TableGrid"/>
        <w:tblW w:type="dxa" w:w="9360"/>
        <w:jc w:val="center"/>
        <w:tblLayout w:type="fixed"/>
        <w:tblLook w:firstColumn="1" w:firstRow="1" w:lastColumn="0" w:lastRow="0" w:noHBand="0" w:noVBand="1" w:val="04A0"/>
        <w:tblInd w:type="dxa" w:w="120"/>
      </w:tblPr>
      <w:tblGrid>
        <w:gridCol w:w="1944"/>
        <w:gridCol w:w="2376"/>
        <w:gridCol w:w="5040"/>
      </w:tblGrid>
      <w:tr>
        <w:trPr>
          <w:tblHeader w:val="true"/>
        </w:trPr>
        <w:tc>
          <w:tcPr>
            <w:tcW w:type="dxa" w:w="1944"/>
            <w:vAlign w:val="center"/>
            <w:tcMar>
              <w:top w:w="80" w:type="dxa"/>
              <w:start w:w="120" w:type="dxa"/>
              <w:bottom w:w="80" w:type="dxa"/>
              <w:end w:w="120" w:type="dxa"/>
            </w:tcMar>
            <w:shd w:fill="E8EEF5"/>
          </w:tcPr>
          <w:p>
            <w:pPr>
              <w:spacing w:after="0"/>
              <w:jc w:val="center"/>
            </w:pPr>
            <w:r>
              <w:rPr>
                <w:rFonts w:ascii="Calibri" w:hAnsi="Calibri"/>
                <w:b/>
                <w:color w:val="0B2545"/>
                <w:sz w:val="18"/>
              </w:rPr>
              <w:t>Needed item</w:t>
            </w:r>
          </w:p>
        </w:tc>
        <w:tc>
          <w:tcPr>
            <w:tcW w:type="dxa" w:w="2376"/>
            <w:vAlign w:val="center"/>
            <w:tcMar>
              <w:top w:w="80" w:type="dxa"/>
              <w:start w:w="120" w:type="dxa"/>
              <w:bottom w:w="80" w:type="dxa"/>
              <w:end w:w="120" w:type="dxa"/>
            </w:tcMar>
            <w:shd w:fill="E8EEF5"/>
          </w:tcPr>
          <w:p>
            <w:pPr>
              <w:spacing w:after="0"/>
              <w:jc w:val="center"/>
            </w:pPr>
            <w:r>
              <w:rPr>
                <w:rFonts w:ascii="Calibri" w:hAnsi="Calibri"/>
                <w:b/>
                <w:color w:val="0B2545"/>
                <w:sz w:val="18"/>
              </w:rPr>
              <w:t>Preferred format</w:t>
            </w:r>
          </w:p>
        </w:tc>
        <w:tc>
          <w:tcPr>
            <w:tcW w:type="dxa" w:w="5040"/>
            <w:vAlign w:val="center"/>
            <w:tcMar>
              <w:top w:w="80" w:type="dxa"/>
              <w:start w:w="120" w:type="dxa"/>
              <w:bottom w:w="80" w:type="dxa"/>
              <w:end w:w="120" w:type="dxa"/>
            </w:tcMar>
            <w:shd w:fill="E8EEF5"/>
          </w:tcPr>
          <w:p>
            <w:pPr>
              <w:spacing w:after="0"/>
              <w:jc w:val="center"/>
            </w:pPr>
            <w:r>
              <w:rPr>
                <w:rFonts w:ascii="Calibri" w:hAnsi="Calibri"/>
                <w:b/>
                <w:color w:val="0B2545"/>
                <w:sz w:val="18"/>
              </w:rPr>
              <w:t>Why hardware needs it</w:t>
            </w:r>
          </w:p>
        </w:tc>
      </w:tr>
      <w:tr>
        <w:tc>
          <w:tcPr>
            <w:tcW w:type="dxa" w:w="1944"/>
          </w:tcPr>
          <w:p>
            <w:pPr>
              <w:spacing w:after="0"/>
              <w:jc w:val="left"/>
            </w:pPr>
            <w:r>
              <w:rPr>
                <w:rFonts w:ascii="Calibri" w:hAnsi="Calibri"/>
                <w:color w:val="000000"/>
                <w:sz w:val="17"/>
              </w:rPr>
              <w:t>QAT model checkpoint</w:t>
            </w:r>
          </w:p>
        </w:tc>
        <w:tc>
          <w:tcPr>
            <w:tcW w:type="dxa" w:w="2376"/>
          </w:tcPr>
          <w:p>
            <w:pPr>
              <w:spacing w:after="0"/>
              <w:jc w:val="left"/>
            </w:pPr>
            <w:r>
              <w:rPr>
                <w:rFonts w:ascii="Calibri" w:hAnsi="Calibri"/>
                <w:color w:val="000000"/>
                <w:sz w:val="17"/>
              </w:rPr>
              <w:t>.pt or .pth plus model config</w:t>
            </w:r>
          </w:p>
        </w:tc>
        <w:tc>
          <w:tcPr>
            <w:tcW w:type="dxa" w:w="5040"/>
          </w:tcPr>
          <w:p>
            <w:pPr>
              <w:spacing w:after="0"/>
              <w:jc w:val="left"/>
            </w:pPr>
            <w:r>
              <w:rPr>
                <w:rFonts w:ascii="Calibri" w:hAnsi="Calibri"/>
                <w:color w:val="000000"/>
                <w:sz w:val="17"/>
              </w:rPr>
              <w:t>Confirms the exact trained/pruned architecture, layer names, channel counts, and activation policy.</w:t>
            </w:r>
          </w:p>
        </w:tc>
      </w:tr>
      <w:tr>
        <w:tc>
          <w:tcPr>
            <w:tcW w:type="dxa" w:w="1944"/>
          </w:tcPr>
          <w:p>
            <w:pPr>
              <w:spacing w:after="0"/>
              <w:jc w:val="left"/>
            </w:pPr>
            <w:r>
              <w:rPr>
                <w:rFonts w:ascii="Calibri" w:hAnsi="Calibri"/>
                <w:color w:val="000000"/>
                <w:sz w:val="17"/>
              </w:rPr>
              <w:t>Exported INT8 ONNX</w:t>
            </w:r>
          </w:p>
        </w:tc>
        <w:tc>
          <w:tcPr>
            <w:tcW w:type="dxa" w:w="2376"/>
          </w:tcPr>
          <w:p>
            <w:pPr>
              <w:spacing w:after="0"/>
              <w:jc w:val="left"/>
            </w:pPr>
            <w:r>
              <w:rPr>
                <w:rFonts w:ascii="Calibri" w:hAnsi="Calibri"/>
                <w:color w:val="000000"/>
                <w:sz w:val="17"/>
              </w:rPr>
              <w:t>.onnx with Q/DQ nodes or equivalent quant metadata</w:t>
            </w:r>
          </w:p>
        </w:tc>
        <w:tc>
          <w:tcPr>
            <w:tcW w:type="dxa" w:w="5040"/>
          </w:tcPr>
          <w:p>
            <w:pPr>
              <w:spacing w:after="0"/>
              <w:jc w:val="left"/>
            </w:pPr>
            <w:r>
              <w:rPr>
                <w:rFonts w:ascii="Calibri" w:hAnsi="Calibri"/>
                <w:color w:val="000000"/>
                <w:sz w:val="17"/>
              </w:rPr>
              <w:t>Provides a portable model graph and lets hardware mapping stay synchronized with the software model.</w:t>
            </w:r>
          </w:p>
        </w:tc>
      </w:tr>
      <w:tr>
        <w:tc>
          <w:tcPr>
            <w:tcW w:type="dxa" w:w="1944"/>
          </w:tcPr>
          <w:p>
            <w:pPr>
              <w:spacing w:after="0"/>
              <w:jc w:val="left"/>
            </w:pPr>
            <w:r>
              <w:rPr>
                <w:rFonts w:ascii="Calibri" w:hAnsi="Calibri"/>
                <w:color w:val="000000"/>
                <w:sz w:val="17"/>
              </w:rPr>
              <w:t>Per-layer INT8 weights</w:t>
            </w:r>
          </w:p>
        </w:tc>
        <w:tc>
          <w:tcPr>
            <w:tcW w:type="dxa" w:w="2376"/>
          </w:tcPr>
          <w:p>
            <w:pPr>
              <w:spacing w:after="0"/>
              <w:jc w:val="left"/>
            </w:pPr>
            <w:r>
              <w:rPr>
                <w:rFonts w:ascii="Calibri" w:hAnsi="Calibri"/>
                <w:color w:val="000000"/>
                <w:sz w:val="17"/>
              </w:rPr>
              <w:t>.npz or raw binary, OIHW layout, signed int8</w:t>
            </w:r>
          </w:p>
        </w:tc>
        <w:tc>
          <w:tcPr>
            <w:tcW w:type="dxa" w:w="5040"/>
          </w:tcPr>
          <w:p>
            <w:pPr>
              <w:spacing w:after="0"/>
              <w:jc w:val="left"/>
            </w:pPr>
            <w:r>
              <w:rPr>
                <w:rFonts w:ascii="Calibri" w:hAnsi="Calibri"/>
                <w:color w:val="000000"/>
                <w:sz w:val="17"/>
              </w:rPr>
              <w:t>Direct input for hardware weight memory and CSim/PYNQ tests.</w:t>
            </w:r>
          </w:p>
        </w:tc>
      </w:tr>
      <w:tr>
        <w:tc>
          <w:tcPr>
            <w:tcW w:type="dxa" w:w="1944"/>
          </w:tcPr>
          <w:p>
            <w:pPr>
              <w:spacing w:after="0"/>
              <w:jc w:val="left"/>
            </w:pPr>
            <w:r>
              <w:rPr>
                <w:rFonts w:ascii="Calibri" w:hAnsi="Calibri"/>
                <w:color w:val="000000"/>
                <w:sz w:val="17"/>
              </w:rPr>
              <w:t>Bias values</w:t>
            </w:r>
          </w:p>
        </w:tc>
        <w:tc>
          <w:tcPr>
            <w:tcW w:type="dxa" w:w="2376"/>
          </w:tcPr>
          <w:p>
            <w:pPr>
              <w:spacing w:after="0"/>
              <w:jc w:val="left"/>
            </w:pPr>
            <w:r>
              <w:rPr>
                <w:rFonts w:ascii="Calibri" w:hAnsi="Calibri"/>
                <w:color w:val="000000"/>
                <w:sz w:val="17"/>
              </w:rPr>
              <w:t>Signed int32 per output channel, already in accumulator units</w:t>
            </w:r>
          </w:p>
        </w:tc>
        <w:tc>
          <w:tcPr>
            <w:tcW w:type="dxa" w:w="5040"/>
          </w:tcPr>
          <w:p>
            <w:pPr>
              <w:spacing w:after="0"/>
              <w:jc w:val="left"/>
            </w:pPr>
            <w:r>
              <w:rPr>
                <w:rFonts w:ascii="Calibri" w:hAnsi="Calibri"/>
                <w:color w:val="000000"/>
                <w:sz w:val="17"/>
              </w:rPr>
              <w:t>Avoids ambiguity in fixed-point scaling and matches the hardware accumulator path.</w:t>
            </w:r>
          </w:p>
        </w:tc>
      </w:tr>
      <w:tr>
        <w:tc>
          <w:tcPr>
            <w:tcW w:type="dxa" w:w="1944"/>
          </w:tcPr>
          <w:p>
            <w:pPr>
              <w:spacing w:after="0"/>
              <w:jc w:val="left"/>
            </w:pPr>
            <w:r>
              <w:rPr>
                <w:rFonts w:ascii="Calibri" w:hAnsi="Calibri"/>
                <w:color w:val="000000"/>
                <w:sz w:val="17"/>
              </w:rPr>
              <w:t>Activation tensors</w:t>
            </w:r>
          </w:p>
        </w:tc>
        <w:tc>
          <w:tcPr>
            <w:tcW w:type="dxa" w:w="2376"/>
          </w:tcPr>
          <w:p>
            <w:pPr>
              <w:spacing w:after="0"/>
              <w:jc w:val="left"/>
            </w:pPr>
            <w:r>
              <w:rPr>
                <w:rFonts w:ascii="Calibri" w:hAnsi="Calibri"/>
                <w:color w:val="000000"/>
                <w:sz w:val="17"/>
              </w:rPr>
              <w:t>Representative input/output tensors in NCHW layout</w:t>
            </w:r>
          </w:p>
        </w:tc>
        <w:tc>
          <w:tcPr>
            <w:tcW w:type="dxa" w:w="5040"/>
          </w:tcPr>
          <w:p>
            <w:pPr>
              <w:spacing w:after="0"/>
              <w:jc w:val="left"/>
            </w:pPr>
            <w:r>
              <w:rPr>
                <w:rFonts w:ascii="Calibri" w:hAnsi="Calibri"/>
                <w:color w:val="000000"/>
                <w:sz w:val="17"/>
              </w:rPr>
              <w:t>Allows golden tensor validation for selected Conv1x1 and Conv3x3 layers.</w:t>
            </w:r>
          </w:p>
        </w:tc>
      </w:tr>
      <w:tr>
        <w:tc>
          <w:tcPr>
            <w:tcW w:type="dxa" w:w="1944"/>
          </w:tcPr>
          <w:p>
            <w:pPr>
              <w:spacing w:after="0"/>
              <w:jc w:val="left"/>
            </w:pPr>
            <w:r>
              <w:rPr>
                <w:rFonts w:ascii="Calibri" w:hAnsi="Calibri"/>
                <w:color w:val="000000"/>
                <w:sz w:val="17"/>
              </w:rPr>
              <w:t>Quantization parameters</w:t>
            </w:r>
          </w:p>
        </w:tc>
        <w:tc>
          <w:tcPr>
            <w:tcW w:type="dxa" w:w="2376"/>
          </w:tcPr>
          <w:p>
            <w:pPr>
              <w:spacing w:after="0"/>
              <w:jc w:val="left"/>
            </w:pPr>
            <w:r>
              <w:rPr>
                <w:rFonts w:ascii="Calibri" w:hAnsi="Calibri"/>
                <w:color w:val="000000"/>
                <w:sz w:val="17"/>
              </w:rPr>
              <w:t>Input/output scales, zero-points, per-channel weight scales, requant multipliers and shifts</w:t>
            </w:r>
          </w:p>
        </w:tc>
        <w:tc>
          <w:tcPr>
            <w:tcW w:type="dxa" w:w="5040"/>
          </w:tcPr>
          <w:p>
            <w:pPr>
              <w:spacing w:after="0"/>
              <w:jc w:val="left"/>
            </w:pPr>
            <w:r>
              <w:rPr>
                <w:rFonts w:ascii="Calibri" w:hAnsi="Calibri"/>
                <w:color w:val="000000"/>
                <w:sz w:val="17"/>
              </w:rPr>
              <w:t>Needed to reproduce QAT inference numerically in the FPGA engine.</w:t>
            </w:r>
          </w:p>
        </w:tc>
      </w:tr>
      <w:tr>
        <w:tc>
          <w:tcPr>
            <w:tcW w:type="dxa" w:w="1944"/>
          </w:tcPr>
          <w:p>
            <w:pPr>
              <w:spacing w:after="0"/>
              <w:jc w:val="left"/>
            </w:pPr>
            <w:r>
              <w:rPr>
                <w:rFonts w:ascii="Calibri" w:hAnsi="Calibri"/>
                <w:color w:val="000000"/>
                <w:sz w:val="17"/>
              </w:rPr>
              <w:t>Preprocessing details</w:t>
            </w:r>
          </w:p>
        </w:tc>
        <w:tc>
          <w:tcPr>
            <w:tcW w:type="dxa" w:w="2376"/>
          </w:tcPr>
          <w:p>
            <w:pPr>
              <w:spacing w:after="0"/>
              <w:jc w:val="left"/>
            </w:pPr>
            <w:r>
              <w:rPr>
                <w:rFonts w:ascii="Calibri" w:hAnsi="Calibri"/>
                <w:color w:val="000000"/>
                <w:sz w:val="17"/>
              </w:rPr>
              <w:t>Image size, letterbox/pad policy, normalization, channel order</w:t>
            </w:r>
          </w:p>
        </w:tc>
        <w:tc>
          <w:tcPr>
            <w:tcW w:type="dxa" w:w="5040"/>
          </w:tcPr>
          <w:p>
            <w:pPr>
              <w:spacing w:after="0"/>
              <w:jc w:val="left"/>
            </w:pPr>
            <w:r>
              <w:rPr>
                <w:rFonts w:ascii="Calibri" w:hAnsi="Calibri"/>
                <w:color w:val="000000"/>
                <w:sz w:val="17"/>
              </w:rPr>
              <w:t>Prevents mismatch between software tensors and hardware input buffers.</w:t>
            </w:r>
          </w:p>
        </w:tc>
      </w:tr>
      <w:tr>
        <w:tc>
          <w:tcPr>
            <w:tcW w:type="dxa" w:w="1944"/>
          </w:tcPr>
          <w:p>
            <w:pPr>
              <w:spacing w:after="0"/>
              <w:jc w:val="left"/>
            </w:pPr>
            <w:r>
              <w:rPr>
                <w:rFonts w:ascii="Calibri" w:hAnsi="Calibri"/>
                <w:color w:val="000000"/>
                <w:sz w:val="17"/>
              </w:rPr>
              <w:t>Accuracy report</w:t>
            </w:r>
          </w:p>
        </w:tc>
        <w:tc>
          <w:tcPr>
            <w:tcW w:type="dxa" w:w="2376"/>
          </w:tcPr>
          <w:p>
            <w:pPr>
              <w:spacing w:after="0"/>
              <w:jc w:val="left"/>
            </w:pPr>
            <w:r>
              <w:rPr>
                <w:rFonts w:ascii="Calibri" w:hAnsi="Calibri"/>
                <w:color w:val="000000"/>
                <w:sz w:val="17"/>
              </w:rPr>
              <w:t>mAP50, mAP50-95, validation set/version, calibration/QAT recipe</w:t>
            </w:r>
          </w:p>
        </w:tc>
        <w:tc>
          <w:tcPr>
            <w:tcW w:type="dxa" w:w="5040"/>
          </w:tcPr>
          <w:p>
            <w:pPr>
              <w:spacing w:after="0"/>
              <w:jc w:val="left"/>
            </w:pPr>
            <w:r>
              <w:rPr>
                <w:rFonts w:ascii="Calibri" w:hAnsi="Calibri"/>
                <w:color w:val="000000"/>
                <w:sz w:val="17"/>
              </w:rPr>
              <w:t>Confirms that DSP reduction does not destroy model quality.</w:t>
            </w:r>
          </w:p>
        </w:tc>
      </w:tr>
      <w:tr>
        <w:tc>
          <w:tcPr>
            <w:tcW w:type="dxa" w:w="1944"/>
          </w:tcPr>
          <w:p>
            <w:pPr>
              <w:spacing w:after="0"/>
              <w:jc w:val="left"/>
            </w:pPr>
            <w:r>
              <w:rPr>
                <w:rFonts w:ascii="Calibri" w:hAnsi="Calibri"/>
                <w:color w:val="000000"/>
                <w:sz w:val="17"/>
              </w:rPr>
              <w:t>Layer mapping CSV</w:t>
            </w:r>
          </w:p>
        </w:tc>
        <w:tc>
          <w:tcPr>
            <w:tcW w:type="dxa" w:w="2376"/>
          </w:tcPr>
          <w:p>
            <w:pPr>
              <w:spacing w:after="0"/>
              <w:jc w:val="left"/>
            </w:pPr>
            <w:r>
              <w:rPr>
                <w:rFonts w:ascii="Calibri" w:hAnsi="Calibri"/>
                <w:color w:val="000000"/>
                <w:sz w:val="17"/>
              </w:rPr>
              <w:t>Layer name, type, shape, kernel, stride, padding, activation</w:t>
            </w:r>
          </w:p>
        </w:tc>
        <w:tc>
          <w:tcPr>
            <w:tcW w:type="dxa" w:w="5040"/>
          </w:tcPr>
          <w:p>
            <w:pPr>
              <w:spacing w:after="0"/>
              <w:jc w:val="left"/>
            </w:pPr>
            <w:r>
              <w:rPr>
                <w:rFonts w:ascii="Calibri" w:hAnsi="Calibri"/>
                <w:color w:val="000000"/>
                <w:sz w:val="17"/>
              </w:rPr>
              <w:t>Lets hardware scripts regenerate shapes, schedules, and golden tests without manual mapping errors.</w:t>
            </w:r>
          </w:p>
        </w:tc>
      </w:tr>
    </w:tbl>
    <w:p>
      <w:pPr>
        <w:pStyle w:val="Heading1"/>
      </w:pPr>
      <w:r>
        <w:t>6. Essential SW-Side Techniques</w:t>
      </w:r>
    </w:p>
    <w:tbl>
      <w:tblPr>
        <w:tblStyle w:val="TableGrid"/>
        <w:tblW w:type="dxa" w:w="9360"/>
        <w:jc w:val="center"/>
        <w:tblLayout w:type="fixed"/>
        <w:tblLook w:firstColumn="1" w:firstRow="1" w:lastColumn="0" w:lastRow="0" w:noHBand="0" w:noVBand="1" w:val="04A0"/>
        <w:tblInd w:type="dxa" w:w="120"/>
      </w:tblPr>
      <w:tblGrid>
        <w:gridCol w:w="2232"/>
        <w:gridCol w:w="1944"/>
        <w:gridCol w:w="5184"/>
      </w:tblGrid>
      <w:tr>
        <w:trPr>
          <w:tblHeader w:val="true"/>
        </w:trPr>
        <w:tc>
          <w:tcPr>
            <w:tcW w:type="dxa" w:w="2232"/>
            <w:vAlign w:val="center"/>
            <w:tcMar>
              <w:top w:w="80" w:type="dxa"/>
              <w:start w:w="120" w:type="dxa"/>
              <w:bottom w:w="80" w:type="dxa"/>
              <w:end w:w="120" w:type="dxa"/>
            </w:tcMar>
            <w:shd w:fill="E8EEF5"/>
          </w:tcPr>
          <w:p>
            <w:pPr>
              <w:spacing w:after="0"/>
              <w:jc w:val="center"/>
            </w:pPr>
            <w:r>
              <w:rPr>
                <w:rFonts w:ascii="Calibri" w:hAnsi="Calibri"/>
                <w:b/>
                <w:color w:val="0B2545"/>
                <w:sz w:val="18"/>
              </w:rPr>
              <w:t>SW-side technique</w:t>
            </w:r>
          </w:p>
        </w:tc>
        <w:tc>
          <w:tcPr>
            <w:tcW w:type="dxa" w:w="1944"/>
            <w:vAlign w:val="center"/>
            <w:tcMar>
              <w:top w:w="80" w:type="dxa"/>
              <w:start w:w="120" w:type="dxa"/>
              <w:bottom w:w="80" w:type="dxa"/>
              <w:end w:w="120" w:type="dxa"/>
            </w:tcMar>
            <w:shd w:fill="E8EEF5"/>
          </w:tcPr>
          <w:p>
            <w:pPr>
              <w:spacing w:after="0"/>
              <w:jc w:val="center"/>
            </w:pPr>
            <w:r>
              <w:rPr>
                <w:rFonts w:ascii="Calibri" w:hAnsi="Calibri"/>
                <w:b/>
                <w:color w:val="0B2545"/>
                <w:sz w:val="18"/>
              </w:rPr>
              <w:t>Hardware resource helped</w:t>
            </w:r>
          </w:p>
        </w:tc>
        <w:tc>
          <w:tcPr>
            <w:tcW w:type="dxa" w:w="5184"/>
            <w:vAlign w:val="center"/>
            <w:tcMar>
              <w:top w:w="80" w:type="dxa"/>
              <w:start w:w="120" w:type="dxa"/>
              <w:bottom w:w="80" w:type="dxa"/>
              <w:end w:w="120" w:type="dxa"/>
            </w:tcMar>
            <w:shd w:fill="E8EEF5"/>
          </w:tcPr>
          <w:p>
            <w:pPr>
              <w:spacing w:after="0"/>
              <w:jc w:val="center"/>
            </w:pPr>
            <w:r>
              <w:rPr>
                <w:rFonts w:ascii="Calibri" w:hAnsi="Calibri"/>
                <w:b/>
                <w:color w:val="0B2545"/>
                <w:sz w:val="18"/>
              </w:rPr>
              <w:t>Reason this is required from SW side</w:t>
            </w:r>
          </w:p>
        </w:tc>
      </w:tr>
      <w:tr>
        <w:tc>
          <w:tcPr>
            <w:tcW w:type="dxa" w:w="2232"/>
          </w:tcPr>
          <w:p>
            <w:pPr>
              <w:spacing w:after="0"/>
              <w:jc w:val="left"/>
            </w:pPr>
            <w:r>
              <w:rPr>
                <w:rFonts w:ascii="Calibri" w:hAnsi="Calibri"/>
                <w:color w:val="000000"/>
                <w:sz w:val="17"/>
              </w:rPr>
              <w:t>QAT INT8 training</w:t>
            </w:r>
          </w:p>
        </w:tc>
        <w:tc>
          <w:tcPr>
            <w:tcW w:type="dxa" w:w="1944"/>
          </w:tcPr>
          <w:p>
            <w:pPr>
              <w:spacing w:after="0"/>
              <w:jc w:val="left"/>
            </w:pPr>
            <w:r>
              <w:rPr>
                <w:rFonts w:ascii="Calibri" w:hAnsi="Calibri"/>
                <w:color w:val="000000"/>
                <w:sz w:val="17"/>
              </w:rPr>
              <w:t>DSP, DDR bandwidth, model accuracy under INT8</w:t>
            </w:r>
          </w:p>
        </w:tc>
        <w:tc>
          <w:tcPr>
            <w:tcW w:type="dxa" w:w="5184"/>
          </w:tcPr>
          <w:p>
            <w:pPr>
              <w:spacing w:after="0"/>
              <w:jc w:val="left"/>
            </w:pPr>
            <w:r>
              <w:rPr>
                <w:rFonts w:ascii="Calibri" w:hAnsi="Calibri"/>
                <w:color w:val="000000"/>
                <w:sz w:val="17"/>
              </w:rPr>
              <w:t>Post-training fake INT8 tests are not enough; hardware needs a model trained to tolerate 8-bit activations/weights.</w:t>
            </w:r>
          </w:p>
        </w:tc>
      </w:tr>
      <w:tr>
        <w:tc>
          <w:tcPr>
            <w:tcW w:type="dxa" w:w="2232"/>
          </w:tcPr>
          <w:p>
            <w:pPr>
              <w:spacing w:after="0"/>
              <w:jc w:val="left"/>
            </w:pPr>
            <w:r>
              <w:rPr>
                <w:rFonts w:ascii="Calibri" w:hAnsi="Calibri"/>
                <w:color w:val="000000"/>
                <w:sz w:val="17"/>
              </w:rPr>
              <w:t>Input size reduction, e.g. 640 -&gt; 320 if accuracy allows</w:t>
            </w:r>
          </w:p>
        </w:tc>
        <w:tc>
          <w:tcPr>
            <w:tcW w:type="dxa" w:w="1944"/>
          </w:tcPr>
          <w:p>
            <w:pPr>
              <w:spacing w:after="0"/>
              <w:jc w:val="left"/>
            </w:pPr>
            <w:r>
              <w:rPr>
                <w:rFonts w:ascii="Calibri" w:hAnsi="Calibri"/>
                <w:color w:val="000000"/>
                <w:sz w:val="17"/>
              </w:rPr>
              <w:t>Latency, DDR traffic, activation memory</w:t>
            </w:r>
          </w:p>
        </w:tc>
        <w:tc>
          <w:tcPr>
            <w:tcW w:type="dxa" w:w="5184"/>
          </w:tcPr>
          <w:p>
            <w:pPr>
              <w:spacing w:after="0"/>
              <w:jc w:val="left"/>
            </w:pPr>
            <w:r>
              <w:rPr>
                <w:rFonts w:ascii="Calibri" w:hAnsi="Calibri"/>
                <w:color w:val="000000"/>
                <w:sz w:val="17"/>
              </w:rPr>
              <w:t>Spatial dimensions drive the number of output pixels and therefore total MACs and buffer traffic.</w:t>
            </w:r>
          </w:p>
        </w:tc>
      </w:tr>
      <w:tr>
        <w:tc>
          <w:tcPr>
            <w:tcW w:type="dxa" w:w="2232"/>
          </w:tcPr>
          <w:p>
            <w:pPr>
              <w:spacing w:after="0"/>
              <w:jc w:val="left"/>
            </w:pPr>
            <w:r>
              <w:rPr>
                <w:rFonts w:ascii="Calibri" w:hAnsi="Calibri"/>
                <w:color w:val="000000"/>
                <w:sz w:val="17"/>
              </w:rPr>
              <w:t>Structured channel pruning / width multiplier</w:t>
            </w:r>
          </w:p>
        </w:tc>
        <w:tc>
          <w:tcPr>
            <w:tcW w:type="dxa" w:w="1944"/>
          </w:tcPr>
          <w:p>
            <w:pPr>
              <w:spacing w:after="0"/>
              <w:jc w:val="left"/>
            </w:pPr>
            <w:r>
              <w:rPr>
                <w:rFonts w:ascii="Calibri" w:hAnsi="Calibri"/>
                <w:color w:val="000000"/>
                <w:sz w:val="17"/>
              </w:rPr>
              <w:t>BRAM, DSP, LUT/FF, latency</w:t>
            </w:r>
          </w:p>
        </w:tc>
        <w:tc>
          <w:tcPr>
            <w:tcW w:type="dxa" w:w="5184"/>
          </w:tcPr>
          <w:p>
            <w:pPr>
              <w:spacing w:after="0"/>
              <w:jc w:val="left"/>
            </w:pPr>
            <w:r>
              <w:rPr>
                <w:rFonts w:ascii="Calibri" w:hAnsi="Calibri"/>
                <w:color w:val="000000"/>
                <w:sz w:val="17"/>
              </w:rPr>
              <w:t>Channel counts drive local weight storage and multiply count; structured pruning can reduce compile-time hardware bounds.</w:t>
            </w:r>
          </w:p>
        </w:tc>
      </w:tr>
      <w:tr>
        <w:tc>
          <w:tcPr>
            <w:tcW w:type="dxa" w:w="2232"/>
          </w:tcPr>
          <w:p>
            <w:pPr>
              <w:spacing w:after="0"/>
              <w:jc w:val="left"/>
            </w:pPr>
            <w:r>
              <w:rPr>
                <w:rFonts w:ascii="Calibri" w:hAnsi="Calibri"/>
                <w:color w:val="000000"/>
                <w:sz w:val="17"/>
              </w:rPr>
              <w:t>Channel alignment to 16/32 where possible</w:t>
            </w:r>
          </w:p>
        </w:tc>
        <w:tc>
          <w:tcPr>
            <w:tcW w:type="dxa" w:w="1944"/>
          </w:tcPr>
          <w:p>
            <w:pPr>
              <w:spacing w:after="0"/>
              <w:jc w:val="left"/>
            </w:pPr>
            <w:r>
              <w:rPr>
                <w:rFonts w:ascii="Calibri" w:hAnsi="Calibri"/>
                <w:color w:val="000000"/>
                <w:sz w:val="17"/>
              </w:rPr>
              <w:t>Lane utilization and latency</w:t>
            </w:r>
          </w:p>
        </w:tc>
        <w:tc>
          <w:tcPr>
            <w:tcW w:type="dxa" w:w="5184"/>
          </w:tcPr>
          <w:p>
            <w:pPr>
              <w:spacing w:after="0"/>
              <w:jc w:val="left"/>
            </w:pPr>
            <w:r>
              <w:rPr>
                <w:rFonts w:ascii="Calibri" w:hAnsi="Calibri"/>
                <w:color w:val="000000"/>
                <w:sz w:val="17"/>
              </w:rPr>
              <w:t>Avoids wasting parallel output lanes and reduces tail-channel overhead.</w:t>
            </w:r>
          </w:p>
        </w:tc>
      </w:tr>
      <w:tr>
        <w:tc>
          <w:tcPr>
            <w:tcW w:type="dxa" w:w="2232"/>
          </w:tcPr>
          <w:p>
            <w:pPr>
              <w:spacing w:after="0"/>
              <w:jc w:val="left"/>
            </w:pPr>
            <w:r>
              <w:rPr>
                <w:rFonts w:ascii="Calibri" w:hAnsi="Calibri"/>
                <w:color w:val="000000"/>
                <w:sz w:val="17"/>
              </w:rPr>
              <w:t>BatchNorm folded into Conv</w:t>
            </w:r>
          </w:p>
        </w:tc>
        <w:tc>
          <w:tcPr>
            <w:tcW w:type="dxa" w:w="1944"/>
          </w:tcPr>
          <w:p>
            <w:pPr>
              <w:spacing w:after="0"/>
              <w:jc w:val="left"/>
            </w:pPr>
            <w:r>
              <w:rPr>
                <w:rFonts w:ascii="Calibri" w:hAnsi="Calibri"/>
                <w:color w:val="000000"/>
                <w:sz w:val="17"/>
              </w:rPr>
              <w:t>Runtime operations and memory traffic</w:t>
            </w:r>
          </w:p>
        </w:tc>
        <w:tc>
          <w:tcPr>
            <w:tcW w:type="dxa" w:w="5184"/>
          </w:tcPr>
          <w:p>
            <w:pPr>
              <w:spacing w:after="0"/>
              <w:jc w:val="left"/>
            </w:pPr>
            <w:r>
              <w:rPr>
                <w:rFonts w:ascii="Calibri" w:hAnsi="Calibri"/>
                <w:color w:val="000000"/>
                <w:sz w:val="17"/>
              </w:rPr>
              <w:t>Hardware should receive fused weights/bias so it does not implement separate BN layers.</w:t>
            </w:r>
          </w:p>
        </w:tc>
      </w:tr>
      <w:tr>
        <w:tc>
          <w:tcPr>
            <w:tcW w:type="dxa" w:w="2232"/>
          </w:tcPr>
          <w:p>
            <w:pPr>
              <w:spacing w:after="0"/>
              <w:jc w:val="left"/>
            </w:pPr>
            <w:r>
              <w:rPr>
                <w:rFonts w:ascii="Calibri" w:hAnsi="Calibri"/>
                <w:color w:val="000000"/>
                <w:sz w:val="17"/>
              </w:rPr>
              <w:t>Simpler activation policy or activation clipping</w:t>
            </w:r>
          </w:p>
        </w:tc>
        <w:tc>
          <w:tcPr>
            <w:tcW w:type="dxa" w:w="1944"/>
          </w:tcPr>
          <w:p>
            <w:pPr>
              <w:spacing w:after="0"/>
              <w:jc w:val="left"/>
            </w:pPr>
            <w:r>
              <w:rPr>
                <w:rFonts w:ascii="Calibri" w:hAnsi="Calibri"/>
                <w:color w:val="000000"/>
                <w:sz w:val="17"/>
              </w:rPr>
              <w:t>LUT/logic, quantization accuracy</w:t>
            </w:r>
          </w:p>
        </w:tc>
        <w:tc>
          <w:tcPr>
            <w:tcW w:type="dxa" w:w="5184"/>
          </w:tcPr>
          <w:p>
            <w:pPr>
              <w:spacing w:after="0"/>
              <w:jc w:val="left"/>
            </w:pPr>
            <w:r>
              <w:rPr>
                <w:rFonts w:ascii="Calibri" w:hAnsi="Calibri"/>
                <w:color w:val="000000"/>
                <w:sz w:val="17"/>
              </w:rPr>
              <w:t>SiLU is more expensive than ReLU/clamp-style activations; clipping also improves INT8 range control.</w:t>
            </w:r>
          </w:p>
        </w:tc>
      </w:tr>
      <w:tr>
        <w:tc>
          <w:tcPr>
            <w:tcW w:type="dxa" w:w="2232"/>
          </w:tcPr>
          <w:p>
            <w:pPr>
              <w:spacing w:after="0"/>
              <w:jc w:val="left"/>
            </w:pPr>
            <w:r>
              <w:rPr>
                <w:rFonts w:ascii="Calibri" w:hAnsi="Calibri"/>
                <w:color w:val="000000"/>
                <w:sz w:val="17"/>
              </w:rPr>
              <w:t>Reduce deep-layer channel caps</w:t>
            </w:r>
          </w:p>
        </w:tc>
        <w:tc>
          <w:tcPr>
            <w:tcW w:type="dxa" w:w="1944"/>
          </w:tcPr>
          <w:p>
            <w:pPr>
              <w:spacing w:after="0"/>
              <w:jc w:val="left"/>
            </w:pPr>
            <w:r>
              <w:rPr>
                <w:rFonts w:ascii="Calibri" w:hAnsi="Calibri"/>
                <w:color w:val="000000"/>
                <w:sz w:val="17"/>
              </w:rPr>
              <w:t>BRAM, weight storage, latency</w:t>
            </w:r>
          </w:p>
        </w:tc>
        <w:tc>
          <w:tcPr>
            <w:tcW w:type="dxa" w:w="5184"/>
          </w:tcPr>
          <w:p>
            <w:pPr>
              <w:spacing w:after="0"/>
              <w:jc w:val="left"/>
            </w:pPr>
            <w:r>
              <w:rPr>
                <w:rFonts w:ascii="Calibri" w:hAnsi="Calibri"/>
                <w:color w:val="000000"/>
                <w:sz w:val="17"/>
              </w:rPr>
              <w:t>High-channel deeper layers dominate local weight buffers and MAC count.</w:t>
            </w:r>
          </w:p>
        </w:tc>
      </w:tr>
      <w:tr>
        <w:tc>
          <w:tcPr>
            <w:tcW w:type="dxa" w:w="2232"/>
          </w:tcPr>
          <w:p>
            <w:pPr>
              <w:spacing w:after="0"/>
              <w:jc w:val="left"/>
            </w:pPr>
            <w:r>
              <w:rPr>
                <w:rFonts w:ascii="Calibri" w:hAnsi="Calibri"/>
                <w:color w:val="000000"/>
                <w:sz w:val="17"/>
              </w:rPr>
              <w:t>Reduce C3K2/CSP repeat depth if accuracy permits</w:t>
            </w:r>
          </w:p>
        </w:tc>
        <w:tc>
          <w:tcPr>
            <w:tcW w:type="dxa" w:w="1944"/>
          </w:tcPr>
          <w:p>
            <w:pPr>
              <w:spacing w:after="0"/>
              <w:jc w:val="left"/>
            </w:pPr>
            <w:r>
              <w:rPr>
                <w:rFonts w:ascii="Calibri" w:hAnsi="Calibri"/>
                <w:color w:val="000000"/>
                <w:sz w:val="17"/>
              </w:rPr>
              <w:t>Latency, weights, DDR transfers</w:t>
            </w:r>
          </w:p>
        </w:tc>
        <w:tc>
          <w:tcPr>
            <w:tcW w:type="dxa" w:w="5184"/>
          </w:tcPr>
          <w:p>
            <w:pPr>
              <w:spacing w:after="0"/>
              <w:jc w:val="left"/>
            </w:pPr>
            <w:r>
              <w:rPr>
                <w:rFonts w:ascii="Calibri" w:hAnsi="Calibri"/>
                <w:color w:val="000000"/>
                <w:sz w:val="17"/>
              </w:rPr>
              <w:t>Fewer repeated blocks means fewer accelerator calls and less intermediate feature-map movement.</w:t>
            </w:r>
          </w:p>
        </w:tc>
      </w:tr>
      <w:tr>
        <w:tc>
          <w:tcPr>
            <w:tcW w:type="dxa" w:w="2232"/>
          </w:tcPr>
          <w:p>
            <w:pPr>
              <w:spacing w:after="0"/>
              <w:jc w:val="left"/>
            </w:pPr>
            <w:r>
              <w:rPr>
                <w:rFonts w:ascii="Calibri" w:hAnsi="Calibri"/>
                <w:color w:val="000000"/>
                <w:sz w:val="17"/>
              </w:rPr>
              <w:t>Depthwise-separable replacement for selected 3x3 convs</w:t>
            </w:r>
          </w:p>
        </w:tc>
        <w:tc>
          <w:tcPr>
            <w:tcW w:type="dxa" w:w="1944"/>
          </w:tcPr>
          <w:p>
            <w:pPr>
              <w:spacing w:after="0"/>
              <w:jc w:val="left"/>
            </w:pPr>
            <w:r>
              <w:rPr>
                <w:rFonts w:ascii="Calibri" w:hAnsi="Calibri"/>
                <w:color w:val="000000"/>
                <w:sz w:val="17"/>
              </w:rPr>
              <w:t>MAC count and weights</w:t>
            </w:r>
          </w:p>
        </w:tc>
        <w:tc>
          <w:tcPr>
            <w:tcW w:type="dxa" w:w="5184"/>
          </w:tcPr>
          <w:p>
            <w:pPr>
              <w:spacing w:after="0"/>
              <w:jc w:val="left"/>
            </w:pPr>
            <w:r>
              <w:rPr>
                <w:rFonts w:ascii="Calibri" w:hAnsi="Calibri"/>
                <w:color w:val="000000"/>
                <w:sz w:val="17"/>
              </w:rPr>
              <w:t>Dense 3x3 layers are expensive; depthwise-separable convs can reduce compute if the model remains accurate and hardware support is added.</w:t>
            </w:r>
          </w:p>
        </w:tc>
      </w:tr>
    </w:tbl>
    <w:p>
      <w:pPr>
        <w:pStyle w:val="Heading1"/>
      </w:pPr>
      <w:r>
        <w:t>7. Targets for Next Week</w:t>
      </w:r>
    </w:p>
    <w:p>
      <w:pPr>
        <w:pStyle w:val="ListBullet"/>
        <w:spacing w:after="80"/>
        <w:ind w:left="720" w:hanging="360"/>
      </w:pPr>
      <w:r>
        <w:rPr>
          <w:rFonts w:ascii="Calibri" w:hAnsi="Calibri"/>
          <w:color w:val="000000"/>
          <w:sz w:val="21"/>
        </w:rPr>
        <w:t>Coordinate with the SW intern and supervisor to define the exact QAT INT8 handoff package listed above.</w:t>
      </w:r>
    </w:p>
    <w:p>
      <w:pPr>
        <w:pStyle w:val="ListBullet"/>
        <w:spacing w:after="80"/>
        <w:ind w:left="720" w:hanging="360"/>
      </w:pPr>
      <w:r>
        <w:rPr>
          <w:rFonts w:ascii="Calibri" w:hAnsi="Calibri"/>
          <w:color w:val="000000"/>
          <w:sz w:val="21"/>
        </w:rPr>
        <w:t>Prepare a plug-in script/testbench path that can load QAT INT8 weights, biases, activation tensors, scales, zero-points, multipliers, and shifts without changing the HLS kernel source.</w:t>
      </w:r>
    </w:p>
    <w:p>
      <w:pPr>
        <w:pStyle w:val="ListBullet"/>
        <w:spacing w:after="80"/>
        <w:ind w:left="720" w:hanging="360"/>
      </w:pPr>
      <w:r>
        <w:rPr>
          <w:rFonts w:ascii="Calibri" w:hAnsi="Calibri"/>
          <w:color w:val="000000"/>
          <w:sz w:val="21"/>
        </w:rPr>
        <w:t>Optionally run Vivado implementation for the INT8 default-DSP unified variant so the DSP-vs-LUT tradeoff can be compared at the same evidence level.</w:t>
      </w:r>
    </w:p>
    <w:p>
      <w:pPr>
        <w:pStyle w:val="ListBullet"/>
        <w:spacing w:after="80"/>
        <w:ind w:left="720" w:hanging="360"/>
      </w:pPr>
      <w:r>
        <w:rPr>
          <w:rFonts w:ascii="Calibri" w:hAnsi="Calibri"/>
          <w:color w:val="000000"/>
          <w:sz w:val="21"/>
        </w:rPr>
        <w:t>Build fixed-shape latency wrappers for one Conv1x1 and one Conv3x3 layer if concrete per-layer INT8 cycle estimates are needed for reporting.</w:t>
      </w:r>
    </w:p>
    <w:p>
      <w:pPr>
        <w:pStyle w:val="ListBullet"/>
        <w:spacing w:after="80"/>
        <w:ind w:left="720" w:hanging="360"/>
      </w:pPr>
      <w:r>
        <w:rPr>
          <w:rFonts w:ascii="Calibri" w:hAnsi="Calibri"/>
          <w:color w:val="000000"/>
          <w:sz w:val="21"/>
        </w:rPr>
        <w:t>Start preparing the PYNQ overlay folder layout and driver checklist for the INT8 LUT-multiplier bitstream and HWH.</w:t>
      </w:r>
    </w:p>
    <w:p>
      <w:pPr>
        <w:pStyle w:val="ListBullet"/>
        <w:spacing w:after="80"/>
        <w:ind w:left="720" w:hanging="360"/>
      </w:pPr>
      <w:r>
        <w:rPr>
          <w:rFonts w:ascii="Calibri" w:hAnsi="Calibri"/>
          <w:color w:val="000000"/>
          <w:sz w:val="21"/>
        </w:rPr>
        <w:t>Continue trying to obtain board access through the NUST lab so PYNQ overlay validation can begin locally.</w:t>
      </w:r>
    </w:p>
    <w:p>
      <w:pPr>
        <w:pStyle w:val="Heading1"/>
      </w:pPr>
      <w:r>
        <w:t>8. Board Access and PYNQ Overlay Plan</w:t>
      </w:r>
    </w:p>
    <w:p>
      <w:r>
        <w:rPr>
          <w:b/>
        </w:rPr>
        <w:t xml:space="preserve">Current status. </w:t>
      </w:r>
      <w:r>
        <w:t>The unified INT8 LUT-multiplier overlay files exist, but no board execution has been performed yet. The next board-level step is to load the generated bitstream and HWH, allocate PYNQ buffers, pass real golden tensors through the accelerator, and compare the result against expected outputs.</w:t>
      </w:r>
    </w:p>
    <w:p>
      <w:r>
        <w:rPr>
          <w:b/>
        </w:rPr>
        <w:t xml:space="preserve">NUST lab plan. </w:t>
      </w:r>
      <w:r>
        <w:t>I will continue trying to get access to a PYNQ-Z2 board through a NUST lab. Once board access is available, the immediate target is correctness first: successful overlay load, register programming, buffer transfer, accelerator completion, output comparison, and then measured board latency.</w:t>
      </w:r>
    </w:p>
    <w:p>
      <w:pPr>
        <w:pStyle w:val="Heading1"/>
      </w:pPr>
      <w:r>
        <w:t>Evidence Files</w:t>
      </w:r>
    </w:p>
    <w:tbl>
      <w:tblPr>
        <w:tblStyle w:val="TableGrid"/>
        <w:tblW w:type="dxa" w:w="9360"/>
        <w:jc w:val="center"/>
        <w:tblLayout w:type="fixed"/>
        <w:tblLook w:firstColumn="1" w:firstRow="1" w:lastColumn="0" w:lastRow="0" w:noHBand="0" w:noVBand="1" w:val="04A0"/>
        <w:tblInd w:type="dxa" w:w="120"/>
      </w:tblPr>
      <w:tblGrid>
        <w:gridCol w:w="2592"/>
        <w:gridCol w:w="6768"/>
      </w:tblGrid>
      <w:tr>
        <w:trPr>
          <w:tblHeader w:val="true"/>
        </w:trPr>
        <w:tc>
          <w:tcPr>
            <w:tcW w:type="dxa" w:w="2592"/>
            <w:vAlign w:val="center"/>
            <w:tcMar>
              <w:top w:w="80" w:type="dxa"/>
              <w:start w:w="120" w:type="dxa"/>
              <w:bottom w:w="80" w:type="dxa"/>
              <w:end w:w="120" w:type="dxa"/>
            </w:tcMar>
            <w:shd w:fill="E8EEF5"/>
          </w:tcPr>
          <w:p>
            <w:pPr>
              <w:spacing w:after="0"/>
              <w:jc w:val="center"/>
            </w:pPr>
            <w:r>
              <w:rPr>
                <w:rFonts w:ascii="Calibri" w:hAnsi="Calibri"/>
                <w:b/>
                <w:color w:val="0B2545"/>
                <w:sz w:val="18"/>
              </w:rPr>
              <w:t>Artifact</w:t>
            </w:r>
          </w:p>
        </w:tc>
        <w:tc>
          <w:tcPr>
            <w:tcW w:type="dxa" w:w="6768"/>
            <w:vAlign w:val="center"/>
            <w:tcMar>
              <w:top w:w="80" w:type="dxa"/>
              <w:start w:w="120" w:type="dxa"/>
              <w:bottom w:w="80" w:type="dxa"/>
              <w:end w:w="120" w:type="dxa"/>
            </w:tcMar>
            <w:shd w:fill="E8EEF5"/>
          </w:tcPr>
          <w:p>
            <w:pPr>
              <w:spacing w:after="0"/>
              <w:jc w:val="center"/>
            </w:pPr>
            <w:r>
              <w:rPr>
                <w:rFonts w:ascii="Calibri" w:hAnsi="Calibri"/>
                <w:b/>
                <w:color w:val="0B2545"/>
                <w:sz w:val="18"/>
              </w:rPr>
              <w:t>Path</w:t>
            </w:r>
          </w:p>
        </w:tc>
      </w:tr>
      <w:tr>
        <w:tc>
          <w:tcPr>
            <w:tcW w:type="dxa" w:w="2592"/>
          </w:tcPr>
          <w:p>
            <w:pPr>
              <w:spacing w:after="0"/>
              <w:jc w:val="left"/>
            </w:pPr>
            <w:r>
              <w:rPr>
                <w:rFonts w:ascii="Calibri" w:hAnsi="Calibri"/>
                <w:color w:val="000000"/>
                <w:sz w:val="17"/>
              </w:rPr>
              <w:t>Fixed-point unified HLS evidence</w:t>
            </w:r>
          </w:p>
        </w:tc>
        <w:tc>
          <w:tcPr>
            <w:tcW w:type="dxa" w:w="6768"/>
          </w:tcPr>
          <w:p>
            <w:pPr>
              <w:spacing w:after="0"/>
              <w:jc w:val="left"/>
            </w:pPr>
            <w:r>
              <w:rPr>
                <w:rFonts w:ascii="Calibri" w:hAnsi="Calibri"/>
                <w:color w:val="000000"/>
                <w:sz w:val="17"/>
              </w:rPr>
              <w:t>YOLO26N/mio_baseline_hw/runs/hls/conv_unified_runtime_v1/README.md</w:t>
            </w:r>
          </w:p>
        </w:tc>
      </w:tr>
      <w:tr>
        <w:tc>
          <w:tcPr>
            <w:tcW w:type="dxa" w:w="2592"/>
          </w:tcPr>
          <w:p>
            <w:pPr>
              <w:spacing w:after="0"/>
              <w:jc w:val="left"/>
            </w:pPr>
            <w:r>
              <w:rPr>
                <w:rFonts w:ascii="Calibri" w:hAnsi="Calibri"/>
                <w:color w:val="000000"/>
                <w:sz w:val="17"/>
              </w:rPr>
              <w:t>INT8 unified HLS evidence</w:t>
            </w:r>
          </w:p>
        </w:tc>
        <w:tc>
          <w:tcPr>
            <w:tcW w:type="dxa" w:w="6768"/>
          </w:tcPr>
          <w:p>
            <w:pPr>
              <w:spacing w:after="0"/>
              <w:jc w:val="left"/>
            </w:pPr>
            <w:r>
              <w:rPr>
                <w:rFonts w:ascii="Calibri" w:hAnsi="Calibri"/>
                <w:color w:val="000000"/>
                <w:sz w:val="17"/>
              </w:rPr>
              <w:t>YOLO26N/mio_baseline_hw/runs/hls/conv_unified_int8_runtime_v1/README.md</w:t>
            </w:r>
          </w:p>
        </w:tc>
      </w:tr>
      <w:tr>
        <w:tc>
          <w:tcPr>
            <w:tcW w:type="dxa" w:w="2592"/>
          </w:tcPr>
          <w:p>
            <w:pPr>
              <w:spacing w:after="0"/>
              <w:jc w:val="left"/>
            </w:pPr>
            <w:r>
              <w:rPr>
                <w:rFonts w:ascii="Calibri" w:hAnsi="Calibri"/>
                <w:color w:val="000000"/>
                <w:sz w:val="17"/>
              </w:rPr>
              <w:t>INT8 LUT Vivado summary</w:t>
            </w:r>
          </w:p>
        </w:tc>
        <w:tc>
          <w:tcPr>
            <w:tcW w:type="dxa" w:w="6768"/>
          </w:tcPr>
          <w:p>
            <w:pPr>
              <w:spacing w:after="0"/>
              <w:jc w:val="left"/>
            </w:pPr>
            <w:r>
              <w:rPr>
                <w:rFonts w:ascii="Calibri" w:hAnsi="Calibri"/>
                <w:color w:val="000000"/>
                <w:sz w:val="17"/>
              </w:rPr>
              <w:t>YOLO26N/mio_baseline_hw/vivado_results/unified_int8_lutmul/README.md</w:t>
            </w:r>
          </w:p>
        </w:tc>
      </w:tr>
      <w:tr>
        <w:tc>
          <w:tcPr>
            <w:tcW w:type="dxa" w:w="2592"/>
          </w:tcPr>
          <w:p>
            <w:pPr>
              <w:spacing w:after="0"/>
              <w:jc w:val="left"/>
            </w:pPr>
            <w:r>
              <w:rPr>
                <w:rFonts w:ascii="Calibri" w:hAnsi="Calibri"/>
                <w:color w:val="000000"/>
                <w:sz w:val="17"/>
              </w:rPr>
              <w:t>INT8 LUT post-implementation CSV</w:t>
            </w:r>
          </w:p>
        </w:tc>
        <w:tc>
          <w:tcPr>
            <w:tcW w:type="dxa" w:w="6768"/>
          </w:tcPr>
          <w:p>
            <w:pPr>
              <w:spacing w:after="0"/>
              <w:jc w:val="left"/>
            </w:pPr>
            <w:r>
              <w:rPr>
                <w:rFonts w:ascii="Calibri" w:hAnsi="Calibri"/>
                <w:color w:val="000000"/>
                <w:sz w:val="17"/>
              </w:rPr>
              <w:t>YOLO26N/mio_baseline_hw/vivado_results/unified_int8_lutmul/post_implementation_summary.csv</w:t>
            </w:r>
          </w:p>
        </w:tc>
      </w:tr>
      <w:tr>
        <w:tc>
          <w:tcPr>
            <w:tcW w:type="dxa" w:w="2592"/>
          </w:tcPr>
          <w:p>
            <w:pPr>
              <w:spacing w:after="0"/>
              <w:jc w:val="left"/>
            </w:pPr>
            <w:r>
              <w:rPr>
                <w:rFonts w:ascii="Calibri" w:hAnsi="Calibri"/>
                <w:color w:val="000000"/>
                <w:sz w:val="17"/>
              </w:rPr>
              <w:t>Bitstream</w:t>
            </w:r>
          </w:p>
        </w:tc>
        <w:tc>
          <w:tcPr>
            <w:tcW w:type="dxa" w:w="6768"/>
          </w:tcPr>
          <w:p>
            <w:pPr>
              <w:spacing w:after="0"/>
              <w:jc w:val="left"/>
            </w:pPr>
            <w:r>
              <w:rPr>
                <w:rFonts w:ascii="Calibri" w:hAnsi="Calibri"/>
                <w:color w:val="000000"/>
                <w:sz w:val="17"/>
              </w:rPr>
              <w:t>YOLO26N/mio_baseline_hw/vivado_results/unified_int8_lutmul/unified_int8_lutmul.runs/impl_2/design_1_wrapper.bit</w:t>
            </w:r>
          </w:p>
        </w:tc>
      </w:tr>
      <w:tr>
        <w:tc>
          <w:tcPr>
            <w:tcW w:type="dxa" w:w="2592"/>
          </w:tcPr>
          <w:p>
            <w:pPr>
              <w:spacing w:after="0"/>
              <w:jc w:val="left"/>
            </w:pPr>
            <w:r>
              <w:rPr>
                <w:rFonts w:ascii="Calibri" w:hAnsi="Calibri"/>
                <w:color w:val="000000"/>
                <w:sz w:val="17"/>
              </w:rPr>
              <w:t>HWH</w:t>
            </w:r>
          </w:p>
        </w:tc>
        <w:tc>
          <w:tcPr>
            <w:tcW w:type="dxa" w:w="6768"/>
          </w:tcPr>
          <w:p>
            <w:pPr>
              <w:spacing w:after="0"/>
              <w:jc w:val="left"/>
            </w:pPr>
            <w:r>
              <w:rPr>
                <w:rFonts w:ascii="Calibri" w:hAnsi="Calibri"/>
                <w:color w:val="000000"/>
                <w:sz w:val="17"/>
              </w:rPr>
              <w:t>YOLO26N/mio_baseline_hw/vivado_results/unified_int8_lutmul/unified_int8_lutmul.srcs/sources_1/bd/design_1/hw_handoff/design_1.hwh</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974"/>
        <w:sz w:val="18"/>
      </w:rPr>
      <w:t>MITACS FPGA Hardware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974"/>
        <w:sz w:val="18"/>
      </w:rPr>
      <w:t>MITACS FPGA Hardware Report</w:t>
    </w:r>
    <w:r>
      <w:tab/>
    </w:r>
    <w:r>
      <w:rPr>
        <w:rFonts w:ascii="Calibri" w:hAnsi="Calibri"/>
        <w:color w:val="606974"/>
        <w:sz w:val="18"/>
      </w:rPr>
      <w:t>Unified Conv + INT8 DSP Reduction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