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(21) and</w:t>
      </w:r>
      <w:r>
        <w:t xml:space="preserve"> </w:t>
      </w:r>
      <w:r>
        <w:t xml:space="preserve">Claude (20).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points), which is real but far from fatal.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 Grouping by prompt hash and</w:t>
      </w:r>
      <w:r>
        <w:t xml:space="preserve"> </w:t>
      </w:r>
      <w:r>
        <w:rPr>
          <w:iCs/>
          <w:i/>
        </w:rPr>
        <w:t xml:space="preserve">verifying</w:t>
      </w:r>
      <w:r>
        <w:t xml:space="preserve"> </w:t>
      </w:r>
      <w:r>
        <w:t xml:space="preserve">the</w:t>
      </w:r>
      <w:r>
        <w:t xml:space="preserve"> </w:t>
      </w:r>
      <w:r>
        <w:t xml:space="preserve">disjointness changed the setup from</w:t>
      </w:r>
      <w:r>
        <w:t xml:space="preserve"> </w:t>
      </w:r>
      <w:r>
        <w:t xml:space="preserve">“</w:t>
      </w:r>
      <w:r>
        <w:t xml:space="preserve">probably fine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provably clean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Respect the compute budget.</w:t>
      </w:r>
      <w:r>
        <w:t xml:space="preserve"> </w:t>
      </w:r>
      <w:r>
        <w:t xml:space="preserve">With no GPU, a single BiLSTM epoch on</w:t>
      </w:r>
      <w:r>
        <w:t xml:space="preserve"> </w:t>
      </w:r>
      <w:r>
        <w:t xml:space="preserve">300-token sequences costs ~15 minutes. Choosing sequence lengths,</w:t>
      </w:r>
      <w:r>
        <w:t xml:space="preserve"> </w:t>
      </w:r>
      <w:r>
        <w:t xml:space="preserve">model size, and the number of configurations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launching runs is</w:t>
      </w:r>
      <w:r>
        <w:t xml:space="preserve"> </w:t>
      </w:r>
      <w:r>
        <w:t xml:space="preserve">part of the experiment design, not an afterthought; we checkpointed each</w:t>
      </w:r>
      <w:r>
        <w:t xml:space="preserve"> </w:t>
      </w:r>
      <w:r>
        <w:t xml:space="preserve">run so a long sweep could resume after interruption.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discipline.</w:t>
      </w:r>
      <w:r>
        <w:t xml:space="preserve"> </w:t>
      </w:r>
      <w:r>
        <w:t xml:space="preserve">Fixing the seed, keeping one protocol across</w:t>
      </w:r>
      <w:r>
        <w:t xml:space="preserve"> </w:t>
      </w:r>
      <w:r>
        <w:t xml:space="preserve">all six configurations, selecting models on validation macro-F1, and</w:t>
      </w:r>
      <w:r>
        <w:t xml:space="preserve"> </w:t>
      </w:r>
      <w:r>
        <w:t xml:space="preserve">touching the test set only once were small habits that made the</w:t>
      </w:r>
      <w:r>
        <w:t xml:space="preserve"> </w:t>
      </w:r>
      <w:r>
        <w:t xml:space="preserve">comparisons trustworthy.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</w:t>
      </w:r>
      <w:r>
        <w:t xml:space="preserve"> </w:t>
      </w:r>
      <w:r>
        <w:t xml:space="preserve">by the author.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2026-10-12T03:46:38Z</dcterms:created>
  <dcterms:modified xsi:type="dcterms:W3CDTF">2026-10-12T03:46:38Z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