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AFE69">
      <w:pPr>
        <w:spacing w:before="2400"/>
      </w:pPr>
    </w:p>
    <w:p w14:paraId="6969F21D">
      <w:pPr>
        <w:jc w:val="center"/>
      </w:pPr>
      <w:r>
        <w:rPr>
          <w:b/>
          <w:bCs/>
          <w:color w:val="1B2A4A"/>
          <w:sz w:val="56"/>
          <w:szCs w:val="56"/>
        </w:rPr>
        <w:t>UNDERSTANDING ICT</w:t>
      </w:r>
    </w:p>
    <w:p w14:paraId="72CA6F11">
      <w:pPr>
        <w:spacing w:before="200" w:after="200"/>
        <w:jc w:val="center"/>
      </w:pPr>
      <w:r>
        <w:rPr>
          <w:i/>
          <w:iCs/>
          <w:color w:val="555555"/>
          <w:sz w:val="28"/>
          <w:szCs w:val="28"/>
        </w:rPr>
        <w:t>A Beginner's Structured Guide to the Inner Circle Trader Methodology</w:t>
      </w:r>
    </w:p>
    <w:p w14:paraId="4777B110">
      <w:pPr>
        <w:spacing w:before="1800"/>
        <w:jc w:val="center"/>
      </w:pPr>
      <w:r>
        <w:rPr>
          <w:i/>
          <w:iCs/>
          <w:color w:val="555555"/>
          <w:sz w:val="20"/>
          <w:szCs w:val="20"/>
        </w:rPr>
        <w:t>A research-based learning text compiled from ICT-focused primary and secondary sources. Written for readers with no prior trading or charting knowledge.</w:t>
      </w:r>
    </w:p>
    <w:p w14:paraId="59D9A5ED">
      <w:r>
        <w:br w:type="page"/>
      </w:r>
    </w:p>
    <w:p w14:paraId="67CCC15C">
      <w:pPr>
        <w:pStyle w:val="2"/>
        <w:pBdr>
          <w:bottom w:val="single" w:color="1B2A4A" w:sz="12" w:space="4"/>
        </w:pBdr>
        <w:spacing w:before="480" w:after="240"/>
      </w:pPr>
      <w:r>
        <w:rPr>
          <w:b/>
          <w:bCs/>
          <w:color w:val="1B2A4A"/>
          <w:sz w:val="34"/>
          <w:szCs w:val="34"/>
        </w:rPr>
        <w:t>How to Use This Book</w:t>
      </w:r>
    </w:p>
    <w:p w14:paraId="64E56B25">
      <w:pPr>
        <w:spacing w:after="160" w:line="288" w:lineRule="auto"/>
      </w:pPr>
      <w:r>
        <w:rPr>
          <w:b w:val="0"/>
          <w:bCs w:val="0"/>
          <w:i w:val="0"/>
          <w:iCs w:val="0"/>
          <w:sz w:val="22"/>
          <w:szCs w:val="22"/>
        </w:rPr>
        <w:t>This book teaches the Inner Circle Trader (ICT) methodology from the ground up. It is organized into thirteen modules, delivered as thirteen separate documents, each building on everything that came before it. Concepts are introduced strictly in dependency order: nothing in a later module assumes knowledge that has not already been taught.</w:t>
      </w:r>
    </w:p>
    <w:p w14:paraId="5F1F7CF1">
      <w:pPr>
        <w:spacing w:after="160" w:line="288" w:lineRule="auto"/>
      </w:pPr>
      <w:r>
        <w:rPr>
          <w:b w:val="0"/>
          <w:bCs w:val="0"/>
          <w:i w:val="0"/>
          <w:iCs w:val="0"/>
          <w:sz w:val="22"/>
          <w:szCs w:val="22"/>
        </w:rPr>
        <w:t>Each major concept is presented using the same eleven-part structure: a formal definition, ICT's specific meaning, a plain-language explanation, an identification procedure, a worked numeric example, an explanation of what the concept tells a trader, its common pairings with other concepts, its place in the overall framework, common beginner mistakes, an important qualification about its limits, and its sources.</w:t>
      </w:r>
    </w:p>
    <w:p w14:paraId="7A045E74">
      <w:pPr>
        <w:spacing w:after="160" w:line="288" w:lineRule="auto"/>
      </w:pPr>
      <w:r>
        <w:rPr>
          <w:b w:val="0"/>
          <w:bCs w:val="0"/>
          <w:i w:val="0"/>
          <w:iCs w:val="0"/>
          <w:sz w:val="22"/>
          <w:szCs w:val="22"/>
        </w:rPr>
        <w:t>Read the modules in order. Do not skip ahead to the Buy Model or Sell Model chapters (Modules 11–12) without first completing Modules 1 through 10 — those chapters assume fluency in market structure, liquidity, displacement, imbalance, PD arrays, Fibonacci/OTE, sessions, Power of 3, and bias.</w:t>
      </w:r>
    </w:p>
    <w:p w14:paraId="0AA494FD">
      <w:pPr>
        <w:spacing w:after="160" w:line="288" w:lineRule="auto"/>
      </w:pPr>
      <w:r>
        <w:rPr>
          <w:b w:val="0"/>
          <w:bCs w:val="0"/>
          <w:i w:val="0"/>
          <w:iCs w:val="0"/>
          <w:sz w:val="22"/>
          <w:szCs w:val="22"/>
        </w:rPr>
        <w:t>Where this book distinguishes ICT's own explicit teaching from reasonable inference or from the wider ICT trading community's interpretation, it says so directly, using labeled call-out boxes. Community interpretations are never presented as ICT doctrine.</w:t>
      </w:r>
    </w:p>
    <w:p w14:paraId="622553C3">
      <w:pPr>
        <w:pStyle w:val="2"/>
        <w:pBdr>
          <w:bottom w:val="single" w:color="1B2A4A" w:sz="12" w:space="4"/>
        </w:pBdr>
        <w:spacing w:before="480" w:after="240"/>
      </w:pPr>
      <w:r>
        <w:rPr>
          <w:b/>
          <w:bCs/>
          <w:color w:val="1B2A4A"/>
          <w:sz w:val="34"/>
          <w:szCs w:val="34"/>
        </w:rPr>
        <w:t>ICT Terminology Note</w:t>
      </w:r>
    </w:p>
    <w:p w14:paraId="4E2C2A5B">
      <w:pPr>
        <w:spacing w:after="160" w:line="288" w:lineRule="auto"/>
      </w:pPr>
      <w:r>
        <w:rPr>
          <w:b w:val="0"/>
          <w:bCs w:val="0"/>
          <w:i w:val="0"/>
          <w:iCs w:val="0"/>
          <w:sz w:val="22"/>
          <w:szCs w:val="22"/>
        </w:rPr>
        <w:t>The Inner Circle Trader (ICT) methodology, developed by Michael J. Huddleston, uses a number of terms that either do not appear in conventional technical analysis or are used differently than they are in conventional technical analysis. This book flags those differences at the point each term is introduced.</w:t>
      </w:r>
    </w:p>
    <w:p w14:paraId="3E454735">
      <w:pPr>
        <w:spacing w:after="160" w:line="288" w:lineRule="auto"/>
      </w:pPr>
      <w:r>
        <w:rPr>
          <w:b w:val="0"/>
          <w:bCs w:val="0"/>
          <w:i w:val="0"/>
          <w:iCs w:val="0"/>
          <w:sz w:val="22"/>
          <w:szCs w:val="22"/>
        </w:rPr>
        <w:t>A general note on sourcing for this book: ICT has taught primarily through long-form video lectures, livestreams, and mentorship series spanning many years, with terminology that has been refined and sometimes renamed over time. Where this book could not directly verify a specific phrase or definition from an original ICT lecture transcript, it says so explicitly and relies instead on well-corroborated, cross-checked secondary and community documentation of ICT's teaching — labeled clearly as such rather than presented as a direct quotation.</w:t>
      </w:r>
    </w:p>
    <w:p w14:paraId="21E2D460">
      <w:pPr>
        <w:spacing w:after="160" w:line="288" w:lineRule="auto"/>
      </w:pPr>
      <w:r>
        <w:rPr>
          <w:b w:val="0"/>
          <w:bCs w:val="0"/>
          <w:i w:val="0"/>
          <w:iCs w:val="0"/>
          <w:sz w:val="22"/>
          <w:szCs w:val="22"/>
        </w:rPr>
        <w:t>Community interpretations, where included, are always explicitly introduced with the words "Community interpretation:" and are never presented as ICT's own doctrine.</w:t>
      </w:r>
    </w:p>
    <w:p w14:paraId="1AE04022">
      <w:r>
        <w:br w:type="page"/>
      </w:r>
    </w:p>
    <w:p w14:paraId="50659D5E">
      <w:pPr>
        <w:pStyle w:val="2"/>
        <w:pBdr>
          <w:bottom w:val="single" w:color="1B2A4A" w:sz="12" w:space="4"/>
        </w:pBdr>
        <w:spacing w:before="480" w:after="240"/>
      </w:pPr>
      <w:r>
        <w:rPr>
          <w:b/>
          <w:bCs/>
          <w:color w:val="1B2A4A"/>
          <w:sz w:val="34"/>
          <w:szCs w:val="34"/>
        </w:rPr>
        <w:t>MODULE 1</w:t>
      </w:r>
    </w:p>
    <w:p w14:paraId="1786CCB0">
      <w:pPr>
        <w:spacing w:after="300"/>
      </w:pPr>
      <w:r>
        <w:rPr>
          <w:b/>
          <w:bCs/>
          <w:color w:val="9A7B2E"/>
          <w:sz w:val="30"/>
          <w:szCs w:val="30"/>
        </w:rPr>
        <w:t>Price Fundamentals</w:t>
      </w:r>
    </w:p>
    <w:p w14:paraId="6E8FA0EA">
      <w:pPr>
        <w:spacing w:after="160" w:line="288" w:lineRule="auto"/>
      </w:pPr>
      <w:r>
        <w:rPr>
          <w:b w:val="0"/>
          <w:bCs w:val="0"/>
          <w:i w:val="0"/>
          <w:iCs w:val="0"/>
          <w:sz w:val="22"/>
          <w:szCs w:val="22"/>
        </w:rPr>
        <w:t>Before any ICT-specific concept can make sense, a reader needs a precise, mechanical way of describing price movement. This module builds that foundation. It covers how to identify swing highs and swing lows, how to compare consecutive swing points to classify a higher high, higher low, lower high, or lower low, how those comparisons combine to define a trend, what a retracement is, and how old highs and lows become key support and resistance levels.</w:t>
      </w:r>
    </w:p>
    <w:p w14:paraId="057CD870">
      <w:pPr>
        <w:spacing w:after="160" w:line="288" w:lineRule="auto"/>
      </w:pPr>
      <w:r>
        <w:rPr>
          <w:b w:val="0"/>
          <w:bCs w:val="0"/>
          <w:i w:val="0"/>
          <w:iCs w:val="0"/>
          <w:sz w:val="22"/>
          <w:szCs w:val="22"/>
        </w:rPr>
        <w:t>Every later module in this book — market structure, liquidity, displacement, PD arrays, and both the Buy and Sell Models — depends directly on the vocabulary and identification skills taught here. Read this module carefully and work through each numeric example by hand before continuing.</w:t>
      </w:r>
    </w:p>
    <w:p w14:paraId="6F3560AB">
      <w:r>
        <w:br w:type="page"/>
      </w:r>
    </w:p>
    <w:p w14:paraId="117508C7">
      <w:pPr>
        <w:pStyle w:val="2"/>
        <w:pBdr>
          <w:bottom w:val="single" w:color="1B2A4A" w:sz="12" w:space="4"/>
        </w:pBdr>
        <w:spacing w:before="480" w:after="240"/>
      </w:pPr>
      <w:r>
        <w:rPr>
          <w:b/>
          <w:bCs/>
          <w:color w:val="1B2A4A"/>
          <w:sz w:val="34"/>
          <w:szCs w:val="34"/>
        </w:rPr>
        <w:t>Swing High</w:t>
      </w:r>
    </w:p>
    <w:p w14:paraId="3F426365">
      <w:pPr>
        <w:pStyle w:val="3"/>
        <w:spacing w:before="360" w:after="160"/>
      </w:pPr>
      <w:r>
        <w:rPr>
          <w:b/>
          <w:bCs/>
          <w:color w:val="1B2A4A"/>
          <w:sz w:val="26"/>
          <w:szCs w:val="26"/>
        </w:rPr>
        <w:t>1. Definition</w:t>
      </w:r>
    </w:p>
    <w:p w14:paraId="43E496B7">
      <w:pPr>
        <w:spacing w:after="160" w:line="288" w:lineRule="auto"/>
      </w:pPr>
      <w:r>
        <w:rPr>
          <w:b w:val="0"/>
          <w:bCs w:val="0"/>
          <w:i w:val="0"/>
          <w:iCs w:val="0"/>
          <w:sz w:val="22"/>
          <w:szCs w:val="22"/>
        </w:rPr>
        <w:t>A swing high is a price point that is higher than the candles immediately surrounding it, marking a short-term turning point where upward movement paused or reversed.</w:t>
      </w:r>
    </w:p>
    <w:p w14:paraId="16A5ABD9">
      <w:pPr>
        <w:pStyle w:val="3"/>
        <w:spacing w:before="360" w:after="160"/>
      </w:pPr>
      <w:r>
        <w:rPr>
          <w:b/>
          <w:bCs/>
          <w:color w:val="1B2A4A"/>
          <w:sz w:val="26"/>
          <w:szCs w:val="26"/>
        </w:rPr>
        <w:t>2. ICT's Meaning</w:t>
      </w:r>
    </w:p>
    <w:p w14:paraId="300EC3AC">
      <w:pPr>
        <w:spacing w:after="160" w:line="288" w:lineRule="auto"/>
      </w:pPr>
      <w:r>
        <w:rPr>
          <w:b w:val="0"/>
          <w:bCs w:val="0"/>
          <w:i w:val="0"/>
          <w:iCs w:val="0"/>
          <w:sz w:val="22"/>
          <w:szCs w:val="22"/>
        </w:rPr>
        <w:t>Within ICT's teaching, a swing high is not just "any local peak." ICT's structural method (as documented across ICT-focused tutorial sites teaching his three-candle framework) defines a swing high as a three-candle formation in which the middle candle's high is greater than the high of the candle before it and the high of the candle after it. This gives the swing point an objective, mechanical test rather than a subjective eyeballed peak.</w:t>
      </w:r>
    </w:p>
    <w:p w14:paraId="16BD6501">
      <w:pPr>
        <w:spacing w:after="160" w:line="288" w:lineRule="auto"/>
      </w:pPr>
      <w:r>
        <w:rPr>
          <w:b w:val="0"/>
          <w:bCs w:val="0"/>
          <w:i w:val="0"/>
          <w:iCs w:val="0"/>
          <w:sz w:val="22"/>
          <w:szCs w:val="22"/>
        </w:rPr>
        <w:t>ICT calls the smallest version of this formation a Short-Term High (STH). Short-term highs are the building blocks of everything else in ICT's market-structure hierarchy: when a short-term high survives and price reverses off a key level, it can be promoted, in ICT's language, to an Intermediate-Term High (ITH) or Long-Term High (LTH), depending on how much structure it ends up governing.</w:t>
      </w:r>
    </w:p>
    <w:p w14:paraId="549513C0">
      <w:pPr>
        <w:spacing w:after="160" w:line="288" w:lineRule="auto"/>
      </w:pPr>
      <w:r>
        <w:rPr>
          <w:b w:val="0"/>
          <w:bCs w:val="0"/>
          <w:i w:val="0"/>
          <w:iCs w:val="0"/>
          <w:sz w:val="22"/>
          <w:szCs w:val="22"/>
        </w:rPr>
        <w:t>This three-tier hierarchy (STH / ITH / LTH) is part of what ICT calls his "advanced market structure" mapping — a way of showing that not all swing highs carry equal weight. A long-term high matters far more to overall bias than a short-term high that formed inside a single trading session.</w:t>
      </w:r>
    </w:p>
    <w:p w14:paraId="79B66858">
      <w:pPr>
        <w:pStyle w:val="3"/>
        <w:spacing w:before="360" w:after="160"/>
      </w:pPr>
      <w:r>
        <w:rPr>
          <w:b/>
          <w:bCs/>
          <w:color w:val="1B2A4A"/>
          <w:sz w:val="26"/>
          <w:szCs w:val="26"/>
        </w:rPr>
        <w:t>3. Beginner Explanation</w:t>
      </w:r>
    </w:p>
    <w:p w14:paraId="2337BDE5">
      <w:pPr>
        <w:spacing w:after="160" w:line="288" w:lineRule="auto"/>
      </w:pPr>
      <w:r>
        <w:rPr>
          <w:b w:val="0"/>
          <w:bCs w:val="0"/>
          <w:i w:val="0"/>
          <w:iCs w:val="0"/>
          <w:sz w:val="22"/>
          <w:szCs w:val="22"/>
        </w:rPr>
        <w:t>Imagine watching the price of something — gold, a currency pair, a stock — tick by tick on a chart. Most of the time price is not moving in a straight line. It goes up for a while, then pauses, dips slightly, and either continues up or turns down.</w:t>
      </w:r>
    </w:p>
    <w:p w14:paraId="6B53B74D">
      <w:pPr>
        <w:spacing w:after="160" w:line="288" w:lineRule="auto"/>
      </w:pPr>
      <w:r>
        <w:rPr>
          <w:b w:val="0"/>
          <w:bCs w:val="0"/>
          <w:i w:val="0"/>
          <w:iCs w:val="0"/>
          <w:sz w:val="22"/>
          <w:szCs w:val="22"/>
        </w:rPr>
        <w:t>A swing high is simply the exact top of one of those up-moves — the single highest point reached before price pulled back down, even a little. Think of it like the peak of a small hill on a hiking trail: you can only know for certain it was the peak once you've walked a little way down the other side.</w:t>
      </w:r>
    </w:p>
    <w:p w14:paraId="07EE5792">
      <w:pPr>
        <w:pStyle w:val="3"/>
        <w:spacing w:before="360" w:after="160"/>
      </w:pPr>
      <w:r>
        <w:rPr>
          <w:b/>
          <w:bCs/>
          <w:color w:val="1B2A4A"/>
          <w:sz w:val="26"/>
          <w:szCs w:val="26"/>
        </w:rPr>
        <w:t>4. How to Identify It</w:t>
      </w:r>
    </w:p>
    <w:p w14:paraId="66AACE50">
      <w:pPr>
        <w:pStyle w:val="16"/>
        <w:numPr>
          <w:ilvl w:val="0"/>
          <w:numId w:val="1"/>
        </w:numPr>
        <w:spacing w:after="80" w:line="276" w:lineRule="auto"/>
      </w:pPr>
      <w:r>
        <w:rPr>
          <w:sz w:val="22"/>
          <w:szCs w:val="22"/>
        </w:rPr>
        <w:t>Find a candle whose high price is greater than the high of the candle immediately to its left.</w:t>
      </w:r>
    </w:p>
    <w:p w14:paraId="76227793">
      <w:pPr>
        <w:pStyle w:val="16"/>
        <w:numPr>
          <w:ilvl w:val="0"/>
          <w:numId w:val="1"/>
        </w:numPr>
        <w:spacing w:after="80" w:line="276" w:lineRule="auto"/>
      </w:pPr>
      <w:r>
        <w:rPr>
          <w:sz w:val="22"/>
          <w:szCs w:val="22"/>
        </w:rPr>
        <w:t>Check that the same candle's high price is also greater than the high of the candle immediately to its right.</w:t>
      </w:r>
    </w:p>
    <w:p w14:paraId="251CAFBA">
      <w:pPr>
        <w:pStyle w:val="16"/>
        <w:numPr>
          <w:ilvl w:val="0"/>
          <w:numId w:val="1"/>
        </w:numPr>
        <w:spacing w:after="80" w:line="276" w:lineRule="auto"/>
      </w:pPr>
      <w:r>
        <w:rPr>
          <w:sz w:val="22"/>
          <w:szCs w:val="22"/>
        </w:rPr>
        <w:t>If both conditions are true, the middle candle qualifies as a swing high (an ICT Short-Term High).</w:t>
      </w:r>
    </w:p>
    <w:p w14:paraId="10A8A7B6">
      <w:pPr>
        <w:pStyle w:val="16"/>
        <w:numPr>
          <w:ilvl w:val="0"/>
          <w:numId w:val="1"/>
        </w:numPr>
        <w:spacing w:after="80" w:line="276" w:lineRule="auto"/>
      </w:pPr>
      <w:r>
        <w:rPr>
          <w:sz w:val="22"/>
          <w:szCs w:val="22"/>
        </w:rPr>
        <w:t>Note the exact price of that candle's high — this price becomes a reference level for everything that follows (liquidity, structure shifts, and so on).</w:t>
      </w:r>
    </w:p>
    <w:p w14:paraId="5104E402">
      <w:pPr>
        <w:pStyle w:val="16"/>
        <w:numPr>
          <w:ilvl w:val="0"/>
          <w:numId w:val="1"/>
        </w:numPr>
        <w:spacing w:after="80" w:line="276" w:lineRule="auto"/>
      </w:pPr>
      <w:r>
        <w:rPr>
          <w:sz w:val="22"/>
          <w:szCs w:val="22"/>
        </w:rPr>
        <w:t>Repeat this test moving left to right across the chart to build a full map of swing highs.</w:t>
      </w:r>
    </w:p>
    <w:p w14:paraId="6FA7ED86">
      <w:pPr>
        <w:pStyle w:val="3"/>
        <w:spacing w:before="360" w:after="160"/>
      </w:pPr>
      <w:r>
        <w:rPr>
          <w:b/>
          <w:bCs/>
          <w:color w:val="1B2A4A"/>
          <w:sz w:val="26"/>
          <w:szCs w:val="26"/>
        </w:rPr>
        <w:t>5. Simple Price Example</w:t>
      </w:r>
    </w:p>
    <w:p w14:paraId="273AEFAF">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100 → 105 → 102 → 108 → 104</w:t>
      </w:r>
    </w:p>
    <w:p w14:paraId="2D4B50DD">
      <w:pPr>
        <w:spacing w:after="160" w:line="288" w:lineRule="auto"/>
      </w:pPr>
      <w:r>
        <w:rPr>
          <w:b w:val="0"/>
          <w:bCs w:val="0"/>
          <w:i w:val="0"/>
          <w:iCs w:val="0"/>
          <w:sz w:val="22"/>
          <w:szCs w:val="22"/>
        </w:rPr>
        <w:t>Read this as five consecutive price points in time. Price rises from 100 to 105, then pulls back to 102, then rises again to 108, then pulls back to 104.</w:t>
      </w:r>
    </w:p>
    <w:p w14:paraId="2E3E9B1B">
      <w:pPr>
        <w:spacing w:after="160" w:line="288" w:lineRule="auto"/>
      </w:pPr>
      <w:r>
        <w:rPr>
          <w:b w:val="0"/>
          <w:bCs w:val="0"/>
          <w:i w:val="0"/>
          <w:iCs w:val="0"/>
          <w:sz w:val="22"/>
          <w:szCs w:val="22"/>
        </w:rPr>
        <w:t>105 is a swing high relative to the points immediately around it in that first small move (100 before it, 102 after it) — price went up to 105 and then came back down.</w:t>
      </w:r>
    </w:p>
    <w:p w14:paraId="02797825">
      <w:pPr>
        <w:spacing w:after="160" w:line="288" w:lineRule="auto"/>
      </w:pPr>
      <w:r>
        <w:rPr>
          <w:b w:val="0"/>
          <w:bCs w:val="0"/>
          <w:i w:val="0"/>
          <w:iCs w:val="0"/>
          <w:sz w:val="22"/>
          <w:szCs w:val="22"/>
        </w:rPr>
        <w:t>108 is a larger swing high — it is higher than both 105 and the pullback to 102 before it, and higher than 104 after it. In ICT's hierarchy, 108 would be the more significant of the two highs, since it exceeded the prior swing high (105) before reversing.</w:t>
      </w:r>
    </w:p>
    <w:p w14:paraId="0365AE6E">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 xml:space="preserve">        108  &lt;- swing high</w:t>
      </w:r>
      <w:r>
        <w:rPr>
          <w:rFonts w:ascii="Consolas" w:hAnsi="Consolas" w:eastAsia="Consolas" w:cs="Consolas"/>
          <w:sz w:val="19"/>
          <w:szCs w:val="19"/>
        </w:rPr>
        <w:br w:type="textWrapping"/>
      </w:r>
      <w:r>
        <w:rPr>
          <w:rFonts w:ascii="Consolas" w:hAnsi="Consolas" w:eastAsia="Consolas" w:cs="Consolas"/>
          <w:sz w:val="19"/>
          <w:szCs w:val="19"/>
        </w:rPr>
        <w:t xml:space="preserve">       /   \</w:t>
      </w:r>
      <w:r>
        <w:rPr>
          <w:rFonts w:ascii="Consolas" w:hAnsi="Consolas" w:eastAsia="Consolas" w:cs="Consolas"/>
          <w:sz w:val="19"/>
          <w:szCs w:val="19"/>
        </w:rPr>
        <w:br w:type="textWrapping"/>
      </w:r>
      <w:r>
        <w:rPr>
          <w:rFonts w:ascii="Consolas" w:hAnsi="Consolas" w:eastAsia="Consolas" w:cs="Consolas"/>
          <w:sz w:val="19"/>
          <w:szCs w:val="19"/>
        </w:rPr>
        <w:t xml:space="preserve">  105 /     \</w:t>
      </w:r>
      <w:r>
        <w:rPr>
          <w:rFonts w:ascii="Consolas" w:hAnsi="Consolas" w:eastAsia="Consolas" w:cs="Consolas"/>
          <w:sz w:val="19"/>
          <w:szCs w:val="19"/>
        </w:rPr>
        <w:br w:type="textWrapping"/>
      </w:r>
      <w:r>
        <w:rPr>
          <w:rFonts w:ascii="Consolas" w:hAnsi="Consolas" w:eastAsia="Consolas" w:cs="Consolas"/>
          <w:sz w:val="19"/>
          <w:szCs w:val="19"/>
        </w:rPr>
        <w:t xml:space="preserve"> /  \       \</w:t>
      </w:r>
      <w:r>
        <w:rPr>
          <w:rFonts w:ascii="Consolas" w:hAnsi="Consolas" w:eastAsia="Consolas" w:cs="Consolas"/>
          <w:sz w:val="19"/>
          <w:szCs w:val="19"/>
        </w:rPr>
        <w:br w:type="textWrapping"/>
      </w:r>
      <w:r>
        <w:rPr>
          <w:rFonts w:ascii="Consolas" w:hAnsi="Consolas" w:eastAsia="Consolas" w:cs="Consolas"/>
          <w:sz w:val="19"/>
          <w:szCs w:val="19"/>
        </w:rPr>
        <w:t>100  102     104</w:t>
      </w:r>
    </w:p>
    <w:p w14:paraId="3846FE23">
      <w:pPr>
        <w:pStyle w:val="3"/>
        <w:spacing w:before="360" w:after="160"/>
      </w:pPr>
      <w:r>
        <w:rPr>
          <w:b/>
          <w:bCs/>
          <w:color w:val="1B2A4A"/>
          <w:sz w:val="26"/>
          <w:szCs w:val="26"/>
        </w:rPr>
        <w:t>6. What It Tells the Trader</w:t>
      </w:r>
    </w:p>
    <w:p w14:paraId="61E982AE">
      <w:pPr>
        <w:spacing w:after="160" w:line="288" w:lineRule="auto"/>
      </w:pPr>
      <w:r>
        <w:rPr>
          <w:b w:val="0"/>
          <w:bCs w:val="0"/>
          <w:i w:val="0"/>
          <w:iCs w:val="0"/>
          <w:sz w:val="22"/>
          <w:szCs w:val="22"/>
        </w:rPr>
        <w:t>A swing high tells the trader where buying pressure was, at least temporarily, exhausted — the point at which sellers (or a lack of further buyers) took control long enough to push price back down.</w:t>
      </w:r>
    </w:p>
    <w:p w14:paraId="4563BDF8">
      <w:pPr>
        <w:spacing w:after="160" w:line="288" w:lineRule="auto"/>
      </w:pPr>
      <w:r>
        <w:rPr>
          <w:b w:val="0"/>
          <w:bCs w:val="0"/>
          <w:i w:val="0"/>
          <w:iCs w:val="0"/>
          <w:sz w:val="22"/>
          <w:szCs w:val="22"/>
        </w:rPr>
        <w:t>It does not by itself tell the trader that a reversal is happening. A swing high can form in the middle of an ongoing uptrend as a normal pause; it only becomes significant when compared to other swing highs (see Higher High / Lower High) or when it is later swept for liquidity (Module 4).</w:t>
      </w:r>
    </w:p>
    <w:p w14:paraId="1B8F3851">
      <w:pPr>
        <w:pStyle w:val="3"/>
        <w:spacing w:before="360" w:after="160"/>
      </w:pPr>
      <w:r>
        <w:rPr>
          <w:b/>
          <w:bCs/>
          <w:color w:val="1B2A4A"/>
          <w:sz w:val="26"/>
          <w:szCs w:val="26"/>
        </w:rPr>
        <w:t>7. What It Is Commonly Paired With</w:t>
      </w:r>
    </w:p>
    <w:p w14:paraId="52771F07">
      <w:pPr>
        <w:pStyle w:val="16"/>
        <w:numPr>
          <w:ilvl w:val="0"/>
          <w:numId w:val="2"/>
        </w:numPr>
        <w:spacing w:after="80" w:line="276" w:lineRule="auto"/>
      </w:pPr>
      <w:r>
        <w:rPr>
          <w:sz w:val="22"/>
          <w:szCs w:val="22"/>
        </w:rPr>
        <w:t>Swing low</w:t>
      </w:r>
    </w:p>
    <w:p w14:paraId="578B1273">
      <w:pPr>
        <w:pStyle w:val="16"/>
        <w:numPr>
          <w:ilvl w:val="0"/>
          <w:numId w:val="2"/>
        </w:numPr>
        <w:spacing w:after="80" w:line="276" w:lineRule="auto"/>
      </w:pPr>
      <w:r>
        <w:rPr>
          <w:sz w:val="22"/>
          <w:szCs w:val="22"/>
        </w:rPr>
        <w:t>Higher high / lower high</w:t>
      </w:r>
    </w:p>
    <w:p w14:paraId="65C2EAC4">
      <w:pPr>
        <w:pStyle w:val="16"/>
        <w:numPr>
          <w:ilvl w:val="0"/>
          <w:numId w:val="2"/>
        </w:numPr>
        <w:spacing w:after="80" w:line="276" w:lineRule="auto"/>
      </w:pPr>
      <w:r>
        <w:rPr>
          <w:sz w:val="22"/>
          <w:szCs w:val="22"/>
        </w:rPr>
        <w:t>Liquidity (equal highs, buy-side liquidity)</w:t>
      </w:r>
    </w:p>
    <w:p w14:paraId="7DEE3036">
      <w:pPr>
        <w:spacing w:after="160" w:line="288" w:lineRule="auto"/>
      </w:pPr>
      <w:r>
        <w:rPr>
          <w:b w:val="0"/>
          <w:bCs w:val="0"/>
          <w:i w:val="0"/>
          <w:iCs w:val="0"/>
          <w:sz w:val="22"/>
          <w:szCs w:val="22"/>
        </w:rPr>
        <w:t>A swing high is almost always read together with the swing low that came before it and the one that follows it — together these points define the entire structural skeleton of the chart. A swing high also becomes a liquidity reference: ICT teaches that resting buy-stop orders accumulate above swing highs, which is why swing highs reappear later as targets (Module 4, Liquidity).</w:t>
      </w:r>
    </w:p>
    <w:p w14:paraId="2A3E101E">
      <w:pPr>
        <w:pStyle w:val="3"/>
        <w:spacing w:before="360" w:after="160"/>
      </w:pPr>
      <w:r>
        <w:rPr>
          <w:b/>
          <w:bCs/>
          <w:color w:val="1B2A4A"/>
          <w:sz w:val="26"/>
          <w:szCs w:val="26"/>
        </w:rPr>
        <w:t>8. Where It Fits in the ICT Framework</w:t>
      </w:r>
    </w:p>
    <w:p w14:paraId="7EBD6458">
      <w:pPr>
        <w:spacing w:after="160" w:line="288" w:lineRule="auto"/>
      </w:pPr>
      <w:r>
        <w:rPr>
          <w:b w:val="0"/>
          <w:bCs w:val="0"/>
          <w:i w:val="0"/>
          <w:iCs w:val="0"/>
          <w:sz w:val="22"/>
          <w:szCs w:val="22"/>
        </w:rPr>
        <w:t>Comes before: This is a foundational concept — nothing in the ICT framework needs to be understood before it.</w:t>
      </w:r>
    </w:p>
    <w:p w14:paraId="0DCB25ED">
      <w:pPr>
        <w:spacing w:after="160" w:line="288" w:lineRule="auto"/>
      </w:pPr>
      <w:r>
        <w:rPr>
          <w:b w:val="0"/>
          <w:bCs w:val="0"/>
          <w:i w:val="0"/>
          <w:iCs w:val="0"/>
          <w:sz w:val="22"/>
          <w:szCs w:val="22"/>
        </w:rPr>
        <w:t>Comes after: Swing highs feed directly into Higher High / Lower High classification, then into Market Structure (Module 3), and later into Buy-Side Liquidity (Module 4).</w:t>
      </w:r>
    </w:p>
    <w:p w14:paraId="0FD6DC41">
      <w:pPr>
        <w:pStyle w:val="3"/>
        <w:spacing w:before="360" w:after="160"/>
      </w:pPr>
      <w:r>
        <w:rPr>
          <w:b/>
          <w:bCs/>
          <w:color w:val="1B2A4A"/>
          <w:sz w:val="26"/>
          <w:szCs w:val="26"/>
        </w:rPr>
        <w:t>9. Beginner Mistakes</w:t>
      </w:r>
    </w:p>
    <w:p w14:paraId="79AA57F2">
      <w:pPr>
        <w:pStyle w:val="16"/>
        <w:numPr>
          <w:ilvl w:val="0"/>
          <w:numId w:val="2"/>
        </w:numPr>
        <w:spacing w:after="80" w:line="276" w:lineRule="auto"/>
      </w:pPr>
      <w:r>
        <w:rPr>
          <w:sz w:val="22"/>
          <w:szCs w:val="22"/>
        </w:rPr>
        <w:t>Marking every small wick as a swing high instead of applying the three-candle test consistently.</w:t>
      </w:r>
    </w:p>
    <w:p w14:paraId="717F0C24">
      <w:pPr>
        <w:pStyle w:val="16"/>
        <w:numPr>
          <w:ilvl w:val="0"/>
          <w:numId w:val="2"/>
        </w:numPr>
        <w:spacing w:after="80" w:line="276" w:lineRule="auto"/>
      </w:pPr>
      <w:r>
        <w:rPr>
          <w:sz w:val="22"/>
          <w:szCs w:val="22"/>
        </w:rPr>
        <w:t>Treating a swing high as automatically bearish or as a guaranteed reversal signal.</w:t>
      </w:r>
    </w:p>
    <w:p w14:paraId="447A511E">
      <w:pPr>
        <w:pStyle w:val="16"/>
        <w:numPr>
          <w:ilvl w:val="0"/>
          <w:numId w:val="2"/>
        </w:numPr>
        <w:spacing w:after="80" w:line="276" w:lineRule="auto"/>
      </w:pPr>
      <w:r>
        <w:rPr>
          <w:sz w:val="22"/>
          <w:szCs w:val="22"/>
        </w:rPr>
        <w:t>Ignoring the timeframe: a swing high on a 1-minute chart and a swing high on a weekly chart are not equally significant (see Module 2, Timeframe Analysis).</w:t>
      </w:r>
    </w:p>
    <w:p w14:paraId="7B50598A">
      <w:pPr>
        <w:pStyle w:val="3"/>
        <w:spacing w:before="360" w:after="160"/>
      </w:pPr>
      <w:r>
        <w:rPr>
          <w:b/>
          <w:bCs/>
          <w:color w:val="1B2A4A"/>
          <w:sz w:val="26"/>
          <w:szCs w:val="26"/>
        </w:rPr>
        <w:t>10. Important Qualification</w:t>
      </w:r>
    </w:p>
    <w:p w14:paraId="3F0BE5C3">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 swing high, on its own, is a structural label — not a trade signal. It does not indicate direction, momentum, or intent until it is placed in context with the swing points before and after it and with the higher-timeframe structure surrounding it.</w:t>
      </w:r>
    </w:p>
    <w:p w14:paraId="15BB463E">
      <w:pPr>
        <w:pStyle w:val="3"/>
        <w:spacing w:before="360" w:after="160"/>
      </w:pPr>
      <w:r>
        <w:rPr>
          <w:b/>
          <w:bCs/>
          <w:color w:val="1B2A4A"/>
          <w:sz w:val="26"/>
          <w:szCs w:val="26"/>
        </w:rPr>
        <w:t>11. Source</w:t>
      </w:r>
    </w:p>
    <w:p w14:paraId="59F2383C"/>
    <w:p w14:paraId="60C93DCC">
      <w:pPr>
        <w:pStyle w:val="16"/>
        <w:numPr>
          <w:ilvl w:val="0"/>
          <w:numId w:val="2"/>
        </w:numPr>
        <w:spacing w:after="80" w:line="276" w:lineRule="auto"/>
      </w:pPr>
      <w:r>
        <w:rPr>
          <w:sz w:val="22"/>
          <w:szCs w:val="22"/>
        </w:rPr>
        <w:t>innercircletrader.net — "What is an ICT Swing Low? 3-Candle Formation Explained" (describes the mirrored 3-candle swing-high test; accessed 2026).</w:t>
      </w:r>
    </w:p>
    <w:p w14:paraId="61FE5086">
      <w:pPr>
        <w:pStyle w:val="16"/>
        <w:numPr>
          <w:ilvl w:val="0"/>
          <w:numId w:val="2"/>
        </w:numPr>
        <w:spacing w:after="80" w:line="276" w:lineRule="auto"/>
      </w:pPr>
      <w:r>
        <w:rPr>
          <w:sz w:val="22"/>
          <w:szCs w:val="22"/>
        </w:rPr>
        <w:t>innercircletrader.net — "What Is ICT Market Structure? BOS Highs, Lows &amp; Liquidity" (STH / ITH / LTH hierarchy).</w:t>
      </w:r>
    </w:p>
    <w:p w14:paraId="4A903C99">
      <w:pPr>
        <w:pBdr>
          <w:left w:val="single" w:color="9A7B2E" w:sz="24" w:space="8"/>
        </w:pBdr>
        <w:shd w:val="clear" w:fill="EFEFEF"/>
        <w:spacing w:before="160" w:after="200"/>
        <w:ind w:left="200"/>
      </w:pPr>
      <w:r>
        <w:rPr>
          <w:b/>
          <w:bCs/>
          <w:color w:val="9A7B2E"/>
          <w:sz w:val="21"/>
          <w:szCs w:val="21"/>
        </w:rPr>
        <w:t xml:space="preserve">Community interpretation: </w:t>
      </w:r>
      <w:r>
        <w:rPr>
          <w:sz w:val="21"/>
          <w:szCs w:val="21"/>
        </w:rPr>
        <w:t>The exact three-candle mechanical test is widely used by ICT-focused educators to operationalize swing points on a chart. Direct ICT primary-source video transcripts describing this specific three-candle rule by name were not available for direct verification in this research pass; the definition is corroborated consistently across multiple independent ICT-focused tutorial sources and is treated here as reliable secondary documentation of ICT's structural method, labeled accordingly.</w:t>
      </w:r>
    </w:p>
    <w:p w14:paraId="643FDFEC">
      <w:r>
        <w:br w:type="page"/>
      </w:r>
    </w:p>
    <w:p w14:paraId="7CC9A080">
      <w:pPr>
        <w:pStyle w:val="2"/>
        <w:pBdr>
          <w:bottom w:val="single" w:color="1B2A4A" w:sz="12" w:space="4"/>
        </w:pBdr>
        <w:spacing w:before="480" w:after="240"/>
      </w:pPr>
      <w:r>
        <w:rPr>
          <w:b/>
          <w:bCs/>
          <w:color w:val="1B2A4A"/>
          <w:sz w:val="34"/>
          <w:szCs w:val="34"/>
        </w:rPr>
        <w:t>Swing Low</w:t>
      </w:r>
    </w:p>
    <w:p w14:paraId="7C93E459">
      <w:pPr>
        <w:pStyle w:val="3"/>
        <w:spacing w:before="360" w:after="160"/>
      </w:pPr>
      <w:r>
        <w:rPr>
          <w:b/>
          <w:bCs/>
          <w:color w:val="1B2A4A"/>
          <w:sz w:val="26"/>
          <w:szCs w:val="26"/>
        </w:rPr>
        <w:t>1. Definition</w:t>
      </w:r>
    </w:p>
    <w:p w14:paraId="424AAE83">
      <w:pPr>
        <w:spacing w:after="160" w:line="288" w:lineRule="auto"/>
      </w:pPr>
      <w:r>
        <w:rPr>
          <w:b w:val="0"/>
          <w:bCs w:val="0"/>
          <w:i w:val="0"/>
          <w:iCs w:val="0"/>
          <w:sz w:val="22"/>
          <w:szCs w:val="22"/>
        </w:rPr>
        <w:t>A swing low is a price point that is lower than the candles immediately surrounding it, marking a short-term turning point where downward movement paused or reversed.</w:t>
      </w:r>
    </w:p>
    <w:p w14:paraId="6FCDFCA0">
      <w:pPr>
        <w:pStyle w:val="3"/>
        <w:spacing w:before="360" w:after="160"/>
      </w:pPr>
      <w:r>
        <w:rPr>
          <w:b/>
          <w:bCs/>
          <w:color w:val="1B2A4A"/>
          <w:sz w:val="26"/>
          <w:szCs w:val="26"/>
        </w:rPr>
        <w:t>2. ICT's Meaning</w:t>
      </w:r>
    </w:p>
    <w:p w14:paraId="047D10A0">
      <w:pPr>
        <w:spacing w:after="160" w:line="288" w:lineRule="auto"/>
      </w:pPr>
      <w:r>
        <w:rPr>
          <w:b w:val="0"/>
          <w:bCs w:val="0"/>
          <w:i w:val="0"/>
          <w:iCs w:val="0"/>
          <w:sz w:val="22"/>
          <w:szCs w:val="22"/>
        </w:rPr>
        <w:t>The mirror image of the swing high. ICT's structural method defines a swing low as a three-candle formation where the middle candle's low is lower than the low of the candle before it and the low of the candle after it.</w:t>
      </w:r>
    </w:p>
    <w:p w14:paraId="499BD9C2">
      <w:pPr>
        <w:spacing w:after="160" w:line="288" w:lineRule="auto"/>
      </w:pPr>
      <w:r>
        <w:rPr>
          <w:b w:val="0"/>
          <w:bCs w:val="0"/>
          <w:i w:val="0"/>
          <w:iCs w:val="0"/>
          <w:sz w:val="22"/>
          <w:szCs w:val="22"/>
        </w:rPr>
        <w:t>As with swing highs, ICT organizes swing lows into a hierarchy: Short-Term Low (STL), Intermediate-Term Low (ITL), and Long-Term Low (LTL). A short-term low is promoted up this hierarchy when it proves significant enough to anchor a larger move — for example, when price reverses off it at a key level and breaks structure.</w:t>
      </w:r>
    </w:p>
    <w:p w14:paraId="149CFD74">
      <w:pPr>
        <w:spacing w:after="160" w:line="288" w:lineRule="auto"/>
      </w:pPr>
      <w:r>
        <w:rPr>
          <w:b w:val="0"/>
          <w:bCs w:val="0"/>
          <w:i w:val="0"/>
          <w:iCs w:val="0"/>
          <w:sz w:val="22"/>
          <w:szCs w:val="22"/>
        </w:rPr>
        <w:t>ICT teaches that price "needs" to create these swing points to establish structure at all; without a confirmed swing low there is no reference point to judge whether a later low is higher (bullish) or lower (bearish).</w:t>
      </w:r>
    </w:p>
    <w:p w14:paraId="6299269F">
      <w:pPr>
        <w:pStyle w:val="3"/>
        <w:spacing w:before="360" w:after="160"/>
      </w:pPr>
      <w:r>
        <w:rPr>
          <w:b/>
          <w:bCs/>
          <w:color w:val="1B2A4A"/>
          <w:sz w:val="26"/>
          <w:szCs w:val="26"/>
        </w:rPr>
        <w:t>3. Beginner Explanation</w:t>
      </w:r>
    </w:p>
    <w:p w14:paraId="38DB1C9B">
      <w:pPr>
        <w:spacing w:after="160" w:line="288" w:lineRule="auto"/>
      </w:pPr>
      <w:r>
        <w:rPr>
          <w:b w:val="0"/>
          <w:bCs w:val="0"/>
          <w:i w:val="0"/>
          <w:iCs w:val="0"/>
          <w:sz w:val="22"/>
          <w:szCs w:val="22"/>
        </w:rPr>
        <w:t>A swing low is the mirror of a swing high: it is the exact bottom of a down-move — the lowest point reached before price turned back up, even slightly.</w:t>
      </w:r>
    </w:p>
    <w:p w14:paraId="0CAEDC8B">
      <w:pPr>
        <w:spacing w:after="160" w:line="288" w:lineRule="auto"/>
      </w:pPr>
      <w:r>
        <w:rPr>
          <w:b w:val="0"/>
          <w:bCs w:val="0"/>
          <w:i w:val="0"/>
          <w:iCs w:val="0"/>
          <w:sz w:val="22"/>
          <w:szCs w:val="22"/>
        </w:rPr>
        <w:t>Picture a valley on a hiking trail. You only know you were at the bottom of the valley once you've started climbing again on the other side.</w:t>
      </w:r>
    </w:p>
    <w:p w14:paraId="2CDA165A">
      <w:pPr>
        <w:pStyle w:val="3"/>
        <w:spacing w:before="360" w:after="160"/>
      </w:pPr>
      <w:r>
        <w:rPr>
          <w:b/>
          <w:bCs/>
          <w:color w:val="1B2A4A"/>
          <w:sz w:val="26"/>
          <w:szCs w:val="26"/>
        </w:rPr>
        <w:t>4. How to Identify It</w:t>
      </w:r>
    </w:p>
    <w:p w14:paraId="487A45C9">
      <w:pPr>
        <w:pStyle w:val="16"/>
        <w:numPr>
          <w:ilvl w:val="0"/>
          <w:numId w:val="1"/>
        </w:numPr>
        <w:spacing w:after="80" w:line="276" w:lineRule="auto"/>
      </w:pPr>
      <w:r>
        <w:rPr>
          <w:sz w:val="22"/>
          <w:szCs w:val="22"/>
        </w:rPr>
        <w:t>Find a candle whose low price is lower than the low of the candle immediately to its left.</w:t>
      </w:r>
    </w:p>
    <w:p w14:paraId="0BAEC12F">
      <w:pPr>
        <w:pStyle w:val="16"/>
        <w:numPr>
          <w:ilvl w:val="0"/>
          <w:numId w:val="1"/>
        </w:numPr>
        <w:spacing w:after="80" w:line="276" w:lineRule="auto"/>
      </w:pPr>
      <w:r>
        <w:rPr>
          <w:sz w:val="22"/>
          <w:szCs w:val="22"/>
        </w:rPr>
        <w:t>Check that the same candle's low price is also lower than the low of the candle immediately to its right.</w:t>
      </w:r>
    </w:p>
    <w:p w14:paraId="7E816812">
      <w:pPr>
        <w:pStyle w:val="16"/>
        <w:numPr>
          <w:ilvl w:val="0"/>
          <w:numId w:val="1"/>
        </w:numPr>
        <w:spacing w:after="80" w:line="276" w:lineRule="auto"/>
      </w:pPr>
      <w:r>
        <w:rPr>
          <w:sz w:val="22"/>
          <w:szCs w:val="22"/>
        </w:rPr>
        <w:t>If both conditions are true, the middle candle qualifies as a swing low (an ICT Short-Term Low).</w:t>
      </w:r>
    </w:p>
    <w:p w14:paraId="1F335819">
      <w:pPr>
        <w:pStyle w:val="16"/>
        <w:numPr>
          <w:ilvl w:val="0"/>
          <w:numId w:val="1"/>
        </w:numPr>
        <w:spacing w:after="80" w:line="276" w:lineRule="auto"/>
      </w:pPr>
      <w:r>
        <w:rPr>
          <w:sz w:val="22"/>
          <w:szCs w:val="22"/>
        </w:rPr>
        <w:t>Record the exact price of that low — it becomes a reference level for structure and for sell-side liquidity.</w:t>
      </w:r>
    </w:p>
    <w:p w14:paraId="1D2C53EE">
      <w:pPr>
        <w:pStyle w:val="16"/>
        <w:numPr>
          <w:ilvl w:val="0"/>
          <w:numId w:val="1"/>
        </w:numPr>
        <w:spacing w:after="80" w:line="276" w:lineRule="auto"/>
      </w:pPr>
      <w:r>
        <w:rPr>
          <w:sz w:val="22"/>
          <w:szCs w:val="22"/>
        </w:rPr>
        <w:t>Repeat moving left to right to build a complete map of swing lows alongside swing highs.</w:t>
      </w:r>
    </w:p>
    <w:p w14:paraId="279CD790">
      <w:pPr>
        <w:pStyle w:val="3"/>
        <w:spacing w:before="360" w:after="160"/>
      </w:pPr>
      <w:r>
        <w:rPr>
          <w:b/>
          <w:bCs/>
          <w:color w:val="1B2A4A"/>
          <w:sz w:val="26"/>
          <w:szCs w:val="26"/>
        </w:rPr>
        <w:t>5. Simple Price Example</w:t>
      </w:r>
    </w:p>
    <w:p w14:paraId="7B00249B">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110 → 104 → 108 → 101 → 106</w:t>
      </w:r>
    </w:p>
    <w:p w14:paraId="6375C928">
      <w:pPr>
        <w:spacing w:after="160" w:line="288" w:lineRule="auto"/>
      </w:pPr>
      <w:r>
        <w:rPr>
          <w:b w:val="0"/>
          <w:bCs w:val="0"/>
          <w:i w:val="0"/>
          <w:iCs w:val="0"/>
          <w:sz w:val="22"/>
          <w:szCs w:val="22"/>
        </w:rPr>
        <w:t>Price falls from 110 to 104, rises to 108, falls further to 101, then rises to 106.</w:t>
      </w:r>
    </w:p>
    <w:p w14:paraId="79A362B6">
      <w:pPr>
        <w:spacing w:after="160" w:line="288" w:lineRule="auto"/>
      </w:pPr>
      <w:r>
        <w:rPr>
          <w:b w:val="0"/>
          <w:bCs w:val="0"/>
          <w:i w:val="0"/>
          <w:iCs w:val="0"/>
          <w:sz w:val="22"/>
          <w:szCs w:val="22"/>
        </w:rPr>
        <w:t>104 is a swing low relative to 110 before it and 108 after it — a small dip.</w:t>
      </w:r>
    </w:p>
    <w:p w14:paraId="0108CC9A">
      <w:pPr>
        <w:spacing w:after="160" w:line="288" w:lineRule="auto"/>
      </w:pPr>
      <w:r>
        <w:rPr>
          <w:b w:val="0"/>
          <w:bCs w:val="0"/>
          <w:i w:val="0"/>
          <w:iCs w:val="0"/>
          <w:sz w:val="22"/>
          <w:szCs w:val="22"/>
        </w:rPr>
        <w:t>101 is a lower, more significant swing low — it is lower than 104 and is followed by a rise to 106. In ICT's hierarchy, 101 would carry more structural weight than 104 because it broke beneath the prior swing low.</w:t>
      </w:r>
    </w:p>
    <w:p w14:paraId="085A2465">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110       108</w:t>
      </w:r>
      <w:r>
        <w:rPr>
          <w:rFonts w:ascii="Consolas" w:hAnsi="Consolas" w:eastAsia="Consolas" w:cs="Consolas"/>
          <w:sz w:val="19"/>
          <w:szCs w:val="19"/>
        </w:rPr>
        <w:br w:type="textWrapping"/>
      </w:r>
      <w:r>
        <w:rPr>
          <w:rFonts w:ascii="Consolas" w:hAnsi="Consolas" w:eastAsia="Consolas" w:cs="Consolas"/>
          <w:sz w:val="19"/>
          <w:szCs w:val="19"/>
        </w:rPr>
        <w:t xml:space="preserve">   \     /   \</w:t>
      </w:r>
      <w:r>
        <w:rPr>
          <w:rFonts w:ascii="Consolas" w:hAnsi="Consolas" w:eastAsia="Consolas" w:cs="Consolas"/>
          <w:sz w:val="19"/>
          <w:szCs w:val="19"/>
        </w:rPr>
        <w:br w:type="textWrapping"/>
      </w:r>
      <w:r>
        <w:rPr>
          <w:rFonts w:ascii="Consolas" w:hAnsi="Consolas" w:eastAsia="Consolas" w:cs="Consolas"/>
          <w:sz w:val="19"/>
          <w:szCs w:val="19"/>
        </w:rPr>
        <w:t xml:space="preserve">    \   /     \      106</w:t>
      </w:r>
      <w:r>
        <w:rPr>
          <w:rFonts w:ascii="Consolas" w:hAnsi="Consolas" w:eastAsia="Consolas" w:cs="Consolas"/>
          <w:sz w:val="19"/>
          <w:szCs w:val="19"/>
        </w:rPr>
        <w:br w:type="textWrapping"/>
      </w:r>
      <w:r>
        <w:rPr>
          <w:rFonts w:ascii="Consolas" w:hAnsi="Consolas" w:eastAsia="Consolas" w:cs="Consolas"/>
          <w:sz w:val="19"/>
          <w:szCs w:val="19"/>
        </w:rPr>
        <w:t xml:space="preserve">     \ /       \    /</w:t>
      </w:r>
      <w:r>
        <w:rPr>
          <w:rFonts w:ascii="Consolas" w:hAnsi="Consolas" w:eastAsia="Consolas" w:cs="Consolas"/>
          <w:sz w:val="19"/>
          <w:szCs w:val="19"/>
        </w:rPr>
        <w:br w:type="textWrapping"/>
      </w:r>
      <w:r>
        <w:rPr>
          <w:rFonts w:ascii="Consolas" w:hAnsi="Consolas" w:eastAsia="Consolas" w:cs="Consolas"/>
          <w:sz w:val="19"/>
          <w:szCs w:val="19"/>
        </w:rPr>
        <w:t xml:space="preserve">     104        101</w:t>
      </w:r>
      <w:r>
        <w:rPr>
          <w:rFonts w:ascii="Consolas" w:hAnsi="Consolas" w:eastAsia="Consolas" w:cs="Consolas"/>
          <w:sz w:val="19"/>
          <w:szCs w:val="19"/>
        </w:rPr>
        <w:br w:type="textWrapping"/>
      </w:r>
      <w:r>
        <w:rPr>
          <w:rFonts w:ascii="Consolas" w:hAnsi="Consolas" w:eastAsia="Consolas" w:cs="Consolas"/>
          <w:sz w:val="19"/>
          <w:szCs w:val="19"/>
        </w:rPr>
        <w:t xml:space="preserve">                 &lt;- swing low</w:t>
      </w:r>
    </w:p>
    <w:p w14:paraId="2B5BB43C">
      <w:pPr>
        <w:pStyle w:val="3"/>
        <w:spacing w:before="360" w:after="160"/>
      </w:pPr>
      <w:r>
        <w:rPr>
          <w:b/>
          <w:bCs/>
          <w:color w:val="1B2A4A"/>
          <w:sz w:val="26"/>
          <w:szCs w:val="26"/>
        </w:rPr>
        <w:t>6. What It Tells the Trader</w:t>
      </w:r>
    </w:p>
    <w:p w14:paraId="35486049">
      <w:pPr>
        <w:spacing w:after="160" w:line="288" w:lineRule="auto"/>
      </w:pPr>
      <w:r>
        <w:rPr>
          <w:b w:val="0"/>
          <w:bCs w:val="0"/>
          <w:i w:val="0"/>
          <w:iCs w:val="0"/>
          <w:sz w:val="22"/>
          <w:szCs w:val="22"/>
        </w:rPr>
        <w:t>A swing low tells the trader where selling pressure was, at least temporarily, exhausted — where buyers (or an absence of further sellers) took control long enough to push price back up.</w:t>
      </w:r>
    </w:p>
    <w:p w14:paraId="5905F7DE">
      <w:pPr>
        <w:spacing w:after="160" w:line="288" w:lineRule="auto"/>
      </w:pPr>
      <w:r>
        <w:rPr>
          <w:b w:val="0"/>
          <w:bCs w:val="0"/>
          <w:i w:val="0"/>
          <w:iCs w:val="0"/>
          <w:sz w:val="22"/>
          <w:szCs w:val="22"/>
        </w:rPr>
        <w:t>Like the swing high, it is not inherently bullish or predictive. It only gains meaning once compared against other swing points or once it is later swept for liquidity.</w:t>
      </w:r>
    </w:p>
    <w:p w14:paraId="5A51636D">
      <w:pPr>
        <w:pStyle w:val="3"/>
        <w:spacing w:before="360" w:after="160"/>
      </w:pPr>
      <w:r>
        <w:rPr>
          <w:b/>
          <w:bCs/>
          <w:color w:val="1B2A4A"/>
          <w:sz w:val="26"/>
          <w:szCs w:val="26"/>
        </w:rPr>
        <w:t>7. What It Is Commonly Paired With</w:t>
      </w:r>
    </w:p>
    <w:p w14:paraId="2EA65A0B">
      <w:pPr>
        <w:pStyle w:val="16"/>
        <w:numPr>
          <w:ilvl w:val="0"/>
          <w:numId w:val="2"/>
        </w:numPr>
        <w:spacing w:after="80" w:line="276" w:lineRule="auto"/>
      </w:pPr>
      <w:r>
        <w:rPr>
          <w:sz w:val="22"/>
          <w:szCs w:val="22"/>
        </w:rPr>
        <w:t>Swing high</w:t>
      </w:r>
    </w:p>
    <w:p w14:paraId="17EE1E48">
      <w:pPr>
        <w:pStyle w:val="16"/>
        <w:numPr>
          <w:ilvl w:val="0"/>
          <w:numId w:val="2"/>
        </w:numPr>
        <w:spacing w:after="80" w:line="276" w:lineRule="auto"/>
      </w:pPr>
      <w:r>
        <w:rPr>
          <w:sz w:val="22"/>
          <w:szCs w:val="22"/>
        </w:rPr>
        <w:t>Higher low / lower low</w:t>
      </w:r>
    </w:p>
    <w:p w14:paraId="6062BE9B">
      <w:pPr>
        <w:pStyle w:val="16"/>
        <w:numPr>
          <w:ilvl w:val="0"/>
          <w:numId w:val="2"/>
        </w:numPr>
        <w:spacing w:after="80" w:line="276" w:lineRule="auto"/>
      </w:pPr>
      <w:r>
        <w:rPr>
          <w:sz w:val="22"/>
          <w:szCs w:val="22"/>
        </w:rPr>
        <w:t>Sell-side liquidity</w:t>
      </w:r>
    </w:p>
    <w:p w14:paraId="2316757E">
      <w:pPr>
        <w:spacing w:after="160" w:line="288" w:lineRule="auto"/>
      </w:pPr>
      <w:r>
        <w:rPr>
          <w:b w:val="0"/>
          <w:bCs w:val="0"/>
          <w:i w:val="0"/>
          <w:iCs w:val="0"/>
          <w:sz w:val="22"/>
          <w:szCs w:val="22"/>
        </w:rPr>
        <w:t>Swing lows and swing highs are always read as a pair — together they form the alternating sequence that defines trend direction. ICT teaches that resting sell-stop orders accumulate below swing lows, which is why swing lows become liquidity targets later in Module 4.</w:t>
      </w:r>
    </w:p>
    <w:p w14:paraId="4FA34AF1">
      <w:pPr>
        <w:pStyle w:val="3"/>
        <w:spacing w:before="360" w:after="160"/>
      </w:pPr>
      <w:r>
        <w:rPr>
          <w:b/>
          <w:bCs/>
          <w:color w:val="1B2A4A"/>
          <w:sz w:val="26"/>
          <w:szCs w:val="26"/>
        </w:rPr>
        <w:t>8. Where It Fits in the ICT Framework</w:t>
      </w:r>
    </w:p>
    <w:p w14:paraId="22A1522D">
      <w:pPr>
        <w:spacing w:after="160" w:line="288" w:lineRule="auto"/>
      </w:pPr>
      <w:r>
        <w:rPr>
          <w:b w:val="0"/>
          <w:bCs w:val="0"/>
          <w:i w:val="0"/>
          <w:iCs w:val="0"/>
          <w:sz w:val="22"/>
          <w:szCs w:val="22"/>
        </w:rPr>
        <w:t>Comes before: Foundational — no prior concept required.</w:t>
      </w:r>
    </w:p>
    <w:p w14:paraId="04CC64F9">
      <w:pPr>
        <w:spacing w:after="160" w:line="288" w:lineRule="auto"/>
      </w:pPr>
      <w:r>
        <w:rPr>
          <w:b w:val="0"/>
          <w:bCs w:val="0"/>
          <w:i w:val="0"/>
          <w:iCs w:val="0"/>
          <w:sz w:val="22"/>
          <w:szCs w:val="22"/>
        </w:rPr>
        <w:t>Comes after: Feeds into Higher Low / Lower Low classification, Market Structure (Module 3), and Sell-Side Liquidity (Module 4).</w:t>
      </w:r>
    </w:p>
    <w:p w14:paraId="409E4E72">
      <w:pPr>
        <w:pStyle w:val="3"/>
        <w:spacing w:before="360" w:after="160"/>
      </w:pPr>
      <w:r>
        <w:rPr>
          <w:b/>
          <w:bCs/>
          <w:color w:val="1B2A4A"/>
          <w:sz w:val="26"/>
          <w:szCs w:val="26"/>
        </w:rPr>
        <w:t>9. Beginner Mistakes</w:t>
      </w:r>
    </w:p>
    <w:p w14:paraId="14FF91DA">
      <w:pPr>
        <w:pStyle w:val="16"/>
        <w:numPr>
          <w:ilvl w:val="0"/>
          <w:numId w:val="2"/>
        </w:numPr>
        <w:spacing w:after="80" w:line="276" w:lineRule="auto"/>
      </w:pPr>
      <w:r>
        <w:rPr>
          <w:sz w:val="22"/>
          <w:szCs w:val="22"/>
        </w:rPr>
        <w:t>Marking minor wicks as swing lows without applying the three-candle test consistently.</w:t>
      </w:r>
    </w:p>
    <w:p w14:paraId="2852D581">
      <w:pPr>
        <w:pStyle w:val="16"/>
        <w:numPr>
          <w:ilvl w:val="0"/>
          <w:numId w:val="2"/>
        </w:numPr>
        <w:spacing w:after="80" w:line="276" w:lineRule="auto"/>
      </w:pPr>
      <w:r>
        <w:rPr>
          <w:sz w:val="22"/>
          <w:szCs w:val="22"/>
        </w:rPr>
        <w:t>Assuming every swing low is a "buy the dip" signal.</w:t>
      </w:r>
    </w:p>
    <w:p w14:paraId="11549E7A">
      <w:pPr>
        <w:pStyle w:val="16"/>
        <w:numPr>
          <w:ilvl w:val="0"/>
          <w:numId w:val="2"/>
        </w:numPr>
        <w:spacing w:after="80" w:line="276" w:lineRule="auto"/>
      </w:pPr>
      <w:r>
        <w:rPr>
          <w:sz w:val="22"/>
          <w:szCs w:val="22"/>
        </w:rPr>
        <w:t>Comparing swing lows across different timeframes as if they were equally significant.</w:t>
      </w:r>
    </w:p>
    <w:p w14:paraId="13F9D0FE">
      <w:pPr>
        <w:pStyle w:val="3"/>
        <w:spacing w:before="360" w:after="160"/>
      </w:pPr>
      <w:r>
        <w:rPr>
          <w:b/>
          <w:bCs/>
          <w:color w:val="1B2A4A"/>
          <w:sz w:val="26"/>
          <w:szCs w:val="26"/>
        </w:rPr>
        <w:t>10. Important Qualification</w:t>
      </w:r>
    </w:p>
    <w:p w14:paraId="626E6FF3">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 swing low is a structural label describing where a short-term down-move stopped. It does not by itself indicate that a bullish reversal is underway or that the level will hold on a future retest.</w:t>
      </w:r>
    </w:p>
    <w:p w14:paraId="22FC4E44">
      <w:pPr>
        <w:pStyle w:val="3"/>
        <w:spacing w:before="360" w:after="160"/>
      </w:pPr>
      <w:r>
        <w:rPr>
          <w:b/>
          <w:bCs/>
          <w:color w:val="1B2A4A"/>
          <w:sz w:val="26"/>
          <w:szCs w:val="26"/>
        </w:rPr>
        <w:t>11. Source</w:t>
      </w:r>
    </w:p>
    <w:p w14:paraId="42B72193"/>
    <w:p w14:paraId="630CDE90">
      <w:pPr>
        <w:pStyle w:val="16"/>
        <w:numPr>
          <w:ilvl w:val="0"/>
          <w:numId w:val="2"/>
        </w:numPr>
        <w:spacing w:after="80" w:line="276" w:lineRule="auto"/>
      </w:pPr>
      <w:r>
        <w:rPr>
          <w:sz w:val="22"/>
          <w:szCs w:val="22"/>
        </w:rPr>
        <w:t>innercircletrader.net — "What is an ICT Swing Low? 3-Candle Formation Explained."</w:t>
      </w:r>
    </w:p>
    <w:p w14:paraId="23C97A1B">
      <w:pPr>
        <w:pStyle w:val="16"/>
        <w:numPr>
          <w:ilvl w:val="0"/>
          <w:numId w:val="2"/>
        </w:numPr>
        <w:spacing w:after="80" w:line="276" w:lineRule="auto"/>
      </w:pPr>
      <w:r>
        <w:rPr>
          <w:sz w:val="22"/>
          <w:szCs w:val="22"/>
        </w:rPr>
        <w:t>innercircletrader.net — "What Is ICT Market Structure? BOS Highs, Lows &amp; Liquidity" (STL / ITL / LTL hierarchy).</w:t>
      </w:r>
    </w:p>
    <w:p w14:paraId="35E0E358">
      <w:pPr>
        <w:pBdr>
          <w:left w:val="single" w:color="9A7B2E" w:sz="24" w:space="8"/>
        </w:pBdr>
        <w:shd w:val="clear" w:fill="EFEFEF"/>
        <w:spacing w:before="160" w:after="200"/>
        <w:ind w:left="200"/>
      </w:pPr>
      <w:r>
        <w:rPr>
          <w:b/>
          <w:bCs/>
          <w:color w:val="9A7B2E"/>
          <w:sz w:val="21"/>
          <w:szCs w:val="21"/>
        </w:rPr>
        <w:t xml:space="preserve">Community interpretation: </w:t>
      </w:r>
      <w:r>
        <w:rPr>
          <w:sz w:val="21"/>
          <w:szCs w:val="21"/>
        </w:rPr>
        <w:t>As with the swing high, the precise three-candle rule is consistently documented by ICT-focused educators rather than confirmed here from a direct ICT primary-source transcript; it is treated as reliable, well-corroborated secondary documentation of ICT's method.</w:t>
      </w:r>
    </w:p>
    <w:p w14:paraId="687D0A8F">
      <w:r>
        <w:br w:type="page"/>
      </w:r>
    </w:p>
    <w:p w14:paraId="6B6564FC">
      <w:pPr>
        <w:pStyle w:val="2"/>
        <w:pBdr>
          <w:bottom w:val="single" w:color="1B2A4A" w:sz="12" w:space="4"/>
        </w:pBdr>
        <w:spacing w:before="480" w:after="240"/>
      </w:pPr>
      <w:r>
        <w:rPr>
          <w:b/>
          <w:bCs/>
          <w:color w:val="1B2A4A"/>
          <w:sz w:val="34"/>
          <w:szCs w:val="34"/>
        </w:rPr>
        <w:t>Higher High</w:t>
      </w:r>
    </w:p>
    <w:p w14:paraId="053A633A">
      <w:pPr>
        <w:pStyle w:val="3"/>
        <w:spacing w:before="360" w:after="160"/>
      </w:pPr>
      <w:r>
        <w:rPr>
          <w:b/>
          <w:bCs/>
          <w:color w:val="1B2A4A"/>
          <w:sz w:val="26"/>
          <w:szCs w:val="26"/>
        </w:rPr>
        <w:t>1. Definition</w:t>
      </w:r>
    </w:p>
    <w:p w14:paraId="0346C618">
      <w:pPr>
        <w:spacing w:after="160" w:line="288" w:lineRule="auto"/>
      </w:pPr>
      <w:r>
        <w:rPr>
          <w:b w:val="0"/>
          <w:bCs w:val="0"/>
          <w:i w:val="0"/>
          <w:iCs w:val="0"/>
          <w:sz w:val="22"/>
          <w:szCs w:val="22"/>
        </w:rPr>
        <w:t>A higher high is a swing high that forms above the level of the previous swing high, showing that the upward move extended further than the prior one.</w:t>
      </w:r>
    </w:p>
    <w:p w14:paraId="3F6E6EEE">
      <w:pPr>
        <w:pStyle w:val="3"/>
        <w:spacing w:before="360" w:after="160"/>
      </w:pPr>
      <w:r>
        <w:rPr>
          <w:b/>
          <w:bCs/>
          <w:color w:val="1B2A4A"/>
          <w:sz w:val="26"/>
          <w:szCs w:val="26"/>
        </w:rPr>
        <w:t>2. ICT's Meaning</w:t>
      </w:r>
    </w:p>
    <w:p w14:paraId="58B0B91B">
      <w:pPr>
        <w:spacing w:after="160" w:line="288" w:lineRule="auto"/>
      </w:pPr>
      <w:r>
        <w:rPr>
          <w:b w:val="0"/>
          <w:bCs w:val="0"/>
          <w:i w:val="0"/>
          <w:iCs w:val="0"/>
          <w:sz w:val="22"/>
          <w:szCs w:val="22"/>
        </w:rPr>
        <w:t>In ICT's framework, a sequence of higher highs is one half of the definition of bullish market structure (the other half being higher lows). A higher high confirms that the prevailing upward pressure was strong enough to exceed the last significant peak.</w:t>
      </w:r>
    </w:p>
    <w:p w14:paraId="1B358BB1">
      <w:pPr>
        <w:spacing w:after="160" w:line="288" w:lineRule="auto"/>
      </w:pPr>
      <w:r>
        <w:rPr>
          <w:b w:val="0"/>
          <w:bCs w:val="0"/>
          <w:i w:val="0"/>
          <w:iCs w:val="0"/>
          <w:sz w:val="22"/>
          <w:szCs w:val="22"/>
        </w:rPr>
        <w:t>Some ICT-focused teaching adds a stricter qualification: a swing high is only counted as a valid, structurally meaningful higher high after price has swept the liquidity resting just beyond the prior high or low (an "inducement") on the way up. This distinguishes a structurally valid higher high from a high that merely prints a marginally larger number without a proper liquidity-driven move behind it. This refinement is a documented ICT-community elaboration built on top of ICT's original structural teaching rather than a phrase ICT is confirmed to have used verbatim, and is labeled here as such.</w:t>
      </w:r>
    </w:p>
    <w:p w14:paraId="5B8157A2">
      <w:pPr>
        <w:pStyle w:val="3"/>
        <w:spacing w:before="360" w:after="160"/>
      </w:pPr>
      <w:r>
        <w:rPr>
          <w:b/>
          <w:bCs/>
          <w:color w:val="1B2A4A"/>
          <w:sz w:val="26"/>
          <w:szCs w:val="26"/>
        </w:rPr>
        <w:t>3. Beginner Explanation</w:t>
      </w:r>
    </w:p>
    <w:p w14:paraId="0093DABA">
      <w:pPr>
        <w:spacing w:after="160" w:line="288" w:lineRule="auto"/>
      </w:pPr>
      <w:r>
        <w:rPr>
          <w:b w:val="0"/>
          <w:bCs w:val="0"/>
          <w:i w:val="0"/>
          <w:iCs w:val="0"/>
          <w:sz w:val="22"/>
          <w:szCs w:val="22"/>
        </w:rPr>
        <w:t>If you compare two peaks on a chart and the second, more recent peak is higher than the first, that second peak is called a higher high. It is simple arithmetic applied to swing highs: is this new top bigger than the last one?</w:t>
      </w:r>
    </w:p>
    <w:p w14:paraId="65CF2D54">
      <w:pPr>
        <w:pStyle w:val="3"/>
        <w:spacing w:before="360" w:after="160"/>
      </w:pPr>
      <w:r>
        <w:rPr>
          <w:b/>
          <w:bCs/>
          <w:color w:val="1B2A4A"/>
          <w:sz w:val="26"/>
          <w:szCs w:val="26"/>
        </w:rPr>
        <w:t>4. How to Identify It</w:t>
      </w:r>
    </w:p>
    <w:p w14:paraId="51D23010">
      <w:pPr>
        <w:pStyle w:val="16"/>
        <w:numPr>
          <w:ilvl w:val="0"/>
          <w:numId w:val="1"/>
        </w:numPr>
        <w:spacing w:after="80" w:line="276" w:lineRule="auto"/>
      </w:pPr>
      <w:r>
        <w:rPr>
          <w:sz w:val="22"/>
          <w:szCs w:val="22"/>
        </w:rPr>
        <w:t>Identify two consecutive confirmed swing highs on the chart.</w:t>
      </w:r>
    </w:p>
    <w:p w14:paraId="6582478B">
      <w:pPr>
        <w:pStyle w:val="16"/>
        <w:numPr>
          <w:ilvl w:val="0"/>
          <w:numId w:val="1"/>
        </w:numPr>
        <w:spacing w:after="80" w:line="276" w:lineRule="auto"/>
      </w:pPr>
      <w:r>
        <w:rPr>
          <w:sz w:val="22"/>
          <w:szCs w:val="22"/>
        </w:rPr>
        <w:t>Compare their price levels.</w:t>
      </w:r>
    </w:p>
    <w:p w14:paraId="67224625">
      <w:pPr>
        <w:pStyle w:val="16"/>
        <w:numPr>
          <w:ilvl w:val="0"/>
          <w:numId w:val="1"/>
        </w:numPr>
        <w:spacing w:after="80" w:line="276" w:lineRule="auto"/>
      </w:pPr>
      <w:r>
        <w:rPr>
          <w:sz w:val="22"/>
          <w:szCs w:val="22"/>
        </w:rPr>
        <w:t>If the more recent swing high is priced above the earlier one, label it a Higher High (HH).</w:t>
      </w:r>
    </w:p>
    <w:p w14:paraId="4BF91823">
      <w:pPr>
        <w:pStyle w:val="16"/>
        <w:numPr>
          <w:ilvl w:val="0"/>
          <w:numId w:val="1"/>
        </w:numPr>
        <w:spacing w:after="80" w:line="276" w:lineRule="auto"/>
      </w:pPr>
      <w:r>
        <w:rPr>
          <w:sz w:val="22"/>
          <w:szCs w:val="22"/>
        </w:rPr>
        <w:t>Confirm this fits inside a broader sequence — a single higher high in isolation is weaker evidence than several in a row combined with higher lows in between.</w:t>
      </w:r>
    </w:p>
    <w:p w14:paraId="10FF32BA">
      <w:pPr>
        <w:pStyle w:val="3"/>
        <w:spacing w:before="360" w:after="160"/>
      </w:pPr>
      <w:r>
        <w:rPr>
          <w:b/>
          <w:bCs/>
          <w:color w:val="1B2A4A"/>
          <w:sz w:val="26"/>
          <w:szCs w:val="26"/>
        </w:rPr>
        <w:t>5. Simple Price Example</w:t>
      </w:r>
    </w:p>
    <w:p w14:paraId="5B7028A1">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100 → 105 → 102 → 108 → 104 → 112</w:t>
      </w:r>
    </w:p>
    <w:p w14:paraId="399FCC31">
      <w:pPr>
        <w:spacing w:after="160" w:line="288" w:lineRule="auto"/>
      </w:pPr>
      <w:r>
        <w:rPr>
          <w:b w:val="0"/>
          <w:bCs w:val="0"/>
          <w:i w:val="0"/>
          <w:iCs w:val="0"/>
          <w:sz w:val="22"/>
          <w:szCs w:val="22"/>
        </w:rPr>
        <w:t>The first swing high is 105. The next swing high, 108, is above 105 — 108 is a higher high. The next swing high, 112, is above 108 — another higher high.</w:t>
      </w:r>
    </w:p>
    <w:p w14:paraId="081A5386">
      <w:pPr>
        <w:spacing w:after="160" w:line="288" w:lineRule="auto"/>
      </w:pPr>
      <w:r>
        <w:rPr>
          <w:b w:val="0"/>
          <w:bCs w:val="0"/>
          <w:i w:val="0"/>
          <w:iCs w:val="0"/>
          <w:sz w:val="22"/>
          <w:szCs w:val="22"/>
        </w:rPr>
        <w:t>This growing sequence of tops (105 → 108 → 112) is exactly what ICT points to as evidence of bullish market structure, provided the swing lows in between are also rising (see Higher Low).</w:t>
      </w:r>
    </w:p>
    <w:p w14:paraId="5CE252A6">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 xml:space="preserve">                     112  &lt;- HH</w:t>
      </w:r>
      <w:r>
        <w:rPr>
          <w:rFonts w:ascii="Consolas" w:hAnsi="Consolas" w:eastAsia="Consolas" w:cs="Consolas"/>
          <w:sz w:val="19"/>
          <w:szCs w:val="19"/>
        </w:rPr>
        <w:br w:type="textWrapping"/>
      </w:r>
      <w:r>
        <w:rPr>
          <w:rFonts w:ascii="Consolas" w:hAnsi="Consolas" w:eastAsia="Consolas" w:cs="Consolas"/>
          <w:sz w:val="19"/>
          <w:szCs w:val="19"/>
        </w:rPr>
        <w:t xml:space="preserve">            108 &lt;-HH /</w:t>
      </w:r>
      <w:r>
        <w:rPr>
          <w:rFonts w:ascii="Consolas" w:hAnsi="Consolas" w:eastAsia="Consolas" w:cs="Consolas"/>
          <w:sz w:val="19"/>
          <w:szCs w:val="19"/>
        </w:rPr>
        <w:br w:type="textWrapping"/>
      </w:r>
      <w:r>
        <w:rPr>
          <w:rFonts w:ascii="Consolas" w:hAnsi="Consolas" w:eastAsia="Consolas" w:cs="Consolas"/>
          <w:sz w:val="19"/>
          <w:szCs w:val="19"/>
        </w:rPr>
        <w:t xml:space="preserve">  105 &lt;-HH /   \    /</w:t>
      </w:r>
      <w:r>
        <w:rPr>
          <w:rFonts w:ascii="Consolas" w:hAnsi="Consolas" w:eastAsia="Consolas" w:cs="Consolas"/>
          <w:sz w:val="19"/>
          <w:szCs w:val="19"/>
        </w:rPr>
        <w:br w:type="textWrapping"/>
      </w:r>
      <w:r>
        <w:rPr>
          <w:rFonts w:ascii="Consolas" w:hAnsi="Consolas" w:eastAsia="Consolas" w:cs="Consolas"/>
          <w:sz w:val="19"/>
          <w:szCs w:val="19"/>
        </w:rPr>
        <w:t xml:space="preserve"> /   \    /     \  /</w:t>
      </w:r>
      <w:r>
        <w:rPr>
          <w:rFonts w:ascii="Consolas" w:hAnsi="Consolas" w:eastAsia="Consolas" w:cs="Consolas"/>
          <w:sz w:val="19"/>
          <w:szCs w:val="19"/>
        </w:rPr>
        <w:br w:type="textWrapping"/>
      </w:r>
      <w:r>
        <w:rPr>
          <w:rFonts w:ascii="Consolas" w:hAnsi="Consolas" w:eastAsia="Consolas" w:cs="Consolas"/>
          <w:sz w:val="19"/>
          <w:szCs w:val="19"/>
        </w:rPr>
        <w:t>100   102        104</w:t>
      </w:r>
    </w:p>
    <w:p w14:paraId="3CB01742">
      <w:pPr>
        <w:pStyle w:val="3"/>
        <w:spacing w:before="360" w:after="160"/>
      </w:pPr>
      <w:r>
        <w:rPr>
          <w:b/>
          <w:bCs/>
          <w:color w:val="1B2A4A"/>
          <w:sz w:val="26"/>
          <w:szCs w:val="26"/>
        </w:rPr>
        <w:t>6. What It Tells the Trader</w:t>
      </w:r>
    </w:p>
    <w:p w14:paraId="46474BA1">
      <w:pPr>
        <w:spacing w:after="160" w:line="288" w:lineRule="auto"/>
      </w:pPr>
      <w:r>
        <w:rPr>
          <w:b w:val="0"/>
          <w:bCs w:val="0"/>
          <w:i w:val="0"/>
          <w:iCs w:val="0"/>
          <w:sz w:val="22"/>
          <w:szCs w:val="22"/>
        </w:rPr>
        <w:t>A higher high tells the trader that the most recent upward push exceeded the previous one, which is one of the two required conditions for classifying the trend as bullish.</w:t>
      </w:r>
    </w:p>
    <w:p w14:paraId="6CC0F28A">
      <w:pPr>
        <w:spacing w:after="160" w:line="288" w:lineRule="auto"/>
      </w:pPr>
      <w:r>
        <w:rPr>
          <w:b w:val="0"/>
          <w:bCs w:val="0"/>
          <w:i w:val="0"/>
          <w:iCs w:val="0"/>
          <w:sz w:val="22"/>
          <w:szCs w:val="22"/>
        </w:rPr>
        <w:t>It does not by itself confirm that the uptrend will continue; it is a description of what already happened, not a forecast.</w:t>
      </w:r>
    </w:p>
    <w:p w14:paraId="2C750EB4">
      <w:pPr>
        <w:pStyle w:val="3"/>
        <w:spacing w:before="360" w:after="160"/>
      </w:pPr>
      <w:r>
        <w:rPr>
          <w:b/>
          <w:bCs/>
          <w:color w:val="1B2A4A"/>
          <w:sz w:val="26"/>
          <w:szCs w:val="26"/>
        </w:rPr>
        <w:t>7. What It Is Commonly Paired With</w:t>
      </w:r>
    </w:p>
    <w:p w14:paraId="7AE5798E">
      <w:pPr>
        <w:pStyle w:val="16"/>
        <w:numPr>
          <w:ilvl w:val="0"/>
          <w:numId w:val="2"/>
        </w:numPr>
        <w:spacing w:after="80" w:line="276" w:lineRule="auto"/>
      </w:pPr>
      <w:r>
        <w:rPr>
          <w:sz w:val="22"/>
          <w:szCs w:val="22"/>
        </w:rPr>
        <w:t>Higher low</w:t>
      </w:r>
    </w:p>
    <w:p w14:paraId="2AE96826">
      <w:pPr>
        <w:pStyle w:val="16"/>
        <w:numPr>
          <w:ilvl w:val="0"/>
          <w:numId w:val="2"/>
        </w:numPr>
        <w:spacing w:after="80" w:line="276" w:lineRule="auto"/>
      </w:pPr>
      <w:r>
        <w:rPr>
          <w:sz w:val="22"/>
          <w:szCs w:val="22"/>
        </w:rPr>
        <w:t>Trend</w:t>
      </w:r>
    </w:p>
    <w:p w14:paraId="585AC813">
      <w:pPr>
        <w:pStyle w:val="16"/>
        <w:numPr>
          <w:ilvl w:val="0"/>
          <w:numId w:val="2"/>
        </w:numPr>
        <w:spacing w:after="80" w:line="276" w:lineRule="auto"/>
      </w:pPr>
      <w:r>
        <w:rPr>
          <w:sz w:val="22"/>
          <w:szCs w:val="22"/>
        </w:rPr>
        <w:t>Bullish market structure</w:t>
      </w:r>
    </w:p>
    <w:p w14:paraId="14F4C6FB">
      <w:pPr>
        <w:spacing w:after="160" w:line="288" w:lineRule="auto"/>
      </w:pPr>
      <w:r>
        <w:rPr>
          <w:b w:val="0"/>
          <w:bCs w:val="0"/>
          <w:i w:val="0"/>
          <w:iCs w:val="0"/>
          <w:sz w:val="22"/>
          <w:szCs w:val="22"/>
        </w:rPr>
        <w:t>A higher high only completes the definition of bullish structure when paired with a higher low. One without the other is an incomplete or conflicting structural picture.</w:t>
      </w:r>
    </w:p>
    <w:p w14:paraId="213E0E73">
      <w:pPr>
        <w:pStyle w:val="3"/>
        <w:spacing w:before="360" w:after="160"/>
      </w:pPr>
      <w:r>
        <w:rPr>
          <w:b/>
          <w:bCs/>
          <w:color w:val="1B2A4A"/>
          <w:sz w:val="26"/>
          <w:szCs w:val="26"/>
        </w:rPr>
        <w:t>8. Where It Fits in the ICT Framework</w:t>
      </w:r>
    </w:p>
    <w:p w14:paraId="6493F203">
      <w:pPr>
        <w:spacing w:after="160" w:line="288" w:lineRule="auto"/>
      </w:pPr>
      <w:r>
        <w:rPr>
          <w:b w:val="0"/>
          <w:bCs w:val="0"/>
          <w:i w:val="0"/>
          <w:iCs w:val="0"/>
          <w:sz w:val="22"/>
          <w:szCs w:val="22"/>
        </w:rPr>
        <w:t>Comes before: Requires Swing High to already be understood.</w:t>
      </w:r>
    </w:p>
    <w:p w14:paraId="2BDBF63C">
      <w:pPr>
        <w:spacing w:after="160" w:line="288" w:lineRule="auto"/>
      </w:pPr>
      <w:r>
        <w:rPr>
          <w:b w:val="0"/>
          <w:bCs w:val="0"/>
          <w:i w:val="0"/>
          <w:iCs w:val="0"/>
          <w:sz w:val="22"/>
          <w:szCs w:val="22"/>
        </w:rPr>
        <w:t>Comes after: Feeds directly into Trend and Bullish Market Structure (Module 3).</w:t>
      </w:r>
    </w:p>
    <w:p w14:paraId="37CAE005">
      <w:pPr>
        <w:pStyle w:val="3"/>
        <w:spacing w:before="360" w:after="160"/>
      </w:pPr>
      <w:r>
        <w:rPr>
          <w:b/>
          <w:bCs/>
          <w:color w:val="1B2A4A"/>
          <w:sz w:val="26"/>
          <w:szCs w:val="26"/>
        </w:rPr>
        <w:t>9. Beginner Mistakes</w:t>
      </w:r>
    </w:p>
    <w:p w14:paraId="3798B667">
      <w:pPr>
        <w:pStyle w:val="16"/>
        <w:numPr>
          <w:ilvl w:val="0"/>
          <w:numId w:val="2"/>
        </w:numPr>
        <w:spacing w:after="80" w:line="276" w:lineRule="auto"/>
      </w:pPr>
      <w:r>
        <w:rPr>
          <w:sz w:val="22"/>
          <w:szCs w:val="22"/>
        </w:rPr>
        <w:t>Calling a move a higher high after only one data point, without a confirmed prior swing high to compare against.</w:t>
      </w:r>
    </w:p>
    <w:p w14:paraId="048163E1">
      <w:pPr>
        <w:pStyle w:val="16"/>
        <w:numPr>
          <w:ilvl w:val="0"/>
          <w:numId w:val="2"/>
        </w:numPr>
        <w:spacing w:after="80" w:line="276" w:lineRule="auto"/>
      </w:pPr>
      <w:r>
        <w:rPr>
          <w:sz w:val="22"/>
          <w:szCs w:val="22"/>
        </w:rPr>
        <w:t>Ignoring higher lows and assuming higher highs alone define an uptrend.</w:t>
      </w:r>
    </w:p>
    <w:p w14:paraId="3DD89D58">
      <w:pPr>
        <w:pStyle w:val="16"/>
        <w:numPr>
          <w:ilvl w:val="0"/>
          <w:numId w:val="2"/>
        </w:numPr>
        <w:spacing w:after="80" w:line="276" w:lineRule="auto"/>
      </w:pPr>
      <w:r>
        <w:rPr>
          <w:sz w:val="22"/>
          <w:szCs w:val="22"/>
        </w:rPr>
        <w:t>Confusing a higher high on a lower timeframe with the higher-timeframe structure (see Module 2).</w:t>
      </w:r>
    </w:p>
    <w:p w14:paraId="5A1862DF">
      <w:pPr>
        <w:pStyle w:val="3"/>
        <w:spacing w:before="360" w:after="160"/>
      </w:pPr>
      <w:r>
        <w:rPr>
          <w:b/>
          <w:bCs/>
          <w:color w:val="1B2A4A"/>
          <w:sz w:val="26"/>
          <w:szCs w:val="26"/>
        </w:rPr>
        <w:t>10. Important Qualification</w:t>
      </w:r>
    </w:p>
    <w:p w14:paraId="1BB9EB6B">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 single higher high does not establish a trend. ICT's structural reading requires a consistent, ongoing sequence of higher highs and higher lows, and even then, structure can shift (see Market Structure Shift, Module 3).</w:t>
      </w:r>
    </w:p>
    <w:p w14:paraId="173D128E">
      <w:pPr>
        <w:pStyle w:val="3"/>
        <w:spacing w:before="360" w:after="160"/>
      </w:pPr>
      <w:r>
        <w:rPr>
          <w:b/>
          <w:bCs/>
          <w:color w:val="1B2A4A"/>
          <w:sz w:val="26"/>
          <w:szCs w:val="26"/>
        </w:rPr>
        <w:t>11. Source</w:t>
      </w:r>
    </w:p>
    <w:p w14:paraId="128E5B3D"/>
    <w:p w14:paraId="79A581E3">
      <w:pPr>
        <w:pStyle w:val="16"/>
        <w:numPr>
          <w:ilvl w:val="0"/>
          <w:numId w:val="2"/>
        </w:numPr>
        <w:spacing w:after="80" w:line="276" w:lineRule="auto"/>
      </w:pPr>
      <w:r>
        <w:rPr>
          <w:sz w:val="22"/>
          <w:szCs w:val="22"/>
        </w:rPr>
        <w:t>litefinance.org — "ICT Trading Strategy: Complete Guide to Inner Circle Trader Method" (HH/HL bullish structure definition).</w:t>
      </w:r>
    </w:p>
    <w:p w14:paraId="09AF3499">
      <w:pPr>
        <w:pStyle w:val="16"/>
        <w:numPr>
          <w:ilvl w:val="0"/>
          <w:numId w:val="2"/>
        </w:numPr>
        <w:spacing w:after="80" w:line="276" w:lineRule="auto"/>
      </w:pPr>
      <w:r>
        <w:rPr>
          <w:sz w:val="22"/>
          <w:szCs w:val="22"/>
        </w:rPr>
        <w:t>chartinglens.com — "ICT Trading Strategy: The Complete Guide to Inner Circle Trader Concepts" (HH/HL, BOS/CHoCH framing).</w:t>
      </w:r>
    </w:p>
    <w:p w14:paraId="28CB6007">
      <w:pPr>
        <w:pBdr>
          <w:left w:val="single" w:color="9A7B2E" w:sz="24" w:space="8"/>
        </w:pBdr>
        <w:shd w:val="clear" w:fill="EFEFEF"/>
        <w:spacing w:before="160" w:after="200"/>
        <w:ind w:left="200"/>
      </w:pPr>
      <w:r>
        <w:rPr>
          <w:b/>
          <w:bCs/>
          <w:color w:val="9A7B2E"/>
          <w:sz w:val="21"/>
          <w:szCs w:val="21"/>
        </w:rPr>
        <w:t xml:space="preserve">Community interpretation: </w:t>
      </w:r>
      <w:r>
        <w:rPr>
          <w:sz w:val="21"/>
          <w:szCs w:val="21"/>
        </w:rPr>
        <w:t>The "inducement sweep required to validate a higher high" refinement is a community-level elaboration documented on ICT-focused tutorial sites, not confirmed here as ICT's own verbatim phrasing.</w:t>
      </w:r>
    </w:p>
    <w:p w14:paraId="78E16853">
      <w:r>
        <w:br w:type="page"/>
      </w:r>
    </w:p>
    <w:p w14:paraId="4203F7E2">
      <w:pPr>
        <w:pStyle w:val="2"/>
        <w:pBdr>
          <w:bottom w:val="single" w:color="1B2A4A" w:sz="12" w:space="4"/>
        </w:pBdr>
        <w:spacing w:before="480" w:after="240"/>
      </w:pPr>
      <w:r>
        <w:rPr>
          <w:b/>
          <w:bCs/>
          <w:color w:val="1B2A4A"/>
          <w:sz w:val="34"/>
          <w:szCs w:val="34"/>
        </w:rPr>
        <w:t>Higher Low</w:t>
      </w:r>
    </w:p>
    <w:p w14:paraId="5C34647C">
      <w:pPr>
        <w:pStyle w:val="3"/>
        <w:spacing w:before="360" w:after="160"/>
      </w:pPr>
      <w:r>
        <w:rPr>
          <w:b/>
          <w:bCs/>
          <w:color w:val="1B2A4A"/>
          <w:sz w:val="26"/>
          <w:szCs w:val="26"/>
        </w:rPr>
        <w:t>1. Definition</w:t>
      </w:r>
    </w:p>
    <w:p w14:paraId="156F059F">
      <w:pPr>
        <w:spacing w:after="160" w:line="288" w:lineRule="auto"/>
      </w:pPr>
      <w:r>
        <w:rPr>
          <w:b w:val="0"/>
          <w:bCs w:val="0"/>
          <w:i w:val="0"/>
          <w:iCs w:val="0"/>
          <w:sz w:val="22"/>
          <w:szCs w:val="22"/>
        </w:rPr>
        <w:t>A higher low is a swing low that forms above the level of the previous swing low, showing that the pullback did not retrace as far as the prior one.</w:t>
      </w:r>
    </w:p>
    <w:p w14:paraId="044CB794">
      <w:pPr>
        <w:pStyle w:val="3"/>
        <w:spacing w:before="360" w:after="160"/>
      </w:pPr>
      <w:r>
        <w:rPr>
          <w:b/>
          <w:bCs/>
          <w:color w:val="1B2A4A"/>
          <w:sz w:val="26"/>
          <w:szCs w:val="26"/>
        </w:rPr>
        <w:t>2. ICT's Meaning</w:t>
      </w:r>
    </w:p>
    <w:p w14:paraId="759DA459">
      <w:pPr>
        <w:spacing w:after="160" w:line="288" w:lineRule="auto"/>
      </w:pPr>
      <w:r>
        <w:rPr>
          <w:b w:val="0"/>
          <w:bCs w:val="0"/>
          <w:i w:val="0"/>
          <w:iCs w:val="0"/>
          <w:sz w:val="22"/>
          <w:szCs w:val="22"/>
        </w:rPr>
        <w:t>A higher low is the second required ingredient (alongside the higher high) for ICT's definition of bullish market structure. It shows that sellers were unable to push price back down to the previous low before buyers regained control.</w:t>
      </w:r>
    </w:p>
    <w:p w14:paraId="244F2E53">
      <w:pPr>
        <w:spacing w:after="160" w:line="288" w:lineRule="auto"/>
      </w:pPr>
      <w:r>
        <w:rPr>
          <w:b w:val="0"/>
          <w:bCs w:val="0"/>
          <w:i w:val="0"/>
          <w:iCs w:val="0"/>
          <w:sz w:val="22"/>
          <w:szCs w:val="22"/>
        </w:rPr>
        <w:t>ICT-focused teaching describes higher lows as levels that should be "protected" if the uptrend is genuinely intact — meaning price is generally not expected to close back below a confirmed higher low without calling the bullish structure into question.</w:t>
      </w:r>
    </w:p>
    <w:p w14:paraId="7B8B7A37">
      <w:pPr>
        <w:pStyle w:val="3"/>
        <w:spacing w:before="360" w:after="160"/>
      </w:pPr>
      <w:r>
        <w:rPr>
          <w:b/>
          <w:bCs/>
          <w:color w:val="1B2A4A"/>
          <w:sz w:val="26"/>
          <w:szCs w:val="26"/>
        </w:rPr>
        <w:t>3. Beginner Explanation</w:t>
      </w:r>
    </w:p>
    <w:p w14:paraId="2AA35F9D">
      <w:pPr>
        <w:spacing w:after="160" w:line="288" w:lineRule="auto"/>
      </w:pPr>
      <w:r>
        <w:rPr>
          <w:b w:val="0"/>
          <w:bCs w:val="0"/>
          <w:i w:val="0"/>
          <w:iCs w:val="0"/>
          <w:sz w:val="22"/>
          <w:szCs w:val="22"/>
        </w:rPr>
        <w:t>If you compare two dips (pullbacks) on a chart and the second, more recent dip does not fall as far as the first one, that second dip is a higher low. Buyers stepped back in earlier than they did last time.</w:t>
      </w:r>
    </w:p>
    <w:p w14:paraId="4823B3E4">
      <w:pPr>
        <w:pStyle w:val="3"/>
        <w:spacing w:before="360" w:after="160"/>
      </w:pPr>
      <w:r>
        <w:rPr>
          <w:b/>
          <w:bCs/>
          <w:color w:val="1B2A4A"/>
          <w:sz w:val="26"/>
          <w:szCs w:val="26"/>
        </w:rPr>
        <w:t>4. How to Identify It</w:t>
      </w:r>
    </w:p>
    <w:p w14:paraId="31F09F0A">
      <w:pPr>
        <w:pStyle w:val="16"/>
        <w:numPr>
          <w:ilvl w:val="0"/>
          <w:numId w:val="1"/>
        </w:numPr>
        <w:spacing w:after="80" w:line="276" w:lineRule="auto"/>
      </w:pPr>
      <w:r>
        <w:rPr>
          <w:sz w:val="22"/>
          <w:szCs w:val="22"/>
        </w:rPr>
        <w:t>Identify two consecutive confirmed swing lows on the chart.</w:t>
      </w:r>
    </w:p>
    <w:p w14:paraId="0696BB7B">
      <w:pPr>
        <w:pStyle w:val="16"/>
        <w:numPr>
          <w:ilvl w:val="0"/>
          <w:numId w:val="1"/>
        </w:numPr>
        <w:spacing w:after="80" w:line="276" w:lineRule="auto"/>
      </w:pPr>
      <w:r>
        <w:rPr>
          <w:sz w:val="22"/>
          <w:szCs w:val="22"/>
        </w:rPr>
        <w:t>Compare their price levels.</w:t>
      </w:r>
    </w:p>
    <w:p w14:paraId="2E1E4B4C">
      <w:pPr>
        <w:pStyle w:val="16"/>
        <w:numPr>
          <w:ilvl w:val="0"/>
          <w:numId w:val="1"/>
        </w:numPr>
        <w:spacing w:after="80" w:line="276" w:lineRule="auto"/>
      </w:pPr>
      <w:r>
        <w:rPr>
          <w:sz w:val="22"/>
          <w:szCs w:val="22"/>
        </w:rPr>
        <w:t>If the more recent swing low is priced above the earlier one, label it a Higher Low (HL).</w:t>
      </w:r>
    </w:p>
    <w:p w14:paraId="2FBC1FE7">
      <w:pPr>
        <w:pStyle w:val="16"/>
        <w:numPr>
          <w:ilvl w:val="0"/>
          <w:numId w:val="1"/>
        </w:numPr>
        <w:spacing w:after="80" w:line="276" w:lineRule="auto"/>
      </w:pPr>
      <w:r>
        <w:rPr>
          <w:sz w:val="22"/>
          <w:szCs w:val="22"/>
        </w:rPr>
        <w:t>Check that this higher low sits between two rising swing highs — this combination is what ICT reads as confirmed bullish structure.</w:t>
      </w:r>
    </w:p>
    <w:p w14:paraId="33B79F9F">
      <w:pPr>
        <w:pStyle w:val="3"/>
        <w:spacing w:before="360" w:after="160"/>
      </w:pPr>
      <w:r>
        <w:rPr>
          <w:b/>
          <w:bCs/>
          <w:color w:val="1B2A4A"/>
          <w:sz w:val="26"/>
          <w:szCs w:val="26"/>
        </w:rPr>
        <w:t>5. Simple Price Example</w:t>
      </w:r>
    </w:p>
    <w:p w14:paraId="680B1D55">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100 → 105 → 102 → 108 → 104 → 112</w:t>
      </w:r>
    </w:p>
    <w:p w14:paraId="71AC94F8">
      <w:pPr>
        <w:spacing w:after="160" w:line="288" w:lineRule="auto"/>
      </w:pPr>
      <w:r>
        <w:rPr>
          <w:b w:val="0"/>
          <w:bCs w:val="0"/>
          <w:i w:val="0"/>
          <w:iCs w:val="0"/>
          <w:sz w:val="22"/>
          <w:szCs w:val="22"/>
        </w:rPr>
        <w:t>The first swing low is 102. The next swing low, 104, is above 102 — 104 is a higher low.</w:t>
      </w:r>
    </w:p>
    <w:p w14:paraId="4DB593FD">
      <w:pPr>
        <w:spacing w:after="160" w:line="288" w:lineRule="auto"/>
      </w:pPr>
      <w:r>
        <w:rPr>
          <w:b w:val="0"/>
          <w:bCs w:val="0"/>
          <w:i w:val="0"/>
          <w:iCs w:val="0"/>
          <w:sz w:val="22"/>
          <w:szCs w:val="22"/>
        </w:rPr>
        <w:t>Combined with the higher highs (105 → 108 → 112) from the previous example, this full sequence — 105/102, 108/104, 112 — is a textbook bullish structure in ICT's framework: every high exceeds the last, and every low holds above the last.</w:t>
      </w:r>
    </w:p>
    <w:p w14:paraId="5615B248">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 xml:space="preserve">                     112</w:t>
      </w:r>
      <w:r>
        <w:rPr>
          <w:rFonts w:ascii="Consolas" w:hAnsi="Consolas" w:eastAsia="Consolas" w:cs="Consolas"/>
          <w:sz w:val="19"/>
          <w:szCs w:val="19"/>
        </w:rPr>
        <w:br w:type="textWrapping"/>
      </w:r>
      <w:r>
        <w:rPr>
          <w:rFonts w:ascii="Consolas" w:hAnsi="Consolas" w:eastAsia="Consolas" w:cs="Consolas"/>
          <w:sz w:val="19"/>
          <w:szCs w:val="19"/>
        </w:rPr>
        <w:t xml:space="preserve">            108      /</w:t>
      </w:r>
      <w:r>
        <w:rPr>
          <w:rFonts w:ascii="Consolas" w:hAnsi="Consolas" w:eastAsia="Consolas" w:cs="Consolas"/>
          <w:sz w:val="19"/>
          <w:szCs w:val="19"/>
        </w:rPr>
        <w:br w:type="textWrapping"/>
      </w:r>
      <w:r>
        <w:rPr>
          <w:rFonts w:ascii="Consolas" w:hAnsi="Consolas" w:eastAsia="Consolas" w:cs="Consolas"/>
          <w:sz w:val="19"/>
          <w:szCs w:val="19"/>
        </w:rPr>
        <w:t xml:space="preserve">  105      /   \    /</w:t>
      </w:r>
      <w:r>
        <w:rPr>
          <w:rFonts w:ascii="Consolas" w:hAnsi="Consolas" w:eastAsia="Consolas" w:cs="Consolas"/>
          <w:sz w:val="19"/>
          <w:szCs w:val="19"/>
        </w:rPr>
        <w:br w:type="textWrapping"/>
      </w:r>
      <w:r>
        <w:rPr>
          <w:rFonts w:ascii="Consolas" w:hAnsi="Consolas" w:eastAsia="Consolas" w:cs="Consolas"/>
          <w:sz w:val="19"/>
          <w:szCs w:val="19"/>
        </w:rPr>
        <w:t xml:space="preserve"> /   \    /     \  /</w:t>
      </w:r>
      <w:r>
        <w:rPr>
          <w:rFonts w:ascii="Consolas" w:hAnsi="Consolas" w:eastAsia="Consolas" w:cs="Consolas"/>
          <w:sz w:val="19"/>
          <w:szCs w:val="19"/>
        </w:rPr>
        <w:br w:type="textWrapping"/>
      </w:r>
      <w:r>
        <w:rPr>
          <w:rFonts w:ascii="Consolas" w:hAnsi="Consolas" w:eastAsia="Consolas" w:cs="Consolas"/>
          <w:sz w:val="19"/>
          <w:szCs w:val="19"/>
        </w:rPr>
        <w:t>100   102        104  &lt;- HL (higher than 102)</w:t>
      </w:r>
    </w:p>
    <w:p w14:paraId="09953D20">
      <w:pPr>
        <w:pStyle w:val="3"/>
        <w:spacing w:before="360" w:after="160"/>
      </w:pPr>
      <w:r>
        <w:rPr>
          <w:b/>
          <w:bCs/>
          <w:color w:val="1B2A4A"/>
          <w:sz w:val="26"/>
          <w:szCs w:val="26"/>
        </w:rPr>
        <w:t>6. What It Tells the Trader</w:t>
      </w:r>
    </w:p>
    <w:p w14:paraId="77D8965A">
      <w:pPr>
        <w:spacing w:after="160" w:line="288" w:lineRule="auto"/>
      </w:pPr>
      <w:r>
        <w:rPr>
          <w:b w:val="0"/>
          <w:bCs w:val="0"/>
          <w:i w:val="0"/>
          <w:iCs w:val="0"/>
          <w:sz w:val="22"/>
          <w:szCs w:val="22"/>
        </w:rPr>
        <w:t>A higher low tells the trader that demand returned before price reached the previous low, indicating the pullback was relatively shallow.</w:t>
      </w:r>
    </w:p>
    <w:p w14:paraId="0A7CFD75">
      <w:pPr>
        <w:spacing w:after="160" w:line="288" w:lineRule="auto"/>
      </w:pPr>
      <w:r>
        <w:rPr>
          <w:b w:val="0"/>
          <w:bCs w:val="0"/>
          <w:i w:val="0"/>
          <w:iCs w:val="0"/>
          <w:sz w:val="22"/>
          <w:szCs w:val="22"/>
        </w:rPr>
        <w:t>It does not guarantee price will not eventually break below it; it describes the current structural picture, not a promise about the future.</w:t>
      </w:r>
    </w:p>
    <w:p w14:paraId="5971835D">
      <w:pPr>
        <w:pStyle w:val="3"/>
        <w:spacing w:before="360" w:after="160"/>
      </w:pPr>
      <w:r>
        <w:rPr>
          <w:b/>
          <w:bCs/>
          <w:color w:val="1B2A4A"/>
          <w:sz w:val="26"/>
          <w:szCs w:val="26"/>
        </w:rPr>
        <w:t>7. What It Is Commonly Paired With</w:t>
      </w:r>
    </w:p>
    <w:p w14:paraId="21E4DD91">
      <w:pPr>
        <w:pStyle w:val="16"/>
        <w:numPr>
          <w:ilvl w:val="0"/>
          <w:numId w:val="2"/>
        </w:numPr>
        <w:spacing w:after="80" w:line="276" w:lineRule="auto"/>
      </w:pPr>
      <w:r>
        <w:rPr>
          <w:sz w:val="22"/>
          <w:szCs w:val="22"/>
        </w:rPr>
        <w:t>Higher high</w:t>
      </w:r>
    </w:p>
    <w:p w14:paraId="69791ACE">
      <w:pPr>
        <w:pStyle w:val="16"/>
        <w:numPr>
          <w:ilvl w:val="0"/>
          <w:numId w:val="2"/>
        </w:numPr>
        <w:spacing w:after="80" w:line="276" w:lineRule="auto"/>
      </w:pPr>
      <w:r>
        <w:rPr>
          <w:sz w:val="22"/>
          <w:szCs w:val="22"/>
        </w:rPr>
        <w:t>Trend</w:t>
      </w:r>
    </w:p>
    <w:p w14:paraId="53815EF7">
      <w:pPr>
        <w:pStyle w:val="16"/>
        <w:numPr>
          <w:ilvl w:val="0"/>
          <w:numId w:val="2"/>
        </w:numPr>
        <w:spacing w:after="80" w:line="276" w:lineRule="auto"/>
      </w:pPr>
      <w:r>
        <w:rPr>
          <w:sz w:val="22"/>
          <w:szCs w:val="22"/>
        </w:rPr>
        <w:t>Order Block / Fair Value Gap (as the origin of the bounce)</w:t>
      </w:r>
    </w:p>
    <w:p w14:paraId="79BFF947">
      <w:pPr>
        <w:spacing w:after="160" w:line="288" w:lineRule="auto"/>
      </w:pPr>
      <w:r>
        <w:rPr>
          <w:b w:val="0"/>
          <w:bCs w:val="0"/>
          <w:i w:val="0"/>
          <w:iCs w:val="0"/>
          <w:sz w:val="22"/>
          <w:szCs w:val="22"/>
        </w:rPr>
        <w:t>The specific price zone where a higher low forms is frequently where ICT's price-delivery concepts — an Order Block or Fair Value Gap — are later identified, because the reaction that created the higher low often originates from one of these zones (Modules 5–6).</w:t>
      </w:r>
    </w:p>
    <w:p w14:paraId="6FB51C92">
      <w:pPr>
        <w:pStyle w:val="3"/>
        <w:spacing w:before="360" w:after="160"/>
      </w:pPr>
      <w:r>
        <w:rPr>
          <w:b/>
          <w:bCs/>
          <w:color w:val="1B2A4A"/>
          <w:sz w:val="26"/>
          <w:szCs w:val="26"/>
        </w:rPr>
        <w:t>8. Where It Fits in the ICT Framework</w:t>
      </w:r>
    </w:p>
    <w:p w14:paraId="752AD8ED">
      <w:pPr>
        <w:spacing w:after="160" w:line="288" w:lineRule="auto"/>
      </w:pPr>
      <w:r>
        <w:rPr>
          <w:b w:val="0"/>
          <w:bCs w:val="0"/>
          <w:i w:val="0"/>
          <w:iCs w:val="0"/>
          <w:sz w:val="22"/>
          <w:szCs w:val="22"/>
        </w:rPr>
        <w:t>Comes before: Requires Swing Low.</w:t>
      </w:r>
    </w:p>
    <w:p w14:paraId="4A97E54A">
      <w:pPr>
        <w:spacing w:after="160" w:line="288" w:lineRule="auto"/>
      </w:pPr>
      <w:r>
        <w:rPr>
          <w:b w:val="0"/>
          <w:bCs w:val="0"/>
          <w:i w:val="0"/>
          <w:iCs w:val="0"/>
          <w:sz w:val="22"/>
          <w:szCs w:val="22"/>
        </w:rPr>
        <w:t>Comes after: Feeds directly into Trend and Bullish Market Structure (Module 3).</w:t>
      </w:r>
    </w:p>
    <w:p w14:paraId="41CA733C">
      <w:pPr>
        <w:pStyle w:val="3"/>
        <w:spacing w:before="360" w:after="160"/>
      </w:pPr>
      <w:r>
        <w:rPr>
          <w:b/>
          <w:bCs/>
          <w:color w:val="1B2A4A"/>
          <w:sz w:val="26"/>
          <w:szCs w:val="26"/>
        </w:rPr>
        <w:t>9. Beginner Mistakes</w:t>
      </w:r>
    </w:p>
    <w:p w14:paraId="3A8C2536">
      <w:pPr>
        <w:pStyle w:val="16"/>
        <w:numPr>
          <w:ilvl w:val="0"/>
          <w:numId w:val="2"/>
        </w:numPr>
        <w:spacing w:after="80" w:line="276" w:lineRule="auto"/>
      </w:pPr>
      <w:r>
        <w:rPr>
          <w:sz w:val="22"/>
          <w:szCs w:val="22"/>
        </w:rPr>
        <w:t>Assuming any bounce is a higher low without confirming it against the prior swing low.</w:t>
      </w:r>
    </w:p>
    <w:p w14:paraId="4888B134">
      <w:pPr>
        <w:pStyle w:val="16"/>
        <w:numPr>
          <w:ilvl w:val="0"/>
          <w:numId w:val="2"/>
        </w:numPr>
        <w:spacing w:after="80" w:line="276" w:lineRule="auto"/>
      </w:pPr>
      <w:r>
        <w:rPr>
          <w:sz w:val="22"/>
          <w:szCs w:val="22"/>
        </w:rPr>
        <w:t>Ignoring a break below a prior confirmed higher low, which ICT reads as an early warning that bullish structure may be ending.</w:t>
      </w:r>
    </w:p>
    <w:p w14:paraId="0C185ED6">
      <w:pPr>
        <w:pStyle w:val="3"/>
        <w:spacing w:before="360" w:after="160"/>
      </w:pPr>
      <w:r>
        <w:rPr>
          <w:b/>
          <w:bCs/>
          <w:color w:val="1B2A4A"/>
          <w:sz w:val="26"/>
          <w:szCs w:val="26"/>
        </w:rPr>
        <w:t>10. Important Qualification</w:t>
      </w:r>
    </w:p>
    <w:p w14:paraId="71F3BDB8">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 higher low, like a higher high, is descriptive of price that has already happened. It becomes structurally important only in combination with higher highs, and it can be invalidated by a later break below it.</w:t>
      </w:r>
    </w:p>
    <w:p w14:paraId="6059BC08">
      <w:pPr>
        <w:pStyle w:val="3"/>
        <w:spacing w:before="360" w:after="160"/>
      </w:pPr>
      <w:r>
        <w:rPr>
          <w:b/>
          <w:bCs/>
          <w:color w:val="1B2A4A"/>
          <w:sz w:val="26"/>
          <w:szCs w:val="26"/>
        </w:rPr>
        <w:t>11. Source</w:t>
      </w:r>
    </w:p>
    <w:p w14:paraId="34693420"/>
    <w:p w14:paraId="4D7B57A2">
      <w:pPr>
        <w:pStyle w:val="16"/>
        <w:numPr>
          <w:ilvl w:val="0"/>
          <w:numId w:val="2"/>
        </w:numPr>
        <w:spacing w:after="80" w:line="276" w:lineRule="auto"/>
      </w:pPr>
      <w:r>
        <w:rPr>
          <w:sz w:val="22"/>
          <w:szCs w:val="22"/>
        </w:rPr>
        <w:t>litefinance.org — "ICT Trading Strategy: Complete Guide to Inner Circle Trader Method."</w:t>
      </w:r>
    </w:p>
    <w:p w14:paraId="234F08B5">
      <w:pPr>
        <w:pStyle w:val="16"/>
        <w:numPr>
          <w:ilvl w:val="0"/>
          <w:numId w:val="2"/>
        </w:numPr>
        <w:spacing w:after="80" w:line="276" w:lineRule="auto"/>
      </w:pPr>
      <w:r>
        <w:rPr>
          <w:sz w:val="22"/>
          <w:szCs w:val="22"/>
        </w:rPr>
        <w:t>innercircletrader.net — "Higher High and Higher Low — Bullish Market Structure Identification."</w:t>
      </w:r>
    </w:p>
    <w:p w14:paraId="79FC815B">
      <w:r>
        <w:br w:type="page"/>
      </w:r>
    </w:p>
    <w:p w14:paraId="6BD1B695">
      <w:pPr>
        <w:pStyle w:val="2"/>
        <w:pBdr>
          <w:bottom w:val="single" w:color="1B2A4A" w:sz="12" w:space="4"/>
        </w:pBdr>
        <w:spacing w:before="480" w:after="240"/>
      </w:pPr>
      <w:r>
        <w:rPr>
          <w:b/>
          <w:bCs/>
          <w:color w:val="1B2A4A"/>
          <w:sz w:val="34"/>
          <w:szCs w:val="34"/>
        </w:rPr>
        <w:t>Lower High</w:t>
      </w:r>
    </w:p>
    <w:p w14:paraId="63AD6CEA">
      <w:pPr>
        <w:pStyle w:val="3"/>
        <w:spacing w:before="360" w:after="160"/>
      </w:pPr>
      <w:r>
        <w:rPr>
          <w:b/>
          <w:bCs/>
          <w:color w:val="1B2A4A"/>
          <w:sz w:val="26"/>
          <w:szCs w:val="26"/>
        </w:rPr>
        <w:t>1. Definition</w:t>
      </w:r>
    </w:p>
    <w:p w14:paraId="535A3E01">
      <w:pPr>
        <w:spacing w:after="160" w:line="288" w:lineRule="auto"/>
      </w:pPr>
      <w:r>
        <w:rPr>
          <w:b w:val="0"/>
          <w:bCs w:val="0"/>
          <w:i w:val="0"/>
          <w:iCs w:val="0"/>
          <w:sz w:val="22"/>
          <w:szCs w:val="22"/>
        </w:rPr>
        <w:t>A lower high is a swing high that forms below the level of the previous swing high, showing that the upward push failed to reach as far as the prior one.</w:t>
      </w:r>
    </w:p>
    <w:p w14:paraId="687BA8F3">
      <w:pPr>
        <w:pStyle w:val="3"/>
        <w:spacing w:before="360" w:after="160"/>
      </w:pPr>
      <w:r>
        <w:rPr>
          <w:b/>
          <w:bCs/>
          <w:color w:val="1B2A4A"/>
          <w:sz w:val="26"/>
          <w:szCs w:val="26"/>
        </w:rPr>
        <w:t>2. ICT's Meaning</w:t>
      </w:r>
    </w:p>
    <w:p w14:paraId="03E4EE01">
      <w:pPr>
        <w:spacing w:after="160" w:line="288" w:lineRule="auto"/>
      </w:pPr>
      <w:r>
        <w:rPr>
          <w:b w:val="0"/>
          <w:bCs w:val="0"/>
          <w:i w:val="0"/>
          <w:iCs w:val="0"/>
          <w:sz w:val="22"/>
          <w:szCs w:val="22"/>
        </w:rPr>
        <w:t>A lower high is one of the two required conditions (with lower low) for ICT's definition of bearish market structure. It shows that buyers were unable to push price back up to the previous high before sellers regained control.</w:t>
      </w:r>
    </w:p>
    <w:p w14:paraId="49438750">
      <w:pPr>
        <w:spacing w:after="160" w:line="288" w:lineRule="auto"/>
      </w:pPr>
      <w:r>
        <w:rPr>
          <w:b w:val="0"/>
          <w:bCs w:val="0"/>
          <w:i w:val="0"/>
          <w:iCs w:val="0"/>
          <w:sz w:val="22"/>
          <w:szCs w:val="22"/>
        </w:rPr>
        <w:t>A lower high forming after a period of higher highs and higher lows is one of the earliest structural clues ICT-focused teaching points to when watching for a possible bearish shift — though ICT is explicit that a shift is only confirmed once price actually breaks a prior structural low (see Market Structure Shift, Module 3), not merely because one lower high appeared.</w:t>
      </w:r>
    </w:p>
    <w:p w14:paraId="3630AABF">
      <w:pPr>
        <w:pStyle w:val="3"/>
        <w:spacing w:before="360" w:after="160"/>
      </w:pPr>
      <w:r>
        <w:rPr>
          <w:b/>
          <w:bCs/>
          <w:color w:val="1B2A4A"/>
          <w:sz w:val="26"/>
          <w:szCs w:val="26"/>
        </w:rPr>
        <w:t>3. Beginner Explanation</w:t>
      </w:r>
    </w:p>
    <w:p w14:paraId="3C953262">
      <w:pPr>
        <w:spacing w:after="160" w:line="288" w:lineRule="auto"/>
      </w:pPr>
      <w:r>
        <w:rPr>
          <w:b w:val="0"/>
          <w:bCs w:val="0"/>
          <w:i w:val="0"/>
          <w:iCs w:val="0"/>
          <w:sz w:val="22"/>
          <w:szCs w:val="22"/>
        </w:rPr>
        <w:t>If you compare two peaks and the second, more recent peak is lower than the first, that second peak is a lower high. Buyers ran out of strength earlier than the previous time.</w:t>
      </w:r>
    </w:p>
    <w:p w14:paraId="4A3705AB">
      <w:pPr>
        <w:pStyle w:val="3"/>
        <w:spacing w:before="360" w:after="160"/>
      </w:pPr>
      <w:r>
        <w:rPr>
          <w:b/>
          <w:bCs/>
          <w:color w:val="1B2A4A"/>
          <w:sz w:val="26"/>
          <w:szCs w:val="26"/>
        </w:rPr>
        <w:t>4. How to Identify It</w:t>
      </w:r>
    </w:p>
    <w:p w14:paraId="2F8B2518">
      <w:pPr>
        <w:pStyle w:val="16"/>
        <w:numPr>
          <w:ilvl w:val="0"/>
          <w:numId w:val="1"/>
        </w:numPr>
        <w:spacing w:after="80" w:line="276" w:lineRule="auto"/>
      </w:pPr>
      <w:r>
        <w:rPr>
          <w:sz w:val="22"/>
          <w:szCs w:val="22"/>
        </w:rPr>
        <w:t>Identify two consecutive confirmed swing highs.</w:t>
      </w:r>
    </w:p>
    <w:p w14:paraId="0035AD45">
      <w:pPr>
        <w:pStyle w:val="16"/>
        <w:numPr>
          <w:ilvl w:val="0"/>
          <w:numId w:val="1"/>
        </w:numPr>
        <w:spacing w:after="80" w:line="276" w:lineRule="auto"/>
      </w:pPr>
      <w:r>
        <w:rPr>
          <w:sz w:val="22"/>
          <w:szCs w:val="22"/>
        </w:rPr>
        <w:t>Compare their price levels.</w:t>
      </w:r>
    </w:p>
    <w:p w14:paraId="7522DEEF">
      <w:pPr>
        <w:pStyle w:val="16"/>
        <w:numPr>
          <w:ilvl w:val="0"/>
          <w:numId w:val="1"/>
        </w:numPr>
        <w:spacing w:after="80" w:line="276" w:lineRule="auto"/>
      </w:pPr>
      <w:r>
        <w:rPr>
          <w:sz w:val="22"/>
          <w:szCs w:val="22"/>
        </w:rPr>
        <w:t>If the more recent swing high is priced below the earlier one, label it a Lower High (LH).</w:t>
      </w:r>
    </w:p>
    <w:p w14:paraId="3F42080E">
      <w:pPr>
        <w:pStyle w:val="16"/>
        <w:numPr>
          <w:ilvl w:val="0"/>
          <w:numId w:val="1"/>
        </w:numPr>
        <w:spacing w:after="80" w:line="276" w:lineRule="auto"/>
      </w:pPr>
      <w:r>
        <w:rPr>
          <w:sz w:val="22"/>
          <w:szCs w:val="22"/>
        </w:rPr>
        <w:t>Check whether it is paired with a lower low — that combination is what confirms bearish structure rather than a single failed push.</w:t>
      </w:r>
    </w:p>
    <w:p w14:paraId="154ED73D">
      <w:pPr>
        <w:pStyle w:val="3"/>
        <w:spacing w:before="360" w:after="160"/>
      </w:pPr>
      <w:r>
        <w:rPr>
          <w:b/>
          <w:bCs/>
          <w:color w:val="1B2A4A"/>
          <w:sz w:val="26"/>
          <w:szCs w:val="26"/>
        </w:rPr>
        <w:t>5. Simple Price Example</w:t>
      </w:r>
    </w:p>
    <w:p w14:paraId="089358EF">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112 → 106 → 109 → 101 → 104</w:t>
      </w:r>
    </w:p>
    <w:p w14:paraId="4D1081AB">
      <w:pPr>
        <w:spacing w:after="160" w:line="288" w:lineRule="auto"/>
      </w:pPr>
      <w:r>
        <w:rPr>
          <w:b w:val="0"/>
          <w:bCs w:val="0"/>
          <w:i w:val="0"/>
          <w:iCs w:val="0"/>
          <w:sz w:val="22"/>
          <w:szCs w:val="22"/>
        </w:rPr>
        <w:t>The first swing high is 112. The next swing high, 109, fails to exceed 112 — 109 is a lower high.</w:t>
      </w:r>
    </w:p>
    <w:p w14:paraId="63A34F6D">
      <w:pPr>
        <w:spacing w:after="160" w:line="288" w:lineRule="auto"/>
      </w:pPr>
      <w:r>
        <w:rPr>
          <w:b w:val="0"/>
          <w:bCs w:val="0"/>
          <w:i w:val="0"/>
          <w:iCs w:val="0"/>
          <w:sz w:val="22"/>
          <w:szCs w:val="22"/>
        </w:rPr>
        <w:t>This single lower high is a caution flag, but on its own it is not yet confirmation of a bearish trend; the trader also needs to see a lower low.</w:t>
      </w:r>
    </w:p>
    <w:p w14:paraId="5AC5F257">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112</w:t>
      </w:r>
      <w:r>
        <w:rPr>
          <w:rFonts w:ascii="Consolas" w:hAnsi="Consolas" w:eastAsia="Consolas" w:cs="Consolas"/>
          <w:sz w:val="19"/>
          <w:szCs w:val="19"/>
        </w:rPr>
        <w:br w:type="textWrapping"/>
      </w:r>
      <w:r>
        <w:rPr>
          <w:rFonts w:ascii="Consolas" w:hAnsi="Consolas" w:eastAsia="Consolas" w:cs="Consolas"/>
          <w:sz w:val="19"/>
          <w:szCs w:val="19"/>
        </w:rPr>
        <w:t xml:space="preserve">  \       109 &lt;- LH (below 112)</w:t>
      </w:r>
      <w:r>
        <w:rPr>
          <w:rFonts w:ascii="Consolas" w:hAnsi="Consolas" w:eastAsia="Consolas" w:cs="Consolas"/>
          <w:sz w:val="19"/>
          <w:szCs w:val="19"/>
        </w:rPr>
        <w:br w:type="textWrapping"/>
      </w:r>
      <w:r>
        <w:rPr>
          <w:rFonts w:ascii="Consolas" w:hAnsi="Consolas" w:eastAsia="Consolas" w:cs="Consolas"/>
          <w:sz w:val="19"/>
          <w:szCs w:val="19"/>
        </w:rPr>
        <w:t xml:space="preserve">   \     /   \</w:t>
      </w:r>
      <w:r>
        <w:rPr>
          <w:rFonts w:ascii="Consolas" w:hAnsi="Consolas" w:eastAsia="Consolas" w:cs="Consolas"/>
          <w:sz w:val="19"/>
          <w:szCs w:val="19"/>
        </w:rPr>
        <w:br w:type="textWrapping"/>
      </w:r>
      <w:r>
        <w:rPr>
          <w:rFonts w:ascii="Consolas" w:hAnsi="Consolas" w:eastAsia="Consolas" w:cs="Consolas"/>
          <w:sz w:val="19"/>
          <w:szCs w:val="19"/>
        </w:rPr>
        <w:t xml:space="preserve">    \   /     \</w:t>
      </w:r>
      <w:r>
        <w:rPr>
          <w:rFonts w:ascii="Consolas" w:hAnsi="Consolas" w:eastAsia="Consolas" w:cs="Consolas"/>
          <w:sz w:val="19"/>
          <w:szCs w:val="19"/>
        </w:rPr>
        <w:br w:type="textWrapping"/>
      </w:r>
      <w:r>
        <w:rPr>
          <w:rFonts w:ascii="Consolas" w:hAnsi="Consolas" w:eastAsia="Consolas" w:cs="Consolas"/>
          <w:sz w:val="19"/>
          <w:szCs w:val="19"/>
        </w:rPr>
        <w:t xml:space="preserve">    106       101</w:t>
      </w:r>
    </w:p>
    <w:p w14:paraId="26740E56">
      <w:pPr>
        <w:pStyle w:val="3"/>
        <w:spacing w:before="360" w:after="160"/>
      </w:pPr>
      <w:r>
        <w:rPr>
          <w:b/>
          <w:bCs/>
          <w:color w:val="1B2A4A"/>
          <w:sz w:val="26"/>
          <w:szCs w:val="26"/>
        </w:rPr>
        <w:t>6. What It Tells the Trader</w:t>
      </w:r>
    </w:p>
    <w:p w14:paraId="018C78A1">
      <w:pPr>
        <w:spacing w:after="160" w:line="288" w:lineRule="auto"/>
      </w:pPr>
      <w:r>
        <w:rPr>
          <w:b w:val="0"/>
          <w:bCs w:val="0"/>
          <w:i w:val="0"/>
          <w:iCs w:val="0"/>
          <w:sz w:val="22"/>
          <w:szCs w:val="22"/>
        </w:rPr>
        <w:t>A lower high tells the trader that the most recent upward push was weaker than the prior one — a potential early sign that upward momentum is fading.</w:t>
      </w:r>
    </w:p>
    <w:p w14:paraId="720D5140">
      <w:pPr>
        <w:spacing w:after="160" w:line="288" w:lineRule="auto"/>
      </w:pPr>
      <w:r>
        <w:rPr>
          <w:b w:val="0"/>
          <w:bCs w:val="0"/>
          <w:i w:val="0"/>
          <w:iCs w:val="0"/>
          <w:sz w:val="22"/>
          <w:szCs w:val="22"/>
        </w:rPr>
        <w:t>It does not by itself confirm a trend reversal or a bearish bias; that requires the fuller structural picture covered in Module 3.</w:t>
      </w:r>
    </w:p>
    <w:p w14:paraId="6E6F96FC">
      <w:pPr>
        <w:pStyle w:val="3"/>
        <w:spacing w:before="360" w:after="160"/>
      </w:pPr>
      <w:r>
        <w:rPr>
          <w:b/>
          <w:bCs/>
          <w:color w:val="1B2A4A"/>
          <w:sz w:val="26"/>
          <w:szCs w:val="26"/>
        </w:rPr>
        <w:t>7. What It Is Commonly Paired With</w:t>
      </w:r>
    </w:p>
    <w:p w14:paraId="42C894BA">
      <w:pPr>
        <w:pStyle w:val="16"/>
        <w:numPr>
          <w:ilvl w:val="0"/>
          <w:numId w:val="2"/>
        </w:numPr>
        <w:spacing w:after="80" w:line="276" w:lineRule="auto"/>
      </w:pPr>
      <w:r>
        <w:rPr>
          <w:sz w:val="22"/>
          <w:szCs w:val="22"/>
        </w:rPr>
        <w:t>Lower low</w:t>
      </w:r>
    </w:p>
    <w:p w14:paraId="3C4A49F9">
      <w:pPr>
        <w:pStyle w:val="16"/>
        <w:numPr>
          <w:ilvl w:val="0"/>
          <w:numId w:val="2"/>
        </w:numPr>
        <w:spacing w:after="80" w:line="276" w:lineRule="auto"/>
      </w:pPr>
      <w:r>
        <w:rPr>
          <w:sz w:val="22"/>
          <w:szCs w:val="22"/>
        </w:rPr>
        <w:t>Trend</w:t>
      </w:r>
    </w:p>
    <w:p w14:paraId="7E48DCF5">
      <w:pPr>
        <w:pStyle w:val="16"/>
        <w:numPr>
          <w:ilvl w:val="0"/>
          <w:numId w:val="2"/>
        </w:numPr>
        <w:spacing w:after="80" w:line="276" w:lineRule="auto"/>
      </w:pPr>
      <w:r>
        <w:rPr>
          <w:sz w:val="22"/>
          <w:szCs w:val="22"/>
        </w:rPr>
        <w:t>Bearish market structure</w:t>
      </w:r>
    </w:p>
    <w:p w14:paraId="2ECBE104">
      <w:pPr>
        <w:spacing w:after="160" w:line="288" w:lineRule="auto"/>
      </w:pPr>
      <w:r>
        <w:rPr>
          <w:b w:val="0"/>
          <w:bCs w:val="0"/>
          <w:i w:val="0"/>
          <w:iCs w:val="0"/>
          <w:sz w:val="22"/>
          <w:szCs w:val="22"/>
        </w:rPr>
        <w:t>A lower high only completes ICT's definition of bearish structure when combined with a lower low. Traders who react to a single lower high without the lower low are acting on incomplete information.</w:t>
      </w:r>
    </w:p>
    <w:p w14:paraId="0FD4A286">
      <w:pPr>
        <w:pStyle w:val="3"/>
        <w:spacing w:before="360" w:after="160"/>
      </w:pPr>
      <w:r>
        <w:rPr>
          <w:b/>
          <w:bCs/>
          <w:color w:val="1B2A4A"/>
          <w:sz w:val="26"/>
          <w:szCs w:val="26"/>
        </w:rPr>
        <w:t>8. Where It Fits in the ICT Framework</w:t>
      </w:r>
    </w:p>
    <w:p w14:paraId="5CFFCAB3">
      <w:pPr>
        <w:spacing w:after="160" w:line="288" w:lineRule="auto"/>
      </w:pPr>
      <w:r>
        <w:rPr>
          <w:b w:val="0"/>
          <w:bCs w:val="0"/>
          <w:i w:val="0"/>
          <w:iCs w:val="0"/>
          <w:sz w:val="22"/>
          <w:szCs w:val="22"/>
        </w:rPr>
        <w:t>Comes before: Requires Swing High.</w:t>
      </w:r>
    </w:p>
    <w:p w14:paraId="0DD78916">
      <w:pPr>
        <w:spacing w:after="160" w:line="288" w:lineRule="auto"/>
      </w:pPr>
      <w:r>
        <w:rPr>
          <w:b w:val="0"/>
          <w:bCs w:val="0"/>
          <w:i w:val="0"/>
          <w:iCs w:val="0"/>
          <w:sz w:val="22"/>
          <w:szCs w:val="22"/>
        </w:rPr>
        <w:t>Comes after: Feeds into Trend and Bearish Market Structure (Module 3).</w:t>
      </w:r>
    </w:p>
    <w:p w14:paraId="4CB9B3A7">
      <w:pPr>
        <w:pStyle w:val="3"/>
        <w:spacing w:before="360" w:after="160"/>
      </w:pPr>
      <w:r>
        <w:rPr>
          <w:b/>
          <w:bCs/>
          <w:color w:val="1B2A4A"/>
          <w:sz w:val="26"/>
          <w:szCs w:val="26"/>
        </w:rPr>
        <w:t>9. Beginner Mistakes</w:t>
      </w:r>
    </w:p>
    <w:p w14:paraId="158A8323">
      <w:pPr>
        <w:pStyle w:val="16"/>
        <w:numPr>
          <w:ilvl w:val="0"/>
          <w:numId w:val="2"/>
        </w:numPr>
        <w:spacing w:after="80" w:line="276" w:lineRule="auto"/>
      </w:pPr>
      <w:r>
        <w:rPr>
          <w:sz w:val="22"/>
          <w:szCs w:val="22"/>
        </w:rPr>
        <w:t>Treating one lower high as proof the trend has reversed.</w:t>
      </w:r>
    </w:p>
    <w:p w14:paraId="04FAF797">
      <w:pPr>
        <w:pStyle w:val="16"/>
        <w:numPr>
          <w:ilvl w:val="0"/>
          <w:numId w:val="2"/>
        </w:numPr>
        <w:spacing w:after="80" w:line="276" w:lineRule="auto"/>
      </w:pPr>
      <w:r>
        <w:rPr>
          <w:sz w:val="22"/>
          <w:szCs w:val="22"/>
        </w:rPr>
        <w:t>Ignoring the higher-timeframe context when a lower high appears only on a lower timeframe (Module 2).</w:t>
      </w:r>
    </w:p>
    <w:p w14:paraId="36CB89CB">
      <w:pPr>
        <w:pStyle w:val="3"/>
        <w:spacing w:before="360" w:after="160"/>
      </w:pPr>
      <w:r>
        <w:rPr>
          <w:b/>
          <w:bCs/>
          <w:color w:val="1B2A4A"/>
          <w:sz w:val="26"/>
          <w:szCs w:val="26"/>
        </w:rPr>
        <w:t>10. Important Qualification</w:t>
      </w:r>
    </w:p>
    <w:p w14:paraId="06164E1F">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 lower high describes a single failed push higher. It is a caution signal at most, not a stand-alone bearish trade trigger.</w:t>
      </w:r>
    </w:p>
    <w:p w14:paraId="634CF1FF">
      <w:pPr>
        <w:pStyle w:val="3"/>
        <w:spacing w:before="360" w:after="160"/>
      </w:pPr>
      <w:r>
        <w:rPr>
          <w:b/>
          <w:bCs/>
          <w:color w:val="1B2A4A"/>
          <w:sz w:val="26"/>
          <w:szCs w:val="26"/>
        </w:rPr>
        <w:t>11. Source</w:t>
      </w:r>
    </w:p>
    <w:p w14:paraId="576FA6A0"/>
    <w:p w14:paraId="75C2F8FB">
      <w:pPr>
        <w:pStyle w:val="16"/>
        <w:numPr>
          <w:ilvl w:val="0"/>
          <w:numId w:val="2"/>
        </w:numPr>
        <w:spacing w:after="80" w:line="276" w:lineRule="auto"/>
      </w:pPr>
      <w:r>
        <w:rPr>
          <w:sz w:val="22"/>
          <w:szCs w:val="22"/>
        </w:rPr>
        <w:t>chartinglens.com — "ICT Trading Strategy: The Complete Guide to Inner Circle Trader Concepts" (LH/LL bearish structure definition).</w:t>
      </w:r>
    </w:p>
    <w:p w14:paraId="26C7F90B">
      <w:r>
        <w:br w:type="page"/>
      </w:r>
    </w:p>
    <w:p w14:paraId="54B1E2B0">
      <w:pPr>
        <w:pStyle w:val="2"/>
        <w:pBdr>
          <w:bottom w:val="single" w:color="1B2A4A" w:sz="12" w:space="4"/>
        </w:pBdr>
        <w:spacing w:before="480" w:after="240"/>
      </w:pPr>
      <w:r>
        <w:rPr>
          <w:b/>
          <w:bCs/>
          <w:color w:val="1B2A4A"/>
          <w:sz w:val="34"/>
          <w:szCs w:val="34"/>
        </w:rPr>
        <w:t>Lower Low</w:t>
      </w:r>
    </w:p>
    <w:p w14:paraId="39E8B5FD">
      <w:pPr>
        <w:pStyle w:val="3"/>
        <w:spacing w:before="360" w:after="160"/>
      </w:pPr>
      <w:r>
        <w:rPr>
          <w:b/>
          <w:bCs/>
          <w:color w:val="1B2A4A"/>
          <w:sz w:val="26"/>
          <w:szCs w:val="26"/>
        </w:rPr>
        <w:t>1. Definition</w:t>
      </w:r>
    </w:p>
    <w:p w14:paraId="4AD91C13">
      <w:pPr>
        <w:spacing w:after="160" w:line="288" w:lineRule="auto"/>
      </w:pPr>
      <w:r>
        <w:rPr>
          <w:b w:val="0"/>
          <w:bCs w:val="0"/>
          <w:i w:val="0"/>
          <w:iCs w:val="0"/>
          <w:sz w:val="22"/>
          <w:szCs w:val="22"/>
        </w:rPr>
        <w:t>A lower low is a swing low that forms below the level of the previous swing low, showing that the downward move extended further than the prior one.</w:t>
      </w:r>
    </w:p>
    <w:p w14:paraId="346B31B9">
      <w:pPr>
        <w:pStyle w:val="3"/>
        <w:spacing w:before="360" w:after="160"/>
      </w:pPr>
      <w:r>
        <w:rPr>
          <w:b/>
          <w:bCs/>
          <w:color w:val="1B2A4A"/>
          <w:sz w:val="26"/>
          <w:szCs w:val="26"/>
        </w:rPr>
        <w:t>2. ICT's Meaning</w:t>
      </w:r>
    </w:p>
    <w:p w14:paraId="3DE7ACFF">
      <w:pPr>
        <w:spacing w:after="160" w:line="288" w:lineRule="auto"/>
      </w:pPr>
      <w:r>
        <w:rPr>
          <w:b w:val="0"/>
          <w:bCs w:val="0"/>
          <w:i w:val="0"/>
          <w:iCs w:val="0"/>
          <w:sz w:val="22"/>
          <w:szCs w:val="22"/>
        </w:rPr>
        <w:t>A lower low is the second required condition (with lower high) for ICT's definition of bearish market structure. It confirms that sellers pushed price beyond the previous floor.</w:t>
      </w:r>
    </w:p>
    <w:p w14:paraId="280B73DC">
      <w:pPr>
        <w:spacing w:after="160" w:line="288" w:lineRule="auto"/>
      </w:pPr>
      <w:r>
        <w:rPr>
          <w:b w:val="0"/>
          <w:bCs w:val="0"/>
          <w:i w:val="0"/>
          <w:iCs w:val="0"/>
          <w:sz w:val="22"/>
          <w:szCs w:val="22"/>
        </w:rPr>
        <w:t>In ICT's teaching, a confirmed break below a prior structural low — producing a lower low — is treated as stronger structural evidence of bearish control than a lower high alone, because it represents an actual break of a defended level rather than just a weaker rally.</w:t>
      </w:r>
    </w:p>
    <w:p w14:paraId="4FB3C126">
      <w:pPr>
        <w:pStyle w:val="3"/>
        <w:spacing w:before="360" w:after="160"/>
      </w:pPr>
      <w:r>
        <w:rPr>
          <w:b/>
          <w:bCs/>
          <w:color w:val="1B2A4A"/>
          <w:sz w:val="26"/>
          <w:szCs w:val="26"/>
        </w:rPr>
        <w:t>3. Beginner Explanation</w:t>
      </w:r>
    </w:p>
    <w:p w14:paraId="45BB616A">
      <w:pPr>
        <w:spacing w:after="160" w:line="288" w:lineRule="auto"/>
      </w:pPr>
      <w:r>
        <w:rPr>
          <w:b w:val="0"/>
          <w:bCs w:val="0"/>
          <w:i w:val="0"/>
          <w:iCs w:val="0"/>
          <w:sz w:val="22"/>
          <w:szCs w:val="22"/>
        </w:rPr>
        <w:t>If you compare two dips and the second, more recent dip falls further than the first, that second dip is a lower low. Sellers pushed price to a new floor.</w:t>
      </w:r>
    </w:p>
    <w:p w14:paraId="44410C4B">
      <w:pPr>
        <w:pStyle w:val="3"/>
        <w:spacing w:before="360" w:after="160"/>
      </w:pPr>
      <w:r>
        <w:rPr>
          <w:b/>
          <w:bCs/>
          <w:color w:val="1B2A4A"/>
          <w:sz w:val="26"/>
          <w:szCs w:val="26"/>
        </w:rPr>
        <w:t>4. How to Identify It</w:t>
      </w:r>
    </w:p>
    <w:p w14:paraId="55746820">
      <w:pPr>
        <w:pStyle w:val="16"/>
        <w:numPr>
          <w:ilvl w:val="0"/>
          <w:numId w:val="1"/>
        </w:numPr>
        <w:spacing w:after="80" w:line="276" w:lineRule="auto"/>
      </w:pPr>
      <w:r>
        <w:rPr>
          <w:sz w:val="22"/>
          <w:szCs w:val="22"/>
        </w:rPr>
        <w:t>Identify two consecutive confirmed swing lows.</w:t>
      </w:r>
    </w:p>
    <w:p w14:paraId="32CE48E8">
      <w:pPr>
        <w:pStyle w:val="16"/>
        <w:numPr>
          <w:ilvl w:val="0"/>
          <w:numId w:val="1"/>
        </w:numPr>
        <w:spacing w:after="80" w:line="276" w:lineRule="auto"/>
      </w:pPr>
      <w:r>
        <w:rPr>
          <w:sz w:val="22"/>
          <w:szCs w:val="22"/>
        </w:rPr>
        <w:t>Compare their price levels.</w:t>
      </w:r>
    </w:p>
    <w:p w14:paraId="14B174EF">
      <w:pPr>
        <w:pStyle w:val="16"/>
        <w:numPr>
          <w:ilvl w:val="0"/>
          <w:numId w:val="1"/>
        </w:numPr>
        <w:spacing w:after="80" w:line="276" w:lineRule="auto"/>
      </w:pPr>
      <w:r>
        <w:rPr>
          <w:sz w:val="22"/>
          <w:szCs w:val="22"/>
        </w:rPr>
        <w:t>If the more recent swing low is priced below the earlier one, label it a Lower Low (LL).</w:t>
      </w:r>
    </w:p>
    <w:p w14:paraId="5AE87D35">
      <w:pPr>
        <w:pStyle w:val="16"/>
        <w:numPr>
          <w:ilvl w:val="0"/>
          <w:numId w:val="1"/>
        </w:numPr>
        <w:spacing w:after="80" w:line="276" w:lineRule="auto"/>
      </w:pPr>
      <w:r>
        <w:rPr>
          <w:sz w:val="22"/>
          <w:szCs w:val="22"/>
        </w:rPr>
        <w:t>Confirm this sits alongside a lower high — together they confirm bearish structure.</w:t>
      </w:r>
    </w:p>
    <w:p w14:paraId="21EACD38">
      <w:pPr>
        <w:pStyle w:val="3"/>
        <w:spacing w:before="360" w:after="160"/>
      </w:pPr>
      <w:r>
        <w:rPr>
          <w:b/>
          <w:bCs/>
          <w:color w:val="1B2A4A"/>
          <w:sz w:val="26"/>
          <w:szCs w:val="26"/>
        </w:rPr>
        <w:t>5. Simple Price Example</w:t>
      </w:r>
    </w:p>
    <w:p w14:paraId="00C602F6">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112 → 106 → 109 → 101 → 104</w:t>
      </w:r>
    </w:p>
    <w:p w14:paraId="2B3B405A">
      <w:pPr>
        <w:spacing w:after="160" w:line="288" w:lineRule="auto"/>
      </w:pPr>
      <w:r>
        <w:rPr>
          <w:b w:val="0"/>
          <w:bCs w:val="0"/>
          <w:i w:val="0"/>
          <w:iCs w:val="0"/>
          <w:sz w:val="22"/>
          <w:szCs w:val="22"/>
        </w:rPr>
        <w:t>The first swing low is 106. The next swing low, 101, is below 106 — 101 is a lower low.</w:t>
      </w:r>
    </w:p>
    <w:p w14:paraId="6EF6441A">
      <w:pPr>
        <w:spacing w:after="160" w:line="288" w:lineRule="auto"/>
      </w:pPr>
      <w:r>
        <w:rPr>
          <w:b w:val="0"/>
          <w:bCs w:val="0"/>
          <w:i w:val="0"/>
          <w:iCs w:val="0"/>
          <w:sz w:val="22"/>
          <w:szCs w:val="22"/>
        </w:rPr>
        <w:t>Combined with the lower high (109, below 112) from the previous example, the full picture — 112/109 and 106/101 — is a textbook bearish structure: every high fails to reach the last, and every low breaks below the last.</w:t>
      </w:r>
    </w:p>
    <w:p w14:paraId="7B599D60">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112</w:t>
      </w:r>
      <w:r>
        <w:rPr>
          <w:rFonts w:ascii="Consolas" w:hAnsi="Consolas" w:eastAsia="Consolas" w:cs="Consolas"/>
          <w:sz w:val="19"/>
          <w:szCs w:val="19"/>
        </w:rPr>
        <w:br w:type="textWrapping"/>
      </w:r>
      <w:r>
        <w:rPr>
          <w:rFonts w:ascii="Consolas" w:hAnsi="Consolas" w:eastAsia="Consolas" w:cs="Consolas"/>
          <w:sz w:val="19"/>
          <w:szCs w:val="19"/>
        </w:rPr>
        <w:t xml:space="preserve">  \       109</w:t>
      </w:r>
      <w:r>
        <w:rPr>
          <w:rFonts w:ascii="Consolas" w:hAnsi="Consolas" w:eastAsia="Consolas" w:cs="Consolas"/>
          <w:sz w:val="19"/>
          <w:szCs w:val="19"/>
        </w:rPr>
        <w:br w:type="textWrapping"/>
      </w:r>
      <w:r>
        <w:rPr>
          <w:rFonts w:ascii="Consolas" w:hAnsi="Consolas" w:eastAsia="Consolas" w:cs="Consolas"/>
          <w:sz w:val="19"/>
          <w:szCs w:val="19"/>
        </w:rPr>
        <w:t xml:space="preserve">   \     /   \</w:t>
      </w:r>
      <w:r>
        <w:rPr>
          <w:rFonts w:ascii="Consolas" w:hAnsi="Consolas" w:eastAsia="Consolas" w:cs="Consolas"/>
          <w:sz w:val="19"/>
          <w:szCs w:val="19"/>
        </w:rPr>
        <w:br w:type="textWrapping"/>
      </w:r>
      <w:r>
        <w:rPr>
          <w:rFonts w:ascii="Consolas" w:hAnsi="Consolas" w:eastAsia="Consolas" w:cs="Consolas"/>
          <w:sz w:val="19"/>
          <w:szCs w:val="19"/>
        </w:rPr>
        <w:t xml:space="preserve">    \   /     \    104</w:t>
      </w:r>
      <w:r>
        <w:rPr>
          <w:rFonts w:ascii="Consolas" w:hAnsi="Consolas" w:eastAsia="Consolas" w:cs="Consolas"/>
          <w:sz w:val="19"/>
          <w:szCs w:val="19"/>
        </w:rPr>
        <w:br w:type="textWrapping"/>
      </w:r>
      <w:r>
        <w:rPr>
          <w:rFonts w:ascii="Consolas" w:hAnsi="Consolas" w:eastAsia="Consolas" w:cs="Consolas"/>
          <w:sz w:val="19"/>
          <w:szCs w:val="19"/>
        </w:rPr>
        <w:t xml:space="preserve">    106       101 /</w:t>
      </w:r>
      <w:r>
        <w:rPr>
          <w:rFonts w:ascii="Consolas" w:hAnsi="Consolas" w:eastAsia="Consolas" w:cs="Consolas"/>
          <w:sz w:val="19"/>
          <w:szCs w:val="19"/>
        </w:rPr>
        <w:br w:type="textWrapping"/>
      </w:r>
      <w:r>
        <w:rPr>
          <w:rFonts w:ascii="Consolas" w:hAnsi="Consolas" w:eastAsia="Consolas" w:cs="Consolas"/>
          <w:sz w:val="19"/>
          <w:szCs w:val="19"/>
        </w:rPr>
        <w:t xml:space="preserve">                &lt;- LL (below 106)</w:t>
      </w:r>
    </w:p>
    <w:p w14:paraId="76C3DA74">
      <w:pPr>
        <w:pStyle w:val="3"/>
        <w:spacing w:before="360" w:after="160"/>
      </w:pPr>
      <w:r>
        <w:rPr>
          <w:b/>
          <w:bCs/>
          <w:color w:val="1B2A4A"/>
          <w:sz w:val="26"/>
          <w:szCs w:val="26"/>
        </w:rPr>
        <w:t>6. What It Tells the Trader</w:t>
      </w:r>
    </w:p>
    <w:p w14:paraId="7D1F8581">
      <w:pPr>
        <w:spacing w:after="160" w:line="288" w:lineRule="auto"/>
      </w:pPr>
      <w:r>
        <w:rPr>
          <w:b w:val="0"/>
          <w:bCs w:val="0"/>
          <w:i w:val="0"/>
          <w:iCs w:val="0"/>
          <w:sz w:val="22"/>
          <w:szCs w:val="22"/>
        </w:rPr>
        <w:t>A lower low tells the trader that the most recent downward push exceeded the prior one, satisfying (with a lower high) ICT's definition of bearish structure.</w:t>
      </w:r>
    </w:p>
    <w:p w14:paraId="3AAAC90E">
      <w:pPr>
        <w:spacing w:after="160" w:line="288" w:lineRule="auto"/>
      </w:pPr>
      <w:r>
        <w:rPr>
          <w:b w:val="0"/>
          <w:bCs w:val="0"/>
          <w:i w:val="0"/>
          <w:iCs w:val="0"/>
          <w:sz w:val="22"/>
          <w:szCs w:val="22"/>
        </w:rPr>
        <w:t>It describes what has already happened; it does not guarantee further downside.</w:t>
      </w:r>
    </w:p>
    <w:p w14:paraId="5B64A020">
      <w:pPr>
        <w:pStyle w:val="3"/>
        <w:spacing w:before="360" w:after="160"/>
      </w:pPr>
      <w:r>
        <w:rPr>
          <w:b/>
          <w:bCs/>
          <w:color w:val="1B2A4A"/>
          <w:sz w:val="26"/>
          <w:szCs w:val="26"/>
        </w:rPr>
        <w:t>7. What It Is Commonly Paired With</w:t>
      </w:r>
    </w:p>
    <w:p w14:paraId="0017AE5B">
      <w:pPr>
        <w:pStyle w:val="16"/>
        <w:numPr>
          <w:ilvl w:val="0"/>
          <w:numId w:val="2"/>
        </w:numPr>
        <w:spacing w:after="80" w:line="276" w:lineRule="auto"/>
      </w:pPr>
      <w:r>
        <w:rPr>
          <w:sz w:val="22"/>
          <w:szCs w:val="22"/>
        </w:rPr>
        <w:t>Lower high</w:t>
      </w:r>
    </w:p>
    <w:p w14:paraId="68A92E46">
      <w:pPr>
        <w:pStyle w:val="16"/>
        <w:numPr>
          <w:ilvl w:val="0"/>
          <w:numId w:val="2"/>
        </w:numPr>
        <w:spacing w:after="80" w:line="276" w:lineRule="auto"/>
      </w:pPr>
      <w:r>
        <w:rPr>
          <w:sz w:val="22"/>
          <w:szCs w:val="22"/>
        </w:rPr>
        <w:t>Trend</w:t>
      </w:r>
    </w:p>
    <w:p w14:paraId="7B3B69D6">
      <w:pPr>
        <w:pStyle w:val="16"/>
        <w:numPr>
          <w:ilvl w:val="0"/>
          <w:numId w:val="2"/>
        </w:numPr>
        <w:spacing w:after="80" w:line="276" w:lineRule="auto"/>
      </w:pPr>
      <w:r>
        <w:rPr>
          <w:sz w:val="22"/>
          <w:szCs w:val="22"/>
        </w:rPr>
        <w:t>Sell-side liquidity</w:t>
      </w:r>
    </w:p>
    <w:p w14:paraId="0D537CB7">
      <w:pPr>
        <w:spacing w:after="160" w:line="288" w:lineRule="auto"/>
      </w:pPr>
      <w:r>
        <w:rPr>
          <w:b w:val="0"/>
          <w:bCs w:val="0"/>
          <w:i w:val="0"/>
          <w:iCs w:val="0"/>
          <w:sz w:val="22"/>
          <w:szCs w:val="22"/>
        </w:rPr>
        <w:t>A confirmed lower low is frequently the mechanism by which sell-side liquidity resting beneath the prior low gets taken (Module 4) — the break and the liquidity event often occur in the same move.</w:t>
      </w:r>
    </w:p>
    <w:p w14:paraId="6721D54B">
      <w:pPr>
        <w:pStyle w:val="3"/>
        <w:spacing w:before="360" w:after="160"/>
      </w:pPr>
      <w:r>
        <w:rPr>
          <w:b/>
          <w:bCs/>
          <w:color w:val="1B2A4A"/>
          <w:sz w:val="26"/>
          <w:szCs w:val="26"/>
        </w:rPr>
        <w:t>8. Where It Fits in the ICT Framework</w:t>
      </w:r>
    </w:p>
    <w:p w14:paraId="1C8C4C43">
      <w:pPr>
        <w:spacing w:after="160" w:line="288" w:lineRule="auto"/>
      </w:pPr>
      <w:r>
        <w:rPr>
          <w:b w:val="0"/>
          <w:bCs w:val="0"/>
          <w:i w:val="0"/>
          <w:iCs w:val="0"/>
          <w:sz w:val="22"/>
          <w:szCs w:val="22"/>
        </w:rPr>
        <w:t>Comes before: Requires Swing Low.</w:t>
      </w:r>
    </w:p>
    <w:p w14:paraId="637CF839">
      <w:pPr>
        <w:spacing w:after="160" w:line="288" w:lineRule="auto"/>
      </w:pPr>
      <w:r>
        <w:rPr>
          <w:b w:val="0"/>
          <w:bCs w:val="0"/>
          <w:i w:val="0"/>
          <w:iCs w:val="0"/>
          <w:sz w:val="22"/>
          <w:szCs w:val="22"/>
        </w:rPr>
        <w:t>Comes after: Feeds into Trend and Bearish Market Structure (Module 3).</w:t>
      </w:r>
    </w:p>
    <w:p w14:paraId="206F3A04">
      <w:pPr>
        <w:pStyle w:val="3"/>
        <w:spacing w:before="360" w:after="160"/>
      </w:pPr>
      <w:r>
        <w:rPr>
          <w:b/>
          <w:bCs/>
          <w:color w:val="1B2A4A"/>
          <w:sz w:val="26"/>
          <w:szCs w:val="26"/>
        </w:rPr>
        <w:t>9. Beginner Mistakes</w:t>
      </w:r>
    </w:p>
    <w:p w14:paraId="6FB43946">
      <w:pPr>
        <w:pStyle w:val="16"/>
        <w:numPr>
          <w:ilvl w:val="0"/>
          <w:numId w:val="2"/>
        </w:numPr>
        <w:spacing w:after="80" w:line="276" w:lineRule="auto"/>
      </w:pPr>
      <w:r>
        <w:rPr>
          <w:sz w:val="22"/>
          <w:szCs w:val="22"/>
        </w:rPr>
        <w:t>Assuming a lower low always means "sell now" rather than checking the broader higher-timeframe context.</w:t>
      </w:r>
    </w:p>
    <w:p w14:paraId="46595679">
      <w:pPr>
        <w:pStyle w:val="16"/>
        <w:numPr>
          <w:ilvl w:val="0"/>
          <w:numId w:val="2"/>
        </w:numPr>
        <w:spacing w:after="80" w:line="276" w:lineRule="auto"/>
      </w:pPr>
      <w:r>
        <w:rPr>
          <w:sz w:val="22"/>
          <w:szCs w:val="22"/>
        </w:rPr>
        <w:t>Missing that a lower low can also be a liquidity sweep that gets reversed (see Module 4) rather than a genuine continuation.</w:t>
      </w:r>
    </w:p>
    <w:p w14:paraId="37000B00">
      <w:pPr>
        <w:pStyle w:val="3"/>
        <w:spacing w:before="360" w:after="160"/>
      </w:pPr>
      <w:r>
        <w:rPr>
          <w:b/>
          <w:bCs/>
          <w:color w:val="1B2A4A"/>
          <w:sz w:val="26"/>
          <w:szCs w:val="26"/>
        </w:rPr>
        <w:t>10. Important Qualification</w:t>
      </w:r>
    </w:p>
    <w:p w14:paraId="1F761BE9">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 lower low can mean genuine bearish continuation, or it can mean price dipped below an old low specifically to collect resting liquidity before reversing. Distinguishing the two requires the concepts introduced in Module 4 and Module 5 — displacement and liquidity sweeps.</w:t>
      </w:r>
    </w:p>
    <w:p w14:paraId="3EE9104B">
      <w:pPr>
        <w:pStyle w:val="3"/>
        <w:spacing w:before="360" w:after="160"/>
      </w:pPr>
      <w:r>
        <w:rPr>
          <w:b/>
          <w:bCs/>
          <w:color w:val="1B2A4A"/>
          <w:sz w:val="26"/>
          <w:szCs w:val="26"/>
        </w:rPr>
        <w:t>11. Source</w:t>
      </w:r>
    </w:p>
    <w:p w14:paraId="57920971"/>
    <w:p w14:paraId="6C93BE83">
      <w:pPr>
        <w:pStyle w:val="16"/>
        <w:numPr>
          <w:ilvl w:val="0"/>
          <w:numId w:val="2"/>
        </w:numPr>
        <w:spacing w:after="80" w:line="276" w:lineRule="auto"/>
      </w:pPr>
      <w:r>
        <w:rPr>
          <w:sz w:val="22"/>
          <w:szCs w:val="22"/>
        </w:rPr>
        <w:t>chartinglens.com — "ICT Trading Strategy: The Complete Guide to Inner Circle Trader Concepts."</w:t>
      </w:r>
    </w:p>
    <w:p w14:paraId="0853871C">
      <w:pPr>
        <w:pStyle w:val="16"/>
        <w:numPr>
          <w:ilvl w:val="0"/>
          <w:numId w:val="2"/>
        </w:numPr>
        <w:spacing w:after="80" w:line="276" w:lineRule="auto"/>
      </w:pPr>
      <w:r>
        <w:rPr>
          <w:sz w:val="22"/>
          <w:szCs w:val="22"/>
        </w:rPr>
        <w:t>litefinance.org — "ICT Trading Strategy: Complete Guide to Inner Circle Trader Method."</w:t>
      </w:r>
    </w:p>
    <w:p w14:paraId="308F0CF9">
      <w:r>
        <w:br w:type="page"/>
      </w:r>
    </w:p>
    <w:p w14:paraId="7C142A4C">
      <w:pPr>
        <w:pStyle w:val="2"/>
        <w:pBdr>
          <w:bottom w:val="single" w:color="1B2A4A" w:sz="12" w:space="4"/>
        </w:pBdr>
        <w:spacing w:before="480" w:after="240"/>
      </w:pPr>
      <w:r>
        <w:rPr>
          <w:b/>
          <w:bCs/>
          <w:color w:val="1B2A4A"/>
          <w:sz w:val="34"/>
          <w:szCs w:val="34"/>
        </w:rPr>
        <w:t>Trend</w:t>
      </w:r>
    </w:p>
    <w:p w14:paraId="6C18C31D">
      <w:pPr>
        <w:pStyle w:val="3"/>
        <w:spacing w:before="360" w:after="160"/>
      </w:pPr>
      <w:r>
        <w:rPr>
          <w:b/>
          <w:bCs/>
          <w:color w:val="1B2A4A"/>
          <w:sz w:val="26"/>
          <w:szCs w:val="26"/>
        </w:rPr>
        <w:t>1. Definition</w:t>
      </w:r>
    </w:p>
    <w:p w14:paraId="0FE3E6D3">
      <w:pPr>
        <w:spacing w:after="160" w:line="288" w:lineRule="auto"/>
      </w:pPr>
      <w:r>
        <w:rPr>
          <w:b w:val="0"/>
          <w:bCs w:val="0"/>
          <w:i w:val="0"/>
          <w:iCs w:val="0"/>
          <w:sz w:val="22"/>
          <w:szCs w:val="22"/>
        </w:rPr>
        <w:t>A trend is the general direction in which price is moving over a given period, expressed structurally as a sustained sequence of higher highs and higher lows (uptrend) or lower highs and lower lows (downtrend).</w:t>
      </w:r>
    </w:p>
    <w:p w14:paraId="04A52E1B">
      <w:pPr>
        <w:pStyle w:val="3"/>
        <w:spacing w:before="360" w:after="160"/>
      </w:pPr>
      <w:r>
        <w:rPr>
          <w:b/>
          <w:bCs/>
          <w:color w:val="1B2A4A"/>
          <w:sz w:val="26"/>
          <w:szCs w:val="26"/>
        </w:rPr>
        <w:t>2. ICT's Meaning</w:t>
      </w:r>
    </w:p>
    <w:p w14:paraId="1D553B1F">
      <w:pPr>
        <w:spacing w:after="160" w:line="288" w:lineRule="auto"/>
      </w:pPr>
      <w:r>
        <w:rPr>
          <w:b w:val="0"/>
          <w:bCs w:val="0"/>
          <w:i w:val="0"/>
          <w:iCs w:val="0"/>
          <w:sz w:val="22"/>
          <w:szCs w:val="22"/>
        </w:rPr>
        <w:t>ICT does not treat trend as a separate indicator-based concept; it is a direct output of market structure. A market is in an uptrend, in ICT's terms, for as long as it continues printing higher highs and higher lows. It is in a downtrend for as long as it continues printing lower highs and lower lows. When neither pattern holds consistently, the market is considered range-bound or structurally undecided.</w:t>
      </w:r>
    </w:p>
    <w:p w14:paraId="28F86A13">
      <w:pPr>
        <w:spacing w:after="160" w:line="288" w:lineRule="auto"/>
      </w:pPr>
      <w:r>
        <w:rPr>
          <w:b w:val="0"/>
          <w:bCs w:val="0"/>
          <w:i w:val="0"/>
          <w:iCs w:val="0"/>
          <w:sz w:val="22"/>
          <w:szCs w:val="22"/>
        </w:rPr>
        <w:t>Because ICT reads structure on multiple timeframes at once (Module 2), a market can be in an uptrend on one timeframe while in a downtrend or retracement on another. ICT-focused teaching describes this as trends being fractal — the same higher-high/higher-low pattern can appear nested inside a larger opposite move.</w:t>
      </w:r>
    </w:p>
    <w:p w14:paraId="6BCFC1B2">
      <w:pPr>
        <w:pStyle w:val="3"/>
        <w:spacing w:before="360" w:after="160"/>
      </w:pPr>
      <w:r>
        <w:rPr>
          <w:b/>
          <w:bCs/>
          <w:color w:val="1B2A4A"/>
          <w:sz w:val="26"/>
          <w:szCs w:val="26"/>
        </w:rPr>
        <w:t>3. Beginner Explanation</w:t>
      </w:r>
    </w:p>
    <w:p w14:paraId="5C13A2DD">
      <w:pPr>
        <w:spacing w:after="160" w:line="288" w:lineRule="auto"/>
      </w:pPr>
      <w:r>
        <w:rPr>
          <w:b w:val="0"/>
          <w:bCs w:val="0"/>
          <w:i w:val="0"/>
          <w:iCs w:val="0"/>
          <w:sz w:val="22"/>
          <w:szCs w:val="22"/>
        </w:rPr>
        <w:t>A trend is simply the overall direction price has been heading, once you step back from the individual up-and-down wiggles. If someone showed you a chart from a distance and asked "is this generally going up, down, or sideways?" — your answer is describing the trend.</w:t>
      </w:r>
    </w:p>
    <w:p w14:paraId="70028F65">
      <w:pPr>
        <w:pStyle w:val="3"/>
        <w:spacing w:before="360" w:after="160"/>
      </w:pPr>
      <w:r>
        <w:rPr>
          <w:b/>
          <w:bCs/>
          <w:color w:val="1B2A4A"/>
          <w:sz w:val="26"/>
          <w:szCs w:val="26"/>
        </w:rPr>
        <w:t>4. How to Identify It</w:t>
      </w:r>
    </w:p>
    <w:p w14:paraId="554E2457">
      <w:pPr>
        <w:pStyle w:val="16"/>
        <w:numPr>
          <w:ilvl w:val="0"/>
          <w:numId w:val="1"/>
        </w:numPr>
        <w:spacing w:after="80" w:line="276" w:lineRule="auto"/>
      </w:pPr>
      <w:r>
        <w:rPr>
          <w:sz w:val="22"/>
          <w:szCs w:val="22"/>
        </w:rPr>
        <w:t>Map out a series of swing highs and swing lows across the chart.</w:t>
      </w:r>
    </w:p>
    <w:p w14:paraId="1BB4BB87">
      <w:pPr>
        <w:pStyle w:val="16"/>
        <w:numPr>
          <w:ilvl w:val="0"/>
          <w:numId w:val="1"/>
        </w:numPr>
        <w:spacing w:after="80" w:line="276" w:lineRule="auto"/>
      </w:pPr>
      <w:r>
        <w:rPr>
          <w:sz w:val="22"/>
          <w:szCs w:val="22"/>
        </w:rPr>
        <w:t>Check whether the highs and lows are both rising (higher highs and higher lows) — if so, the trend is bullish (up).</w:t>
      </w:r>
    </w:p>
    <w:p w14:paraId="7AC8D5AD">
      <w:pPr>
        <w:pStyle w:val="16"/>
        <w:numPr>
          <w:ilvl w:val="0"/>
          <w:numId w:val="1"/>
        </w:numPr>
        <w:spacing w:after="80" w:line="276" w:lineRule="auto"/>
      </w:pPr>
      <w:r>
        <w:rPr>
          <w:sz w:val="22"/>
          <w:szCs w:val="22"/>
        </w:rPr>
        <w:t>Check whether the highs and lows are both falling (lower highs and lower lows) — if so, the trend is bearish (down).</w:t>
      </w:r>
    </w:p>
    <w:p w14:paraId="119B1076">
      <w:pPr>
        <w:pStyle w:val="16"/>
        <w:numPr>
          <w:ilvl w:val="0"/>
          <w:numId w:val="1"/>
        </w:numPr>
        <w:spacing w:after="80" w:line="276" w:lineRule="auto"/>
      </w:pPr>
      <w:r>
        <w:rPr>
          <w:sz w:val="22"/>
          <w:szCs w:val="22"/>
        </w:rPr>
        <w:t>If highs and lows are not consistently rising or falling together, treat the market as range-bound rather than trending.</w:t>
      </w:r>
    </w:p>
    <w:p w14:paraId="6C7BAAFF">
      <w:pPr>
        <w:pStyle w:val="16"/>
        <w:numPr>
          <w:ilvl w:val="0"/>
          <w:numId w:val="1"/>
        </w:numPr>
        <w:spacing w:after="80" w:line="276" w:lineRule="auto"/>
      </w:pPr>
      <w:r>
        <w:rPr>
          <w:sz w:val="22"/>
          <w:szCs w:val="22"/>
        </w:rPr>
        <w:t>Repeat this check on a higher timeframe to see whether the lower-timeframe trend agrees with or contradicts the larger picture (Module 2).</w:t>
      </w:r>
    </w:p>
    <w:p w14:paraId="505CC05A">
      <w:pPr>
        <w:pStyle w:val="3"/>
        <w:spacing w:before="360" w:after="160"/>
      </w:pPr>
      <w:r>
        <w:rPr>
          <w:b/>
          <w:bCs/>
          <w:color w:val="1B2A4A"/>
          <w:sz w:val="26"/>
          <w:szCs w:val="26"/>
        </w:rPr>
        <w:t>5. Simple Price Example</w:t>
      </w:r>
    </w:p>
    <w:p w14:paraId="20DE7770">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100 → 105 → 102 → 108 → 104 → 112 → 107</w:t>
      </w:r>
    </w:p>
    <w:p w14:paraId="3D723656">
      <w:pPr>
        <w:spacing w:after="160" w:line="288" w:lineRule="auto"/>
      </w:pPr>
      <w:r>
        <w:rPr>
          <w:b w:val="0"/>
          <w:bCs w:val="0"/>
          <w:i w:val="0"/>
          <w:iCs w:val="0"/>
          <w:sz w:val="22"/>
          <w:szCs w:val="22"/>
        </w:rPr>
        <w:t>Swing highs: 105, 108, 112 — each one higher than the last.</w:t>
      </w:r>
    </w:p>
    <w:p w14:paraId="4F81FC9D">
      <w:pPr>
        <w:spacing w:after="160" w:line="288" w:lineRule="auto"/>
      </w:pPr>
      <w:r>
        <w:rPr>
          <w:b w:val="0"/>
          <w:bCs w:val="0"/>
          <w:i w:val="0"/>
          <w:iCs w:val="0"/>
          <w:sz w:val="22"/>
          <w:szCs w:val="22"/>
        </w:rPr>
        <w:t>Swing lows: 102, 104 — each one higher than the last.</w:t>
      </w:r>
    </w:p>
    <w:p w14:paraId="0E0B28C5">
      <w:pPr>
        <w:spacing w:after="160" w:line="288" w:lineRule="auto"/>
      </w:pPr>
      <w:r>
        <w:rPr>
          <w:b w:val="0"/>
          <w:bCs w:val="0"/>
          <w:i w:val="0"/>
          <w:iCs w:val="0"/>
          <w:sz w:val="22"/>
          <w:szCs w:val="22"/>
        </w:rPr>
        <w:t>Because both the highs and the lows are rising, this sequence describes an uptrend, right up until the final pullback to 107, which has not yet broken the pattern.</w:t>
      </w:r>
    </w:p>
    <w:p w14:paraId="3925C3CB">
      <w:pPr>
        <w:pStyle w:val="3"/>
        <w:spacing w:before="360" w:after="160"/>
      </w:pPr>
      <w:r>
        <w:rPr>
          <w:b/>
          <w:bCs/>
          <w:color w:val="1B2A4A"/>
          <w:sz w:val="26"/>
          <w:szCs w:val="26"/>
        </w:rPr>
        <w:t>6. What It Tells the Trader</w:t>
      </w:r>
    </w:p>
    <w:p w14:paraId="68E9EDA5">
      <w:pPr>
        <w:spacing w:after="160" w:line="288" w:lineRule="auto"/>
      </w:pPr>
      <w:r>
        <w:rPr>
          <w:b w:val="0"/>
          <w:bCs w:val="0"/>
          <w:i w:val="0"/>
          <w:iCs w:val="0"/>
          <w:sz w:val="22"/>
          <w:szCs w:val="22"/>
        </w:rPr>
        <w:t>Trend tells the trader the direction that has been structurally dominant so far. In ICT's framework this feeds directly into bias (Module 10) — the expectation of which direction is more favorable to trade in.</w:t>
      </w:r>
    </w:p>
    <w:p w14:paraId="4DB7BC28">
      <w:pPr>
        <w:spacing w:after="160" w:line="288" w:lineRule="auto"/>
      </w:pPr>
      <w:r>
        <w:rPr>
          <w:b w:val="0"/>
          <w:bCs w:val="0"/>
          <w:i w:val="0"/>
          <w:iCs w:val="0"/>
          <w:sz w:val="22"/>
          <w:szCs w:val="22"/>
        </w:rPr>
        <w:t>Trend does not tell the trader when the current move will end. ICT's framework treats a trend as valid until structure actually shifts (Module 3), not based on a feeling that it has "gone on too long."</w:t>
      </w:r>
    </w:p>
    <w:p w14:paraId="01681CEA">
      <w:pPr>
        <w:pStyle w:val="3"/>
        <w:spacing w:before="360" w:after="160"/>
      </w:pPr>
      <w:r>
        <w:rPr>
          <w:b/>
          <w:bCs/>
          <w:color w:val="1B2A4A"/>
          <w:sz w:val="26"/>
          <w:szCs w:val="26"/>
        </w:rPr>
        <w:t>7. What It Is Commonly Paired With</w:t>
      </w:r>
    </w:p>
    <w:p w14:paraId="0BEAEC26">
      <w:pPr>
        <w:pStyle w:val="16"/>
        <w:numPr>
          <w:ilvl w:val="0"/>
          <w:numId w:val="2"/>
        </w:numPr>
        <w:spacing w:after="80" w:line="276" w:lineRule="auto"/>
      </w:pPr>
      <w:r>
        <w:rPr>
          <w:sz w:val="22"/>
          <w:szCs w:val="22"/>
        </w:rPr>
        <w:t>Market structure</w:t>
      </w:r>
    </w:p>
    <w:p w14:paraId="22940426">
      <w:pPr>
        <w:pStyle w:val="16"/>
        <w:numPr>
          <w:ilvl w:val="0"/>
          <w:numId w:val="2"/>
        </w:numPr>
        <w:spacing w:after="80" w:line="276" w:lineRule="auto"/>
      </w:pPr>
      <w:r>
        <w:rPr>
          <w:sz w:val="22"/>
          <w:szCs w:val="22"/>
        </w:rPr>
        <w:t>Bias</w:t>
      </w:r>
    </w:p>
    <w:p w14:paraId="6AE23E73">
      <w:pPr>
        <w:pStyle w:val="16"/>
        <w:numPr>
          <w:ilvl w:val="0"/>
          <w:numId w:val="2"/>
        </w:numPr>
        <w:spacing w:after="80" w:line="276" w:lineRule="auto"/>
      </w:pPr>
      <w:r>
        <w:rPr>
          <w:sz w:val="22"/>
          <w:szCs w:val="22"/>
        </w:rPr>
        <w:t>Retracement</w:t>
      </w:r>
    </w:p>
    <w:p w14:paraId="61960486">
      <w:pPr>
        <w:spacing w:after="160" w:line="288" w:lineRule="auto"/>
      </w:pPr>
      <w:r>
        <w:rPr>
          <w:b w:val="0"/>
          <w:bCs w:val="0"/>
          <w:i w:val="0"/>
          <w:iCs w:val="0"/>
          <w:sz w:val="22"/>
          <w:szCs w:val="22"/>
        </w:rPr>
        <w:t>Trend and market structure are effectively the same observation described two ways: structure is the mechanical evidence (HH/HL or LH/LL), and trend is the directional conclusion drawn from it. Retracements are the expected, normal pullbacks that occur within a trend without breaking it.</w:t>
      </w:r>
    </w:p>
    <w:p w14:paraId="0874990F">
      <w:pPr>
        <w:pStyle w:val="3"/>
        <w:spacing w:before="360" w:after="160"/>
      </w:pPr>
      <w:r>
        <w:rPr>
          <w:b/>
          <w:bCs/>
          <w:color w:val="1B2A4A"/>
          <w:sz w:val="26"/>
          <w:szCs w:val="26"/>
        </w:rPr>
        <w:t>8. Where It Fits in the ICT Framework</w:t>
      </w:r>
    </w:p>
    <w:p w14:paraId="39FDCC27">
      <w:pPr>
        <w:spacing w:after="160" w:line="288" w:lineRule="auto"/>
      </w:pPr>
      <w:r>
        <w:rPr>
          <w:b w:val="0"/>
          <w:bCs w:val="0"/>
          <w:i w:val="0"/>
          <w:iCs w:val="0"/>
          <w:sz w:val="22"/>
          <w:szCs w:val="22"/>
        </w:rPr>
        <w:t>Comes before: Requires Higher High, Higher Low, Lower High, and Lower Low.</w:t>
      </w:r>
    </w:p>
    <w:p w14:paraId="166D68E4">
      <w:pPr>
        <w:spacing w:after="160" w:line="288" w:lineRule="auto"/>
      </w:pPr>
      <w:r>
        <w:rPr>
          <w:b w:val="0"/>
          <w:bCs w:val="0"/>
          <w:i w:val="0"/>
          <w:iCs w:val="0"/>
          <w:sz w:val="22"/>
          <w:szCs w:val="22"/>
        </w:rPr>
        <w:t>Comes after: Feeds into Retracement, Market Structure (Module 3), and ultimately Bias (Module 10).</w:t>
      </w:r>
    </w:p>
    <w:p w14:paraId="6DF05859">
      <w:pPr>
        <w:pStyle w:val="3"/>
        <w:spacing w:before="360" w:after="160"/>
      </w:pPr>
      <w:r>
        <w:rPr>
          <w:b/>
          <w:bCs/>
          <w:color w:val="1B2A4A"/>
          <w:sz w:val="26"/>
          <w:szCs w:val="26"/>
        </w:rPr>
        <w:t>9. Beginner Mistakes</w:t>
      </w:r>
    </w:p>
    <w:p w14:paraId="4BEDE206">
      <w:pPr>
        <w:pStyle w:val="16"/>
        <w:numPr>
          <w:ilvl w:val="0"/>
          <w:numId w:val="2"/>
        </w:numPr>
        <w:spacing w:after="80" w:line="276" w:lineRule="auto"/>
      </w:pPr>
      <w:r>
        <w:rPr>
          <w:sz w:val="22"/>
          <w:szCs w:val="22"/>
        </w:rPr>
        <w:t>Declaring a trend based on only two candles instead of a genuine sequence of confirmed swing points.</w:t>
      </w:r>
    </w:p>
    <w:p w14:paraId="0032D29B">
      <w:pPr>
        <w:pStyle w:val="16"/>
        <w:numPr>
          <w:ilvl w:val="0"/>
          <w:numId w:val="2"/>
        </w:numPr>
        <w:spacing w:after="80" w:line="276" w:lineRule="auto"/>
      </w:pPr>
      <w:r>
        <w:rPr>
          <w:sz w:val="22"/>
          <w:szCs w:val="22"/>
        </w:rPr>
        <w:t>Ignoring the timeframe being viewed and assuming the trend on a 5-minute chart applies to the daily chart.</w:t>
      </w:r>
    </w:p>
    <w:p w14:paraId="0E29D1DF">
      <w:pPr>
        <w:pStyle w:val="16"/>
        <w:numPr>
          <w:ilvl w:val="0"/>
          <w:numId w:val="2"/>
        </w:numPr>
        <w:spacing w:after="80" w:line="276" w:lineRule="auto"/>
      </w:pPr>
      <w:r>
        <w:rPr>
          <w:sz w:val="22"/>
          <w:szCs w:val="22"/>
        </w:rPr>
        <w:t>Treating a single retracement against the trend as proof the trend has reversed.</w:t>
      </w:r>
    </w:p>
    <w:p w14:paraId="57EDE8E3">
      <w:pPr>
        <w:pStyle w:val="3"/>
        <w:spacing w:before="360" w:after="160"/>
      </w:pPr>
      <w:r>
        <w:rPr>
          <w:b/>
          <w:bCs/>
          <w:color w:val="1B2A4A"/>
          <w:sz w:val="26"/>
          <w:szCs w:val="26"/>
        </w:rPr>
        <w:t>10. Important Qualification</w:t>
      </w:r>
    </w:p>
    <w:p w14:paraId="001BBE3F">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 trend, in ICT's framework, is only assumed to remain intact while structure continues to confirm it. The moment structure breaks in the opposing direction, the trend classification must be reassessed (see Market Structure Shift, Module 3) — trend is not assumed to persist indefinitely by default.</w:t>
      </w:r>
    </w:p>
    <w:p w14:paraId="0107AD5E">
      <w:pPr>
        <w:pStyle w:val="3"/>
        <w:spacing w:before="360" w:after="160"/>
      </w:pPr>
      <w:r>
        <w:rPr>
          <w:b/>
          <w:bCs/>
          <w:color w:val="1B2A4A"/>
          <w:sz w:val="26"/>
          <w:szCs w:val="26"/>
        </w:rPr>
        <w:t>11. Source</w:t>
      </w:r>
    </w:p>
    <w:p w14:paraId="2C5C86E2"/>
    <w:p w14:paraId="274658D4">
      <w:pPr>
        <w:pStyle w:val="16"/>
        <w:numPr>
          <w:ilvl w:val="0"/>
          <w:numId w:val="2"/>
        </w:numPr>
        <w:spacing w:after="80" w:line="276" w:lineRule="auto"/>
      </w:pPr>
      <w:r>
        <w:rPr>
          <w:sz w:val="22"/>
          <w:szCs w:val="22"/>
        </w:rPr>
        <w:t>fxopen.com — "ICT Concepts: What Is Inner Circle Trading?" (fractal, multi-timeframe nature of trend/structure).</w:t>
      </w:r>
    </w:p>
    <w:p w14:paraId="5B09303B">
      <w:pPr>
        <w:pStyle w:val="16"/>
        <w:numPr>
          <w:ilvl w:val="0"/>
          <w:numId w:val="2"/>
        </w:numPr>
        <w:spacing w:after="80" w:line="276" w:lineRule="auto"/>
      </w:pPr>
      <w:r>
        <w:rPr>
          <w:sz w:val="22"/>
          <w:szCs w:val="22"/>
        </w:rPr>
        <w:t>litefinance.org — "ICT Trading Strategy: Complete Guide to Inner Circle Trader Method."</w:t>
      </w:r>
    </w:p>
    <w:p w14:paraId="0C42F309">
      <w:r>
        <w:br w:type="page"/>
      </w:r>
    </w:p>
    <w:p w14:paraId="6C62E0A4">
      <w:pPr>
        <w:pStyle w:val="2"/>
        <w:pBdr>
          <w:bottom w:val="single" w:color="1B2A4A" w:sz="12" w:space="4"/>
        </w:pBdr>
        <w:spacing w:before="480" w:after="240"/>
      </w:pPr>
      <w:r>
        <w:rPr>
          <w:b/>
          <w:bCs/>
          <w:color w:val="1B2A4A"/>
          <w:sz w:val="34"/>
          <w:szCs w:val="34"/>
        </w:rPr>
        <w:t>Retracement</w:t>
      </w:r>
    </w:p>
    <w:p w14:paraId="31591D04">
      <w:pPr>
        <w:pStyle w:val="3"/>
        <w:spacing w:before="360" w:after="160"/>
      </w:pPr>
      <w:r>
        <w:rPr>
          <w:b/>
          <w:bCs/>
          <w:color w:val="1B2A4A"/>
          <w:sz w:val="26"/>
          <w:szCs w:val="26"/>
        </w:rPr>
        <w:t>1. Definition</w:t>
      </w:r>
    </w:p>
    <w:p w14:paraId="1D2C6FEE">
      <w:pPr>
        <w:spacing w:after="160" w:line="288" w:lineRule="auto"/>
      </w:pPr>
      <w:r>
        <w:rPr>
          <w:b w:val="0"/>
          <w:bCs w:val="0"/>
          <w:i w:val="0"/>
          <w:iCs w:val="0"/>
          <w:sz w:val="22"/>
          <w:szCs w:val="22"/>
        </w:rPr>
        <w:t>A retracement is a temporary price move against the prevailing trend that does not break the trend's structure, before price resumes in the original trend direction.</w:t>
      </w:r>
    </w:p>
    <w:p w14:paraId="6F0EABB5">
      <w:pPr>
        <w:pStyle w:val="3"/>
        <w:spacing w:before="360" w:after="160"/>
      </w:pPr>
      <w:r>
        <w:rPr>
          <w:b/>
          <w:bCs/>
          <w:color w:val="1B2A4A"/>
          <w:sz w:val="26"/>
          <w:szCs w:val="26"/>
        </w:rPr>
        <w:t>2. ICT's Meaning</w:t>
      </w:r>
    </w:p>
    <w:p w14:paraId="464D4EF3">
      <w:pPr>
        <w:spacing w:after="160" w:line="288" w:lineRule="auto"/>
      </w:pPr>
      <w:r>
        <w:rPr>
          <w:b w:val="0"/>
          <w:bCs w:val="0"/>
          <w:i w:val="0"/>
          <w:iCs w:val="0"/>
          <w:sz w:val="22"/>
          <w:szCs w:val="22"/>
        </w:rPr>
        <w:t>In ICT's framework, a retracement is the pullback phase that produces the higher low (in an uptrend) or the lower high (in a downtrend). It is a necessary, expected part of trending price delivery, not a warning sign by itself.</w:t>
      </w:r>
    </w:p>
    <w:p w14:paraId="3B664448">
      <w:pPr>
        <w:spacing w:after="160" w:line="288" w:lineRule="auto"/>
      </w:pPr>
      <w:r>
        <w:rPr>
          <w:b w:val="0"/>
          <w:bCs w:val="0"/>
          <w:i w:val="0"/>
          <w:iCs w:val="0"/>
          <w:sz w:val="22"/>
          <w:szCs w:val="22"/>
        </w:rPr>
        <w:t>ICT's own price-delivery model (further developed in Module 7's OTE and Module 9's Power of 3) treats retracements as opportunities: a disciplined trader waits for the retracement into a specific zone rather than chasing price at the extreme of the prior move.</w:t>
      </w:r>
    </w:p>
    <w:p w14:paraId="7532A5AC">
      <w:pPr>
        <w:pStyle w:val="3"/>
        <w:spacing w:before="360" w:after="160"/>
      </w:pPr>
      <w:r>
        <w:rPr>
          <w:b/>
          <w:bCs/>
          <w:color w:val="1B2A4A"/>
          <w:sz w:val="26"/>
          <w:szCs w:val="26"/>
        </w:rPr>
        <w:t>3. Beginner Explanation</w:t>
      </w:r>
    </w:p>
    <w:p w14:paraId="33A0DD41">
      <w:pPr>
        <w:spacing w:after="160" w:line="288" w:lineRule="auto"/>
      </w:pPr>
      <w:r>
        <w:rPr>
          <w:b w:val="0"/>
          <w:bCs w:val="0"/>
          <w:i w:val="0"/>
          <w:iCs w:val="0"/>
          <w:sz w:val="22"/>
          <w:szCs w:val="22"/>
        </w:rPr>
        <w:t>If price has been climbing and then dips back down partway before continuing to climb, that dip is a retracement. It's the market taking a partial step backward without abandoning its overall direction — like a hiker who slides back a few feet on a loose slope but keeps climbing the mountain overall.</w:t>
      </w:r>
    </w:p>
    <w:p w14:paraId="31AA0A2D">
      <w:pPr>
        <w:pStyle w:val="3"/>
        <w:spacing w:before="360" w:after="160"/>
      </w:pPr>
      <w:r>
        <w:rPr>
          <w:b/>
          <w:bCs/>
          <w:color w:val="1B2A4A"/>
          <w:sz w:val="26"/>
          <w:szCs w:val="26"/>
        </w:rPr>
        <w:t>4. How to Identify It</w:t>
      </w:r>
    </w:p>
    <w:p w14:paraId="7F5438F9">
      <w:pPr>
        <w:pStyle w:val="16"/>
        <w:numPr>
          <w:ilvl w:val="0"/>
          <w:numId w:val="1"/>
        </w:numPr>
        <w:spacing w:after="80" w:line="276" w:lineRule="auto"/>
      </w:pPr>
      <w:r>
        <w:rPr>
          <w:sz w:val="22"/>
          <w:szCs w:val="22"/>
        </w:rPr>
        <w:t>Confirm an established trend using swing highs and lows (see Trend).</w:t>
      </w:r>
    </w:p>
    <w:p w14:paraId="109E9810">
      <w:pPr>
        <w:pStyle w:val="16"/>
        <w:numPr>
          <w:ilvl w:val="0"/>
          <w:numId w:val="1"/>
        </w:numPr>
        <w:spacing w:after="80" w:line="276" w:lineRule="auto"/>
      </w:pPr>
      <w:r>
        <w:rPr>
          <w:sz w:val="22"/>
          <w:szCs w:val="22"/>
        </w:rPr>
        <w:t>Watch for a move in the opposite direction of that trend.</w:t>
      </w:r>
    </w:p>
    <w:p w14:paraId="506D4A6D">
      <w:pPr>
        <w:pStyle w:val="16"/>
        <w:numPr>
          <w:ilvl w:val="0"/>
          <w:numId w:val="1"/>
        </w:numPr>
        <w:spacing w:after="80" w:line="276" w:lineRule="auto"/>
      </w:pPr>
      <w:r>
        <w:rPr>
          <w:sz w:val="22"/>
          <w:szCs w:val="22"/>
        </w:rPr>
        <w:t>Confirm that this opposite move does not break the most recent confirmed swing point against the trend (for example, in an uptrend, the pullback should not close below the last confirmed higher low's originating structure).</w:t>
      </w:r>
    </w:p>
    <w:p w14:paraId="55D4A3AD">
      <w:pPr>
        <w:pStyle w:val="16"/>
        <w:numPr>
          <w:ilvl w:val="0"/>
          <w:numId w:val="1"/>
        </w:numPr>
        <w:spacing w:after="80" w:line="276" w:lineRule="auto"/>
      </w:pPr>
      <w:r>
        <w:rPr>
          <w:sz w:val="22"/>
          <w:szCs w:val="22"/>
        </w:rPr>
        <w:t>If the trend resumes afterward, the move is classified as a retracement rather than a reversal.</w:t>
      </w:r>
    </w:p>
    <w:p w14:paraId="39A8C50B">
      <w:pPr>
        <w:pStyle w:val="3"/>
        <w:spacing w:before="360" w:after="160"/>
      </w:pPr>
      <w:r>
        <w:rPr>
          <w:b/>
          <w:bCs/>
          <w:color w:val="1B2A4A"/>
          <w:sz w:val="26"/>
          <w:szCs w:val="26"/>
        </w:rPr>
        <w:t>5. Simple Price Example</w:t>
      </w:r>
    </w:p>
    <w:p w14:paraId="40B4B9D4">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100 → 108 → 104 → 114</w:t>
      </w:r>
    </w:p>
    <w:p w14:paraId="4412474C">
      <w:pPr>
        <w:spacing w:after="160" w:line="288" w:lineRule="auto"/>
      </w:pPr>
      <w:r>
        <w:rPr>
          <w:b w:val="0"/>
          <w:bCs w:val="0"/>
          <w:i w:val="0"/>
          <w:iCs w:val="0"/>
          <w:sz w:val="22"/>
          <w:szCs w:val="22"/>
        </w:rPr>
        <w:t>Price rises from 100 to 108 (the trend move), pulls back to 104 (the retracement), then rises again to 114 (the trend resuming and making a new higher high).</w:t>
      </w:r>
    </w:p>
    <w:p w14:paraId="24D1FFE8">
      <w:pPr>
        <w:spacing w:after="160" w:line="288" w:lineRule="auto"/>
      </w:pPr>
      <w:r>
        <w:rPr>
          <w:b w:val="0"/>
          <w:bCs w:val="0"/>
          <w:i w:val="0"/>
          <w:iCs w:val="0"/>
          <w:sz w:val="22"/>
          <w:szCs w:val="22"/>
        </w:rPr>
        <w:t>The pullback to 104 is the retracement. Because price did not fall back to or below 100 (the origin of the move), and because the uptrend resumed afterward, this pullback is read as a retracement rather than a reversal.</w:t>
      </w:r>
    </w:p>
    <w:p w14:paraId="1C576C3C">
      <w:pPr>
        <w:pStyle w:val="3"/>
        <w:spacing w:before="360" w:after="160"/>
      </w:pPr>
      <w:r>
        <w:rPr>
          <w:b/>
          <w:bCs/>
          <w:color w:val="1B2A4A"/>
          <w:sz w:val="26"/>
          <w:szCs w:val="26"/>
        </w:rPr>
        <w:t>6. What It Tells the Trader</w:t>
      </w:r>
    </w:p>
    <w:p w14:paraId="645BF912">
      <w:pPr>
        <w:spacing w:after="160" w:line="288" w:lineRule="auto"/>
      </w:pPr>
      <w:r>
        <w:rPr>
          <w:b w:val="0"/>
          <w:bCs w:val="0"/>
          <w:i w:val="0"/>
          <w:iCs w:val="0"/>
          <w:sz w:val="22"/>
          <w:szCs w:val="22"/>
        </w:rPr>
        <w:t>A retracement tells the trader that price is offering a temporary discount (in an uptrend) or premium (in a downtrend) relative to the recent extreme, which is the basic logic behind waiting for a retracement before entering in the trend direction.</w:t>
      </w:r>
    </w:p>
    <w:p w14:paraId="3DD09BEF">
      <w:pPr>
        <w:spacing w:after="160" w:line="288" w:lineRule="auto"/>
      </w:pPr>
      <w:r>
        <w:rPr>
          <w:b w:val="0"/>
          <w:bCs w:val="0"/>
          <w:i w:val="0"/>
          <w:iCs w:val="0"/>
          <w:sz w:val="22"/>
          <w:szCs w:val="22"/>
        </w:rPr>
        <w:t>It does not tell the trader in advance how deep the pullback will go, or guarantee that the trend will resume — a retracement can also turn into a full reversal, which is why Module 3's Market Structure Shift exists as the concept that distinguishes the two after the fact.</w:t>
      </w:r>
    </w:p>
    <w:p w14:paraId="1B291CD0">
      <w:pPr>
        <w:pStyle w:val="3"/>
        <w:spacing w:before="360" w:after="160"/>
      </w:pPr>
      <w:r>
        <w:rPr>
          <w:b/>
          <w:bCs/>
          <w:color w:val="1B2A4A"/>
          <w:sz w:val="26"/>
          <w:szCs w:val="26"/>
        </w:rPr>
        <w:t>7. What It Is Commonly Paired With</w:t>
      </w:r>
    </w:p>
    <w:p w14:paraId="13FB79A0">
      <w:pPr>
        <w:pStyle w:val="16"/>
        <w:numPr>
          <w:ilvl w:val="0"/>
          <w:numId w:val="2"/>
        </w:numPr>
        <w:spacing w:after="80" w:line="276" w:lineRule="auto"/>
      </w:pPr>
      <w:r>
        <w:rPr>
          <w:sz w:val="22"/>
          <w:szCs w:val="22"/>
        </w:rPr>
        <w:t>Fibonacci retracement / OTE (Module 7)</w:t>
      </w:r>
    </w:p>
    <w:p w14:paraId="61C788B3">
      <w:pPr>
        <w:pStyle w:val="16"/>
        <w:numPr>
          <w:ilvl w:val="0"/>
          <w:numId w:val="2"/>
        </w:numPr>
        <w:spacing w:after="80" w:line="276" w:lineRule="auto"/>
      </w:pPr>
      <w:r>
        <w:rPr>
          <w:sz w:val="22"/>
          <w:szCs w:val="22"/>
        </w:rPr>
        <w:t>Order Block / Fair Value Gap (Modules 5–6)</w:t>
      </w:r>
    </w:p>
    <w:p w14:paraId="61779400">
      <w:pPr>
        <w:pStyle w:val="16"/>
        <w:numPr>
          <w:ilvl w:val="0"/>
          <w:numId w:val="2"/>
        </w:numPr>
        <w:spacing w:after="80" w:line="276" w:lineRule="auto"/>
      </w:pPr>
      <w:r>
        <w:rPr>
          <w:sz w:val="22"/>
          <w:szCs w:val="22"/>
        </w:rPr>
        <w:t>Trend</w:t>
      </w:r>
    </w:p>
    <w:p w14:paraId="7B5B4B55">
      <w:pPr>
        <w:spacing w:after="160" w:line="288" w:lineRule="auto"/>
      </w:pPr>
      <w:r>
        <w:rPr>
          <w:b w:val="0"/>
          <w:bCs w:val="0"/>
          <w:i w:val="0"/>
          <w:iCs w:val="0"/>
          <w:sz w:val="22"/>
          <w:szCs w:val="22"/>
        </w:rPr>
        <w:t>ICT's framework uses Fibonacci retracement levels to describe how deep a pullback is likely to go before resuming (Module 7), and uses Order Blocks and Fair Value Gaps to describe specific price zones within the retracement where the reversal back in the trend direction is expected to originate.</w:t>
      </w:r>
    </w:p>
    <w:p w14:paraId="230FCAFA">
      <w:pPr>
        <w:pStyle w:val="3"/>
        <w:spacing w:before="360" w:after="160"/>
      </w:pPr>
      <w:r>
        <w:rPr>
          <w:b/>
          <w:bCs/>
          <w:color w:val="1B2A4A"/>
          <w:sz w:val="26"/>
          <w:szCs w:val="26"/>
        </w:rPr>
        <w:t>8. Where It Fits in the ICT Framework</w:t>
      </w:r>
    </w:p>
    <w:p w14:paraId="47C568A6">
      <w:pPr>
        <w:spacing w:after="160" w:line="288" w:lineRule="auto"/>
      </w:pPr>
      <w:r>
        <w:rPr>
          <w:b w:val="0"/>
          <w:bCs w:val="0"/>
          <w:i w:val="0"/>
          <w:iCs w:val="0"/>
          <w:sz w:val="22"/>
          <w:szCs w:val="22"/>
        </w:rPr>
        <w:t>Comes before: Requires Trend.</w:t>
      </w:r>
    </w:p>
    <w:p w14:paraId="15E42D92">
      <w:pPr>
        <w:spacing w:after="160" w:line="288" w:lineRule="auto"/>
      </w:pPr>
      <w:r>
        <w:rPr>
          <w:b w:val="0"/>
          <w:bCs w:val="0"/>
          <w:i w:val="0"/>
          <w:iCs w:val="0"/>
          <w:sz w:val="22"/>
          <w:szCs w:val="22"/>
        </w:rPr>
        <w:t>Comes after: Feeds into Fibonacci/OTE (Module 7) and, combined with liquidity and displacement concepts, into the ICT Buy/Sell Models (Modules 11–12).</w:t>
      </w:r>
    </w:p>
    <w:p w14:paraId="7F15FB8E">
      <w:pPr>
        <w:pStyle w:val="3"/>
        <w:spacing w:before="360" w:after="160"/>
      </w:pPr>
      <w:r>
        <w:rPr>
          <w:b/>
          <w:bCs/>
          <w:color w:val="1B2A4A"/>
          <w:sz w:val="26"/>
          <w:szCs w:val="26"/>
        </w:rPr>
        <w:t>9. Beginner Mistakes</w:t>
      </w:r>
    </w:p>
    <w:p w14:paraId="7043687B">
      <w:pPr>
        <w:pStyle w:val="16"/>
        <w:numPr>
          <w:ilvl w:val="0"/>
          <w:numId w:val="2"/>
        </w:numPr>
        <w:spacing w:after="80" w:line="276" w:lineRule="auto"/>
      </w:pPr>
      <w:r>
        <w:rPr>
          <w:sz w:val="22"/>
          <w:szCs w:val="22"/>
        </w:rPr>
        <w:t>Entering a trade the instant a retracement begins, without waiting for confirmation that it is a retracement rather than a reversal.</w:t>
      </w:r>
    </w:p>
    <w:p w14:paraId="6DA86A78">
      <w:pPr>
        <w:pStyle w:val="16"/>
        <w:numPr>
          <w:ilvl w:val="0"/>
          <w:numId w:val="2"/>
        </w:numPr>
        <w:spacing w:after="80" w:line="276" w:lineRule="auto"/>
      </w:pPr>
      <w:r>
        <w:rPr>
          <w:sz w:val="22"/>
          <w:szCs w:val="22"/>
        </w:rPr>
        <w:t>Assuming every retracement will reach a specific, fixed percentage of the prior move.</w:t>
      </w:r>
    </w:p>
    <w:p w14:paraId="743A5962">
      <w:pPr>
        <w:pStyle w:val="3"/>
        <w:spacing w:before="360" w:after="160"/>
      </w:pPr>
      <w:r>
        <w:rPr>
          <w:b/>
          <w:bCs/>
          <w:color w:val="1B2A4A"/>
          <w:sz w:val="26"/>
          <w:szCs w:val="26"/>
        </w:rPr>
        <w:t>10. Important Qualification</w:t>
      </w:r>
    </w:p>
    <w:p w14:paraId="25735255">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 retracement is only confirmed as a retracement in hindsight, once the trend resumes. While it is happening, it cannot be distinguished with certainty from the start of a genuine reversal — this is why ICT's framework pairs retracement analysis with structure, liquidity, and displacement concepts rather than treating a pullback alone as a signal.</w:t>
      </w:r>
    </w:p>
    <w:p w14:paraId="1EB5FB59">
      <w:pPr>
        <w:pStyle w:val="3"/>
        <w:spacing w:before="360" w:after="160"/>
      </w:pPr>
      <w:r>
        <w:rPr>
          <w:b/>
          <w:bCs/>
          <w:color w:val="1B2A4A"/>
          <w:sz w:val="26"/>
          <w:szCs w:val="26"/>
        </w:rPr>
        <w:t>11. Source</w:t>
      </w:r>
    </w:p>
    <w:p w14:paraId="6B892AB0"/>
    <w:p w14:paraId="532C5E79">
      <w:pPr>
        <w:pStyle w:val="16"/>
        <w:numPr>
          <w:ilvl w:val="0"/>
          <w:numId w:val="2"/>
        </w:numPr>
        <w:spacing w:after="80" w:line="276" w:lineRule="auto"/>
      </w:pPr>
      <w:r>
        <w:rPr>
          <w:sz w:val="22"/>
          <w:szCs w:val="22"/>
        </w:rPr>
        <w:t>General ICT price-delivery framing corroborated across litefinance.org and chartinglens.com ICT strategy guides.</w:t>
      </w:r>
    </w:p>
    <w:p w14:paraId="70EA0EEF">
      <w:pPr>
        <w:pBdr>
          <w:left w:val="single" w:color="9A7B2E" w:sz="24" w:space="8"/>
        </w:pBdr>
        <w:shd w:val="clear" w:fill="EFEFEF"/>
        <w:spacing w:before="160" w:after="200"/>
        <w:ind w:left="200"/>
      </w:pPr>
      <w:r>
        <w:rPr>
          <w:b/>
          <w:bCs/>
          <w:color w:val="9A7B2E"/>
          <w:sz w:val="21"/>
          <w:szCs w:val="21"/>
        </w:rPr>
        <w:t xml:space="preserve">Community interpretation: </w:t>
      </w:r>
      <w:r>
        <w:rPr>
          <w:sz w:val="21"/>
          <w:szCs w:val="21"/>
        </w:rPr>
        <w:t>ICT's own specific terminology for "retracement" as a standalone named concept (versus discussing it only in the context of Fibonacci/OTE) was not directly verifiable from primary transcripts in this research pass; the general definition is standard within ICT-adjacent teaching and is treated as reliable, labeled here as inferred/corroborated rather than a directly quoted ICT definition.</w:t>
      </w:r>
    </w:p>
    <w:p w14:paraId="6F0D6A47">
      <w:r>
        <w:br w:type="page"/>
      </w:r>
    </w:p>
    <w:p w14:paraId="66A4427B">
      <w:pPr>
        <w:pStyle w:val="2"/>
        <w:pBdr>
          <w:bottom w:val="single" w:color="1B2A4A" w:sz="12" w:space="4"/>
        </w:pBdr>
        <w:spacing w:before="480" w:after="240"/>
      </w:pPr>
      <w:r>
        <w:rPr>
          <w:b/>
          <w:bCs/>
          <w:color w:val="1B2A4A"/>
          <w:sz w:val="34"/>
          <w:szCs w:val="34"/>
        </w:rPr>
        <w:t>Key Support Levels</w:t>
      </w:r>
    </w:p>
    <w:p w14:paraId="05BD8690">
      <w:pPr>
        <w:pStyle w:val="3"/>
        <w:spacing w:before="360" w:after="160"/>
      </w:pPr>
      <w:r>
        <w:rPr>
          <w:b/>
          <w:bCs/>
          <w:color w:val="1B2A4A"/>
          <w:sz w:val="26"/>
          <w:szCs w:val="26"/>
        </w:rPr>
        <w:t>1. Definition</w:t>
      </w:r>
    </w:p>
    <w:p w14:paraId="1750F8BB">
      <w:pPr>
        <w:spacing w:after="160" w:line="288" w:lineRule="auto"/>
      </w:pPr>
      <w:r>
        <w:rPr>
          <w:b w:val="0"/>
          <w:bCs w:val="0"/>
          <w:i w:val="0"/>
          <w:iCs w:val="0"/>
          <w:sz w:val="22"/>
          <w:szCs w:val="22"/>
        </w:rPr>
        <w:t>A key support level is a price area where prior demand was strong enough to stop or reverse a decline, typically marked by an old swing low, and which price is expected to react to again if revisited.</w:t>
      </w:r>
    </w:p>
    <w:p w14:paraId="30B47581">
      <w:pPr>
        <w:pStyle w:val="3"/>
        <w:spacing w:before="360" w:after="160"/>
      </w:pPr>
      <w:r>
        <w:rPr>
          <w:b/>
          <w:bCs/>
          <w:color w:val="1B2A4A"/>
          <w:sz w:val="26"/>
          <w:szCs w:val="26"/>
        </w:rPr>
        <w:t>2. ICT's Meaning</w:t>
      </w:r>
    </w:p>
    <w:p w14:paraId="3CB7E446">
      <w:pPr>
        <w:spacing w:after="160" w:line="288" w:lineRule="auto"/>
      </w:pPr>
      <w:r>
        <w:rPr>
          <w:b w:val="0"/>
          <w:bCs w:val="0"/>
          <w:i w:val="0"/>
          <w:iCs w:val="0"/>
          <w:sz w:val="22"/>
          <w:szCs w:val="22"/>
        </w:rPr>
        <w:t>ICT-focused teaching frames support and resistance less as abstract lines that magically hold and more as concrete evidence of resting liquidity and unfilled institutional interest. An old low is a key support level partly because of ordinary supply-and-demand behavior, and partly because ICT teaches that sell-stop orders and unfilled buy orders cluster below and around old lows, which affects how price behaves when it returns there.</w:t>
      </w:r>
    </w:p>
    <w:p w14:paraId="1DF31EBF">
      <w:pPr>
        <w:spacing w:after="160" w:line="288" w:lineRule="auto"/>
      </w:pPr>
      <w:r>
        <w:rPr>
          <w:b w:val="0"/>
          <w:bCs w:val="0"/>
          <w:i w:val="0"/>
          <w:iCs w:val="0"/>
          <w:sz w:val="22"/>
          <w:szCs w:val="22"/>
        </w:rPr>
        <w:t>ICT's broader "key levels" framework (documented in ICT-focused trading tools and tutorials) extends the idea of support beyond just old swing lows to include prior day/week/month lows, session lows, and the lower boundary of an equilibrium range — all treated as reference points price is likely to react to or seek out.</w:t>
      </w:r>
    </w:p>
    <w:p w14:paraId="5E9B6F9E">
      <w:pPr>
        <w:pStyle w:val="3"/>
        <w:spacing w:before="360" w:after="160"/>
      </w:pPr>
      <w:r>
        <w:rPr>
          <w:b/>
          <w:bCs/>
          <w:color w:val="1B2A4A"/>
          <w:sz w:val="26"/>
          <w:szCs w:val="26"/>
        </w:rPr>
        <w:t>3. Beginner Explanation</w:t>
      </w:r>
    </w:p>
    <w:p w14:paraId="10BEECCB">
      <w:pPr>
        <w:spacing w:after="160" w:line="288" w:lineRule="auto"/>
      </w:pPr>
      <w:r>
        <w:rPr>
          <w:b w:val="0"/>
          <w:bCs w:val="0"/>
          <w:i w:val="0"/>
          <w:iCs w:val="0"/>
          <w:sz w:val="22"/>
          <w:szCs w:val="22"/>
        </w:rPr>
        <w:t>A key support level is a price zone where, historically, buyers have stepped in and stopped price from falling further. Think of it as a floor that has held up weight before — traders watch it because it has proven itself relevant at least once already.</w:t>
      </w:r>
    </w:p>
    <w:p w14:paraId="63EE20CC">
      <w:pPr>
        <w:pStyle w:val="3"/>
        <w:spacing w:before="360" w:after="160"/>
      </w:pPr>
      <w:r>
        <w:rPr>
          <w:b/>
          <w:bCs/>
          <w:color w:val="1B2A4A"/>
          <w:sz w:val="26"/>
          <w:szCs w:val="26"/>
        </w:rPr>
        <w:t>4. How to Identify It</w:t>
      </w:r>
    </w:p>
    <w:p w14:paraId="57655134">
      <w:pPr>
        <w:pStyle w:val="16"/>
        <w:numPr>
          <w:ilvl w:val="0"/>
          <w:numId w:val="1"/>
        </w:numPr>
        <w:spacing w:after="80" w:line="276" w:lineRule="auto"/>
      </w:pPr>
      <w:r>
        <w:rPr>
          <w:sz w:val="22"/>
          <w:szCs w:val="22"/>
        </w:rPr>
        <w:t>Locate a confirmed swing low, prior day/week/month low, or session low on the chart.</w:t>
      </w:r>
    </w:p>
    <w:p w14:paraId="0414E105">
      <w:pPr>
        <w:pStyle w:val="16"/>
        <w:numPr>
          <w:ilvl w:val="0"/>
          <w:numId w:val="1"/>
        </w:numPr>
        <w:spacing w:after="80" w:line="276" w:lineRule="auto"/>
      </w:pPr>
      <w:r>
        <w:rPr>
          <w:sz w:val="22"/>
          <w:szCs w:val="22"/>
        </w:rPr>
        <w:t>Mark the exact price of that low as a reference level.</w:t>
      </w:r>
    </w:p>
    <w:p w14:paraId="6DA8BC9D">
      <w:pPr>
        <w:pStyle w:val="16"/>
        <w:numPr>
          <w:ilvl w:val="0"/>
          <w:numId w:val="1"/>
        </w:numPr>
        <w:spacing w:after="80" w:line="276" w:lineRule="auto"/>
      </w:pPr>
      <w:r>
        <w:rPr>
          <w:sz w:val="22"/>
          <w:szCs w:val="22"/>
        </w:rPr>
        <w:t>Note whether price has reacted (bounced) from that specific price area more than once — repeated reactions increase, but do not guarantee, its significance.</w:t>
      </w:r>
    </w:p>
    <w:p w14:paraId="7241B5BF">
      <w:pPr>
        <w:pStyle w:val="16"/>
        <w:numPr>
          <w:ilvl w:val="0"/>
          <w:numId w:val="1"/>
        </w:numPr>
        <w:spacing w:after="80" w:line="276" w:lineRule="auto"/>
      </w:pPr>
      <w:r>
        <w:rPr>
          <w:sz w:val="22"/>
          <w:szCs w:val="22"/>
        </w:rPr>
        <w:t>Watch how price behaves when it returns to that level in the future: a clean reaction, a sweep-and-reverse, or a break through it are all different outcomes covered later in Modules 4–6.</w:t>
      </w:r>
    </w:p>
    <w:p w14:paraId="1C6414B0">
      <w:pPr>
        <w:pStyle w:val="3"/>
        <w:spacing w:before="360" w:after="160"/>
      </w:pPr>
      <w:r>
        <w:rPr>
          <w:b/>
          <w:bCs/>
          <w:color w:val="1B2A4A"/>
          <w:sz w:val="26"/>
          <w:szCs w:val="26"/>
        </w:rPr>
        <w:t>5. Simple Price Example</w:t>
      </w:r>
    </w:p>
    <w:p w14:paraId="172CF304">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100 → 95 → 102 → 96 → 108</w:t>
      </w:r>
    </w:p>
    <w:p w14:paraId="139829DA">
      <w:pPr>
        <w:spacing w:after="160" w:line="288" w:lineRule="auto"/>
      </w:pPr>
      <w:r>
        <w:rPr>
          <w:b w:val="0"/>
          <w:bCs w:val="0"/>
          <w:i w:val="0"/>
          <w:iCs w:val="0"/>
          <w:sz w:val="22"/>
          <w:szCs w:val="22"/>
        </w:rPr>
        <w:t>Price first drops to 95 and bounces (first test of support at 95).</w:t>
      </w:r>
    </w:p>
    <w:p w14:paraId="64FE1B9B">
      <w:pPr>
        <w:spacing w:after="160" w:line="288" w:lineRule="auto"/>
      </w:pPr>
      <w:r>
        <w:rPr>
          <w:b w:val="0"/>
          <w:bCs w:val="0"/>
          <w:i w:val="0"/>
          <w:iCs w:val="0"/>
          <w:sz w:val="22"/>
          <w:szCs w:val="22"/>
        </w:rPr>
        <w:t>Price later drops again to 96 — close to, but not exactly at, 95 — and bounces again toward 108.</w:t>
      </w:r>
    </w:p>
    <w:p w14:paraId="16E9379A">
      <w:pPr>
        <w:spacing w:after="160" w:line="288" w:lineRule="auto"/>
      </w:pPr>
      <w:r>
        <w:rPr>
          <w:b w:val="0"/>
          <w:bCs w:val="0"/>
          <w:i w:val="0"/>
          <w:iCs w:val="0"/>
          <w:sz w:val="22"/>
          <w:szCs w:val="22"/>
        </w:rPr>
        <w:t>The 95–96 zone has now reacted twice, which is why a trader following this method would mark it as a key support area worth continuing to watch.</w:t>
      </w:r>
    </w:p>
    <w:p w14:paraId="64050D1E">
      <w:pPr>
        <w:pStyle w:val="3"/>
        <w:spacing w:before="360" w:after="160"/>
      </w:pPr>
      <w:r>
        <w:rPr>
          <w:b/>
          <w:bCs/>
          <w:color w:val="1B2A4A"/>
          <w:sz w:val="26"/>
          <w:szCs w:val="26"/>
        </w:rPr>
        <w:t>6. What It Tells the Trader</w:t>
      </w:r>
    </w:p>
    <w:p w14:paraId="07967ACA">
      <w:pPr>
        <w:spacing w:after="160" w:line="288" w:lineRule="auto"/>
      </w:pPr>
      <w:r>
        <w:rPr>
          <w:b w:val="0"/>
          <w:bCs w:val="0"/>
          <w:i w:val="0"/>
          <w:iCs w:val="0"/>
          <w:sz w:val="22"/>
          <w:szCs w:val="22"/>
        </w:rPr>
        <w:t>A key support level tells the trader a price zone where downward moves have previously been rejected — useful context for anticipating where a decline might slow down or reverse.</w:t>
      </w:r>
    </w:p>
    <w:p w14:paraId="04753818">
      <w:pPr>
        <w:spacing w:after="160" w:line="288" w:lineRule="auto"/>
      </w:pPr>
      <w:r>
        <w:rPr>
          <w:b w:val="0"/>
          <w:bCs w:val="0"/>
          <w:i w:val="0"/>
          <w:iCs w:val="0"/>
          <w:sz w:val="22"/>
          <w:szCs w:val="22"/>
        </w:rPr>
        <w:t>It does not tell the trader that the level will hold the next time price reaches it. Support levels are eventually broken; ICT's framework treats an old low as more likely to attract price (as a liquidity target) than to be an unbreakable floor forever.</w:t>
      </w:r>
    </w:p>
    <w:p w14:paraId="72897C69">
      <w:pPr>
        <w:pStyle w:val="3"/>
        <w:spacing w:before="360" w:after="160"/>
      </w:pPr>
      <w:r>
        <w:rPr>
          <w:b/>
          <w:bCs/>
          <w:color w:val="1B2A4A"/>
          <w:sz w:val="26"/>
          <w:szCs w:val="26"/>
        </w:rPr>
        <w:t>7. What It Is Commonly Paired With</w:t>
      </w:r>
    </w:p>
    <w:p w14:paraId="75E5C7B7">
      <w:pPr>
        <w:pStyle w:val="16"/>
        <w:numPr>
          <w:ilvl w:val="0"/>
          <w:numId w:val="2"/>
        </w:numPr>
        <w:spacing w:after="80" w:line="276" w:lineRule="auto"/>
      </w:pPr>
      <w:r>
        <w:rPr>
          <w:sz w:val="22"/>
          <w:szCs w:val="22"/>
        </w:rPr>
        <w:t>Sell-side liquidity</w:t>
      </w:r>
    </w:p>
    <w:p w14:paraId="17ADD01C">
      <w:pPr>
        <w:pStyle w:val="16"/>
        <w:numPr>
          <w:ilvl w:val="0"/>
          <w:numId w:val="2"/>
        </w:numPr>
        <w:spacing w:after="80" w:line="276" w:lineRule="auto"/>
      </w:pPr>
      <w:r>
        <w:rPr>
          <w:sz w:val="22"/>
          <w:szCs w:val="22"/>
        </w:rPr>
        <w:t>Order Block</w:t>
      </w:r>
    </w:p>
    <w:p w14:paraId="5A5040BF">
      <w:pPr>
        <w:pStyle w:val="16"/>
        <w:numPr>
          <w:ilvl w:val="0"/>
          <w:numId w:val="2"/>
        </w:numPr>
        <w:spacing w:after="80" w:line="276" w:lineRule="auto"/>
      </w:pPr>
      <w:r>
        <w:rPr>
          <w:sz w:val="22"/>
          <w:szCs w:val="22"/>
        </w:rPr>
        <w:t>Fair Value Gap</w:t>
      </w:r>
    </w:p>
    <w:p w14:paraId="2EE1A835">
      <w:pPr>
        <w:spacing w:after="160" w:line="288" w:lineRule="auto"/>
      </w:pPr>
      <w:r>
        <w:rPr>
          <w:b w:val="0"/>
          <w:bCs w:val="0"/>
          <w:i w:val="0"/>
          <w:iCs w:val="0"/>
          <w:sz w:val="22"/>
          <w:szCs w:val="22"/>
        </w:rPr>
        <w:t>In ICT's framework, an old support level is frequently discussed together with sell-side liquidity, because resting sell-stop orders below the level are exactly what may cause price to dip beneath it briefly (a liquidity sweep) before reversing — see Module 4.</w:t>
      </w:r>
    </w:p>
    <w:p w14:paraId="485D8EE0">
      <w:pPr>
        <w:pStyle w:val="3"/>
        <w:spacing w:before="360" w:after="160"/>
      </w:pPr>
      <w:r>
        <w:rPr>
          <w:b/>
          <w:bCs/>
          <w:color w:val="1B2A4A"/>
          <w:sz w:val="26"/>
          <w:szCs w:val="26"/>
        </w:rPr>
        <w:t>8. Where It Fits in the ICT Framework</w:t>
      </w:r>
    </w:p>
    <w:p w14:paraId="7031DC02">
      <w:pPr>
        <w:spacing w:after="160" w:line="288" w:lineRule="auto"/>
      </w:pPr>
      <w:r>
        <w:rPr>
          <w:b w:val="0"/>
          <w:bCs w:val="0"/>
          <w:i w:val="0"/>
          <w:iCs w:val="0"/>
          <w:sz w:val="22"/>
          <w:szCs w:val="22"/>
        </w:rPr>
        <w:t>Comes before: Requires Swing Low.</w:t>
      </w:r>
    </w:p>
    <w:p w14:paraId="3BAD2FC8">
      <w:pPr>
        <w:spacing w:after="160" w:line="288" w:lineRule="auto"/>
      </w:pPr>
      <w:r>
        <w:rPr>
          <w:b w:val="0"/>
          <w:bCs w:val="0"/>
          <w:i w:val="0"/>
          <w:iCs w:val="0"/>
          <w:sz w:val="22"/>
          <w:szCs w:val="22"/>
        </w:rPr>
        <w:t>Comes after: Feeds into Liquidity (Module 4) and PD Arrays (Module 6), where the same zone is analyzed for Order Blocks and Fair Value Gaps.</w:t>
      </w:r>
    </w:p>
    <w:p w14:paraId="43FF5F1B">
      <w:pPr>
        <w:pStyle w:val="3"/>
        <w:spacing w:before="360" w:after="160"/>
      </w:pPr>
      <w:r>
        <w:rPr>
          <w:b/>
          <w:bCs/>
          <w:color w:val="1B2A4A"/>
          <w:sz w:val="26"/>
          <w:szCs w:val="26"/>
        </w:rPr>
        <w:t>9. Beginner Mistakes</w:t>
      </w:r>
    </w:p>
    <w:p w14:paraId="0336F6F8">
      <w:pPr>
        <w:pStyle w:val="16"/>
        <w:numPr>
          <w:ilvl w:val="0"/>
          <w:numId w:val="2"/>
        </w:numPr>
        <w:spacing w:after="80" w:line="276" w:lineRule="auto"/>
      </w:pPr>
      <w:r>
        <w:rPr>
          <w:sz w:val="22"/>
          <w:szCs w:val="22"/>
        </w:rPr>
        <w:t>Treating support as a precise single price rather than a zone.</w:t>
      </w:r>
    </w:p>
    <w:p w14:paraId="47D1166A">
      <w:pPr>
        <w:pStyle w:val="16"/>
        <w:numPr>
          <w:ilvl w:val="0"/>
          <w:numId w:val="2"/>
        </w:numPr>
        <w:spacing w:after="80" w:line="276" w:lineRule="auto"/>
      </w:pPr>
      <w:r>
        <w:rPr>
          <w:sz w:val="22"/>
          <w:szCs w:val="22"/>
        </w:rPr>
        <w:t>Assuming support will always hold, rather than recognizing it may first be swept for liquidity before reversing, or broken outright.</w:t>
      </w:r>
    </w:p>
    <w:p w14:paraId="255E3BE5">
      <w:pPr>
        <w:pStyle w:val="16"/>
        <w:numPr>
          <w:ilvl w:val="0"/>
          <w:numId w:val="2"/>
        </w:numPr>
        <w:spacing w:after="80" w:line="276" w:lineRule="auto"/>
      </w:pPr>
      <w:r>
        <w:rPr>
          <w:sz w:val="22"/>
          <w:szCs w:val="22"/>
        </w:rPr>
        <w:t>Drawing support levels on every minor wick instead of focusing on levels with real structural or liquidity significance.</w:t>
      </w:r>
    </w:p>
    <w:p w14:paraId="015DF39B">
      <w:pPr>
        <w:pStyle w:val="3"/>
        <w:spacing w:before="360" w:after="160"/>
      </w:pPr>
      <w:r>
        <w:rPr>
          <w:b/>
          <w:bCs/>
          <w:color w:val="1B2A4A"/>
          <w:sz w:val="26"/>
          <w:szCs w:val="26"/>
        </w:rPr>
        <w:t>10. Important Qualification</w:t>
      </w:r>
    </w:p>
    <w:p w14:paraId="665BCEE6">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 key support level describes historical price behavior, not a guarantee of future behavior. Within ICT's framework specifically, an old low is as likely to be treated as a magnet for a liquidity sweep as it is to be a level that holds cleanly — this distinction is resolved using the liquidity and displacement concepts in Modules 4 and 5, not by the support level alone.</w:t>
      </w:r>
    </w:p>
    <w:p w14:paraId="13C581D8">
      <w:pPr>
        <w:pStyle w:val="3"/>
        <w:spacing w:before="360" w:after="160"/>
      </w:pPr>
      <w:r>
        <w:rPr>
          <w:b/>
          <w:bCs/>
          <w:color w:val="1B2A4A"/>
          <w:sz w:val="26"/>
          <w:szCs w:val="26"/>
        </w:rPr>
        <w:t>11. Source</w:t>
      </w:r>
    </w:p>
    <w:p w14:paraId="1188D8CF"/>
    <w:p w14:paraId="5DE63052">
      <w:pPr>
        <w:pStyle w:val="16"/>
        <w:numPr>
          <w:ilvl w:val="0"/>
          <w:numId w:val="2"/>
        </w:numPr>
        <w:spacing w:after="80" w:line="276" w:lineRule="auto"/>
      </w:pPr>
      <w:r>
        <w:rPr>
          <w:sz w:val="22"/>
          <w:szCs w:val="22"/>
        </w:rPr>
        <w:t>chartinglens.com — "Support and Resistance Levels: Complete Trading Guide" (general S&amp;R framing, explicitly connected to smart-money/institutional order-flow concepts).</w:t>
      </w:r>
    </w:p>
    <w:p w14:paraId="650897EE">
      <w:pPr>
        <w:pStyle w:val="16"/>
        <w:numPr>
          <w:ilvl w:val="0"/>
          <w:numId w:val="2"/>
        </w:numPr>
        <w:spacing w:after="80" w:line="276" w:lineRule="auto"/>
      </w:pPr>
      <w:r>
        <w:rPr>
          <w:sz w:val="22"/>
          <w:szCs w:val="22"/>
        </w:rPr>
        <w:t>TradingView ICT key-level tool documentation ("ict key level Pro++", "Key Levels ICT") — corroborates ICT's use of prior day/week/month highs and lows as key reference levels.</w:t>
      </w:r>
    </w:p>
    <w:p w14:paraId="04BF92AD">
      <w:pPr>
        <w:pBdr>
          <w:left w:val="single" w:color="9A7B2E" w:sz="24" w:space="8"/>
        </w:pBdr>
        <w:shd w:val="clear" w:fill="EFEFEF"/>
        <w:spacing w:before="160" w:after="200"/>
        <w:ind w:left="200"/>
      </w:pPr>
      <w:r>
        <w:rPr>
          <w:b/>
          <w:bCs/>
          <w:color w:val="9A7B2E"/>
          <w:sz w:val="21"/>
          <w:szCs w:val="21"/>
        </w:rPr>
        <w:t xml:space="preserve">Community interpretation: </w:t>
      </w:r>
      <w:r>
        <w:rPr>
          <w:sz w:val="21"/>
          <w:szCs w:val="21"/>
        </w:rPr>
        <w:t>The specific tooling/indicator descriptions cited here are community-built implementations of ICT's key-level concept, not ICT's own primary material; they are used only to corroborate which levels ICT-style traders treat as key (prior day/week/month highs and lows, session highs/lows, equilibrium), which is consistent with ICT's own liquidity teaching.</w:t>
      </w:r>
    </w:p>
    <w:p w14:paraId="2830C67E">
      <w:r>
        <w:br w:type="page"/>
      </w:r>
    </w:p>
    <w:p w14:paraId="6984D256">
      <w:pPr>
        <w:pStyle w:val="2"/>
        <w:pBdr>
          <w:bottom w:val="single" w:color="1B2A4A" w:sz="12" w:space="4"/>
        </w:pBdr>
        <w:spacing w:before="480" w:after="240"/>
      </w:pPr>
      <w:r>
        <w:rPr>
          <w:b/>
          <w:bCs/>
          <w:color w:val="1B2A4A"/>
          <w:sz w:val="34"/>
          <w:szCs w:val="34"/>
        </w:rPr>
        <w:t>Key Resistance Levels</w:t>
      </w:r>
    </w:p>
    <w:p w14:paraId="0FEBE4F4">
      <w:pPr>
        <w:pStyle w:val="3"/>
        <w:spacing w:before="360" w:after="160"/>
      </w:pPr>
      <w:r>
        <w:rPr>
          <w:b/>
          <w:bCs/>
          <w:color w:val="1B2A4A"/>
          <w:sz w:val="26"/>
          <w:szCs w:val="26"/>
        </w:rPr>
        <w:t>1. Definition</w:t>
      </w:r>
    </w:p>
    <w:p w14:paraId="1C8C32B5">
      <w:pPr>
        <w:spacing w:after="160" w:line="288" w:lineRule="auto"/>
      </w:pPr>
      <w:r>
        <w:rPr>
          <w:b w:val="0"/>
          <w:bCs w:val="0"/>
          <w:i w:val="0"/>
          <w:iCs w:val="0"/>
          <w:sz w:val="22"/>
          <w:szCs w:val="22"/>
        </w:rPr>
        <w:t>A key resistance level is a price area where prior selling pressure was strong enough to stop or reverse a rally, typically marked by an old swing high, and which price is expected to react to again if revisited.</w:t>
      </w:r>
    </w:p>
    <w:p w14:paraId="4A9E06AE">
      <w:pPr>
        <w:pStyle w:val="3"/>
        <w:spacing w:before="360" w:after="160"/>
      </w:pPr>
      <w:r>
        <w:rPr>
          <w:b/>
          <w:bCs/>
          <w:color w:val="1B2A4A"/>
          <w:sz w:val="26"/>
          <w:szCs w:val="26"/>
        </w:rPr>
        <w:t>2. ICT's Meaning</w:t>
      </w:r>
    </w:p>
    <w:p w14:paraId="2AA1EB94">
      <w:pPr>
        <w:spacing w:after="160" w:line="288" w:lineRule="auto"/>
      </w:pPr>
      <w:r>
        <w:rPr>
          <w:b w:val="0"/>
          <w:bCs w:val="0"/>
          <w:i w:val="0"/>
          <w:iCs w:val="0"/>
          <w:sz w:val="22"/>
          <w:szCs w:val="22"/>
        </w:rPr>
        <w:t>The mirror of key support. ICT-focused teaching treats an old high as significant partly because of ordinary supply-and-demand behavior and partly because buy-stop orders and unfilled sell orders are understood to cluster above and around old highs — directly relevant to ICT's liquidity framework (Module 4).</w:t>
      </w:r>
    </w:p>
    <w:p w14:paraId="61A17987">
      <w:pPr>
        <w:spacing w:after="160" w:line="288" w:lineRule="auto"/>
      </w:pPr>
      <w:r>
        <w:rPr>
          <w:b w:val="0"/>
          <w:bCs w:val="0"/>
          <w:i w:val="0"/>
          <w:iCs w:val="0"/>
          <w:sz w:val="22"/>
          <w:szCs w:val="22"/>
        </w:rPr>
        <w:t>As with support, ICT's key-levels framework extends resistance beyond simple swing highs to include prior day/week/month highs, session highs, and the upper boundary of an equilibrium range.</w:t>
      </w:r>
    </w:p>
    <w:p w14:paraId="7399843B">
      <w:pPr>
        <w:pStyle w:val="3"/>
        <w:spacing w:before="360" w:after="160"/>
      </w:pPr>
      <w:r>
        <w:rPr>
          <w:b/>
          <w:bCs/>
          <w:color w:val="1B2A4A"/>
          <w:sz w:val="26"/>
          <w:szCs w:val="26"/>
        </w:rPr>
        <w:t>3. Beginner Explanation</w:t>
      </w:r>
    </w:p>
    <w:p w14:paraId="3B93B50D">
      <w:pPr>
        <w:spacing w:after="160" w:line="288" w:lineRule="auto"/>
      </w:pPr>
      <w:r>
        <w:rPr>
          <w:b w:val="0"/>
          <w:bCs w:val="0"/>
          <w:i w:val="0"/>
          <w:iCs w:val="0"/>
          <w:sz w:val="22"/>
          <w:szCs w:val="22"/>
        </w:rPr>
        <w:t>A key resistance level is a price zone where, historically, sellers have stepped in and stopped price from rising further. It's a ceiling that has held before, which is why traders keep an eye on it.</w:t>
      </w:r>
    </w:p>
    <w:p w14:paraId="50177FDE">
      <w:pPr>
        <w:pStyle w:val="3"/>
        <w:spacing w:before="360" w:after="160"/>
      </w:pPr>
      <w:r>
        <w:rPr>
          <w:b/>
          <w:bCs/>
          <w:color w:val="1B2A4A"/>
          <w:sz w:val="26"/>
          <w:szCs w:val="26"/>
        </w:rPr>
        <w:t>4. How to Identify It</w:t>
      </w:r>
    </w:p>
    <w:p w14:paraId="4527EE34">
      <w:pPr>
        <w:pStyle w:val="16"/>
        <w:numPr>
          <w:ilvl w:val="0"/>
          <w:numId w:val="1"/>
        </w:numPr>
        <w:spacing w:after="80" w:line="276" w:lineRule="auto"/>
      </w:pPr>
      <w:r>
        <w:rPr>
          <w:sz w:val="22"/>
          <w:szCs w:val="22"/>
        </w:rPr>
        <w:t>Locate a confirmed swing high, prior day/week/month high, or session high on the chart.</w:t>
      </w:r>
    </w:p>
    <w:p w14:paraId="16E3E1EB">
      <w:pPr>
        <w:pStyle w:val="16"/>
        <w:numPr>
          <w:ilvl w:val="0"/>
          <w:numId w:val="1"/>
        </w:numPr>
        <w:spacing w:after="80" w:line="276" w:lineRule="auto"/>
      </w:pPr>
      <w:r>
        <w:rPr>
          <w:sz w:val="22"/>
          <w:szCs w:val="22"/>
        </w:rPr>
        <w:t>Mark the exact price of that high as a reference level.</w:t>
      </w:r>
    </w:p>
    <w:p w14:paraId="47D6EBFF">
      <w:pPr>
        <w:pStyle w:val="16"/>
        <w:numPr>
          <w:ilvl w:val="0"/>
          <w:numId w:val="1"/>
        </w:numPr>
        <w:spacing w:after="80" w:line="276" w:lineRule="auto"/>
      </w:pPr>
      <w:r>
        <w:rPr>
          <w:sz w:val="22"/>
          <w:szCs w:val="22"/>
        </w:rPr>
        <w:t>Note whether price has reacted (turned down) from that specific area more than once.</w:t>
      </w:r>
    </w:p>
    <w:p w14:paraId="3324E138">
      <w:pPr>
        <w:pStyle w:val="16"/>
        <w:numPr>
          <w:ilvl w:val="0"/>
          <w:numId w:val="1"/>
        </w:numPr>
        <w:spacing w:after="80" w:line="276" w:lineRule="auto"/>
      </w:pPr>
      <w:r>
        <w:rPr>
          <w:sz w:val="22"/>
          <w:szCs w:val="22"/>
        </w:rPr>
        <w:t>Watch how price behaves on a future return to that level — a clean rejection, a sweep-and-reverse, or a break through are all different outcomes explored in Modules 4–6.</w:t>
      </w:r>
    </w:p>
    <w:p w14:paraId="0F4D97CA">
      <w:pPr>
        <w:pStyle w:val="3"/>
        <w:spacing w:before="360" w:after="160"/>
      </w:pPr>
      <w:r>
        <w:rPr>
          <w:b/>
          <w:bCs/>
          <w:color w:val="1B2A4A"/>
          <w:sz w:val="26"/>
          <w:szCs w:val="26"/>
        </w:rPr>
        <w:t>5. Simple Price Example</w:t>
      </w:r>
    </w:p>
    <w:p w14:paraId="62F82B35">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100 → 108 → 103 → 107 → 96</w:t>
      </w:r>
    </w:p>
    <w:p w14:paraId="217C7ED1">
      <w:pPr>
        <w:spacing w:after="160" w:line="288" w:lineRule="auto"/>
      </w:pPr>
      <w:r>
        <w:rPr>
          <w:b w:val="0"/>
          <w:bCs w:val="0"/>
          <w:i w:val="0"/>
          <w:iCs w:val="0"/>
          <w:sz w:val="22"/>
          <w:szCs w:val="22"/>
        </w:rPr>
        <w:t>Price first rises to 108 and turns down (first test of resistance at 108).</w:t>
      </w:r>
    </w:p>
    <w:p w14:paraId="7F1ACAFE">
      <w:pPr>
        <w:spacing w:after="160" w:line="288" w:lineRule="auto"/>
      </w:pPr>
      <w:r>
        <w:rPr>
          <w:b w:val="0"/>
          <w:bCs w:val="0"/>
          <w:i w:val="0"/>
          <w:iCs w:val="0"/>
          <w:sz w:val="22"/>
          <w:szCs w:val="22"/>
        </w:rPr>
        <w:t>Price later rises again to 107 — close to, but not exactly at, 108 — and turns down again toward 96.</w:t>
      </w:r>
    </w:p>
    <w:p w14:paraId="69E88030">
      <w:pPr>
        <w:spacing w:after="160" w:line="288" w:lineRule="auto"/>
      </w:pPr>
      <w:r>
        <w:rPr>
          <w:b w:val="0"/>
          <w:bCs w:val="0"/>
          <w:i w:val="0"/>
          <w:iCs w:val="0"/>
          <w:sz w:val="22"/>
          <w:szCs w:val="22"/>
        </w:rPr>
        <w:t>The 107–108 zone has now reacted twice, marking it as a key resistance area worth continuing to watch.</w:t>
      </w:r>
    </w:p>
    <w:p w14:paraId="12736E6A">
      <w:pPr>
        <w:pStyle w:val="3"/>
        <w:spacing w:before="360" w:after="160"/>
      </w:pPr>
      <w:r>
        <w:rPr>
          <w:b/>
          <w:bCs/>
          <w:color w:val="1B2A4A"/>
          <w:sz w:val="26"/>
          <w:szCs w:val="26"/>
        </w:rPr>
        <w:t>6. What It Tells the Trader</w:t>
      </w:r>
    </w:p>
    <w:p w14:paraId="27DF9936">
      <w:pPr>
        <w:spacing w:after="160" w:line="288" w:lineRule="auto"/>
      </w:pPr>
      <w:r>
        <w:rPr>
          <w:b w:val="0"/>
          <w:bCs w:val="0"/>
          <w:i w:val="0"/>
          <w:iCs w:val="0"/>
          <w:sz w:val="22"/>
          <w:szCs w:val="22"/>
        </w:rPr>
        <w:t>A key resistance level tells the trader a price zone where upward moves have previously been rejected — useful context for anticipating where a rally might slow down or reverse.</w:t>
      </w:r>
    </w:p>
    <w:p w14:paraId="670AA660">
      <w:pPr>
        <w:spacing w:after="160" w:line="288" w:lineRule="auto"/>
      </w:pPr>
      <w:r>
        <w:rPr>
          <w:b w:val="0"/>
          <w:bCs w:val="0"/>
          <w:i w:val="0"/>
          <w:iCs w:val="0"/>
          <w:sz w:val="22"/>
          <w:szCs w:val="22"/>
        </w:rPr>
        <w:t>It does not guarantee the level will hold on the next approach. ICT's framework treats an old high as a likely liquidity target (buy-side liquidity resting above it) as much as it is a ceiling.</w:t>
      </w:r>
    </w:p>
    <w:p w14:paraId="6BDE013C">
      <w:pPr>
        <w:pStyle w:val="3"/>
        <w:spacing w:before="360" w:after="160"/>
      </w:pPr>
      <w:r>
        <w:rPr>
          <w:b/>
          <w:bCs/>
          <w:color w:val="1B2A4A"/>
          <w:sz w:val="26"/>
          <w:szCs w:val="26"/>
        </w:rPr>
        <w:t>7. What It Is Commonly Paired With</w:t>
      </w:r>
    </w:p>
    <w:p w14:paraId="21932A52">
      <w:pPr>
        <w:pStyle w:val="16"/>
        <w:numPr>
          <w:ilvl w:val="0"/>
          <w:numId w:val="2"/>
        </w:numPr>
        <w:spacing w:after="80" w:line="276" w:lineRule="auto"/>
      </w:pPr>
      <w:r>
        <w:rPr>
          <w:sz w:val="22"/>
          <w:szCs w:val="22"/>
        </w:rPr>
        <w:t>Buy-side liquidity</w:t>
      </w:r>
    </w:p>
    <w:p w14:paraId="66682063">
      <w:pPr>
        <w:pStyle w:val="16"/>
        <w:numPr>
          <w:ilvl w:val="0"/>
          <w:numId w:val="2"/>
        </w:numPr>
        <w:spacing w:after="80" w:line="276" w:lineRule="auto"/>
      </w:pPr>
      <w:r>
        <w:rPr>
          <w:sz w:val="22"/>
          <w:szCs w:val="22"/>
        </w:rPr>
        <w:t>Order Block</w:t>
      </w:r>
    </w:p>
    <w:p w14:paraId="681A66E4">
      <w:pPr>
        <w:pStyle w:val="16"/>
        <w:numPr>
          <w:ilvl w:val="0"/>
          <w:numId w:val="2"/>
        </w:numPr>
        <w:spacing w:after="80" w:line="276" w:lineRule="auto"/>
      </w:pPr>
      <w:r>
        <w:rPr>
          <w:sz w:val="22"/>
          <w:szCs w:val="22"/>
        </w:rPr>
        <w:t>Fair Value Gap</w:t>
      </w:r>
    </w:p>
    <w:p w14:paraId="15672FCD">
      <w:pPr>
        <w:spacing w:after="160" w:line="288" w:lineRule="auto"/>
      </w:pPr>
      <w:r>
        <w:rPr>
          <w:b w:val="0"/>
          <w:bCs w:val="0"/>
          <w:i w:val="0"/>
          <w:iCs w:val="0"/>
          <w:sz w:val="22"/>
          <w:szCs w:val="22"/>
        </w:rPr>
        <w:t>An old resistance level is frequently discussed together with buy-side liquidity, because resting buy-stop orders above the level are exactly what may cause price to spike briefly above it (a liquidity sweep) before reversing — see Module 4.</w:t>
      </w:r>
    </w:p>
    <w:p w14:paraId="4D3FA110">
      <w:pPr>
        <w:pStyle w:val="3"/>
        <w:spacing w:before="360" w:after="160"/>
      </w:pPr>
      <w:r>
        <w:rPr>
          <w:b/>
          <w:bCs/>
          <w:color w:val="1B2A4A"/>
          <w:sz w:val="26"/>
          <w:szCs w:val="26"/>
        </w:rPr>
        <w:t>8. Where It Fits in the ICT Framework</w:t>
      </w:r>
    </w:p>
    <w:p w14:paraId="0773E428">
      <w:pPr>
        <w:spacing w:after="160" w:line="288" w:lineRule="auto"/>
      </w:pPr>
      <w:r>
        <w:rPr>
          <w:b w:val="0"/>
          <w:bCs w:val="0"/>
          <w:i w:val="0"/>
          <w:iCs w:val="0"/>
          <w:sz w:val="22"/>
          <w:szCs w:val="22"/>
        </w:rPr>
        <w:t>Comes before: Requires Swing High.</w:t>
      </w:r>
    </w:p>
    <w:p w14:paraId="3337516D">
      <w:pPr>
        <w:spacing w:after="160" w:line="288" w:lineRule="auto"/>
      </w:pPr>
      <w:r>
        <w:rPr>
          <w:b w:val="0"/>
          <w:bCs w:val="0"/>
          <w:i w:val="0"/>
          <w:iCs w:val="0"/>
          <w:sz w:val="22"/>
          <w:szCs w:val="22"/>
        </w:rPr>
        <w:t>Comes after: Feeds into Liquidity (Module 4) and PD Arrays (Module 6).</w:t>
      </w:r>
    </w:p>
    <w:p w14:paraId="0BE56423">
      <w:pPr>
        <w:pStyle w:val="3"/>
        <w:spacing w:before="360" w:after="160"/>
      </w:pPr>
      <w:r>
        <w:rPr>
          <w:b/>
          <w:bCs/>
          <w:color w:val="1B2A4A"/>
          <w:sz w:val="26"/>
          <w:szCs w:val="26"/>
        </w:rPr>
        <w:t>9. Beginner Mistakes</w:t>
      </w:r>
    </w:p>
    <w:p w14:paraId="168BF4B4">
      <w:pPr>
        <w:pStyle w:val="16"/>
        <w:numPr>
          <w:ilvl w:val="0"/>
          <w:numId w:val="2"/>
        </w:numPr>
        <w:spacing w:after="80" w:line="276" w:lineRule="auto"/>
      </w:pPr>
      <w:r>
        <w:rPr>
          <w:sz w:val="22"/>
          <w:szCs w:val="22"/>
        </w:rPr>
        <w:t>Treating resistance as one exact price instead of a zone.</w:t>
      </w:r>
    </w:p>
    <w:p w14:paraId="7E379FE5">
      <w:pPr>
        <w:pStyle w:val="16"/>
        <w:numPr>
          <w:ilvl w:val="0"/>
          <w:numId w:val="2"/>
        </w:numPr>
        <w:spacing w:after="80" w:line="276" w:lineRule="auto"/>
      </w:pPr>
      <w:r>
        <w:rPr>
          <w:sz w:val="22"/>
          <w:szCs w:val="22"/>
        </w:rPr>
        <w:t>Assuming resistance will always hold rather than first being swept for liquidity.</w:t>
      </w:r>
    </w:p>
    <w:p w14:paraId="352F0EE3">
      <w:pPr>
        <w:pStyle w:val="16"/>
        <w:numPr>
          <w:ilvl w:val="0"/>
          <w:numId w:val="2"/>
        </w:numPr>
        <w:spacing w:after="80" w:line="276" w:lineRule="auto"/>
      </w:pPr>
      <w:r>
        <w:rPr>
          <w:sz w:val="22"/>
          <w:szCs w:val="22"/>
        </w:rPr>
        <w:t>Marking too many minor highs as "key" resistance, diluting the significance of genuinely important levels.</w:t>
      </w:r>
    </w:p>
    <w:p w14:paraId="43D8359C">
      <w:pPr>
        <w:pStyle w:val="3"/>
        <w:spacing w:before="360" w:after="160"/>
      </w:pPr>
      <w:r>
        <w:rPr>
          <w:b/>
          <w:bCs/>
          <w:color w:val="1B2A4A"/>
          <w:sz w:val="26"/>
          <w:szCs w:val="26"/>
        </w:rPr>
        <w:t>10. Important Qualification</w:t>
      </w:r>
    </w:p>
    <w:p w14:paraId="1B06BE6D">
      <w:pPr>
        <w:pBdr>
          <w:left w:val="single" w:color="7A2E2E" w:sz="24" w:space="8"/>
        </w:pBdr>
        <w:shd w:val="clear" w:fill="EFEFEF"/>
        <w:spacing w:before="160" w:after="200"/>
        <w:ind w:left="200"/>
      </w:pPr>
      <w:r>
        <w:rPr>
          <w:b/>
          <w:bCs/>
          <w:color w:val="7A2E2E"/>
          <w:sz w:val="21"/>
          <w:szCs w:val="21"/>
        </w:rPr>
        <w:t xml:space="preserve">Qualification: </w:t>
      </w:r>
      <w:r>
        <w:rPr>
          <w:sz w:val="21"/>
          <w:szCs w:val="21"/>
        </w:rPr>
        <w:t>Like support, a key resistance level describes historical behavior, not a guarantee. In ICT's framework, whether an old high holds, gets swept, or is broken outright depends on the liquidity and displacement concepts covered next, not on the level in isolation.</w:t>
      </w:r>
    </w:p>
    <w:p w14:paraId="3698C629">
      <w:pPr>
        <w:pStyle w:val="3"/>
        <w:spacing w:before="360" w:after="160"/>
      </w:pPr>
      <w:r>
        <w:rPr>
          <w:b/>
          <w:bCs/>
          <w:color w:val="1B2A4A"/>
          <w:sz w:val="26"/>
          <w:szCs w:val="26"/>
        </w:rPr>
        <w:t>11. Source</w:t>
      </w:r>
    </w:p>
    <w:p w14:paraId="546A3195"/>
    <w:p w14:paraId="2126C5AA">
      <w:pPr>
        <w:pStyle w:val="16"/>
        <w:numPr>
          <w:ilvl w:val="0"/>
          <w:numId w:val="2"/>
        </w:numPr>
        <w:spacing w:after="80" w:line="276" w:lineRule="auto"/>
      </w:pPr>
      <w:r>
        <w:rPr>
          <w:sz w:val="22"/>
          <w:szCs w:val="22"/>
        </w:rPr>
        <w:t>chartinglens.com — "Support and Resistance Levels: Complete Trading Guide."</w:t>
      </w:r>
    </w:p>
    <w:p w14:paraId="031D0E27">
      <w:pPr>
        <w:pStyle w:val="16"/>
        <w:numPr>
          <w:ilvl w:val="0"/>
          <w:numId w:val="2"/>
        </w:numPr>
        <w:spacing w:after="80" w:line="276" w:lineRule="auto"/>
      </w:pPr>
      <w:r>
        <w:rPr>
          <w:sz w:val="22"/>
          <w:szCs w:val="22"/>
        </w:rPr>
        <w:t>TradingView ICT key-level tool documentation (community corroboration of prior day/week/month highs as key resistance references).</w:t>
      </w:r>
    </w:p>
    <w:p w14:paraId="6ECF8CDC">
      <w:pPr>
        <w:pBdr>
          <w:left w:val="single" w:color="9A7B2E" w:sz="24" w:space="8"/>
        </w:pBdr>
        <w:shd w:val="clear" w:fill="EFEFEF"/>
        <w:spacing w:before="160" w:after="200"/>
        <w:ind w:left="200"/>
      </w:pPr>
      <w:r>
        <w:rPr>
          <w:b/>
          <w:bCs/>
          <w:color w:val="9A7B2E"/>
          <w:sz w:val="21"/>
          <w:szCs w:val="21"/>
        </w:rPr>
        <w:t xml:space="preserve">Community interpretation: </w:t>
      </w:r>
      <w:r>
        <w:rPr>
          <w:sz w:val="21"/>
          <w:szCs w:val="21"/>
        </w:rPr>
        <w:t>As with key support, the cited tooling descriptions are community implementations used only to corroborate which levels are treated as key within ICT-style analysis.</w:t>
      </w:r>
    </w:p>
    <w:p w14:paraId="412F851C">
      <w:r>
        <w:br w:type="page"/>
      </w:r>
    </w:p>
    <w:p w14:paraId="07D6E1F0">
      <w:pPr>
        <w:pStyle w:val="2"/>
        <w:pBdr>
          <w:bottom w:val="single" w:color="1B2A4A" w:sz="12" w:space="4"/>
        </w:pBdr>
        <w:spacing w:before="480" w:after="240"/>
      </w:pPr>
      <w:r>
        <w:rPr>
          <w:b/>
          <w:bCs/>
          <w:color w:val="1B2A4A"/>
          <w:sz w:val="34"/>
          <w:szCs w:val="34"/>
        </w:rPr>
        <w:t>How These Concepts Connect</w:t>
      </w:r>
    </w:p>
    <w:p w14:paraId="438BCCCA">
      <w:pPr>
        <w:spacing w:after="160" w:line="288" w:lineRule="auto"/>
      </w:pPr>
      <w:r>
        <w:rPr>
          <w:b w:val="0"/>
          <w:bCs w:val="0"/>
          <w:i w:val="0"/>
          <w:iCs w:val="0"/>
          <w:sz w:val="22"/>
          <w:szCs w:val="22"/>
        </w:rPr>
        <w:t>The ten concepts in this module are not independent facts to memorize — they form a single continuous logical chain. A swing high and a swing low are the two atomic building blocks of price structure: every other concept in this module, and in this book, is built by comparing or combining swing points.</w:t>
      </w:r>
    </w:p>
    <w:p w14:paraId="07202FF7">
      <w:pPr>
        <w:spacing w:after="160" w:line="288" w:lineRule="auto"/>
      </w:pPr>
      <w:r>
        <w:rPr>
          <w:b w:val="0"/>
          <w:bCs w:val="0"/>
          <w:i w:val="0"/>
          <w:iCs w:val="0"/>
          <w:sz w:val="22"/>
          <w:szCs w:val="22"/>
        </w:rPr>
        <w:t>Once swing highs and swing lows can be reliably identified, they are compared against their immediate predecessors to classify them as higher highs, higher lows, lower highs, or lower lows. These classifications are not decorative labels — they are the direct evidence used to determine trend: a consistent run of higher highs and higher lows defines an uptrend, and a consistent run of lower highs and lower lows defines a downtrend.</w:t>
      </w:r>
    </w:p>
    <w:p w14:paraId="3AFEB86A">
      <w:pPr>
        <w:spacing w:after="160" w:line="288" w:lineRule="auto"/>
      </w:pPr>
      <w:r>
        <w:rPr>
          <w:b w:val="0"/>
          <w:bCs w:val="0"/>
          <w:i w:val="0"/>
          <w:iCs w:val="0"/>
          <w:sz w:val="22"/>
          <w:szCs w:val="22"/>
        </w:rPr>
        <w:t>Once a trend is established, retracement describes the expected, non-threatening pullbacks that occur within it — the very same pullbacks that produce the higher lows (in an uptrend) or lower highs (in a downtrend) used to confirm the trend in the first place. This is a closed loop: trend produces retracements, and retracements produce the swing points that confirm trend.</w:t>
      </w:r>
    </w:p>
    <w:p w14:paraId="76B67F42">
      <w:pPr>
        <w:spacing w:after="160" w:line="288" w:lineRule="auto"/>
      </w:pPr>
      <w:r>
        <w:rPr>
          <w:b w:val="0"/>
          <w:bCs w:val="0"/>
          <w:i w:val="0"/>
          <w:iCs w:val="0"/>
          <w:sz w:val="22"/>
          <w:szCs w:val="22"/>
        </w:rPr>
        <w:t>Finally, when a swing high or swing low proves durable — when price returns to it and reacts again — it graduates from a simple structural point into a key support or resistance level. These levels become the specific price zones that the rest of the ICT framework (starting with liquidity in Module 4) treats as significant: not because a line was drawn, but because real reactions occurred there before.</w:t>
      </w:r>
    </w:p>
    <w:p w14:paraId="522F6F63">
      <w:pPr>
        <w:pStyle w:val="2"/>
        <w:pBdr>
          <w:bottom w:val="single" w:color="1B2A4A" w:sz="12" w:space="4"/>
        </w:pBdr>
        <w:spacing w:before="480" w:after="240"/>
      </w:pPr>
      <w:r>
        <w:rPr>
          <w:b/>
          <w:bCs/>
          <w:color w:val="1B2A4A"/>
          <w:sz w:val="34"/>
          <w:szCs w:val="34"/>
        </w:rPr>
        <w:t>What You Should Now Be Able to Do</w:t>
      </w:r>
    </w:p>
    <w:p w14:paraId="1C3EFD62">
      <w:pPr>
        <w:pStyle w:val="16"/>
        <w:numPr>
          <w:ilvl w:val="0"/>
          <w:numId w:val="2"/>
        </w:numPr>
        <w:spacing w:after="80" w:line="276" w:lineRule="auto"/>
      </w:pPr>
      <w:r>
        <w:rPr>
          <w:sz w:val="22"/>
          <w:szCs w:val="22"/>
        </w:rPr>
        <w:t>identify a valid swing high and swing low using the three-candle test</w:t>
      </w:r>
    </w:p>
    <w:p w14:paraId="7CE56A54">
      <w:pPr>
        <w:pStyle w:val="16"/>
        <w:numPr>
          <w:ilvl w:val="0"/>
          <w:numId w:val="2"/>
        </w:numPr>
        <w:spacing w:after="80" w:line="276" w:lineRule="auto"/>
      </w:pPr>
      <w:r>
        <w:rPr>
          <w:sz w:val="22"/>
          <w:szCs w:val="22"/>
        </w:rPr>
        <w:t>classify a swing high as either a higher high or a lower high relative to the prior swing high</w:t>
      </w:r>
    </w:p>
    <w:p w14:paraId="2196ABA8">
      <w:pPr>
        <w:pStyle w:val="16"/>
        <w:numPr>
          <w:ilvl w:val="0"/>
          <w:numId w:val="2"/>
        </w:numPr>
        <w:spacing w:after="80" w:line="276" w:lineRule="auto"/>
      </w:pPr>
      <w:r>
        <w:rPr>
          <w:sz w:val="22"/>
          <w:szCs w:val="22"/>
        </w:rPr>
        <w:t>classify a swing low as either a higher low or a lower low relative to the prior swing low</w:t>
      </w:r>
    </w:p>
    <w:p w14:paraId="77A1B8DA">
      <w:pPr>
        <w:pStyle w:val="16"/>
        <w:numPr>
          <w:ilvl w:val="0"/>
          <w:numId w:val="2"/>
        </w:numPr>
        <w:spacing w:after="80" w:line="276" w:lineRule="auto"/>
      </w:pPr>
      <w:r>
        <w:rPr>
          <w:sz w:val="22"/>
          <w:szCs w:val="22"/>
        </w:rPr>
        <w:t>determine whether a chart is in an uptrend, downtrend, or range based purely on swing-point sequences</w:t>
      </w:r>
    </w:p>
    <w:p w14:paraId="216CED0B">
      <w:pPr>
        <w:pStyle w:val="16"/>
        <w:numPr>
          <w:ilvl w:val="0"/>
          <w:numId w:val="2"/>
        </w:numPr>
        <w:spacing w:after="80" w:line="276" w:lineRule="auto"/>
      </w:pPr>
      <w:r>
        <w:rPr>
          <w:sz w:val="22"/>
          <w:szCs w:val="22"/>
        </w:rPr>
        <w:t>distinguish a normal retracement from a potential trend reversal, and explain why that distinction cannot be made with certainty in real time</w:t>
      </w:r>
    </w:p>
    <w:p w14:paraId="48CAAB4C">
      <w:pPr>
        <w:pStyle w:val="16"/>
        <w:numPr>
          <w:ilvl w:val="0"/>
          <w:numId w:val="2"/>
        </w:numPr>
        <w:spacing w:after="80" w:line="276" w:lineRule="auto"/>
      </w:pPr>
      <w:r>
        <w:rPr>
          <w:sz w:val="22"/>
          <w:szCs w:val="22"/>
        </w:rPr>
        <w:t>mark a key support level and a key resistance level from swing highs/lows that have reacted more than once</w:t>
      </w:r>
    </w:p>
    <w:p w14:paraId="2298A532">
      <w:pPr>
        <w:pStyle w:val="16"/>
        <w:numPr>
          <w:ilvl w:val="0"/>
          <w:numId w:val="2"/>
        </w:numPr>
        <w:spacing w:after="80" w:line="276" w:lineRule="auto"/>
      </w:pPr>
      <w:r>
        <w:rPr>
          <w:sz w:val="22"/>
          <w:szCs w:val="22"/>
        </w:rPr>
        <w:t>explain, in your own words, why swing points are the foundation for every later ICT concept in this book</w:t>
      </w:r>
    </w:p>
    <w:p w14:paraId="27D8B3CA">
      <w:r>
        <w:br w:type="page"/>
      </w:r>
    </w:p>
    <w:p w14:paraId="54F7E7F0">
      <w:pPr>
        <w:pStyle w:val="2"/>
        <w:pBdr>
          <w:bottom w:val="single" w:color="1B2A4A" w:sz="12" w:space="4"/>
        </w:pBdr>
        <w:spacing w:before="480" w:after="240"/>
      </w:pPr>
      <w:r>
        <w:rPr>
          <w:b/>
          <w:bCs/>
          <w:color w:val="1B2A4A"/>
          <w:sz w:val="34"/>
          <w:szCs w:val="34"/>
        </w:rPr>
        <w:t>Module Review</w:t>
      </w:r>
    </w:p>
    <w:p w14:paraId="3D211A72">
      <w:pPr>
        <w:pStyle w:val="3"/>
        <w:spacing w:before="360" w:after="160"/>
      </w:pPr>
      <w:r>
        <w:rPr>
          <w:b/>
          <w:bCs/>
          <w:color w:val="1B2A4A"/>
          <w:sz w:val="26"/>
          <w:szCs w:val="26"/>
        </w:rPr>
        <w:t>Key Terms</w:t>
      </w:r>
    </w:p>
    <w:p w14:paraId="4254BB90">
      <w:pPr>
        <w:pStyle w:val="16"/>
        <w:numPr>
          <w:ilvl w:val="0"/>
          <w:numId w:val="2"/>
        </w:numPr>
        <w:spacing w:after="80" w:line="276" w:lineRule="auto"/>
      </w:pPr>
      <w:r>
        <w:rPr>
          <w:sz w:val="22"/>
          <w:szCs w:val="22"/>
        </w:rPr>
        <w:t>Swing High / Short-Term High (STH)</w:t>
      </w:r>
    </w:p>
    <w:p w14:paraId="46CC3308">
      <w:pPr>
        <w:pStyle w:val="16"/>
        <w:numPr>
          <w:ilvl w:val="0"/>
          <w:numId w:val="2"/>
        </w:numPr>
        <w:spacing w:after="80" w:line="276" w:lineRule="auto"/>
      </w:pPr>
      <w:r>
        <w:rPr>
          <w:sz w:val="22"/>
          <w:szCs w:val="22"/>
        </w:rPr>
        <w:t>Swing Low / Short-Term Low (STL)</w:t>
      </w:r>
    </w:p>
    <w:p w14:paraId="3B1CB8AB">
      <w:pPr>
        <w:pStyle w:val="16"/>
        <w:numPr>
          <w:ilvl w:val="0"/>
          <w:numId w:val="2"/>
        </w:numPr>
        <w:spacing w:after="80" w:line="276" w:lineRule="auto"/>
      </w:pPr>
      <w:r>
        <w:rPr>
          <w:sz w:val="22"/>
          <w:szCs w:val="22"/>
        </w:rPr>
        <w:t>Higher High (HH)</w:t>
      </w:r>
    </w:p>
    <w:p w14:paraId="4C1E4ECA">
      <w:pPr>
        <w:pStyle w:val="16"/>
        <w:numPr>
          <w:ilvl w:val="0"/>
          <w:numId w:val="2"/>
        </w:numPr>
        <w:spacing w:after="80" w:line="276" w:lineRule="auto"/>
      </w:pPr>
      <w:r>
        <w:rPr>
          <w:sz w:val="22"/>
          <w:szCs w:val="22"/>
        </w:rPr>
        <w:t>Higher Low (HL)</w:t>
      </w:r>
    </w:p>
    <w:p w14:paraId="3501C8C2">
      <w:pPr>
        <w:pStyle w:val="16"/>
        <w:numPr>
          <w:ilvl w:val="0"/>
          <w:numId w:val="2"/>
        </w:numPr>
        <w:spacing w:after="80" w:line="276" w:lineRule="auto"/>
      </w:pPr>
      <w:r>
        <w:rPr>
          <w:sz w:val="22"/>
          <w:szCs w:val="22"/>
        </w:rPr>
        <w:t>Lower High (LH)</w:t>
      </w:r>
    </w:p>
    <w:p w14:paraId="6002E1D6">
      <w:pPr>
        <w:pStyle w:val="16"/>
        <w:numPr>
          <w:ilvl w:val="0"/>
          <w:numId w:val="2"/>
        </w:numPr>
        <w:spacing w:after="80" w:line="276" w:lineRule="auto"/>
      </w:pPr>
      <w:r>
        <w:rPr>
          <w:sz w:val="22"/>
          <w:szCs w:val="22"/>
        </w:rPr>
        <w:t>Lower Low (LL)</w:t>
      </w:r>
    </w:p>
    <w:p w14:paraId="14FAD4CD">
      <w:pPr>
        <w:pStyle w:val="16"/>
        <w:numPr>
          <w:ilvl w:val="0"/>
          <w:numId w:val="2"/>
        </w:numPr>
        <w:spacing w:after="80" w:line="276" w:lineRule="auto"/>
      </w:pPr>
      <w:r>
        <w:rPr>
          <w:sz w:val="22"/>
          <w:szCs w:val="22"/>
        </w:rPr>
        <w:t>Trend</w:t>
      </w:r>
    </w:p>
    <w:p w14:paraId="6CF8A709">
      <w:pPr>
        <w:pStyle w:val="16"/>
        <w:numPr>
          <w:ilvl w:val="0"/>
          <w:numId w:val="2"/>
        </w:numPr>
        <w:spacing w:after="80" w:line="276" w:lineRule="auto"/>
      </w:pPr>
      <w:r>
        <w:rPr>
          <w:sz w:val="22"/>
          <w:szCs w:val="22"/>
        </w:rPr>
        <w:t>Retracement</w:t>
      </w:r>
    </w:p>
    <w:p w14:paraId="37ABB332">
      <w:pPr>
        <w:pStyle w:val="16"/>
        <w:numPr>
          <w:ilvl w:val="0"/>
          <w:numId w:val="2"/>
        </w:numPr>
        <w:spacing w:after="80" w:line="276" w:lineRule="auto"/>
      </w:pPr>
      <w:r>
        <w:rPr>
          <w:sz w:val="22"/>
          <w:szCs w:val="22"/>
        </w:rPr>
        <w:t>Key Support Level</w:t>
      </w:r>
    </w:p>
    <w:p w14:paraId="6BF887D9">
      <w:pPr>
        <w:pStyle w:val="16"/>
        <w:numPr>
          <w:ilvl w:val="0"/>
          <w:numId w:val="2"/>
        </w:numPr>
        <w:spacing w:after="80" w:line="276" w:lineRule="auto"/>
      </w:pPr>
      <w:r>
        <w:rPr>
          <w:sz w:val="22"/>
          <w:szCs w:val="22"/>
        </w:rPr>
        <w:t>Key Resistance Level</w:t>
      </w:r>
    </w:p>
    <w:p w14:paraId="166AC2AD">
      <w:pPr>
        <w:pStyle w:val="3"/>
        <w:spacing w:before="360" w:after="160"/>
      </w:pPr>
      <w:r>
        <w:rPr>
          <w:b/>
          <w:bCs/>
          <w:color w:val="1B2A4A"/>
          <w:sz w:val="26"/>
          <w:szCs w:val="26"/>
        </w:rPr>
        <w:t>Beginner Summary</w:t>
      </w:r>
    </w:p>
    <w:p w14:paraId="46165990">
      <w:pPr>
        <w:spacing w:after="160" w:line="288" w:lineRule="auto"/>
      </w:pPr>
      <w:r>
        <w:rPr>
          <w:b w:val="0"/>
          <w:bCs w:val="0"/>
          <w:i w:val="0"/>
          <w:iCs w:val="0"/>
          <w:sz w:val="22"/>
          <w:szCs w:val="22"/>
        </w:rPr>
        <w:t>Price never moves in a straight line. It advances and pauses, forming identifiable turning points called swing highs and swing lows. Comparing each new swing point to the one before it tells you whether price is making progress in a direction (higher highs and higher lows, or lower highs and lower lows) or stalling. A sustained pattern of progress in one direction is a trend. Pullbacks against that trend, as long as they don't undo the progress already made, are retracements. When a swing point proves important enough that price reacts to it again later, it becomes a key support or resistance level.</w:t>
      </w:r>
    </w:p>
    <w:p w14:paraId="06AB6911">
      <w:pPr>
        <w:pStyle w:val="3"/>
        <w:spacing w:before="360" w:after="160"/>
      </w:pPr>
      <w:r>
        <w:rPr>
          <w:b/>
          <w:bCs/>
          <w:color w:val="1B2A4A"/>
          <w:sz w:val="26"/>
          <w:szCs w:val="26"/>
        </w:rPr>
        <w:t>Concept Relationships</w:t>
      </w:r>
    </w:p>
    <w:p w14:paraId="06EA1AA8">
      <w:pPr>
        <w:spacing w:after="160" w:line="288" w:lineRule="auto"/>
      </w:pPr>
      <w:r>
        <w:rPr>
          <w:b w:val="0"/>
          <w:bCs w:val="0"/>
          <w:i w:val="0"/>
          <w:iCs w:val="0"/>
          <w:sz w:val="22"/>
          <w:szCs w:val="22"/>
        </w:rPr>
        <w:t>Swing High and Swing Low are prerequisites for everything else in this module. Higher High/Higher Low and Lower High/Lower Low are direct comparisons built from swing points. Trend is the conclusion drawn from a consistent sequence of those comparisons. Retracement is the expected pullback within a trend. Key Support/Resistance Levels are swing points that have proven significant through repeated price reaction.</w:t>
      </w:r>
    </w:p>
    <w:p w14:paraId="3488E186">
      <w:pPr>
        <w:pStyle w:val="3"/>
        <w:spacing w:before="360" w:after="160"/>
      </w:pPr>
      <w:r>
        <w:rPr>
          <w:b/>
          <w:bCs/>
          <w:color w:val="1B2A4A"/>
          <w:sz w:val="26"/>
          <w:szCs w:val="26"/>
        </w:rPr>
        <w:t>Practical Chart Exercise</w:t>
      </w:r>
    </w:p>
    <w:p w14:paraId="46DDF8CE">
      <w:pPr>
        <w:spacing w:after="160" w:line="288" w:lineRule="auto"/>
      </w:pPr>
      <w:r>
        <w:rPr>
          <w:b w:val="0"/>
          <w:bCs w:val="0"/>
          <w:i w:val="0"/>
          <w:iCs w:val="0"/>
          <w:sz w:val="22"/>
          <w:szCs w:val="22"/>
        </w:rPr>
        <w:t>Using the sequence 50 → 62 → 55 → 70 → 58 → 78 → 65, identify every swing high and swing low using the three-candle logic taught in this module, classify each swing high as higher or lower relative to the one before it, classify each swing low the same way, state whether this sequence represents an uptrend, a downtrend, or a range, and identify the single retracement in the sequence that does not break the pattern.</w:t>
      </w:r>
    </w:p>
    <w:p w14:paraId="4314092B">
      <w:pPr>
        <w:pStyle w:val="3"/>
        <w:spacing w:before="360" w:after="160"/>
      </w:pPr>
      <w:r>
        <w:rPr>
          <w:b/>
          <w:bCs/>
          <w:color w:val="1B2A4A"/>
          <w:sz w:val="26"/>
          <w:szCs w:val="26"/>
        </w:rPr>
        <w:t>Self-Test Questions</w:t>
      </w:r>
    </w:p>
    <w:p w14:paraId="01E16638">
      <w:pPr>
        <w:pStyle w:val="16"/>
        <w:numPr>
          <w:ilvl w:val="0"/>
          <w:numId w:val="1"/>
        </w:numPr>
        <w:spacing w:after="80" w:line="276" w:lineRule="auto"/>
      </w:pPr>
      <w:r>
        <w:rPr>
          <w:sz w:val="22"/>
          <w:szCs w:val="22"/>
        </w:rPr>
        <w:t>What two conditions must both be true for a candle's high to qualify as a swing high?</w:t>
      </w:r>
    </w:p>
    <w:p w14:paraId="62A8A351">
      <w:pPr>
        <w:pStyle w:val="16"/>
        <w:numPr>
          <w:ilvl w:val="0"/>
          <w:numId w:val="1"/>
        </w:numPr>
        <w:spacing w:after="80" w:line="276" w:lineRule="auto"/>
      </w:pPr>
      <w:r>
        <w:rPr>
          <w:sz w:val="22"/>
          <w:szCs w:val="22"/>
        </w:rPr>
        <w:t>What is the difference between a higher high and a lower high?</w:t>
      </w:r>
    </w:p>
    <w:p w14:paraId="2713905B">
      <w:pPr>
        <w:pStyle w:val="16"/>
        <w:numPr>
          <w:ilvl w:val="0"/>
          <w:numId w:val="1"/>
        </w:numPr>
        <w:spacing w:after="80" w:line="276" w:lineRule="auto"/>
      </w:pPr>
      <w:r>
        <w:rPr>
          <w:sz w:val="22"/>
          <w:szCs w:val="22"/>
        </w:rPr>
        <w:t>Can a single higher high, on its own, confirm an uptrend? Why or why not?</w:t>
      </w:r>
    </w:p>
    <w:p w14:paraId="3D7D0F63">
      <w:pPr>
        <w:pStyle w:val="16"/>
        <w:numPr>
          <w:ilvl w:val="0"/>
          <w:numId w:val="1"/>
        </w:numPr>
        <w:spacing w:after="80" w:line="276" w:lineRule="auto"/>
      </w:pPr>
      <w:r>
        <w:rPr>
          <w:sz w:val="22"/>
          <w:szCs w:val="22"/>
        </w:rPr>
        <w:t>What distinguishes a retracement from a reversal, and why can that distinction only be confirmed after the fact?</w:t>
      </w:r>
    </w:p>
    <w:p w14:paraId="5DD1115F">
      <w:pPr>
        <w:pStyle w:val="16"/>
        <w:numPr>
          <w:ilvl w:val="0"/>
          <w:numId w:val="1"/>
        </w:numPr>
        <w:spacing w:after="80" w:line="276" w:lineRule="auto"/>
      </w:pPr>
      <w:r>
        <w:rPr>
          <w:sz w:val="22"/>
          <w:szCs w:val="22"/>
        </w:rPr>
        <w:t>Why does ICT's framework treat an old support or resistance level as a potential liquidity target rather than a guaranteed floor or ceiling?</w:t>
      </w:r>
    </w:p>
    <w:p w14:paraId="56C8326F">
      <w:pPr>
        <w:pStyle w:val="3"/>
        <w:spacing w:before="360" w:after="160"/>
      </w:pPr>
      <w:r>
        <w:rPr>
          <w:b/>
          <w:bCs/>
          <w:color w:val="1B2A4A"/>
          <w:sz w:val="26"/>
          <w:szCs w:val="26"/>
        </w:rPr>
        <w:t>Common Misconceptions</w:t>
      </w:r>
    </w:p>
    <w:p w14:paraId="1E5D2113">
      <w:pPr>
        <w:pStyle w:val="16"/>
        <w:numPr>
          <w:ilvl w:val="0"/>
          <w:numId w:val="2"/>
        </w:numPr>
        <w:spacing w:after="80" w:line="276" w:lineRule="auto"/>
      </w:pPr>
      <w:r>
        <w:rPr>
          <w:sz w:val="22"/>
          <w:szCs w:val="22"/>
        </w:rPr>
        <w:t>Believing every wick on a chart is a meaningful swing point rather than applying a consistent identification test.</w:t>
      </w:r>
    </w:p>
    <w:p w14:paraId="7E6A9323">
      <w:pPr>
        <w:pStyle w:val="16"/>
        <w:numPr>
          <w:ilvl w:val="0"/>
          <w:numId w:val="2"/>
        </w:numPr>
        <w:spacing w:after="80" w:line="276" w:lineRule="auto"/>
      </w:pPr>
      <w:r>
        <w:rPr>
          <w:sz w:val="22"/>
          <w:szCs w:val="22"/>
        </w:rPr>
        <w:t>Believing a trend is defined by "the general feeling" of the chart rather than by a specific sequence of swing-point comparisons.</w:t>
      </w:r>
    </w:p>
    <w:p w14:paraId="5AE956CE">
      <w:pPr>
        <w:pStyle w:val="16"/>
        <w:numPr>
          <w:ilvl w:val="0"/>
          <w:numId w:val="2"/>
        </w:numPr>
        <w:spacing w:after="80" w:line="276" w:lineRule="auto"/>
      </w:pPr>
      <w:r>
        <w:rPr>
          <w:sz w:val="22"/>
          <w:szCs w:val="22"/>
        </w:rPr>
        <w:t>Believing support and resistance levels are guaranteed to hold, rather than being historical reference points that may be swept for liquidity or broken outright.</w:t>
      </w:r>
    </w:p>
    <w:p w14:paraId="73682614">
      <w:pPr>
        <w:pStyle w:val="16"/>
        <w:numPr>
          <w:ilvl w:val="0"/>
          <w:numId w:val="2"/>
        </w:numPr>
        <w:spacing w:after="80" w:line="276" w:lineRule="auto"/>
      </w:pPr>
      <w:r>
        <w:rPr>
          <w:sz w:val="22"/>
          <w:szCs w:val="22"/>
        </w:rPr>
        <w:t>Believing a retracement can be identified with certainty while it is still happening, rather than only in hindsight once the trend resumes or fails to resume.</w:t>
      </w:r>
    </w:p>
    <w:p w14:paraId="453EA136">
      <w:pPr>
        <w:pStyle w:val="3"/>
        <w:spacing w:before="360" w:after="160"/>
      </w:pPr>
      <w:r>
        <w:rPr>
          <w:b/>
          <w:bCs/>
          <w:color w:val="1B2A4A"/>
          <w:sz w:val="26"/>
          <w:szCs w:val="26"/>
        </w:rPr>
        <w:t>Research Sources</w:t>
      </w:r>
    </w:p>
    <w:p w14:paraId="6ACA98D8">
      <w:pPr>
        <w:pStyle w:val="16"/>
        <w:numPr>
          <w:ilvl w:val="0"/>
          <w:numId w:val="2"/>
        </w:numPr>
        <w:spacing w:after="80" w:line="276" w:lineRule="auto"/>
      </w:pPr>
      <w:r>
        <w:rPr>
          <w:sz w:val="22"/>
          <w:szCs w:val="22"/>
        </w:rPr>
        <w:t>innercircletrader.net — ICT tutorial series on swing highs, swing lows, and market structure hierarchy (STH/ITH/LTH, STL/ITL/LTL).</w:t>
      </w:r>
    </w:p>
    <w:p w14:paraId="1EB5EC4E">
      <w:pPr>
        <w:pStyle w:val="16"/>
        <w:numPr>
          <w:ilvl w:val="0"/>
          <w:numId w:val="2"/>
        </w:numPr>
        <w:spacing w:after="80" w:line="276" w:lineRule="auto"/>
      </w:pPr>
      <w:r>
        <w:rPr>
          <w:sz w:val="22"/>
          <w:szCs w:val="22"/>
        </w:rPr>
        <w:t>litefinance.org — "ICT Trading Strategy: Complete Guide to Inner Circle Trader Method."</w:t>
      </w:r>
    </w:p>
    <w:p w14:paraId="6133AF15">
      <w:pPr>
        <w:pStyle w:val="16"/>
        <w:numPr>
          <w:ilvl w:val="0"/>
          <w:numId w:val="2"/>
        </w:numPr>
        <w:spacing w:after="80" w:line="276" w:lineRule="auto"/>
      </w:pPr>
      <w:r>
        <w:rPr>
          <w:sz w:val="22"/>
          <w:szCs w:val="22"/>
        </w:rPr>
        <w:t>chartinglens.com — "ICT Trading Strategy: The Complete Guide to Inner Circle Trader Concepts" and "Support and Resistance Levels: Complete Trading Guide."</w:t>
      </w:r>
    </w:p>
    <w:p w14:paraId="2B592C5A">
      <w:pPr>
        <w:pStyle w:val="16"/>
        <w:numPr>
          <w:ilvl w:val="0"/>
          <w:numId w:val="2"/>
        </w:numPr>
        <w:spacing w:after="80" w:line="276" w:lineRule="auto"/>
      </w:pPr>
      <w:r>
        <w:rPr>
          <w:sz w:val="22"/>
          <w:szCs w:val="22"/>
        </w:rPr>
        <w:t>fxopen.com — "ICT Concepts: What Is Inner Circle Trading?"</w:t>
      </w:r>
    </w:p>
    <w:p w14:paraId="7A1C78CD">
      <w:pPr>
        <w:pStyle w:val="16"/>
        <w:numPr>
          <w:ilvl w:val="0"/>
          <w:numId w:val="2"/>
        </w:numPr>
        <w:spacing w:after="80" w:line="276" w:lineRule="auto"/>
      </w:pPr>
      <w:r>
        <w:rPr>
          <w:sz w:val="22"/>
          <w:szCs w:val="22"/>
        </w:rPr>
        <w:t>Note: This research pass relied on cross-checked secondary/tutorial documentation of ICT's teaching rather than direct primary-source video transcripts, which were not accessible in this environment. Claims are corroborated across multiple independent ICT-focused sources; direct ICT primary-source verification is recommended before treating any single definition as verbatim ICT phrasing.</w:t>
      </w:r>
    </w:p>
    <w:p w14:paraId="5CDA88E2">
      <w:pPr>
        <w:pStyle w:val="16"/>
        <w:numPr>
          <w:ilvl w:val="0"/>
          <w:numId w:val="0"/>
        </w:numPr>
        <w:spacing w:after="80" w:line="276" w:lineRule="auto"/>
        <w:rPr>
          <w:sz w:val="22"/>
          <w:szCs w:val="22"/>
        </w:rPr>
      </w:pPr>
    </w:p>
    <w:p w14:paraId="2780B53E">
      <w:pPr>
        <w:pStyle w:val="16"/>
        <w:numPr>
          <w:ilvl w:val="0"/>
          <w:numId w:val="0"/>
        </w:numPr>
        <w:spacing w:after="80" w:line="276" w:lineRule="auto"/>
        <w:rPr>
          <w:sz w:val="22"/>
          <w:szCs w:val="22"/>
        </w:rPr>
      </w:pPr>
    </w:p>
    <w:p w14:paraId="426DA363">
      <w:pPr>
        <w:pStyle w:val="16"/>
        <w:numPr>
          <w:ilvl w:val="0"/>
          <w:numId w:val="0"/>
        </w:numPr>
        <w:spacing w:after="80" w:line="276" w:lineRule="auto"/>
        <w:rPr>
          <w:sz w:val="22"/>
          <w:szCs w:val="22"/>
        </w:rPr>
      </w:pPr>
    </w:p>
    <w:p w14:paraId="283A06F1">
      <w:pPr>
        <w:pStyle w:val="16"/>
        <w:numPr>
          <w:ilvl w:val="0"/>
          <w:numId w:val="0"/>
        </w:numPr>
        <w:spacing w:after="80" w:line="276" w:lineRule="auto"/>
        <w:rPr>
          <w:sz w:val="22"/>
          <w:szCs w:val="22"/>
        </w:rPr>
      </w:pPr>
    </w:p>
    <w:p w14:paraId="4CF71082">
      <w:pPr>
        <w:pStyle w:val="2"/>
        <w:pBdr>
          <w:bottom w:val="single" w:color="1B2A4A" w:sz="12" w:space="4"/>
        </w:pBdr>
        <w:spacing w:before="480" w:after="240"/>
      </w:pPr>
      <w:r>
        <w:rPr>
          <w:b/>
          <w:bCs/>
          <w:color w:val="1B2A4A"/>
          <w:sz w:val="34"/>
          <w:szCs w:val="34"/>
        </w:rPr>
        <w:t>MODULE 2</w:t>
      </w:r>
    </w:p>
    <w:p w14:paraId="40AB8233">
      <w:pPr>
        <w:spacing w:after="300"/>
      </w:pPr>
      <w:r>
        <w:rPr>
          <w:b/>
          <w:bCs/>
          <w:color w:val="9A7B2E"/>
          <w:sz w:val="30"/>
          <w:szCs w:val="30"/>
        </w:rPr>
        <w:t>Timeframe Analysis</w:t>
      </w:r>
    </w:p>
    <w:p w14:paraId="650F3A1C">
      <w:pPr>
        <w:spacing w:after="160" w:line="288" w:lineRule="auto"/>
      </w:pPr>
      <w:r>
        <w:rPr>
          <w:b w:val="0"/>
          <w:bCs w:val="0"/>
          <w:i w:val="0"/>
          <w:iCs w:val="0"/>
          <w:sz w:val="22"/>
          <w:szCs w:val="22"/>
        </w:rPr>
        <w:t>Module 1 taught you how to read price structure on a single chart. Real ICT analysis, however, is never done on a single chart alone. This module introduces the idea that the same price history looks different — and reveals different information — depending on how much time is compressed into each candle.</w:t>
      </w:r>
    </w:p>
    <w:p w14:paraId="30EF8258">
      <w:pPr>
        <w:spacing w:after="160" w:line="288" w:lineRule="auto"/>
      </w:pPr>
      <w:r>
        <w:rPr>
          <w:b w:val="0"/>
          <w:bCs w:val="0"/>
          <w:i w:val="0"/>
          <w:iCs w:val="0"/>
          <w:sz w:val="22"/>
          <w:szCs w:val="22"/>
        </w:rPr>
        <w:t>You will learn what a higher timeframe is and what jobs it performs, what a lower timeframe is and what jobs it performs, the governing relationship between the two, and how to select a concrete set of timeframes to use in practice. This module assumes you are already comfortable identifying swing highs, swing lows, higher highs/lows, lower highs/lows, trend, and key support/resistance levels from Module 1 — every example here reuses those tools on higher- and lower-timeframe charts.</w:t>
      </w:r>
    </w:p>
    <w:p w14:paraId="6BEF0ED2">
      <w:pPr>
        <w:spacing w:after="160" w:line="288" w:lineRule="auto"/>
      </w:pPr>
      <w:r>
        <w:rPr>
          <w:b w:val="0"/>
          <w:bCs w:val="0"/>
          <w:i w:val="0"/>
          <w:iCs w:val="0"/>
          <w:sz w:val="22"/>
          <w:szCs w:val="22"/>
        </w:rPr>
        <w:t>Everything from Module 3 onward — market structure, liquidity, displacement, PD arrays, and the Buy/Sell Models — is applied on a specific timeframe, in the specific HTF-then-LTF order this module establishes. Skipping this module would leave later concepts feeling arbitrary rather than logically sequenced.</w:t>
      </w:r>
    </w:p>
    <w:p w14:paraId="4BFC3AF3">
      <w:r>
        <w:br w:type="page"/>
      </w:r>
    </w:p>
    <w:p w14:paraId="5F4BE709">
      <w:pPr>
        <w:pStyle w:val="2"/>
        <w:pBdr>
          <w:bottom w:val="single" w:color="1B2A4A" w:sz="12" w:space="4"/>
        </w:pBdr>
        <w:spacing w:before="480" w:after="240"/>
      </w:pPr>
      <w:r>
        <w:rPr>
          <w:b/>
          <w:bCs/>
          <w:color w:val="1B2A4A"/>
          <w:sz w:val="34"/>
          <w:szCs w:val="34"/>
        </w:rPr>
        <w:t>Higher Timeframe (HTF)</w:t>
      </w:r>
    </w:p>
    <w:p w14:paraId="5A9D6226">
      <w:pPr>
        <w:pStyle w:val="3"/>
        <w:spacing w:before="360" w:after="160"/>
      </w:pPr>
      <w:r>
        <w:rPr>
          <w:b/>
          <w:bCs/>
          <w:color w:val="1B2A4A"/>
          <w:sz w:val="26"/>
          <w:szCs w:val="26"/>
        </w:rPr>
        <w:t>1. Definition</w:t>
      </w:r>
    </w:p>
    <w:p w14:paraId="29B7D836">
      <w:pPr>
        <w:spacing w:after="160" w:line="288" w:lineRule="auto"/>
      </w:pPr>
      <w:r>
        <w:rPr>
          <w:b w:val="0"/>
          <w:bCs w:val="0"/>
          <w:i w:val="0"/>
          <w:iCs w:val="0"/>
          <w:sz w:val="22"/>
          <w:szCs w:val="22"/>
        </w:rPr>
        <w:t>A higher timeframe is any chart interval that aggregates more time into each candle than the chart a trader is using to place an entry — commonly the monthly, weekly, daily, 4-hour, or 1-hour chart within ICT's method — used to establish the dominant directional context.</w:t>
      </w:r>
    </w:p>
    <w:p w14:paraId="56F66D29">
      <w:pPr>
        <w:pStyle w:val="3"/>
        <w:spacing w:before="360" w:after="160"/>
      </w:pPr>
      <w:r>
        <w:rPr>
          <w:b/>
          <w:bCs/>
          <w:color w:val="1B2A4A"/>
          <w:sz w:val="26"/>
          <w:szCs w:val="26"/>
        </w:rPr>
        <w:t>2. ICT's Meaning</w:t>
      </w:r>
    </w:p>
    <w:p w14:paraId="0B959354">
      <w:pPr>
        <w:spacing w:after="160" w:line="288" w:lineRule="auto"/>
      </w:pPr>
      <w:r>
        <w:rPr>
          <w:b w:val="0"/>
          <w:bCs w:val="0"/>
          <w:i w:val="0"/>
          <w:iCs w:val="0"/>
          <w:sz w:val="22"/>
          <w:szCs w:val="22"/>
        </w:rPr>
        <w:t>Within ICT's top-down analysis framework, the higher timeframe is not a fixed chart interval — it is a role. Whatever chart is used to establish bias and identify the major structural levels and PD arrays that will govern the trading session is functioning as the HTF, relative to whichever chart is later used for entry.</w:t>
      </w:r>
    </w:p>
    <w:p w14:paraId="21EDCFE8">
      <w:pPr>
        <w:spacing w:after="160" w:line="288" w:lineRule="auto"/>
      </w:pPr>
      <w:r>
        <w:rPr>
          <w:b w:val="0"/>
          <w:bCs w:val="0"/>
          <w:i w:val="0"/>
          <w:iCs w:val="0"/>
          <w:sz w:val="22"/>
          <w:szCs w:val="22"/>
        </w:rPr>
        <w:t>ICT-focused teaching describes the higher timeframe as carrying interpretive authority over the lower timeframe: the narrative — the directional story of where price is likely to go — is established here first, and the lower timeframe is used only to refine timing within that narrative, not to override it.</w:t>
      </w:r>
    </w:p>
    <w:p w14:paraId="3E78828F">
      <w:pPr>
        <w:spacing w:after="160" w:line="288" w:lineRule="auto"/>
      </w:pPr>
      <w:r>
        <w:rPr>
          <w:b w:val="0"/>
          <w:bCs w:val="0"/>
          <w:i w:val="0"/>
          <w:iCs w:val="0"/>
          <w:sz w:val="22"/>
          <w:szCs w:val="22"/>
        </w:rPr>
        <w:t>Common ICT-associated HTF stacks include Monthly/Weekly/Daily for macro bias, and Daily/4-Hour for the operational bias used to plan a trading day or week.</w:t>
      </w:r>
    </w:p>
    <w:p w14:paraId="514F9C4D">
      <w:pPr>
        <w:pStyle w:val="3"/>
        <w:spacing w:before="360" w:after="160"/>
      </w:pPr>
      <w:r>
        <w:rPr>
          <w:b/>
          <w:bCs/>
          <w:color w:val="1B2A4A"/>
          <w:sz w:val="26"/>
          <w:szCs w:val="26"/>
        </w:rPr>
        <w:t>3. Beginner Explanation</w:t>
      </w:r>
    </w:p>
    <w:p w14:paraId="6BF05EC9">
      <w:pPr>
        <w:spacing w:after="160" w:line="288" w:lineRule="auto"/>
      </w:pPr>
      <w:r>
        <w:rPr>
          <w:b w:val="0"/>
          <w:bCs w:val="0"/>
          <w:i w:val="0"/>
          <w:iCs w:val="0"/>
          <w:sz w:val="22"/>
          <w:szCs w:val="22"/>
        </w:rPr>
        <w:t>Imagine looking at a city from an airplane versus walking down one street in it. From the airplane you can see the overall layout — which direction the roads generally run, where the river is, where downtown is. Walking down one street, you can see much more local detail — a specific pothole, a specific storefront — but you lose the overall layout.</w:t>
      </w:r>
    </w:p>
    <w:p w14:paraId="573AB66A">
      <w:pPr>
        <w:spacing w:after="160" w:line="288" w:lineRule="auto"/>
      </w:pPr>
      <w:r>
        <w:rPr>
          <w:b w:val="0"/>
          <w:bCs w:val="0"/>
          <w:i w:val="0"/>
          <w:iCs w:val="0"/>
          <w:sz w:val="22"/>
          <w:szCs w:val="22"/>
        </w:rPr>
        <w:t>A higher timeframe chart is the airplane view. Each candle on a daily chart, for example, represents an entire day's worth of price movement compressed into one bar, letting you see the big picture without getting lost in every small fluctuation.</w:t>
      </w:r>
    </w:p>
    <w:p w14:paraId="4F387233">
      <w:pPr>
        <w:pStyle w:val="3"/>
        <w:spacing w:before="360" w:after="160"/>
      </w:pPr>
      <w:r>
        <w:rPr>
          <w:b/>
          <w:bCs/>
          <w:color w:val="1B2A4A"/>
          <w:sz w:val="26"/>
          <w:szCs w:val="26"/>
        </w:rPr>
        <w:t>4. How to Identify It</w:t>
      </w:r>
    </w:p>
    <w:p w14:paraId="3400692F">
      <w:pPr>
        <w:pStyle w:val="16"/>
        <w:numPr>
          <w:ilvl w:val="0"/>
          <w:numId w:val="1"/>
        </w:numPr>
        <w:spacing w:after="80" w:line="276" w:lineRule="auto"/>
      </w:pPr>
      <w:r>
        <w:rPr>
          <w:sz w:val="22"/>
          <w:szCs w:val="22"/>
        </w:rPr>
        <w:t>Open a chart and set the interval to a larger unit of time than the one you intend to use for entries (for example, Daily if your entry chart will be 15-minute).</w:t>
      </w:r>
    </w:p>
    <w:p w14:paraId="3EB214D9">
      <w:pPr>
        <w:pStyle w:val="16"/>
        <w:numPr>
          <w:ilvl w:val="0"/>
          <w:numId w:val="1"/>
        </w:numPr>
        <w:spacing w:after="80" w:line="276" w:lineRule="auto"/>
      </w:pPr>
      <w:r>
        <w:rPr>
          <w:sz w:val="22"/>
          <w:szCs w:val="22"/>
        </w:rPr>
        <w:t>Confirm this chart shows meaningfully fewer, more compressed candles covering a longer overall period than your entry chart.</w:t>
      </w:r>
    </w:p>
    <w:p w14:paraId="67BFD041">
      <w:pPr>
        <w:pStyle w:val="16"/>
        <w:numPr>
          <w:ilvl w:val="0"/>
          <w:numId w:val="1"/>
        </w:numPr>
        <w:spacing w:after="80" w:line="276" w:lineRule="auto"/>
      </w:pPr>
      <w:r>
        <w:rPr>
          <w:sz w:val="22"/>
          <w:szCs w:val="22"/>
        </w:rPr>
        <w:t>Use this chart specifically to map swing highs/lows, trend, and key levels (Module 1) before looking at any smaller chart.</w:t>
      </w:r>
    </w:p>
    <w:p w14:paraId="771E1F79">
      <w:pPr>
        <w:pStyle w:val="16"/>
        <w:numPr>
          <w:ilvl w:val="0"/>
          <w:numId w:val="1"/>
        </w:numPr>
        <w:spacing w:after="80" w:line="276" w:lineRule="auto"/>
      </w:pPr>
      <w:r>
        <w:rPr>
          <w:sz w:val="22"/>
          <w:szCs w:val="22"/>
        </w:rPr>
        <w:t>Treat whatever conclusions this chart produces as the standing context that any lower-timeframe chart must not be allowed to override.</w:t>
      </w:r>
    </w:p>
    <w:p w14:paraId="36C9542F">
      <w:pPr>
        <w:pStyle w:val="3"/>
        <w:spacing w:before="360" w:after="160"/>
      </w:pPr>
      <w:r>
        <w:rPr>
          <w:b/>
          <w:bCs/>
          <w:color w:val="1B2A4A"/>
          <w:sz w:val="26"/>
          <w:szCs w:val="26"/>
        </w:rPr>
        <w:t>5. Simple Price Example</w:t>
      </w:r>
    </w:p>
    <w:p w14:paraId="1B0A7D6C">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Daily candles: 100 → 108 → 104 → 115 (four daily candles show a clear uptrend)</w:t>
      </w:r>
    </w:p>
    <w:p w14:paraId="7F2E7C45">
      <w:pPr>
        <w:spacing w:after="160" w:line="288" w:lineRule="auto"/>
      </w:pPr>
      <w:r>
        <w:rPr>
          <w:b w:val="0"/>
          <w:bCs w:val="0"/>
          <w:i w:val="0"/>
          <w:iCs w:val="0"/>
          <w:sz w:val="22"/>
          <w:szCs w:val="22"/>
        </w:rPr>
        <w:t>Each of these four values represents one full day of trading compressed into a single data point. Viewed on a daily chart, this simple sequence already shows higher highs and higher lows — a bullish structure — without needing to examine what happened hour by hour within each day.</w:t>
      </w:r>
    </w:p>
    <w:p w14:paraId="11E263B7">
      <w:pPr>
        <w:spacing w:after="160" w:line="288" w:lineRule="auto"/>
      </w:pPr>
      <w:r>
        <w:rPr>
          <w:b w:val="0"/>
          <w:bCs w:val="0"/>
          <w:i w:val="0"/>
          <w:iCs w:val="0"/>
          <w:sz w:val="22"/>
          <w:szCs w:val="22"/>
        </w:rPr>
        <w:t>This daily-level conclusion (bullish) becomes the higher-timeframe context that a trader would carry into a smaller chart later in the day.</w:t>
      </w:r>
    </w:p>
    <w:p w14:paraId="0E2D7C3A">
      <w:pPr>
        <w:pStyle w:val="3"/>
        <w:spacing w:before="360" w:after="160"/>
      </w:pPr>
      <w:r>
        <w:rPr>
          <w:b/>
          <w:bCs/>
          <w:color w:val="1B2A4A"/>
          <w:sz w:val="26"/>
          <w:szCs w:val="26"/>
        </w:rPr>
        <w:t>6. What It Tells the Trader</w:t>
      </w:r>
    </w:p>
    <w:p w14:paraId="6B93309B">
      <w:pPr>
        <w:spacing w:after="160" w:line="288" w:lineRule="auto"/>
      </w:pPr>
      <w:r>
        <w:rPr>
          <w:b w:val="0"/>
          <w:bCs w:val="0"/>
          <w:i w:val="0"/>
          <w:iCs w:val="0"/>
          <w:sz w:val="22"/>
          <w:szCs w:val="22"/>
        </w:rPr>
        <w:t>The higher timeframe tells the trader the dominant directional bias and the location of the most significant support/resistance, liquidity, and PD-array levels — the levels most likely to matter enough to change price behavior meaningfully when reached.</w:t>
      </w:r>
    </w:p>
    <w:p w14:paraId="4068E62C">
      <w:pPr>
        <w:spacing w:after="160" w:line="288" w:lineRule="auto"/>
      </w:pPr>
      <w:r>
        <w:rPr>
          <w:b w:val="0"/>
          <w:bCs w:val="0"/>
          <w:i w:val="0"/>
          <w:iCs w:val="0"/>
          <w:sz w:val="22"/>
          <w:szCs w:val="22"/>
        </w:rPr>
        <w:t>It does not tell the trader the exact moment or price to enter a trade — that refinement is the job of the lower timeframe (see next concept).</w:t>
      </w:r>
    </w:p>
    <w:p w14:paraId="17E418BF">
      <w:pPr>
        <w:pStyle w:val="3"/>
        <w:spacing w:before="360" w:after="160"/>
      </w:pPr>
      <w:r>
        <w:rPr>
          <w:b/>
          <w:bCs/>
          <w:color w:val="1B2A4A"/>
          <w:sz w:val="26"/>
          <w:szCs w:val="26"/>
        </w:rPr>
        <w:t>7. What It Is Commonly Paired With</w:t>
      </w:r>
    </w:p>
    <w:p w14:paraId="799F00B2">
      <w:pPr>
        <w:pStyle w:val="16"/>
        <w:numPr>
          <w:ilvl w:val="0"/>
          <w:numId w:val="2"/>
        </w:numPr>
        <w:spacing w:after="80" w:line="276" w:lineRule="auto"/>
      </w:pPr>
      <w:r>
        <w:rPr>
          <w:sz w:val="22"/>
          <w:szCs w:val="22"/>
        </w:rPr>
        <w:t>Lower timeframe</w:t>
      </w:r>
    </w:p>
    <w:p w14:paraId="65B14091">
      <w:pPr>
        <w:pStyle w:val="16"/>
        <w:numPr>
          <w:ilvl w:val="0"/>
          <w:numId w:val="2"/>
        </w:numPr>
        <w:spacing w:after="80" w:line="276" w:lineRule="auto"/>
      </w:pPr>
      <w:r>
        <w:rPr>
          <w:sz w:val="22"/>
          <w:szCs w:val="22"/>
        </w:rPr>
        <w:t>Daily bias (Module 10)</w:t>
      </w:r>
    </w:p>
    <w:p w14:paraId="7DB6EDCB">
      <w:pPr>
        <w:pStyle w:val="16"/>
        <w:numPr>
          <w:ilvl w:val="0"/>
          <w:numId w:val="2"/>
        </w:numPr>
        <w:spacing w:after="80" w:line="276" w:lineRule="auto"/>
      </w:pPr>
      <w:r>
        <w:rPr>
          <w:sz w:val="22"/>
          <w:szCs w:val="22"/>
        </w:rPr>
        <w:t>PD Arrays (Module 6)</w:t>
      </w:r>
    </w:p>
    <w:p w14:paraId="6FC070F1">
      <w:pPr>
        <w:spacing w:after="160" w:line="288" w:lineRule="auto"/>
      </w:pPr>
      <w:r>
        <w:rPr>
          <w:b w:val="0"/>
          <w:bCs w:val="0"/>
          <w:i w:val="0"/>
          <w:iCs w:val="0"/>
          <w:sz w:val="22"/>
          <w:szCs w:val="22"/>
        </w:rPr>
        <w:t>The higher timeframe is meaningless in isolation within ICT's method — it exists specifically to be paired with, and to govern, a lower timeframe used for execution. It is also where major PD arrays (order blocks, FVGs) are first mapped before being refined on smaller charts.</w:t>
      </w:r>
    </w:p>
    <w:p w14:paraId="01F75FBD">
      <w:pPr>
        <w:pStyle w:val="3"/>
        <w:spacing w:before="360" w:after="160"/>
      </w:pPr>
      <w:r>
        <w:rPr>
          <w:b/>
          <w:bCs/>
          <w:color w:val="1B2A4A"/>
          <w:sz w:val="26"/>
          <w:szCs w:val="26"/>
        </w:rPr>
        <w:t>8. Where It Fits in the ICT Framework</w:t>
      </w:r>
    </w:p>
    <w:p w14:paraId="2476D18E">
      <w:pPr>
        <w:spacing w:after="160" w:line="288" w:lineRule="auto"/>
      </w:pPr>
      <w:r>
        <w:rPr>
          <w:b w:val="0"/>
          <w:bCs w:val="0"/>
          <w:i w:val="0"/>
          <w:iCs w:val="0"/>
          <w:sz w:val="22"/>
          <w:szCs w:val="22"/>
        </w:rPr>
        <w:t>Comes before: Requires Module 1 (Price Fundamentals) — you need to already know how to read swing highs, lows, and trend before applying them to a higher-timeframe chart.</w:t>
      </w:r>
    </w:p>
    <w:p w14:paraId="4A6CAEA3">
      <w:pPr>
        <w:spacing w:after="160" w:line="288" w:lineRule="auto"/>
      </w:pPr>
      <w:r>
        <w:rPr>
          <w:b w:val="0"/>
          <w:bCs w:val="0"/>
          <w:i w:val="0"/>
          <w:iCs w:val="0"/>
          <w:sz w:val="22"/>
          <w:szCs w:val="22"/>
        </w:rPr>
        <w:t>Comes after: Feeds into Lower Timeframe, the HTF/LTF Relationship, and later into Daily Bias (Module 10).</w:t>
      </w:r>
    </w:p>
    <w:p w14:paraId="55B3FC0B">
      <w:pPr>
        <w:pStyle w:val="3"/>
        <w:spacing w:before="360" w:after="160"/>
      </w:pPr>
      <w:r>
        <w:rPr>
          <w:b/>
          <w:bCs/>
          <w:color w:val="1B2A4A"/>
          <w:sz w:val="26"/>
          <w:szCs w:val="26"/>
        </w:rPr>
        <w:t>9. Beginner Mistakes</w:t>
      </w:r>
    </w:p>
    <w:p w14:paraId="5BCAAA59">
      <w:pPr>
        <w:pStyle w:val="16"/>
        <w:numPr>
          <w:ilvl w:val="0"/>
          <w:numId w:val="2"/>
        </w:numPr>
        <w:spacing w:after="80" w:line="276" w:lineRule="auto"/>
      </w:pPr>
      <w:r>
        <w:rPr>
          <w:sz w:val="22"/>
          <w:szCs w:val="22"/>
        </w:rPr>
        <w:t>Assuming a single fixed chart interval (like "the daily") is always the higher timeframe in every situation, rather than understanding it as a relative role.</w:t>
      </w:r>
    </w:p>
    <w:p w14:paraId="65A3B74C">
      <w:pPr>
        <w:pStyle w:val="16"/>
        <w:numPr>
          <w:ilvl w:val="0"/>
          <w:numId w:val="2"/>
        </w:numPr>
        <w:spacing w:after="80" w:line="276" w:lineRule="auto"/>
      </w:pPr>
      <w:r>
        <w:rPr>
          <w:sz w:val="22"/>
          <w:szCs w:val="22"/>
        </w:rPr>
        <w:t>Skipping HTF analysis entirely and jumping straight to a small chart for entries.</w:t>
      </w:r>
    </w:p>
    <w:p w14:paraId="681C20CA">
      <w:pPr>
        <w:pStyle w:val="16"/>
        <w:numPr>
          <w:ilvl w:val="0"/>
          <w:numId w:val="2"/>
        </w:numPr>
        <w:spacing w:after="80" w:line="276" w:lineRule="auto"/>
      </w:pPr>
      <w:r>
        <w:rPr>
          <w:sz w:val="22"/>
          <w:szCs w:val="22"/>
        </w:rPr>
        <w:t>Reading HTF structure once and never revisiting it as new candles close.</w:t>
      </w:r>
    </w:p>
    <w:p w14:paraId="0FDDAD0F">
      <w:pPr>
        <w:pStyle w:val="3"/>
        <w:spacing w:before="360" w:after="160"/>
      </w:pPr>
      <w:r>
        <w:rPr>
          <w:b/>
          <w:bCs/>
          <w:color w:val="1B2A4A"/>
          <w:sz w:val="26"/>
          <w:szCs w:val="26"/>
        </w:rPr>
        <w:t>10. Important Qualification</w:t>
      </w:r>
    </w:p>
    <w:p w14:paraId="5BC251F9">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 higher timeframe read is not a guarantee of future direction — it is the most reliable available context, not a certainty. HTF bias can and does change as new HTF candles close and new structure forms; it is not fixed for all time once determined.</w:t>
      </w:r>
    </w:p>
    <w:p w14:paraId="2BDD4F95">
      <w:pPr>
        <w:pStyle w:val="3"/>
        <w:spacing w:before="360" w:after="160"/>
      </w:pPr>
      <w:r>
        <w:rPr>
          <w:b/>
          <w:bCs/>
          <w:color w:val="1B2A4A"/>
          <w:sz w:val="26"/>
          <w:szCs w:val="26"/>
        </w:rPr>
        <w:t>11. Source</w:t>
      </w:r>
    </w:p>
    <w:p w14:paraId="54B688AD"/>
    <w:p w14:paraId="1DC137C2">
      <w:pPr>
        <w:pStyle w:val="16"/>
        <w:numPr>
          <w:ilvl w:val="0"/>
          <w:numId w:val="2"/>
        </w:numPr>
        <w:spacing w:after="80" w:line="276" w:lineRule="auto"/>
      </w:pPr>
      <w:r>
        <w:rPr>
          <w:sz w:val="22"/>
          <w:szCs w:val="22"/>
        </w:rPr>
        <w:t>opofinance.com — "7 Steps to Master ICT Top-Down Analysis."</w:t>
      </w:r>
    </w:p>
    <w:p w14:paraId="6EA3E325">
      <w:pPr>
        <w:pStyle w:val="16"/>
        <w:numPr>
          <w:ilvl w:val="0"/>
          <w:numId w:val="2"/>
        </w:numPr>
        <w:spacing w:after="80" w:line="276" w:lineRule="auto"/>
      </w:pPr>
      <w:r>
        <w:rPr>
          <w:sz w:val="22"/>
          <w:szCs w:val="22"/>
        </w:rPr>
        <w:t>tradingfinder.com — "Choose Timeframe in ICT - Top-Down Market Analysis" and "ICT Timeframe Selection – Advanced ICT Structure Analysis."</w:t>
      </w:r>
    </w:p>
    <w:p w14:paraId="65140B4D">
      <w:pPr>
        <w:pStyle w:val="16"/>
        <w:numPr>
          <w:ilvl w:val="0"/>
          <w:numId w:val="2"/>
        </w:numPr>
        <w:spacing w:after="80" w:line="276" w:lineRule="auto"/>
      </w:pPr>
      <w:r>
        <w:rPr>
          <w:sz w:val="22"/>
          <w:szCs w:val="22"/>
        </w:rPr>
        <w:t>chartinglens.com — "ICT Trading Strategy: The Complete Guide to Inner Circle Trader Concepts."</w:t>
      </w:r>
    </w:p>
    <w:p w14:paraId="4FA623B6">
      <w:pPr>
        <w:pBdr>
          <w:left w:val="single" w:color="9A7B2E" w:sz="24" w:space="8"/>
        </w:pBdr>
        <w:shd w:val="clear" w:fill="EFEFEF"/>
        <w:spacing w:before="160" w:after="200"/>
        <w:ind w:left="200"/>
      </w:pPr>
      <w:r>
        <w:rPr>
          <w:b/>
          <w:bCs/>
          <w:color w:val="9A7B2E"/>
          <w:sz w:val="21"/>
          <w:szCs w:val="21"/>
        </w:rPr>
        <w:t xml:space="preserve">Community interpretation: </w:t>
      </w:r>
      <w:r>
        <w:rPr>
          <w:sz w:val="21"/>
          <w:szCs w:val="21"/>
        </w:rPr>
        <w:t>The framing of HTF/LTF as "relative roles" rather than fixed chart intervals is a reasonable, well-corroborated inference drawn from how ICT-focused sources consistently describe the method across different trading styles (scalping vs. swing trading), rather than a single verbatim ICT quotation confirmed in this research pass.</w:t>
      </w:r>
    </w:p>
    <w:p w14:paraId="1E0B60C2">
      <w:r>
        <w:br w:type="page"/>
      </w:r>
    </w:p>
    <w:p w14:paraId="08B3710E">
      <w:pPr>
        <w:pStyle w:val="2"/>
        <w:pBdr>
          <w:bottom w:val="single" w:color="1B2A4A" w:sz="12" w:space="4"/>
        </w:pBdr>
        <w:spacing w:before="480" w:after="240"/>
      </w:pPr>
      <w:r>
        <w:rPr>
          <w:b/>
          <w:bCs/>
          <w:color w:val="1B2A4A"/>
          <w:sz w:val="34"/>
          <w:szCs w:val="34"/>
        </w:rPr>
        <w:t>Higher-Timeframe Uses</w:t>
      </w:r>
    </w:p>
    <w:p w14:paraId="3CDA8096">
      <w:pPr>
        <w:pStyle w:val="3"/>
        <w:spacing w:before="360" w:after="160"/>
      </w:pPr>
      <w:r>
        <w:rPr>
          <w:b/>
          <w:bCs/>
          <w:color w:val="1B2A4A"/>
          <w:sz w:val="26"/>
          <w:szCs w:val="26"/>
        </w:rPr>
        <w:t>1. Definition</w:t>
      </w:r>
    </w:p>
    <w:p w14:paraId="0494A8AD">
      <w:pPr>
        <w:spacing w:after="160" w:line="288" w:lineRule="auto"/>
      </w:pPr>
      <w:r>
        <w:rPr>
          <w:b w:val="0"/>
          <w:bCs w:val="0"/>
          <w:i w:val="0"/>
          <w:iCs w:val="0"/>
          <w:sz w:val="22"/>
          <w:szCs w:val="22"/>
        </w:rPr>
        <w:t>The specific analytical jobs a higher timeframe chart performs within ICT's method: establishing directional bias, marking major structural levels, and identifying the significant liquidity pools and PD arrays that a lower timeframe will later trade around.</w:t>
      </w:r>
    </w:p>
    <w:p w14:paraId="3456EDA7">
      <w:pPr>
        <w:pStyle w:val="3"/>
        <w:spacing w:before="360" w:after="160"/>
      </w:pPr>
      <w:r>
        <w:rPr>
          <w:b/>
          <w:bCs/>
          <w:color w:val="1B2A4A"/>
          <w:sz w:val="26"/>
          <w:szCs w:val="26"/>
        </w:rPr>
        <w:t>2. ICT's Meaning</w:t>
      </w:r>
    </w:p>
    <w:p w14:paraId="74044773">
      <w:pPr>
        <w:spacing w:after="160" w:line="288" w:lineRule="auto"/>
      </w:pPr>
      <w:r>
        <w:rPr>
          <w:b w:val="0"/>
          <w:bCs w:val="0"/>
          <w:i w:val="0"/>
          <w:iCs w:val="0"/>
          <w:sz w:val="22"/>
          <w:szCs w:val="22"/>
        </w:rPr>
        <w:t>ICT-focused teaching consistently assigns the higher timeframe three jobs: (1) determine whether the market is bullish, bearish, or ranging; (2) mark the levels that matter most — previous day/week/month highs and lows, key swing points, and unfilled PD arrays; and (3) identify the higher-timeframe "draw on liquidity" — the level price appears to be gravitating toward.</w:t>
      </w:r>
    </w:p>
    <w:p w14:paraId="337DB446">
      <w:pPr>
        <w:spacing w:after="160" w:line="288" w:lineRule="auto"/>
      </w:pPr>
      <w:r>
        <w:rPr>
          <w:b w:val="0"/>
          <w:bCs w:val="0"/>
          <w:i w:val="0"/>
          <w:iCs w:val="0"/>
          <w:sz w:val="22"/>
          <w:szCs w:val="22"/>
        </w:rPr>
        <w:t>A widely used ICT-associated heuristic (sometimes called the "magnet rule" in secondary material) holds that price is expected to reach a significant higher-timeframe PD array or liquidity pool before a major narrative shift is considered likely — meaning HTF analysis is also used to judge whether a current lower-timeframe move is likely exhausted or still has room to run toward its HTF target.</w:t>
      </w:r>
    </w:p>
    <w:p w14:paraId="46566E22">
      <w:pPr>
        <w:pStyle w:val="3"/>
        <w:spacing w:before="360" w:after="160"/>
      </w:pPr>
      <w:r>
        <w:rPr>
          <w:b/>
          <w:bCs/>
          <w:color w:val="1B2A4A"/>
          <w:sz w:val="26"/>
          <w:szCs w:val="26"/>
        </w:rPr>
        <w:t>3. Beginner Explanation</w:t>
      </w:r>
    </w:p>
    <w:p w14:paraId="2B32B1AA">
      <w:pPr>
        <w:spacing w:after="160" w:line="288" w:lineRule="auto"/>
      </w:pPr>
      <w:r>
        <w:rPr>
          <w:b w:val="0"/>
          <w:bCs w:val="0"/>
          <w:i w:val="0"/>
          <w:iCs w:val="0"/>
          <w:sz w:val="22"/>
          <w:szCs w:val="22"/>
        </w:rPr>
        <w:t>Think of the higher timeframe as doing the planning stage of a trip: deciding which city you are headed to and marking the major landmarks along the way, before you zoom into a street map to figure out the exact turns.</w:t>
      </w:r>
    </w:p>
    <w:p w14:paraId="516A9811">
      <w:pPr>
        <w:pStyle w:val="3"/>
        <w:spacing w:before="360" w:after="160"/>
      </w:pPr>
      <w:r>
        <w:rPr>
          <w:b/>
          <w:bCs/>
          <w:color w:val="1B2A4A"/>
          <w:sz w:val="26"/>
          <w:szCs w:val="26"/>
        </w:rPr>
        <w:t>4. How to Identify It</w:t>
      </w:r>
    </w:p>
    <w:p w14:paraId="3A3EDC04">
      <w:pPr>
        <w:pStyle w:val="16"/>
        <w:numPr>
          <w:ilvl w:val="0"/>
          <w:numId w:val="1"/>
        </w:numPr>
        <w:spacing w:after="80" w:line="276" w:lineRule="auto"/>
      </w:pPr>
      <w:r>
        <w:rPr>
          <w:sz w:val="22"/>
          <w:szCs w:val="22"/>
        </w:rPr>
        <w:t>On the higher timeframe chart, mark the current trend using the swing-point method from Module 1.</w:t>
      </w:r>
    </w:p>
    <w:p w14:paraId="2D10E30E">
      <w:pPr>
        <w:pStyle w:val="16"/>
        <w:numPr>
          <w:ilvl w:val="0"/>
          <w:numId w:val="1"/>
        </w:numPr>
        <w:spacing w:after="80" w:line="276" w:lineRule="auto"/>
      </w:pPr>
      <w:r>
        <w:rPr>
          <w:sz w:val="22"/>
          <w:szCs w:val="22"/>
        </w:rPr>
        <w:t>Mark the most recent significant highs and lows (previous day, week, or month, depending on which HTF you are using).</w:t>
      </w:r>
    </w:p>
    <w:p w14:paraId="75EB06DB">
      <w:pPr>
        <w:pStyle w:val="16"/>
        <w:numPr>
          <w:ilvl w:val="0"/>
          <w:numId w:val="1"/>
        </w:numPr>
        <w:spacing w:after="80" w:line="276" w:lineRule="auto"/>
      </w:pPr>
      <w:r>
        <w:rPr>
          <w:sz w:val="22"/>
          <w:szCs w:val="22"/>
        </w:rPr>
        <w:t>Note any large, unfilled gaps or reaction zones on this chart (these will be formally defined in Modules 5–6 as Fair Value Gaps and Order Blocks).</w:t>
      </w:r>
    </w:p>
    <w:p w14:paraId="04175B27">
      <w:pPr>
        <w:pStyle w:val="16"/>
        <w:numPr>
          <w:ilvl w:val="0"/>
          <w:numId w:val="1"/>
        </w:numPr>
        <w:spacing w:after="80" w:line="276" w:lineRule="auto"/>
      </w:pPr>
      <w:r>
        <w:rPr>
          <w:sz w:val="22"/>
          <w:szCs w:val="22"/>
        </w:rPr>
        <w:t>Identify which of these levels price appears to be moving toward — this becomes the higher-timeframe "target" context for later liquidity analysis (Module 4).</w:t>
      </w:r>
    </w:p>
    <w:p w14:paraId="1B81898E">
      <w:pPr>
        <w:pStyle w:val="3"/>
        <w:spacing w:before="360" w:after="160"/>
      </w:pPr>
      <w:r>
        <w:rPr>
          <w:b/>
          <w:bCs/>
          <w:color w:val="1B2A4A"/>
          <w:sz w:val="26"/>
          <w:szCs w:val="26"/>
        </w:rPr>
        <w:t>5. Simple Price Example</w:t>
      </w:r>
    </w:p>
    <w:p w14:paraId="242736DF">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Daily chart: current price 100, unfilled daily-level gap at 108, previous week's high at 115</w:t>
      </w:r>
    </w:p>
    <w:p w14:paraId="3C7F3BA7">
      <w:pPr>
        <w:spacing w:after="160" w:line="288" w:lineRule="auto"/>
      </w:pPr>
      <w:r>
        <w:rPr>
          <w:b w:val="0"/>
          <w:bCs w:val="0"/>
          <w:i w:val="0"/>
          <w:iCs w:val="0"/>
          <w:sz w:val="22"/>
          <w:szCs w:val="22"/>
        </w:rPr>
        <w:t>A trader reading this daily chart would note two higher-timeframe reference points above current price: the gap at 108 and the prior week's high at 115. Both become candidates for where price may be headed next, information the trader would not have if only looking at a 5-minute chart near 100.</w:t>
      </w:r>
    </w:p>
    <w:p w14:paraId="2266C2CB">
      <w:pPr>
        <w:pStyle w:val="3"/>
        <w:spacing w:before="360" w:after="160"/>
      </w:pPr>
      <w:r>
        <w:rPr>
          <w:b/>
          <w:bCs/>
          <w:color w:val="1B2A4A"/>
          <w:sz w:val="26"/>
          <w:szCs w:val="26"/>
        </w:rPr>
        <w:t>6. What It Tells the Trader</w:t>
      </w:r>
    </w:p>
    <w:p w14:paraId="2973790C">
      <w:pPr>
        <w:spacing w:after="160" w:line="288" w:lineRule="auto"/>
      </w:pPr>
      <w:r>
        <w:rPr>
          <w:b w:val="0"/>
          <w:bCs w:val="0"/>
          <w:i w:val="0"/>
          <w:iCs w:val="0"/>
          <w:sz w:val="22"/>
          <w:szCs w:val="22"/>
        </w:rPr>
        <w:t>It tells the trader which price levels are significant enough to matter at the higher-timeframe level, giving a map of probable destinations and turning points before the trading day or week begins.</w:t>
      </w:r>
    </w:p>
    <w:p w14:paraId="476BC9B4">
      <w:pPr>
        <w:spacing w:after="160" w:line="288" w:lineRule="auto"/>
      </w:pPr>
      <w:r>
        <w:rPr>
          <w:b w:val="0"/>
          <w:bCs w:val="0"/>
          <w:i w:val="0"/>
          <w:iCs w:val="0"/>
          <w:sz w:val="22"/>
          <w:szCs w:val="22"/>
        </w:rPr>
        <w:t>It does not tell the trader that price will reach every marked level on any particular day, or in a straight line.</w:t>
      </w:r>
    </w:p>
    <w:p w14:paraId="6EFA013F">
      <w:pPr>
        <w:pStyle w:val="3"/>
        <w:spacing w:before="360" w:after="160"/>
      </w:pPr>
      <w:r>
        <w:rPr>
          <w:b/>
          <w:bCs/>
          <w:color w:val="1B2A4A"/>
          <w:sz w:val="26"/>
          <w:szCs w:val="26"/>
        </w:rPr>
        <w:t>7. What It Is Commonly Paired With</w:t>
      </w:r>
    </w:p>
    <w:p w14:paraId="3CC944FD">
      <w:pPr>
        <w:pStyle w:val="16"/>
        <w:numPr>
          <w:ilvl w:val="0"/>
          <w:numId w:val="2"/>
        </w:numPr>
        <w:spacing w:after="80" w:line="276" w:lineRule="auto"/>
      </w:pPr>
      <w:r>
        <w:rPr>
          <w:sz w:val="22"/>
          <w:szCs w:val="22"/>
        </w:rPr>
        <w:t>Daily Bias (Module 10)</w:t>
      </w:r>
    </w:p>
    <w:p w14:paraId="1412BFA6">
      <w:pPr>
        <w:pStyle w:val="16"/>
        <w:numPr>
          <w:ilvl w:val="0"/>
          <w:numId w:val="2"/>
        </w:numPr>
        <w:spacing w:after="80" w:line="276" w:lineRule="auto"/>
      </w:pPr>
      <w:r>
        <w:rPr>
          <w:sz w:val="22"/>
          <w:szCs w:val="22"/>
        </w:rPr>
        <w:t>Liquidity Pools (Module 4)</w:t>
      </w:r>
    </w:p>
    <w:p w14:paraId="11EFCEF1">
      <w:pPr>
        <w:pStyle w:val="16"/>
        <w:numPr>
          <w:ilvl w:val="0"/>
          <w:numId w:val="2"/>
        </w:numPr>
        <w:spacing w:after="80" w:line="276" w:lineRule="auto"/>
      </w:pPr>
      <w:r>
        <w:rPr>
          <w:sz w:val="22"/>
          <w:szCs w:val="22"/>
        </w:rPr>
        <w:t>PD Arrays (Module 6)</w:t>
      </w:r>
    </w:p>
    <w:p w14:paraId="26C33FB2">
      <w:pPr>
        <w:spacing w:after="160" w:line="288" w:lineRule="auto"/>
      </w:pPr>
      <w:r>
        <w:rPr>
          <w:b w:val="0"/>
          <w:bCs w:val="0"/>
          <w:i w:val="0"/>
          <w:iCs w:val="0"/>
          <w:sz w:val="22"/>
          <w:szCs w:val="22"/>
        </w:rPr>
        <w:t>HTF analysis is the direct input into forming a daily bias, and the levels it marks become the liquidity pools and PD arrays that later modules teach how to trade around.</w:t>
      </w:r>
    </w:p>
    <w:p w14:paraId="5EB8B707">
      <w:pPr>
        <w:pStyle w:val="3"/>
        <w:spacing w:before="360" w:after="160"/>
      </w:pPr>
      <w:r>
        <w:rPr>
          <w:b/>
          <w:bCs/>
          <w:color w:val="1B2A4A"/>
          <w:sz w:val="26"/>
          <w:szCs w:val="26"/>
        </w:rPr>
        <w:t>8. Where It Fits in the ICT Framework</w:t>
      </w:r>
    </w:p>
    <w:p w14:paraId="119F6A67">
      <w:pPr>
        <w:spacing w:after="160" w:line="288" w:lineRule="auto"/>
      </w:pPr>
      <w:r>
        <w:rPr>
          <w:b w:val="0"/>
          <w:bCs w:val="0"/>
          <w:i w:val="0"/>
          <w:iCs w:val="0"/>
          <w:sz w:val="22"/>
          <w:szCs w:val="22"/>
        </w:rPr>
        <w:t>Comes before: Requires Higher Timeframe.</w:t>
      </w:r>
    </w:p>
    <w:p w14:paraId="31353244">
      <w:pPr>
        <w:spacing w:after="160" w:line="288" w:lineRule="auto"/>
      </w:pPr>
      <w:r>
        <w:rPr>
          <w:b w:val="0"/>
          <w:bCs w:val="0"/>
          <w:i w:val="0"/>
          <w:iCs w:val="0"/>
          <w:sz w:val="22"/>
          <w:szCs w:val="22"/>
        </w:rPr>
        <w:t>Comes after: Feeds into Lower-Timeframe Uses and the HTF/LTF Relationship.</w:t>
      </w:r>
    </w:p>
    <w:p w14:paraId="3255C040">
      <w:pPr>
        <w:pStyle w:val="3"/>
        <w:spacing w:before="360" w:after="160"/>
      </w:pPr>
      <w:r>
        <w:rPr>
          <w:b/>
          <w:bCs/>
          <w:color w:val="1B2A4A"/>
          <w:sz w:val="26"/>
          <w:szCs w:val="26"/>
        </w:rPr>
        <w:t>9. Beginner Mistakes</w:t>
      </w:r>
    </w:p>
    <w:p w14:paraId="17B287B1">
      <w:pPr>
        <w:pStyle w:val="16"/>
        <w:numPr>
          <w:ilvl w:val="0"/>
          <w:numId w:val="2"/>
        </w:numPr>
        <w:spacing w:after="80" w:line="276" w:lineRule="auto"/>
      </w:pPr>
      <w:r>
        <w:rPr>
          <w:sz w:val="22"/>
          <w:szCs w:val="22"/>
        </w:rPr>
        <w:t>Marking too many levels on the HTF chart, diluting focus from the ones that matter most.</w:t>
      </w:r>
    </w:p>
    <w:p w14:paraId="2BF6B16F">
      <w:pPr>
        <w:pStyle w:val="16"/>
        <w:numPr>
          <w:ilvl w:val="0"/>
          <w:numId w:val="2"/>
        </w:numPr>
        <w:spacing w:after="80" w:line="276" w:lineRule="auto"/>
      </w:pPr>
      <w:r>
        <w:rPr>
          <w:sz w:val="22"/>
          <w:szCs w:val="22"/>
        </w:rPr>
        <w:t>Forgetting to revisit HTF analysis regularly as price evolves and new candles close.</w:t>
      </w:r>
    </w:p>
    <w:p w14:paraId="5B13A3E9">
      <w:pPr>
        <w:pStyle w:val="3"/>
        <w:spacing w:before="360" w:after="160"/>
      </w:pPr>
      <w:r>
        <w:rPr>
          <w:b/>
          <w:bCs/>
          <w:color w:val="1B2A4A"/>
          <w:sz w:val="26"/>
          <w:szCs w:val="26"/>
        </w:rPr>
        <w:t>10. Important Qualification</w:t>
      </w:r>
    </w:p>
    <w:p w14:paraId="3CBC2D33">
      <w:pPr>
        <w:pBdr>
          <w:left w:val="single" w:color="7A2E2E" w:sz="24" w:space="8"/>
        </w:pBdr>
        <w:shd w:val="clear" w:fill="EFEFEF"/>
        <w:spacing w:before="160" w:after="200"/>
        <w:ind w:left="200"/>
      </w:pPr>
      <w:r>
        <w:rPr>
          <w:b/>
          <w:bCs/>
          <w:color w:val="7A2E2E"/>
          <w:sz w:val="21"/>
          <w:szCs w:val="21"/>
        </w:rPr>
        <w:t xml:space="preserve">Qualification: </w:t>
      </w:r>
      <w:r>
        <w:rPr>
          <w:sz w:val="21"/>
          <w:szCs w:val="21"/>
        </w:rPr>
        <w:t>HTF-marked levels describe probable areas of significance, not certainties. A marked level can be reached, ignored for an extended period, or invalidated by a larger structural shift.</w:t>
      </w:r>
    </w:p>
    <w:p w14:paraId="4877F578">
      <w:pPr>
        <w:pStyle w:val="3"/>
        <w:spacing w:before="360" w:after="160"/>
      </w:pPr>
      <w:r>
        <w:rPr>
          <w:b/>
          <w:bCs/>
          <w:color w:val="1B2A4A"/>
          <w:sz w:val="26"/>
          <w:szCs w:val="26"/>
        </w:rPr>
        <w:t>11. Source</w:t>
      </w:r>
    </w:p>
    <w:p w14:paraId="725A4D40"/>
    <w:p w14:paraId="0B3C36E4">
      <w:pPr>
        <w:pStyle w:val="16"/>
        <w:numPr>
          <w:ilvl w:val="0"/>
          <w:numId w:val="2"/>
        </w:numPr>
        <w:spacing w:after="80" w:line="276" w:lineRule="auto"/>
      </w:pPr>
      <w:r>
        <w:rPr>
          <w:sz w:val="22"/>
          <w:szCs w:val="22"/>
        </w:rPr>
        <w:t>fxnx.com — "ICT Macro Narrative: Aligning Weekly and Monthly Profiles."</w:t>
      </w:r>
    </w:p>
    <w:p w14:paraId="1F689C58">
      <w:pPr>
        <w:pStyle w:val="16"/>
        <w:numPr>
          <w:ilvl w:val="0"/>
          <w:numId w:val="2"/>
        </w:numPr>
        <w:spacing w:after="80" w:line="276" w:lineRule="auto"/>
      </w:pPr>
      <w:r>
        <w:rPr>
          <w:sz w:val="22"/>
          <w:szCs w:val="22"/>
        </w:rPr>
        <w:t>writofinance.com — "ICT Time and Price Theory – SMC Foundational Concept."</w:t>
      </w:r>
    </w:p>
    <w:p w14:paraId="5DB3DCD5">
      <w:pPr>
        <w:pBdr>
          <w:left w:val="single" w:color="9A7B2E" w:sz="24" w:space="8"/>
        </w:pBdr>
        <w:shd w:val="clear" w:fill="EFEFEF"/>
        <w:spacing w:before="160" w:after="200"/>
        <w:ind w:left="200"/>
      </w:pPr>
      <w:r>
        <w:rPr>
          <w:b/>
          <w:bCs/>
          <w:color w:val="9A7B2E"/>
          <w:sz w:val="21"/>
          <w:szCs w:val="21"/>
        </w:rPr>
        <w:t xml:space="preserve">Community interpretation: </w:t>
      </w:r>
      <w:r>
        <w:rPr>
          <w:sz w:val="21"/>
          <w:szCs w:val="21"/>
        </w:rPr>
        <w:t>The "magnet rule" terminology is explicitly a community/secondary-source label for a pattern described in ICT-adjacent teaching, not a term confirmed here as ICT's own coinage.</w:t>
      </w:r>
    </w:p>
    <w:p w14:paraId="13596F96">
      <w:r>
        <w:br w:type="page"/>
      </w:r>
    </w:p>
    <w:p w14:paraId="78FBFDE1">
      <w:pPr>
        <w:pStyle w:val="2"/>
        <w:pBdr>
          <w:bottom w:val="single" w:color="1B2A4A" w:sz="12" w:space="4"/>
        </w:pBdr>
        <w:spacing w:before="480" w:after="240"/>
      </w:pPr>
      <w:r>
        <w:rPr>
          <w:b/>
          <w:bCs/>
          <w:color w:val="1B2A4A"/>
          <w:sz w:val="34"/>
          <w:szCs w:val="34"/>
        </w:rPr>
        <w:t>Lower Timeframe (LTF)</w:t>
      </w:r>
    </w:p>
    <w:p w14:paraId="38C8C6FC">
      <w:pPr>
        <w:pStyle w:val="3"/>
        <w:spacing w:before="360" w:after="160"/>
      </w:pPr>
      <w:r>
        <w:rPr>
          <w:b/>
          <w:bCs/>
          <w:color w:val="1B2A4A"/>
          <w:sz w:val="26"/>
          <w:szCs w:val="26"/>
        </w:rPr>
        <w:t>1. Definition</w:t>
      </w:r>
    </w:p>
    <w:p w14:paraId="388ABCDD">
      <w:pPr>
        <w:spacing w:after="160" w:line="288" w:lineRule="auto"/>
      </w:pPr>
      <w:r>
        <w:rPr>
          <w:b w:val="0"/>
          <w:bCs w:val="0"/>
          <w:i w:val="0"/>
          <w:iCs w:val="0"/>
          <w:sz w:val="22"/>
          <w:szCs w:val="22"/>
        </w:rPr>
        <w:t>A lower timeframe is any chart interval that compresses less time into each candle than the higher timeframe chart being used for context — commonly the 15-minute, 5-minute, or 1-minute chart within ICT's method — used to time and refine trade entries.</w:t>
      </w:r>
    </w:p>
    <w:p w14:paraId="47B4796C">
      <w:pPr>
        <w:pStyle w:val="3"/>
        <w:spacing w:before="360" w:after="160"/>
      </w:pPr>
      <w:r>
        <w:rPr>
          <w:b/>
          <w:bCs/>
          <w:color w:val="1B2A4A"/>
          <w:sz w:val="26"/>
          <w:szCs w:val="26"/>
        </w:rPr>
        <w:t>2. ICT's Meaning</w:t>
      </w:r>
    </w:p>
    <w:p w14:paraId="3B17EFA8">
      <w:pPr>
        <w:spacing w:after="160" w:line="288" w:lineRule="auto"/>
      </w:pPr>
      <w:r>
        <w:rPr>
          <w:b w:val="0"/>
          <w:bCs w:val="0"/>
          <w:i w:val="0"/>
          <w:iCs w:val="0"/>
          <w:sz w:val="22"/>
          <w:szCs w:val="22"/>
        </w:rPr>
        <w:t>Within ICT's framework, the lower timeframe is where the higher-timeframe narrative gets executed. It is on the LTF that a trader looks for the detailed, precise sequence — liquidity sweep, displacement, market structure shift, and entry into a Fair Value Gap or Order Block — that will make up the ICT Buy and Sell Models covered in Modules 11–12.</w:t>
      </w:r>
    </w:p>
    <w:p w14:paraId="40ACDD0E">
      <w:pPr>
        <w:spacing w:after="160" w:line="288" w:lineRule="auto"/>
      </w:pPr>
      <w:r>
        <w:rPr>
          <w:b w:val="0"/>
          <w:bCs w:val="0"/>
          <w:i w:val="0"/>
          <w:iCs w:val="0"/>
          <w:sz w:val="22"/>
          <w:szCs w:val="22"/>
        </w:rPr>
        <w:t>ICT-focused teaching stresses that a lower-timeframe signal is only meaningful when it agrees with the higher-timeframe bias. An LTF setup that contradicts HTF bias is treated as lower-quality or as counter-trend risk, not as an independent trade idea.</w:t>
      </w:r>
    </w:p>
    <w:p w14:paraId="092C9C8A">
      <w:pPr>
        <w:pStyle w:val="3"/>
        <w:spacing w:before="360" w:after="160"/>
      </w:pPr>
      <w:r>
        <w:rPr>
          <w:b/>
          <w:bCs/>
          <w:color w:val="1B2A4A"/>
          <w:sz w:val="26"/>
          <w:szCs w:val="26"/>
        </w:rPr>
        <w:t>3. Beginner Explanation</w:t>
      </w:r>
    </w:p>
    <w:p w14:paraId="7F20F2CE">
      <w:pPr>
        <w:spacing w:after="160" w:line="288" w:lineRule="auto"/>
      </w:pPr>
      <w:r>
        <w:rPr>
          <w:b w:val="0"/>
          <w:bCs w:val="0"/>
          <w:i w:val="0"/>
          <w:iCs w:val="0"/>
          <w:sz w:val="22"/>
          <w:szCs w:val="22"/>
        </w:rPr>
        <w:t>If the higher timeframe is the airplane view of a city, the lower timeframe is walking down one specific street with a magnifying glass, looking for the precise doorway you want to enter.</w:t>
      </w:r>
    </w:p>
    <w:p w14:paraId="7F23BB0A">
      <w:pPr>
        <w:pStyle w:val="3"/>
        <w:spacing w:before="360" w:after="160"/>
      </w:pPr>
      <w:r>
        <w:rPr>
          <w:b/>
          <w:bCs/>
          <w:color w:val="1B2A4A"/>
          <w:sz w:val="26"/>
          <w:szCs w:val="26"/>
        </w:rPr>
        <w:t>4. How to Identify It</w:t>
      </w:r>
    </w:p>
    <w:p w14:paraId="2FDB7004">
      <w:pPr>
        <w:pStyle w:val="16"/>
        <w:numPr>
          <w:ilvl w:val="0"/>
          <w:numId w:val="1"/>
        </w:numPr>
        <w:spacing w:after="80" w:line="276" w:lineRule="auto"/>
      </w:pPr>
      <w:r>
        <w:rPr>
          <w:sz w:val="22"/>
          <w:szCs w:val="22"/>
        </w:rPr>
        <w:t>Open a chart interval smaller than the one used for HTF context (for example, 15-minute or 5-minute if the HTF was Daily or 4-Hour).</w:t>
      </w:r>
    </w:p>
    <w:p w14:paraId="04D6ED8A">
      <w:pPr>
        <w:pStyle w:val="16"/>
        <w:numPr>
          <w:ilvl w:val="0"/>
          <w:numId w:val="1"/>
        </w:numPr>
        <w:spacing w:after="80" w:line="276" w:lineRule="auto"/>
      </w:pPr>
      <w:r>
        <w:rPr>
          <w:sz w:val="22"/>
          <w:szCs w:val="22"/>
        </w:rPr>
        <w:t>Confirm this chart shows considerably more, smaller candles over a much shorter overall period than the HTF chart.</w:t>
      </w:r>
    </w:p>
    <w:p w14:paraId="17AE902A">
      <w:pPr>
        <w:pStyle w:val="16"/>
        <w:numPr>
          <w:ilvl w:val="0"/>
          <w:numId w:val="1"/>
        </w:numPr>
        <w:spacing w:after="80" w:line="276" w:lineRule="auto"/>
      </w:pPr>
      <w:r>
        <w:rPr>
          <w:sz w:val="22"/>
          <w:szCs w:val="22"/>
        </w:rPr>
        <w:t>Use this chart specifically to watch for the detailed price action sequence — liquidity sweep, displacement, structure shift, PD array reaction — introduced in later modules.</w:t>
      </w:r>
    </w:p>
    <w:p w14:paraId="2596B97D">
      <w:pPr>
        <w:pStyle w:val="16"/>
        <w:numPr>
          <w:ilvl w:val="0"/>
          <w:numId w:val="1"/>
        </w:numPr>
        <w:spacing w:after="80" w:line="276" w:lineRule="auto"/>
      </w:pPr>
      <w:r>
        <w:rPr>
          <w:sz w:val="22"/>
          <w:szCs w:val="22"/>
        </w:rPr>
        <w:t>Cross-check every signal seen here against the HTF bias before treating it as a valid setup.</w:t>
      </w:r>
    </w:p>
    <w:p w14:paraId="466CD9DA">
      <w:pPr>
        <w:pStyle w:val="3"/>
        <w:spacing w:before="360" w:after="160"/>
      </w:pPr>
      <w:r>
        <w:rPr>
          <w:b/>
          <w:bCs/>
          <w:color w:val="1B2A4A"/>
          <w:sz w:val="26"/>
          <w:szCs w:val="26"/>
        </w:rPr>
        <w:t>5. Simple Price Example</w:t>
      </w:r>
    </w:p>
    <w:p w14:paraId="7C2FDD17">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15-minute candles inside one daily candle: 100 → 98 → 103 → 101 → 106</w:t>
      </w:r>
    </w:p>
    <w:p w14:paraId="5C8F130A">
      <w:pPr>
        <w:spacing w:after="160" w:line="288" w:lineRule="auto"/>
      </w:pPr>
      <w:r>
        <w:rPr>
          <w:b w:val="0"/>
          <w:bCs w:val="0"/>
          <w:i w:val="0"/>
          <w:iCs w:val="0"/>
          <w:sz w:val="22"/>
          <w:szCs w:val="22"/>
        </w:rPr>
        <w:t>This entire five-candle sequence might occur within a single daily candle on the higher timeframe. The daily chart alone would only show that the day opened near 100 and moved higher overall; the 15-minute chart reveals the detailed dip to 98 and the specific path price took to get there — detail useful for timing an entry, but invisible on the daily chart alone.</w:t>
      </w:r>
    </w:p>
    <w:p w14:paraId="259918CB">
      <w:pPr>
        <w:pStyle w:val="3"/>
        <w:spacing w:before="360" w:after="160"/>
      </w:pPr>
      <w:r>
        <w:rPr>
          <w:b/>
          <w:bCs/>
          <w:color w:val="1B2A4A"/>
          <w:sz w:val="26"/>
          <w:szCs w:val="26"/>
        </w:rPr>
        <w:t>6. What It Tells the Trader</w:t>
      </w:r>
    </w:p>
    <w:p w14:paraId="48F3712E">
      <w:pPr>
        <w:spacing w:after="160" w:line="288" w:lineRule="auto"/>
      </w:pPr>
      <w:r>
        <w:rPr>
          <w:b w:val="0"/>
          <w:bCs w:val="0"/>
          <w:i w:val="0"/>
          <w:iCs w:val="0"/>
          <w:sz w:val="22"/>
          <w:szCs w:val="22"/>
        </w:rPr>
        <w:t>The lower timeframe tells the trader the fine-grained detail of how price is behaving right now, which is what allows for a more precise entry price and a tighter, more defined risk (stop-loss) than the higher timeframe alone could provide.</w:t>
      </w:r>
    </w:p>
    <w:p w14:paraId="6FA98C05">
      <w:pPr>
        <w:spacing w:after="160" w:line="288" w:lineRule="auto"/>
      </w:pPr>
      <w:r>
        <w:rPr>
          <w:b w:val="0"/>
          <w:bCs w:val="0"/>
          <w:i w:val="0"/>
          <w:iCs w:val="0"/>
          <w:sz w:val="22"/>
          <w:szCs w:val="22"/>
        </w:rPr>
        <w:t>It does not tell the trader the overall direction that matters most — that comes from the higher timeframe. An LTF chart viewed alone, without HTF context, can be actively misleading about the larger picture.</w:t>
      </w:r>
    </w:p>
    <w:p w14:paraId="2FF1BECF">
      <w:pPr>
        <w:pStyle w:val="3"/>
        <w:spacing w:before="360" w:after="160"/>
      </w:pPr>
      <w:r>
        <w:rPr>
          <w:b/>
          <w:bCs/>
          <w:color w:val="1B2A4A"/>
          <w:sz w:val="26"/>
          <w:szCs w:val="26"/>
        </w:rPr>
        <w:t>7. What It Is Commonly Paired With</w:t>
      </w:r>
    </w:p>
    <w:p w14:paraId="53209860">
      <w:pPr>
        <w:pStyle w:val="16"/>
        <w:numPr>
          <w:ilvl w:val="0"/>
          <w:numId w:val="2"/>
        </w:numPr>
        <w:spacing w:after="80" w:line="276" w:lineRule="auto"/>
      </w:pPr>
      <w:r>
        <w:rPr>
          <w:sz w:val="22"/>
          <w:szCs w:val="22"/>
        </w:rPr>
        <w:t>Higher timeframe</w:t>
      </w:r>
    </w:p>
    <w:p w14:paraId="15B02250">
      <w:pPr>
        <w:pStyle w:val="16"/>
        <w:numPr>
          <w:ilvl w:val="0"/>
          <w:numId w:val="2"/>
        </w:numPr>
        <w:spacing w:after="80" w:line="276" w:lineRule="auto"/>
      </w:pPr>
      <w:r>
        <w:rPr>
          <w:sz w:val="22"/>
          <w:szCs w:val="22"/>
        </w:rPr>
        <w:t>Market Structure Shift (Module 3)</w:t>
      </w:r>
    </w:p>
    <w:p w14:paraId="34263A5E">
      <w:pPr>
        <w:pStyle w:val="16"/>
        <w:numPr>
          <w:ilvl w:val="0"/>
          <w:numId w:val="2"/>
        </w:numPr>
        <w:spacing w:after="80" w:line="276" w:lineRule="auto"/>
      </w:pPr>
      <w:r>
        <w:rPr>
          <w:sz w:val="22"/>
          <w:szCs w:val="22"/>
        </w:rPr>
        <w:t>Entry (Modules 11–12)</w:t>
      </w:r>
    </w:p>
    <w:p w14:paraId="33187066">
      <w:pPr>
        <w:spacing w:after="160" w:line="288" w:lineRule="auto"/>
      </w:pPr>
      <w:r>
        <w:rPr>
          <w:b w:val="0"/>
          <w:bCs w:val="0"/>
          <w:i w:val="0"/>
          <w:iCs w:val="0"/>
          <w:sz w:val="22"/>
          <w:szCs w:val="22"/>
        </w:rPr>
        <w:t>The lower timeframe is where an HTF-confirmed narrative is actually acted upon — this is why every entry-level concept in later modules (displacement, MSS, FVG entries) is described as happening on the LTF.</w:t>
      </w:r>
    </w:p>
    <w:p w14:paraId="05661285">
      <w:pPr>
        <w:pStyle w:val="3"/>
        <w:spacing w:before="360" w:after="160"/>
      </w:pPr>
      <w:r>
        <w:rPr>
          <w:b/>
          <w:bCs/>
          <w:color w:val="1B2A4A"/>
          <w:sz w:val="26"/>
          <w:szCs w:val="26"/>
        </w:rPr>
        <w:t>8. Where It Fits in the ICT Framework</w:t>
      </w:r>
    </w:p>
    <w:p w14:paraId="43C24E86">
      <w:pPr>
        <w:spacing w:after="160" w:line="288" w:lineRule="auto"/>
      </w:pPr>
      <w:r>
        <w:rPr>
          <w:b w:val="0"/>
          <w:bCs w:val="0"/>
          <w:i w:val="0"/>
          <w:iCs w:val="0"/>
          <w:sz w:val="22"/>
          <w:szCs w:val="22"/>
        </w:rPr>
        <w:t>Comes before: Requires Higher Timeframe.</w:t>
      </w:r>
    </w:p>
    <w:p w14:paraId="0DB6674E">
      <w:pPr>
        <w:spacing w:after="160" w:line="288" w:lineRule="auto"/>
      </w:pPr>
      <w:r>
        <w:rPr>
          <w:b w:val="0"/>
          <w:bCs w:val="0"/>
          <w:i w:val="0"/>
          <w:iCs w:val="0"/>
          <w:sz w:val="22"/>
          <w:szCs w:val="22"/>
        </w:rPr>
        <w:t>Comes after: Feeds into Lower-Timeframe Uses and the HTF/LTF Relationship, and ultimately into LTF Execution (Module 13).</w:t>
      </w:r>
    </w:p>
    <w:p w14:paraId="50F0C1C1">
      <w:pPr>
        <w:pStyle w:val="3"/>
        <w:spacing w:before="360" w:after="160"/>
      </w:pPr>
      <w:r>
        <w:rPr>
          <w:b/>
          <w:bCs/>
          <w:color w:val="1B2A4A"/>
          <w:sz w:val="26"/>
          <w:szCs w:val="26"/>
        </w:rPr>
        <w:t>9. Beginner Mistakes</w:t>
      </w:r>
    </w:p>
    <w:p w14:paraId="78C75CE4">
      <w:pPr>
        <w:pStyle w:val="16"/>
        <w:numPr>
          <w:ilvl w:val="0"/>
          <w:numId w:val="2"/>
        </w:numPr>
        <w:spacing w:after="80" w:line="276" w:lineRule="auto"/>
      </w:pPr>
      <w:r>
        <w:rPr>
          <w:sz w:val="22"/>
          <w:szCs w:val="22"/>
        </w:rPr>
        <w:t>Trading LTF signals in isolation without checking whether they align with HTF bias.</w:t>
      </w:r>
    </w:p>
    <w:p w14:paraId="7A37686C">
      <w:pPr>
        <w:pStyle w:val="16"/>
        <w:numPr>
          <w:ilvl w:val="0"/>
          <w:numId w:val="2"/>
        </w:numPr>
        <w:spacing w:after="80" w:line="276" w:lineRule="auto"/>
      </w:pPr>
      <w:r>
        <w:rPr>
          <w:sz w:val="22"/>
          <w:szCs w:val="22"/>
        </w:rPr>
        <w:t>Using an LTF chart that is too small relative to the HTF chart, producing excessive noise and false signals.</w:t>
      </w:r>
    </w:p>
    <w:p w14:paraId="4461CB6D">
      <w:pPr>
        <w:pStyle w:val="16"/>
        <w:numPr>
          <w:ilvl w:val="0"/>
          <w:numId w:val="2"/>
        </w:numPr>
        <w:spacing w:after="80" w:line="276" w:lineRule="auto"/>
      </w:pPr>
      <w:r>
        <w:rPr>
          <w:sz w:val="22"/>
          <w:szCs w:val="22"/>
        </w:rPr>
        <w:t>Treating every LTF wiggle as a tradable event.</w:t>
      </w:r>
    </w:p>
    <w:p w14:paraId="14D4465F">
      <w:pPr>
        <w:pStyle w:val="3"/>
        <w:spacing w:before="360" w:after="160"/>
      </w:pPr>
      <w:r>
        <w:rPr>
          <w:b/>
          <w:bCs/>
          <w:color w:val="1B2A4A"/>
          <w:sz w:val="26"/>
          <w:szCs w:val="26"/>
        </w:rPr>
        <w:t>10. Important Qualification</w:t>
      </w:r>
    </w:p>
    <w:p w14:paraId="4CF08DDD">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 lower-timeframe signal that contradicts the higher-timeframe bias is not automatically invalid, but ICT-focused teaching treats it as materially lower-probability and generally advises against trading against HTF context.</w:t>
      </w:r>
    </w:p>
    <w:p w14:paraId="4DE1FE1D">
      <w:pPr>
        <w:pStyle w:val="3"/>
        <w:spacing w:before="360" w:after="160"/>
      </w:pPr>
      <w:r>
        <w:rPr>
          <w:b/>
          <w:bCs/>
          <w:color w:val="1B2A4A"/>
          <w:sz w:val="26"/>
          <w:szCs w:val="26"/>
        </w:rPr>
        <w:t>11. Source</w:t>
      </w:r>
    </w:p>
    <w:p w14:paraId="1AA00CEA"/>
    <w:p w14:paraId="4FD91D98">
      <w:pPr>
        <w:pStyle w:val="16"/>
        <w:numPr>
          <w:ilvl w:val="0"/>
          <w:numId w:val="2"/>
        </w:numPr>
        <w:spacing w:after="80" w:line="276" w:lineRule="auto"/>
      </w:pPr>
      <w:r>
        <w:rPr>
          <w:sz w:val="22"/>
          <w:szCs w:val="22"/>
        </w:rPr>
        <w:t>tradingstrategyguides.com — "Day 10: Multi-Timeframe Analysis ICT &amp; SMC — The Top-Down Approach Explained."</w:t>
      </w:r>
    </w:p>
    <w:p w14:paraId="5A9AC4E4">
      <w:pPr>
        <w:pStyle w:val="16"/>
        <w:numPr>
          <w:ilvl w:val="0"/>
          <w:numId w:val="2"/>
        </w:numPr>
        <w:spacing w:after="80" w:line="276" w:lineRule="auto"/>
      </w:pPr>
      <w:r>
        <w:rPr>
          <w:sz w:val="22"/>
          <w:szCs w:val="22"/>
        </w:rPr>
        <w:t>smartinggoods.com — "ICT Trading Strategy: The Complete 2026 Guide."</w:t>
      </w:r>
    </w:p>
    <w:p w14:paraId="0A61F95F">
      <w:r>
        <w:br w:type="page"/>
      </w:r>
    </w:p>
    <w:p w14:paraId="5777B70E">
      <w:pPr>
        <w:pStyle w:val="2"/>
        <w:pBdr>
          <w:bottom w:val="single" w:color="1B2A4A" w:sz="12" w:space="4"/>
        </w:pBdr>
        <w:spacing w:before="480" w:after="240"/>
      </w:pPr>
      <w:r>
        <w:rPr>
          <w:b/>
          <w:bCs/>
          <w:color w:val="1B2A4A"/>
          <w:sz w:val="34"/>
          <w:szCs w:val="34"/>
        </w:rPr>
        <w:t>Lower-Timeframe Uses</w:t>
      </w:r>
    </w:p>
    <w:p w14:paraId="25601EF6">
      <w:pPr>
        <w:pStyle w:val="3"/>
        <w:spacing w:before="360" w:after="160"/>
      </w:pPr>
      <w:r>
        <w:rPr>
          <w:b/>
          <w:bCs/>
          <w:color w:val="1B2A4A"/>
          <w:sz w:val="26"/>
          <w:szCs w:val="26"/>
        </w:rPr>
        <w:t>1. Definition</w:t>
      </w:r>
    </w:p>
    <w:p w14:paraId="28F5A46D">
      <w:pPr>
        <w:spacing w:after="160" w:line="288" w:lineRule="auto"/>
      </w:pPr>
      <w:r>
        <w:rPr>
          <w:b w:val="0"/>
          <w:bCs w:val="0"/>
          <w:i w:val="0"/>
          <w:iCs w:val="0"/>
          <w:sz w:val="22"/>
          <w:szCs w:val="22"/>
        </w:rPr>
        <w:t>The specific analytical jobs a lower timeframe chart performs within ICT's method: confirming that price is behaving in a way consistent with HTF bias, and identifying the precise sequence — liquidity sweep, displacement, structure shift, and PD-array reaction — used to time an entry.</w:t>
      </w:r>
    </w:p>
    <w:p w14:paraId="6C76B988">
      <w:pPr>
        <w:pStyle w:val="3"/>
        <w:spacing w:before="360" w:after="160"/>
      </w:pPr>
      <w:r>
        <w:rPr>
          <w:b/>
          <w:bCs/>
          <w:color w:val="1B2A4A"/>
          <w:sz w:val="26"/>
          <w:szCs w:val="26"/>
        </w:rPr>
        <w:t>2. ICT's Meaning</w:t>
      </w:r>
    </w:p>
    <w:p w14:paraId="49935803">
      <w:pPr>
        <w:spacing w:after="160" w:line="288" w:lineRule="auto"/>
      </w:pPr>
      <w:r>
        <w:rPr>
          <w:b w:val="0"/>
          <w:bCs w:val="0"/>
          <w:i w:val="0"/>
          <w:iCs w:val="0"/>
          <w:sz w:val="22"/>
          <w:szCs w:val="22"/>
        </w:rPr>
        <w:t>ICT-focused teaching describes the lower timeframe's job as confirmation and execution, not independent decision-making. Specifically, the LTF is used to watch for a market structure shift (Module 3) that confirms a reversal or continuation already anticipated from HTF analysis, and to locate a specific PD array (Module 6) close enough to current price to serve as a tight, defined entry point.</w:t>
      </w:r>
    </w:p>
    <w:p w14:paraId="2F298247">
      <w:pPr>
        <w:spacing w:after="160" w:line="288" w:lineRule="auto"/>
      </w:pPr>
      <w:r>
        <w:rPr>
          <w:b w:val="0"/>
          <w:bCs w:val="0"/>
          <w:i w:val="0"/>
          <w:iCs w:val="0"/>
          <w:sz w:val="22"/>
          <w:szCs w:val="22"/>
        </w:rPr>
        <w:t>A recurring theme across ICT-focused secondary sources is that the LTF is also used for managing an open trade — monitoring for signs the original premise is failing, independent of what a larger, slower-moving HTF chart would show in time to react.</w:t>
      </w:r>
    </w:p>
    <w:p w14:paraId="1677DE81">
      <w:pPr>
        <w:pStyle w:val="3"/>
        <w:spacing w:before="360" w:after="160"/>
      </w:pPr>
      <w:r>
        <w:rPr>
          <w:b/>
          <w:bCs/>
          <w:color w:val="1B2A4A"/>
          <w:sz w:val="26"/>
          <w:szCs w:val="26"/>
        </w:rPr>
        <w:t>3. Beginner Explanation</w:t>
      </w:r>
    </w:p>
    <w:p w14:paraId="6AE4FD9D">
      <w:pPr>
        <w:spacing w:after="160" w:line="288" w:lineRule="auto"/>
      </w:pPr>
      <w:r>
        <w:rPr>
          <w:b w:val="0"/>
          <w:bCs w:val="0"/>
          <w:i w:val="0"/>
          <w:iCs w:val="0"/>
          <w:sz w:val="22"/>
          <w:szCs w:val="22"/>
        </w:rPr>
        <w:t>If the higher timeframe told you which city block your destination is on, the lower timeframe is what you use to find the exact door, check that it's actually open, and decide the safest way to walk up to it.</w:t>
      </w:r>
    </w:p>
    <w:p w14:paraId="37CCF799">
      <w:pPr>
        <w:pStyle w:val="3"/>
        <w:spacing w:before="360" w:after="160"/>
      </w:pPr>
      <w:r>
        <w:rPr>
          <w:b/>
          <w:bCs/>
          <w:color w:val="1B2A4A"/>
          <w:sz w:val="26"/>
          <w:szCs w:val="26"/>
        </w:rPr>
        <w:t>4. How to Identify It</w:t>
      </w:r>
    </w:p>
    <w:p w14:paraId="5664DCAA">
      <w:pPr>
        <w:pStyle w:val="16"/>
        <w:numPr>
          <w:ilvl w:val="0"/>
          <w:numId w:val="1"/>
        </w:numPr>
        <w:spacing w:after="80" w:line="276" w:lineRule="auto"/>
      </w:pPr>
      <w:r>
        <w:rPr>
          <w:sz w:val="22"/>
          <w:szCs w:val="22"/>
        </w:rPr>
        <w:t>Wait for price, in HTF context, to approach a level of interest identified in HTF analysis.</w:t>
      </w:r>
    </w:p>
    <w:p w14:paraId="569C50A0">
      <w:pPr>
        <w:pStyle w:val="16"/>
        <w:numPr>
          <w:ilvl w:val="0"/>
          <w:numId w:val="1"/>
        </w:numPr>
        <w:spacing w:after="80" w:line="276" w:lineRule="auto"/>
      </w:pPr>
      <w:r>
        <w:rPr>
          <w:sz w:val="22"/>
          <w:szCs w:val="22"/>
        </w:rPr>
        <w:t>Switch to the lower timeframe once price is near that level.</w:t>
      </w:r>
    </w:p>
    <w:p w14:paraId="578DD3E3">
      <w:pPr>
        <w:pStyle w:val="16"/>
        <w:numPr>
          <w:ilvl w:val="0"/>
          <w:numId w:val="1"/>
        </w:numPr>
        <w:spacing w:after="80" w:line="276" w:lineRule="auto"/>
      </w:pPr>
      <w:r>
        <w:rPr>
          <w:sz w:val="22"/>
          <w:szCs w:val="22"/>
        </w:rPr>
        <w:t>Watch for a liquidity sweep (Module 4) and a market structure shift (Module 3) on this smaller chart.</w:t>
      </w:r>
    </w:p>
    <w:p w14:paraId="2771654D">
      <w:pPr>
        <w:pStyle w:val="16"/>
        <w:numPr>
          <w:ilvl w:val="0"/>
          <w:numId w:val="1"/>
        </w:numPr>
        <w:spacing w:after="80" w:line="276" w:lineRule="auto"/>
      </w:pPr>
      <w:r>
        <w:rPr>
          <w:sz w:val="22"/>
          <w:szCs w:val="22"/>
        </w:rPr>
        <w:t>Identify a Fair Value Gap or Order Block (Modules 5–6) on the LTF near the point of the structure shift as a candidate entry zone.</w:t>
      </w:r>
    </w:p>
    <w:p w14:paraId="182CE986">
      <w:pPr>
        <w:pStyle w:val="3"/>
        <w:spacing w:before="360" w:after="160"/>
      </w:pPr>
      <w:r>
        <w:rPr>
          <w:b/>
          <w:bCs/>
          <w:color w:val="1B2A4A"/>
          <w:sz w:val="26"/>
          <w:szCs w:val="26"/>
        </w:rPr>
        <w:t>5. Simple Price Example</w:t>
      </w:r>
    </w:p>
    <w:p w14:paraId="0CE5A8F6">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HTF target zone reached at 108; LTF shows: 108 → 106 → 110 → 107 (sweep of 106 then reversal)</w:t>
      </w:r>
    </w:p>
    <w:p w14:paraId="026C3BE8">
      <w:pPr>
        <w:spacing w:after="160" w:line="288" w:lineRule="auto"/>
      </w:pPr>
      <w:r>
        <w:rPr>
          <w:b w:val="0"/>
          <w:bCs w:val="0"/>
          <w:i w:val="0"/>
          <w:iCs w:val="0"/>
          <w:sz w:val="22"/>
          <w:szCs w:val="22"/>
        </w:rPr>
        <w:t>Once price reaches the HTF zone near 108, the LTF reveals a brief dip to 106 (a possible liquidity sweep) before reversing back up through 110. This level of detail — the exact sweep and reversal — is only visible on the lower timeframe and is what a trader would use to time an entry near 107, rather than guessing blindly at 108.</w:t>
      </w:r>
    </w:p>
    <w:p w14:paraId="46292F65">
      <w:pPr>
        <w:pStyle w:val="3"/>
        <w:spacing w:before="360" w:after="160"/>
      </w:pPr>
      <w:r>
        <w:rPr>
          <w:b/>
          <w:bCs/>
          <w:color w:val="1B2A4A"/>
          <w:sz w:val="26"/>
          <w:szCs w:val="26"/>
        </w:rPr>
        <w:t>6. What It Tells the Trader</w:t>
      </w:r>
    </w:p>
    <w:p w14:paraId="29192258">
      <w:pPr>
        <w:spacing w:after="160" w:line="288" w:lineRule="auto"/>
      </w:pPr>
      <w:r>
        <w:rPr>
          <w:b w:val="0"/>
          <w:bCs w:val="0"/>
          <w:i w:val="0"/>
          <w:iCs w:val="0"/>
          <w:sz w:val="22"/>
          <w:szCs w:val="22"/>
        </w:rPr>
        <w:t>It tells the trader whether the detailed, real-time price action at a level of interest is confirming or contradicting what the higher timeframe anticipated — turning a general area of interest into a specific, timed decision point.</w:t>
      </w:r>
    </w:p>
    <w:p w14:paraId="5581EF0E">
      <w:pPr>
        <w:spacing w:after="160" w:line="288" w:lineRule="auto"/>
      </w:pPr>
      <w:r>
        <w:rPr>
          <w:b w:val="0"/>
          <w:bCs w:val="0"/>
          <w:i w:val="0"/>
          <w:iCs w:val="0"/>
          <w:sz w:val="22"/>
          <w:szCs w:val="22"/>
        </w:rPr>
        <w:t>It does not, by itself, establish the overall bias; without HTF context, an LTF structure shift could just as easily be a meaningless short-term wiggle.</w:t>
      </w:r>
    </w:p>
    <w:p w14:paraId="5911195A">
      <w:pPr>
        <w:pStyle w:val="3"/>
        <w:spacing w:before="360" w:after="160"/>
      </w:pPr>
      <w:r>
        <w:rPr>
          <w:b/>
          <w:bCs/>
          <w:color w:val="1B2A4A"/>
          <w:sz w:val="26"/>
          <w:szCs w:val="26"/>
        </w:rPr>
        <w:t>7. What It Is Commonly Paired With</w:t>
      </w:r>
    </w:p>
    <w:p w14:paraId="67F2F7DA">
      <w:pPr>
        <w:pStyle w:val="16"/>
        <w:numPr>
          <w:ilvl w:val="0"/>
          <w:numId w:val="2"/>
        </w:numPr>
        <w:spacing w:after="80" w:line="276" w:lineRule="auto"/>
      </w:pPr>
      <w:r>
        <w:rPr>
          <w:sz w:val="22"/>
          <w:szCs w:val="22"/>
        </w:rPr>
        <w:t>Market Structure Shift (Module 3)</w:t>
      </w:r>
    </w:p>
    <w:p w14:paraId="1A9DCBD6">
      <w:pPr>
        <w:pStyle w:val="16"/>
        <w:numPr>
          <w:ilvl w:val="0"/>
          <w:numId w:val="2"/>
        </w:numPr>
        <w:spacing w:after="80" w:line="276" w:lineRule="auto"/>
      </w:pPr>
      <w:r>
        <w:rPr>
          <w:sz w:val="22"/>
          <w:szCs w:val="22"/>
        </w:rPr>
        <w:t>Liquidity Sweep (Module 4)</w:t>
      </w:r>
    </w:p>
    <w:p w14:paraId="056D311F">
      <w:pPr>
        <w:pStyle w:val="16"/>
        <w:numPr>
          <w:ilvl w:val="0"/>
          <w:numId w:val="2"/>
        </w:numPr>
        <w:spacing w:after="80" w:line="276" w:lineRule="auto"/>
      </w:pPr>
      <w:r>
        <w:rPr>
          <w:sz w:val="22"/>
          <w:szCs w:val="22"/>
        </w:rPr>
        <w:t>FVG / Order Block (Modules 5–6)</w:t>
      </w:r>
    </w:p>
    <w:p w14:paraId="1373BCF3">
      <w:pPr>
        <w:spacing w:after="160" w:line="288" w:lineRule="auto"/>
      </w:pPr>
      <w:r>
        <w:rPr>
          <w:b w:val="0"/>
          <w:bCs w:val="0"/>
          <w:i w:val="0"/>
          <w:iCs w:val="0"/>
          <w:sz w:val="22"/>
          <w:szCs w:val="22"/>
        </w:rPr>
        <w:t>These are the specific tools the LTF is used to apply — none of them are meaningful on their own without the LTF providing the resolution needed to see them clearly.</w:t>
      </w:r>
    </w:p>
    <w:p w14:paraId="62E17ABB">
      <w:pPr>
        <w:pStyle w:val="3"/>
        <w:spacing w:before="360" w:after="160"/>
      </w:pPr>
      <w:r>
        <w:rPr>
          <w:b/>
          <w:bCs/>
          <w:color w:val="1B2A4A"/>
          <w:sz w:val="26"/>
          <w:szCs w:val="26"/>
        </w:rPr>
        <w:t>8. Where It Fits in the ICT Framework</w:t>
      </w:r>
    </w:p>
    <w:p w14:paraId="2A4766B3">
      <w:pPr>
        <w:spacing w:after="160" w:line="288" w:lineRule="auto"/>
      </w:pPr>
      <w:r>
        <w:rPr>
          <w:b w:val="0"/>
          <w:bCs w:val="0"/>
          <w:i w:val="0"/>
          <w:iCs w:val="0"/>
          <w:sz w:val="22"/>
          <w:szCs w:val="22"/>
        </w:rPr>
        <w:t>Comes before: Requires Lower Timeframe and Higher-Timeframe Uses.</w:t>
      </w:r>
    </w:p>
    <w:p w14:paraId="5FA4FC4F">
      <w:pPr>
        <w:spacing w:after="160" w:line="288" w:lineRule="auto"/>
      </w:pPr>
      <w:r>
        <w:rPr>
          <w:b w:val="0"/>
          <w:bCs w:val="0"/>
          <w:i w:val="0"/>
          <w:iCs w:val="0"/>
          <w:sz w:val="22"/>
          <w:szCs w:val="22"/>
        </w:rPr>
        <w:t>Comes after: Feeds into the HTF/LTF Relationship and, later, LTF Execution (Module 13).</w:t>
      </w:r>
    </w:p>
    <w:p w14:paraId="3670BB22">
      <w:pPr>
        <w:pStyle w:val="3"/>
        <w:spacing w:before="360" w:after="160"/>
      </w:pPr>
      <w:r>
        <w:rPr>
          <w:b/>
          <w:bCs/>
          <w:color w:val="1B2A4A"/>
          <w:sz w:val="26"/>
          <w:szCs w:val="26"/>
        </w:rPr>
        <w:t>9. Beginner Mistakes</w:t>
      </w:r>
    </w:p>
    <w:p w14:paraId="456DA16D">
      <w:pPr>
        <w:pStyle w:val="16"/>
        <w:numPr>
          <w:ilvl w:val="0"/>
          <w:numId w:val="2"/>
        </w:numPr>
        <w:spacing w:after="80" w:line="276" w:lineRule="auto"/>
      </w:pPr>
      <w:r>
        <w:rPr>
          <w:sz w:val="22"/>
          <w:szCs w:val="22"/>
        </w:rPr>
        <w:t>Switching to the LTF too early, before price has actually reached the HTF level of interest.</w:t>
      </w:r>
    </w:p>
    <w:p w14:paraId="3B477436">
      <w:pPr>
        <w:pStyle w:val="16"/>
        <w:numPr>
          <w:ilvl w:val="0"/>
          <w:numId w:val="2"/>
        </w:numPr>
        <w:spacing w:after="80" w:line="276" w:lineRule="auto"/>
      </w:pPr>
      <w:r>
        <w:rPr>
          <w:sz w:val="22"/>
          <w:szCs w:val="22"/>
        </w:rPr>
        <w:t>Ignoring HTF bias and trading every LTF structure shift regardless of direction.</w:t>
      </w:r>
    </w:p>
    <w:p w14:paraId="27B144CB">
      <w:pPr>
        <w:pStyle w:val="3"/>
        <w:spacing w:before="360" w:after="160"/>
      </w:pPr>
      <w:r>
        <w:rPr>
          <w:b/>
          <w:bCs/>
          <w:color w:val="1B2A4A"/>
          <w:sz w:val="26"/>
          <w:szCs w:val="26"/>
        </w:rPr>
        <w:t>10. Important Qualification</w:t>
      </w:r>
    </w:p>
    <w:p w14:paraId="3370D471">
      <w:pPr>
        <w:pBdr>
          <w:left w:val="single" w:color="7A2E2E" w:sz="24" w:space="8"/>
        </w:pBdr>
        <w:shd w:val="clear" w:fill="EFEFEF"/>
        <w:spacing w:before="160" w:after="200"/>
        <w:ind w:left="200"/>
      </w:pPr>
      <w:r>
        <w:rPr>
          <w:b/>
          <w:bCs/>
          <w:color w:val="7A2E2E"/>
          <w:sz w:val="21"/>
          <w:szCs w:val="21"/>
        </w:rPr>
        <w:t xml:space="preserve">Qualification: </w:t>
      </w:r>
      <w:r>
        <w:rPr>
          <w:sz w:val="21"/>
          <w:szCs w:val="21"/>
        </w:rPr>
        <w:t>LTF confirmation increases the precision of an entry; it does not create certainty. A structure shift on a very low timeframe can still fail, especially if it is not backed by genuine displacement (Module 5).</w:t>
      </w:r>
    </w:p>
    <w:p w14:paraId="0D677959">
      <w:pPr>
        <w:pStyle w:val="3"/>
        <w:spacing w:before="360" w:after="160"/>
      </w:pPr>
      <w:r>
        <w:rPr>
          <w:b/>
          <w:bCs/>
          <w:color w:val="1B2A4A"/>
          <w:sz w:val="26"/>
          <w:szCs w:val="26"/>
        </w:rPr>
        <w:t>11. Source</w:t>
      </w:r>
    </w:p>
    <w:p w14:paraId="388DF896"/>
    <w:p w14:paraId="31E7BA8B">
      <w:pPr>
        <w:pStyle w:val="16"/>
        <w:numPr>
          <w:ilvl w:val="0"/>
          <w:numId w:val="2"/>
        </w:numPr>
        <w:spacing w:after="80" w:line="276" w:lineRule="auto"/>
      </w:pPr>
      <w:r>
        <w:rPr>
          <w:sz w:val="22"/>
          <w:szCs w:val="22"/>
        </w:rPr>
        <w:t>r2ftrading.com — "Best Timeframes for ICT Trading: How to Combine Them."</w:t>
      </w:r>
    </w:p>
    <w:p w14:paraId="0F9C34FC">
      <w:pPr>
        <w:pStyle w:val="16"/>
        <w:numPr>
          <w:ilvl w:val="0"/>
          <w:numId w:val="2"/>
        </w:numPr>
        <w:spacing w:after="80" w:line="276" w:lineRule="auto"/>
      </w:pPr>
      <w:r>
        <w:rPr>
          <w:sz w:val="22"/>
          <w:szCs w:val="22"/>
        </w:rPr>
        <w:t>tradingfinder.com — "ICT Timeframe Selection – Advanced ICT Structure Analysis."</w:t>
      </w:r>
    </w:p>
    <w:p w14:paraId="6DDC73D2">
      <w:r>
        <w:br w:type="page"/>
      </w:r>
    </w:p>
    <w:p w14:paraId="348E8BB6">
      <w:pPr>
        <w:pStyle w:val="2"/>
        <w:pBdr>
          <w:bottom w:val="single" w:color="1B2A4A" w:sz="12" w:space="4"/>
        </w:pBdr>
        <w:spacing w:before="480" w:after="240"/>
      </w:pPr>
      <w:r>
        <w:rPr>
          <w:b/>
          <w:bCs/>
          <w:color w:val="1B2A4A"/>
          <w:sz w:val="34"/>
          <w:szCs w:val="34"/>
        </w:rPr>
        <w:t>HTF/LTF Relationship</w:t>
      </w:r>
    </w:p>
    <w:p w14:paraId="40438074">
      <w:pPr>
        <w:pStyle w:val="3"/>
        <w:spacing w:before="360" w:after="160"/>
      </w:pPr>
      <w:r>
        <w:rPr>
          <w:b/>
          <w:bCs/>
          <w:color w:val="1B2A4A"/>
          <w:sz w:val="26"/>
          <w:szCs w:val="26"/>
        </w:rPr>
        <w:t>1. Definition</w:t>
      </w:r>
    </w:p>
    <w:p w14:paraId="54DAE6A7">
      <w:pPr>
        <w:spacing w:after="160" w:line="288" w:lineRule="auto"/>
      </w:pPr>
      <w:r>
        <w:rPr>
          <w:b w:val="0"/>
          <w:bCs w:val="0"/>
          <w:i w:val="0"/>
          <w:iCs w:val="0"/>
          <w:sz w:val="22"/>
          <w:szCs w:val="22"/>
        </w:rPr>
        <w:t>The governing rule in ICT's method that the higher timeframe sets the directional context (bias) that the lower timeframe must operate within, with the lower timeframe used only to refine timing and entry precision, never to override the higher-timeframe narrative.</w:t>
      </w:r>
    </w:p>
    <w:p w14:paraId="7125DA06">
      <w:pPr>
        <w:pStyle w:val="3"/>
        <w:spacing w:before="360" w:after="160"/>
      </w:pPr>
      <w:r>
        <w:rPr>
          <w:b/>
          <w:bCs/>
          <w:color w:val="1B2A4A"/>
          <w:sz w:val="26"/>
          <w:szCs w:val="26"/>
        </w:rPr>
        <w:t>2. ICT's Meaning</w:t>
      </w:r>
    </w:p>
    <w:p w14:paraId="7A4039B8">
      <w:pPr>
        <w:spacing w:after="160" w:line="288" w:lineRule="auto"/>
      </w:pPr>
      <w:r>
        <w:rPr>
          <w:b w:val="0"/>
          <w:bCs w:val="0"/>
          <w:i w:val="0"/>
          <w:iCs w:val="0"/>
          <w:sz w:val="22"/>
          <w:szCs w:val="22"/>
        </w:rPr>
        <w:t>ICT-focused teaching describes this relationship as hierarchical and, per some secondary sources, close to non-negotiable: the narrative is written on the higher timeframe first, and execution follows on the lower timeframe second. A trader is expected to only look for long setups on a lower timeframe when the higher timeframe is bullish, and only short setups when the higher timeframe is bearish.</w:t>
      </w:r>
    </w:p>
    <w:p w14:paraId="60E5D179">
      <w:pPr>
        <w:spacing w:after="160" w:line="288" w:lineRule="auto"/>
      </w:pPr>
      <w:r>
        <w:rPr>
          <w:b w:val="0"/>
          <w:bCs w:val="0"/>
          <w:i w:val="0"/>
          <w:iCs w:val="0"/>
          <w:sz w:val="22"/>
          <w:szCs w:val="22"/>
        </w:rPr>
        <w:t>This is frequently summarized in ICT-adjacent material as timeframe alignment or confluence: the more timeframes that agree on the same directional bias, the higher the perceived quality of a setup, since it means institutional order flow appears consistent across multiple scales rather than being a short-lived anomaly on one small chart.</w:t>
      </w:r>
    </w:p>
    <w:p w14:paraId="53564706">
      <w:pPr>
        <w:pStyle w:val="3"/>
        <w:spacing w:before="360" w:after="160"/>
      </w:pPr>
      <w:r>
        <w:rPr>
          <w:b/>
          <w:bCs/>
          <w:color w:val="1B2A4A"/>
          <w:sz w:val="26"/>
          <w:szCs w:val="26"/>
        </w:rPr>
        <w:t>3. Beginner Explanation</w:t>
      </w:r>
    </w:p>
    <w:p w14:paraId="686CE544">
      <w:pPr>
        <w:spacing w:after="160" w:line="288" w:lineRule="auto"/>
      </w:pPr>
      <w:r>
        <w:rPr>
          <w:b w:val="0"/>
          <w:bCs w:val="0"/>
          <w:i w:val="0"/>
          <w:iCs w:val="0"/>
          <w:sz w:val="22"/>
          <w:szCs w:val="22"/>
        </w:rPr>
        <w:t>Think of the higher timeframe as your manager and the lower timeframe as you carrying out a specific task. Your manager sets the overall goal for the week (the HTF bias); your job on any given day (the LTF) is to figure out the best way to execute that goal — not to quietly decide to pursue an entirely different goal on your own.</w:t>
      </w:r>
    </w:p>
    <w:p w14:paraId="44FAEF8D">
      <w:pPr>
        <w:pStyle w:val="3"/>
        <w:spacing w:before="360" w:after="160"/>
      </w:pPr>
      <w:r>
        <w:rPr>
          <w:b/>
          <w:bCs/>
          <w:color w:val="1B2A4A"/>
          <w:sz w:val="26"/>
          <w:szCs w:val="26"/>
        </w:rPr>
        <w:t>4. How to Identify It</w:t>
      </w:r>
    </w:p>
    <w:p w14:paraId="565287E4">
      <w:pPr>
        <w:pStyle w:val="16"/>
        <w:numPr>
          <w:ilvl w:val="0"/>
          <w:numId w:val="1"/>
        </w:numPr>
        <w:spacing w:after="80" w:line="276" w:lineRule="auto"/>
      </w:pPr>
      <w:r>
        <w:rPr>
          <w:sz w:val="22"/>
          <w:szCs w:val="22"/>
        </w:rPr>
        <w:t>Establish a clear directional bias on the higher timeframe using Module 1's structure tools.</w:t>
      </w:r>
    </w:p>
    <w:p w14:paraId="299250B5">
      <w:pPr>
        <w:pStyle w:val="16"/>
        <w:numPr>
          <w:ilvl w:val="0"/>
          <w:numId w:val="1"/>
        </w:numPr>
        <w:spacing w:after="80" w:line="276" w:lineRule="auto"/>
      </w:pPr>
      <w:r>
        <w:rPr>
          <w:sz w:val="22"/>
          <w:szCs w:val="22"/>
        </w:rPr>
        <w:t>Note that bias (bullish, bearish, or undetermined/ranging).</w:t>
      </w:r>
    </w:p>
    <w:p w14:paraId="0D50AD70">
      <w:pPr>
        <w:pStyle w:val="16"/>
        <w:numPr>
          <w:ilvl w:val="0"/>
          <w:numId w:val="1"/>
        </w:numPr>
        <w:spacing w:after="80" w:line="276" w:lineRule="auto"/>
      </w:pPr>
      <w:r>
        <w:rPr>
          <w:sz w:val="22"/>
          <w:szCs w:val="22"/>
        </w:rPr>
        <w:t>Move to the lower timeframe only to look for setups matching that same direction.</w:t>
      </w:r>
    </w:p>
    <w:p w14:paraId="6F04054F">
      <w:pPr>
        <w:pStyle w:val="16"/>
        <w:numPr>
          <w:ilvl w:val="0"/>
          <w:numId w:val="1"/>
        </w:numPr>
        <w:spacing w:after="80" w:line="276" w:lineRule="auto"/>
      </w:pPr>
      <w:r>
        <w:rPr>
          <w:sz w:val="22"/>
          <w:szCs w:val="22"/>
        </w:rPr>
        <w:t>Discard, or treat as lower-priority, any lower-timeframe setup that points in the opposite direction of the established HTF bias.</w:t>
      </w:r>
    </w:p>
    <w:p w14:paraId="7C700A3E">
      <w:pPr>
        <w:pStyle w:val="3"/>
        <w:spacing w:before="360" w:after="160"/>
      </w:pPr>
      <w:r>
        <w:rPr>
          <w:b/>
          <w:bCs/>
          <w:color w:val="1B2A4A"/>
          <w:sz w:val="26"/>
          <w:szCs w:val="26"/>
        </w:rPr>
        <w:t>5. Simple Price Example</w:t>
      </w:r>
    </w:p>
    <w:p w14:paraId="3207BFA4">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Daily chart: bullish structure (HH/HL). 15-minute chart: shows a temporary lower low.</w:t>
      </w:r>
    </w:p>
    <w:p w14:paraId="7E835724">
      <w:pPr>
        <w:spacing w:after="160" w:line="288" w:lineRule="auto"/>
      </w:pPr>
      <w:r>
        <w:rPr>
          <w:b w:val="0"/>
          <w:bCs w:val="0"/>
          <w:i w:val="0"/>
          <w:iCs w:val="0"/>
          <w:sz w:val="22"/>
          <w:szCs w:val="22"/>
        </w:rPr>
        <w:t>The daily chart's bullish structure is the governing context. The 15-minute chart's temporary lower low does not, by itself, overturn that daily bias — within ICT's framework, this LTF dip would more likely be read as a retracement or a liquidity sweep within the larger uptrend (concepts covered in Modules 1 and 4) rather than as a signal to start selling.</w:t>
      </w:r>
    </w:p>
    <w:p w14:paraId="51C66F2F">
      <w:pPr>
        <w:pStyle w:val="3"/>
        <w:spacing w:before="360" w:after="160"/>
      </w:pPr>
      <w:r>
        <w:rPr>
          <w:b/>
          <w:bCs/>
          <w:color w:val="1B2A4A"/>
          <w:sz w:val="26"/>
          <w:szCs w:val="26"/>
        </w:rPr>
        <w:t>6. What It Tells the Trader</w:t>
      </w:r>
    </w:p>
    <w:p w14:paraId="52C3D1AB">
      <w:pPr>
        <w:spacing w:after="160" w:line="288" w:lineRule="auto"/>
      </w:pPr>
      <w:r>
        <w:rPr>
          <w:b w:val="0"/>
          <w:bCs w:val="0"/>
          <w:i w:val="0"/>
          <w:iCs w:val="0"/>
          <w:sz w:val="22"/>
          <w:szCs w:val="22"/>
        </w:rPr>
        <w:t>This relationship tells the trader which signals to prioritize when different timeframes appear to disagree — the higher timeframe generally wins the disagreement.</w:t>
      </w:r>
    </w:p>
    <w:p w14:paraId="1EA284D7">
      <w:pPr>
        <w:spacing w:after="160" w:line="288" w:lineRule="auto"/>
      </w:pPr>
      <w:r>
        <w:rPr>
          <w:b w:val="0"/>
          <w:bCs w:val="0"/>
          <w:i w:val="0"/>
          <w:iCs w:val="0"/>
          <w:sz w:val="22"/>
          <w:szCs w:val="22"/>
        </w:rPr>
        <w:t>It does not mean the lower timeframe is irrelevant, or that HTF bias never changes. A sufficiently strong and sustained LTF move can eventually be the first sign of a larger HTF structure shift; the relationship describes a working hierarchy, not an absolute, permanent rule that the LTF can never signal an eventual change in the HTF picture.</w:t>
      </w:r>
    </w:p>
    <w:p w14:paraId="5BA22228">
      <w:pPr>
        <w:pStyle w:val="3"/>
        <w:spacing w:before="360" w:after="160"/>
      </w:pPr>
      <w:r>
        <w:rPr>
          <w:b/>
          <w:bCs/>
          <w:color w:val="1B2A4A"/>
          <w:sz w:val="26"/>
          <w:szCs w:val="26"/>
        </w:rPr>
        <w:t>7. What It Is Commonly Paired With</w:t>
      </w:r>
    </w:p>
    <w:p w14:paraId="467C6497">
      <w:pPr>
        <w:pStyle w:val="16"/>
        <w:numPr>
          <w:ilvl w:val="0"/>
          <w:numId w:val="2"/>
        </w:numPr>
        <w:spacing w:after="80" w:line="276" w:lineRule="auto"/>
      </w:pPr>
      <w:r>
        <w:rPr>
          <w:sz w:val="22"/>
          <w:szCs w:val="22"/>
        </w:rPr>
        <w:t>Higher Timeframe</w:t>
      </w:r>
    </w:p>
    <w:p w14:paraId="21ABCC28">
      <w:pPr>
        <w:pStyle w:val="16"/>
        <w:numPr>
          <w:ilvl w:val="0"/>
          <w:numId w:val="2"/>
        </w:numPr>
        <w:spacing w:after="80" w:line="276" w:lineRule="auto"/>
      </w:pPr>
      <w:r>
        <w:rPr>
          <w:sz w:val="22"/>
          <w:szCs w:val="22"/>
        </w:rPr>
        <w:t>Lower Timeframe</w:t>
      </w:r>
    </w:p>
    <w:p w14:paraId="203C49FF">
      <w:pPr>
        <w:pStyle w:val="16"/>
        <w:numPr>
          <w:ilvl w:val="0"/>
          <w:numId w:val="2"/>
        </w:numPr>
        <w:spacing w:after="80" w:line="276" w:lineRule="auto"/>
      </w:pPr>
      <w:r>
        <w:rPr>
          <w:sz w:val="22"/>
          <w:szCs w:val="22"/>
        </w:rPr>
        <w:t>Bias (Module 10)</w:t>
      </w:r>
    </w:p>
    <w:p w14:paraId="7795FBAE">
      <w:pPr>
        <w:spacing w:after="160" w:line="288" w:lineRule="auto"/>
      </w:pPr>
      <w:r>
        <w:rPr>
          <w:b w:val="0"/>
          <w:bCs w:val="0"/>
          <w:i w:val="0"/>
          <w:iCs w:val="0"/>
          <w:sz w:val="22"/>
          <w:szCs w:val="22"/>
        </w:rPr>
        <w:t>This relationship is the organizing principle that ties the higher and lower timeframe concepts together and is the direct ancestor of the concept of "bias" formalized in Module 10.</w:t>
      </w:r>
    </w:p>
    <w:p w14:paraId="12767D18">
      <w:pPr>
        <w:pStyle w:val="3"/>
        <w:spacing w:before="360" w:after="160"/>
      </w:pPr>
      <w:r>
        <w:rPr>
          <w:b/>
          <w:bCs/>
          <w:color w:val="1B2A4A"/>
          <w:sz w:val="26"/>
          <w:szCs w:val="26"/>
        </w:rPr>
        <w:t>8. Where It Fits in the ICT Framework</w:t>
      </w:r>
    </w:p>
    <w:p w14:paraId="0A62C002">
      <w:pPr>
        <w:spacing w:after="160" w:line="288" w:lineRule="auto"/>
      </w:pPr>
      <w:r>
        <w:rPr>
          <w:b w:val="0"/>
          <w:bCs w:val="0"/>
          <w:i w:val="0"/>
          <w:iCs w:val="0"/>
          <w:sz w:val="22"/>
          <w:szCs w:val="22"/>
        </w:rPr>
        <w:t>Comes before: Requires Higher Timeframe and Lower Timeframe.</w:t>
      </w:r>
    </w:p>
    <w:p w14:paraId="51ED65C8">
      <w:pPr>
        <w:spacing w:after="160" w:line="288" w:lineRule="auto"/>
      </w:pPr>
      <w:r>
        <w:rPr>
          <w:b w:val="0"/>
          <w:bCs w:val="0"/>
          <w:i w:val="0"/>
          <w:iCs w:val="0"/>
          <w:sz w:val="22"/>
          <w:szCs w:val="22"/>
        </w:rPr>
        <w:t>Comes after: Feeds directly into Timeframe Selection and, much later, into Bias (Module 10) and the Buy/Sell Models (Modules 11–12).</w:t>
      </w:r>
    </w:p>
    <w:p w14:paraId="1058E6AC">
      <w:pPr>
        <w:pStyle w:val="3"/>
        <w:spacing w:before="360" w:after="160"/>
      </w:pPr>
      <w:r>
        <w:rPr>
          <w:b/>
          <w:bCs/>
          <w:color w:val="1B2A4A"/>
          <w:sz w:val="26"/>
          <w:szCs w:val="26"/>
        </w:rPr>
        <w:t>9. Beginner Mistakes</w:t>
      </w:r>
    </w:p>
    <w:p w14:paraId="0ED6946E">
      <w:pPr>
        <w:pStyle w:val="16"/>
        <w:numPr>
          <w:ilvl w:val="0"/>
          <w:numId w:val="2"/>
        </w:numPr>
        <w:spacing w:after="80" w:line="276" w:lineRule="auto"/>
      </w:pPr>
      <w:r>
        <w:rPr>
          <w:sz w:val="22"/>
          <w:szCs w:val="22"/>
        </w:rPr>
        <w:t>Treating HTF and LTF analysis as two separate, unrelated exercises instead of one continuous top-down process.</w:t>
      </w:r>
    </w:p>
    <w:p w14:paraId="22400EAB">
      <w:pPr>
        <w:pStyle w:val="16"/>
        <w:numPr>
          <w:ilvl w:val="0"/>
          <w:numId w:val="2"/>
        </w:numPr>
        <w:spacing w:after="80" w:line="276" w:lineRule="auto"/>
      </w:pPr>
      <w:r>
        <w:rPr>
          <w:sz w:val="22"/>
          <w:szCs w:val="22"/>
        </w:rPr>
        <w:t>Abandoning a correct HTF bias because of noise on a very small LTF chart.</w:t>
      </w:r>
    </w:p>
    <w:p w14:paraId="39BB9559">
      <w:pPr>
        <w:pStyle w:val="16"/>
        <w:numPr>
          <w:ilvl w:val="0"/>
          <w:numId w:val="2"/>
        </w:numPr>
        <w:spacing w:after="80" w:line="276" w:lineRule="auto"/>
      </w:pPr>
      <w:r>
        <w:rPr>
          <w:sz w:val="22"/>
          <w:szCs w:val="22"/>
        </w:rPr>
        <w:t>Failing to recognize when persistent LTF counter-trend pressure may be an early warning that the HTF bias itself is starting to change.</w:t>
      </w:r>
    </w:p>
    <w:p w14:paraId="595268A2">
      <w:pPr>
        <w:pStyle w:val="3"/>
        <w:spacing w:before="360" w:after="160"/>
      </w:pPr>
      <w:r>
        <w:rPr>
          <w:b/>
          <w:bCs/>
          <w:color w:val="1B2A4A"/>
          <w:sz w:val="26"/>
          <w:szCs w:val="26"/>
        </w:rPr>
        <w:t>10. Important Qualification</w:t>
      </w:r>
    </w:p>
    <w:p w14:paraId="377826CA">
      <w:pPr>
        <w:pBdr>
          <w:left w:val="single" w:color="7A2E2E" w:sz="24" w:space="8"/>
        </w:pBdr>
        <w:shd w:val="clear" w:fill="EFEFEF"/>
        <w:spacing w:before="160" w:after="200"/>
        <w:ind w:left="200"/>
      </w:pPr>
      <w:r>
        <w:rPr>
          <w:b/>
          <w:bCs/>
          <w:color w:val="7A2E2E"/>
          <w:sz w:val="21"/>
          <w:szCs w:val="21"/>
        </w:rPr>
        <w:t xml:space="preserve">Qualification: </w:t>
      </w:r>
      <w:r>
        <w:rPr>
          <w:sz w:val="21"/>
          <w:szCs w:val="21"/>
        </w:rPr>
        <w:t>The higher-timeframe-governs-lower-timeframe rule is a working discipline, not an infallible law of markets. Higher-timeframe bias itself changes over time as new HTF structure forms; the relationship describes which chart to defer to at any given moment, not a guarantee that today's HTF bias is permanent.</w:t>
      </w:r>
    </w:p>
    <w:p w14:paraId="54135248">
      <w:pPr>
        <w:pStyle w:val="3"/>
        <w:spacing w:before="360" w:after="160"/>
      </w:pPr>
      <w:r>
        <w:rPr>
          <w:b/>
          <w:bCs/>
          <w:color w:val="1B2A4A"/>
          <w:sz w:val="26"/>
          <w:szCs w:val="26"/>
        </w:rPr>
        <w:t>11. Source</w:t>
      </w:r>
    </w:p>
    <w:p w14:paraId="09E9D1B1"/>
    <w:p w14:paraId="5DDD6E63">
      <w:pPr>
        <w:pStyle w:val="16"/>
        <w:numPr>
          <w:ilvl w:val="0"/>
          <w:numId w:val="2"/>
        </w:numPr>
        <w:spacing w:after="80" w:line="276" w:lineRule="auto"/>
      </w:pPr>
      <w:r>
        <w:rPr>
          <w:sz w:val="22"/>
          <w:szCs w:val="22"/>
        </w:rPr>
        <w:t>tradingstrategyguides.com — "Day 10: Multi-Timeframe Analysis ICT &amp; SMC — The Top-Down Approach Explained."</w:t>
      </w:r>
    </w:p>
    <w:p w14:paraId="2C385756">
      <w:pPr>
        <w:pStyle w:val="16"/>
        <w:numPr>
          <w:ilvl w:val="0"/>
          <w:numId w:val="2"/>
        </w:numPr>
        <w:spacing w:after="80" w:line="276" w:lineRule="auto"/>
      </w:pPr>
      <w:r>
        <w:rPr>
          <w:sz w:val="22"/>
          <w:szCs w:val="22"/>
        </w:rPr>
        <w:t>smartinggoods.com — "ICT Trading Strategy: The Complete 2026 Guide" (explicit HTF-veto rule: "Only take long setups when the 4H is bullish... Do not fight the higher-timeframe structure").</w:t>
      </w:r>
    </w:p>
    <w:p w14:paraId="0174A681">
      <w:r>
        <w:br w:type="page"/>
      </w:r>
    </w:p>
    <w:p w14:paraId="3E8AB003">
      <w:pPr>
        <w:pStyle w:val="2"/>
        <w:pBdr>
          <w:bottom w:val="single" w:color="1B2A4A" w:sz="12" w:space="4"/>
        </w:pBdr>
        <w:spacing w:before="480" w:after="240"/>
      </w:pPr>
      <w:r>
        <w:rPr>
          <w:b/>
          <w:bCs/>
          <w:color w:val="1B2A4A"/>
          <w:sz w:val="34"/>
          <w:szCs w:val="34"/>
        </w:rPr>
        <w:t>Timeframe Selection</w:t>
      </w:r>
    </w:p>
    <w:p w14:paraId="406C62F1">
      <w:pPr>
        <w:pStyle w:val="3"/>
        <w:spacing w:before="360" w:after="160"/>
      </w:pPr>
      <w:r>
        <w:rPr>
          <w:b/>
          <w:bCs/>
          <w:color w:val="1B2A4A"/>
          <w:sz w:val="26"/>
          <w:szCs w:val="26"/>
        </w:rPr>
        <w:t>1. Definition</w:t>
      </w:r>
    </w:p>
    <w:p w14:paraId="43B03943">
      <w:pPr>
        <w:spacing w:after="160" w:line="288" w:lineRule="auto"/>
      </w:pPr>
      <w:r>
        <w:rPr>
          <w:b w:val="0"/>
          <w:bCs w:val="0"/>
          <w:i w:val="0"/>
          <w:iCs w:val="0"/>
          <w:sz w:val="22"/>
          <w:szCs w:val="22"/>
        </w:rPr>
        <w:t>The practical decision, made before analysis begins, of which specific chart intervals will serve as the higher timeframe and which will serve as the lower timeframe, based on a trader's intended holding period and trading style.</w:t>
      </w:r>
    </w:p>
    <w:p w14:paraId="66E3AB48">
      <w:pPr>
        <w:pStyle w:val="3"/>
        <w:spacing w:before="360" w:after="160"/>
      </w:pPr>
      <w:r>
        <w:rPr>
          <w:b/>
          <w:bCs/>
          <w:color w:val="1B2A4A"/>
          <w:sz w:val="26"/>
          <w:szCs w:val="26"/>
        </w:rPr>
        <w:t>2. ICT's Meaning</w:t>
      </w:r>
    </w:p>
    <w:p w14:paraId="7D9A2FEC">
      <w:pPr>
        <w:spacing w:after="160" w:line="288" w:lineRule="auto"/>
      </w:pPr>
      <w:r>
        <w:rPr>
          <w:b w:val="0"/>
          <w:bCs w:val="0"/>
          <w:i w:val="0"/>
          <w:iCs w:val="0"/>
          <w:sz w:val="22"/>
          <w:szCs w:val="22"/>
        </w:rPr>
        <w:t>ICT-focused teaching describes several common timeframe stacks rather than one single mandatory combination: for swing trading, Daily/4-Hour/1-Hour is frequently cited; for day trading or scalping, 4-Hour or 1-Hour for bias with 15-Minute or 5-Minute for entries is common; some sources also describe a broader Monthly/Weekly/Daily macro layer sitting above the operational bias layer for the most significant context.</w:t>
      </w:r>
    </w:p>
    <w:p w14:paraId="771A751A">
      <w:pPr>
        <w:spacing w:after="160" w:line="288" w:lineRule="auto"/>
      </w:pPr>
      <w:r>
        <w:rPr>
          <w:b w:val="0"/>
          <w:bCs w:val="0"/>
          <w:i w:val="0"/>
          <w:iCs w:val="0"/>
          <w:sz w:val="22"/>
          <w:szCs w:val="22"/>
        </w:rPr>
        <w:t>The consistent underlying principle across ICT-focused sources is not the exact numbers, but the ratio and the discipline: whatever timeframe decides bias must never be the same timeframe used for execution, and each timeframe used should be meaningfully larger than the one below it — commonly cited as roughly a four-to-six times difference — so that each layer adds distinct information rather than duplicating the one above it.</w:t>
      </w:r>
    </w:p>
    <w:p w14:paraId="6F59E1AF">
      <w:pPr>
        <w:pStyle w:val="3"/>
        <w:spacing w:before="360" w:after="160"/>
      </w:pPr>
      <w:r>
        <w:rPr>
          <w:b/>
          <w:bCs/>
          <w:color w:val="1B2A4A"/>
          <w:sz w:val="26"/>
          <w:szCs w:val="26"/>
        </w:rPr>
        <w:t>3. Beginner Explanation</w:t>
      </w:r>
    </w:p>
    <w:p w14:paraId="08B88ADA">
      <w:pPr>
        <w:spacing w:after="160" w:line="288" w:lineRule="auto"/>
      </w:pPr>
      <w:r>
        <w:rPr>
          <w:b w:val="0"/>
          <w:bCs w:val="0"/>
          <w:i w:val="0"/>
          <w:iCs w:val="0"/>
          <w:sz w:val="22"/>
          <w:szCs w:val="22"/>
        </w:rPr>
        <w:t>Timeframe selection is simply choosing your set of "zoom levels" in advance — deciding, before you start looking at charts, which zoom level will answer "which direction," which will answer "where exactly," and which will answer "when exactly."</w:t>
      </w:r>
    </w:p>
    <w:p w14:paraId="26154783">
      <w:pPr>
        <w:pStyle w:val="3"/>
        <w:spacing w:before="360" w:after="160"/>
      </w:pPr>
      <w:r>
        <w:rPr>
          <w:b/>
          <w:bCs/>
          <w:color w:val="1B2A4A"/>
          <w:sz w:val="26"/>
          <w:szCs w:val="26"/>
        </w:rPr>
        <w:t>4. How to Identify It</w:t>
      </w:r>
    </w:p>
    <w:p w14:paraId="455B192F">
      <w:pPr>
        <w:pStyle w:val="16"/>
        <w:numPr>
          <w:ilvl w:val="0"/>
          <w:numId w:val="1"/>
        </w:numPr>
        <w:spacing w:after="80" w:line="276" w:lineRule="auto"/>
      </w:pPr>
      <w:r>
        <w:rPr>
          <w:sz w:val="22"/>
          <w:szCs w:val="22"/>
        </w:rPr>
        <w:t>Decide your intended trade duration first: a position held for days/weeks (swing trading) versus a position held for minutes/hours within a single day (day trading/scalping).</w:t>
      </w:r>
    </w:p>
    <w:p w14:paraId="7636349F">
      <w:pPr>
        <w:pStyle w:val="16"/>
        <w:numPr>
          <w:ilvl w:val="0"/>
          <w:numId w:val="1"/>
        </w:numPr>
        <w:spacing w:after="80" w:line="276" w:lineRule="auto"/>
      </w:pPr>
      <w:r>
        <w:rPr>
          <w:sz w:val="22"/>
          <w:szCs w:val="22"/>
        </w:rPr>
        <w:t>For swing trading, a common ICT-associated stack is Daily (bias) → 4-Hour (structure) → 1-Hour (entry refinement).</w:t>
      </w:r>
    </w:p>
    <w:p w14:paraId="1DA31D09">
      <w:pPr>
        <w:pStyle w:val="16"/>
        <w:numPr>
          <w:ilvl w:val="0"/>
          <w:numId w:val="1"/>
        </w:numPr>
        <w:spacing w:after="80" w:line="276" w:lineRule="auto"/>
      </w:pPr>
      <w:r>
        <w:rPr>
          <w:sz w:val="22"/>
          <w:szCs w:val="22"/>
        </w:rPr>
        <w:t>For day trading, a common ICT-associated stack is 4-Hour or 1-Hour (bias) → 15-Minute (structure/entry) → 5-Minute or 1-Minute (precise entry timing).</w:t>
      </w:r>
    </w:p>
    <w:p w14:paraId="3870565A">
      <w:pPr>
        <w:pStyle w:val="16"/>
        <w:numPr>
          <w:ilvl w:val="0"/>
          <w:numId w:val="1"/>
        </w:numPr>
        <w:spacing w:after="80" w:line="276" w:lineRule="auto"/>
      </w:pPr>
      <w:r>
        <w:rPr>
          <w:sz w:val="22"/>
          <w:szCs w:val="22"/>
        </w:rPr>
        <w:t>Confirm each chosen timeframe is meaningfully larger than the one below it in the stack, so each layer provides genuinely new information rather than just a slightly different view of the same few candles.</w:t>
      </w:r>
    </w:p>
    <w:p w14:paraId="399E9F60">
      <w:pPr>
        <w:pStyle w:val="3"/>
        <w:spacing w:before="360" w:after="160"/>
      </w:pPr>
      <w:r>
        <w:rPr>
          <w:b/>
          <w:bCs/>
          <w:color w:val="1B2A4A"/>
          <w:sz w:val="26"/>
          <w:szCs w:val="26"/>
        </w:rPr>
        <w:t>5. Simple Price Example</w:t>
      </w:r>
    </w:p>
    <w:p w14:paraId="32410429">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Swing trader's stack: Daily (bias) → 4-Hour (structure) → 1-Hour (entry)</w:t>
      </w:r>
    </w:p>
    <w:p w14:paraId="32088CC7">
      <w:pPr>
        <w:spacing w:after="160" w:line="288" w:lineRule="auto"/>
      </w:pPr>
      <w:r>
        <w:rPr>
          <w:b w:val="0"/>
          <w:bCs w:val="0"/>
          <w:i w:val="0"/>
          <w:iCs w:val="0"/>
          <w:sz w:val="22"/>
          <w:szCs w:val="22"/>
        </w:rPr>
        <w:t>A swing trader checks the Daily chart once to determine overall bias, then checks the 4-Hour chart to see the structure and mark key levels within that bias, then finally checks the 1-Hour chart only to fine-tune the exact entry price and stop-loss placement — three distinct jobs, three distinct chart intervals, matched to a multi-day holding period.</w:t>
      </w:r>
    </w:p>
    <w:p w14:paraId="1413A20C">
      <w:pPr>
        <w:pStyle w:val="3"/>
        <w:spacing w:before="360" w:after="160"/>
      </w:pPr>
      <w:r>
        <w:rPr>
          <w:b/>
          <w:bCs/>
          <w:color w:val="1B2A4A"/>
          <w:sz w:val="26"/>
          <w:szCs w:val="26"/>
        </w:rPr>
        <w:t>6. What It Tells the Trader</w:t>
      </w:r>
    </w:p>
    <w:p w14:paraId="37A21D30">
      <w:pPr>
        <w:spacing w:after="160" w:line="288" w:lineRule="auto"/>
      </w:pPr>
      <w:r>
        <w:rPr>
          <w:b w:val="0"/>
          <w:bCs w:val="0"/>
          <w:i w:val="0"/>
          <w:iCs w:val="0"/>
          <w:sz w:val="22"/>
          <w:szCs w:val="22"/>
        </w:rPr>
        <w:t>Timeframe selection tells the trader which specific charts to open and in what order, turning the general HTF/LTF relationship into a concrete, repeatable daily or weekly routine.</w:t>
      </w:r>
    </w:p>
    <w:p w14:paraId="101BB06F">
      <w:pPr>
        <w:spacing w:after="160" w:line="288" w:lineRule="auto"/>
      </w:pPr>
      <w:r>
        <w:rPr>
          <w:b w:val="0"/>
          <w:bCs w:val="0"/>
          <w:i w:val="0"/>
          <w:iCs w:val="0"/>
          <w:sz w:val="22"/>
          <w:szCs w:val="22"/>
        </w:rPr>
        <w:t>It does not by itself determine profitability or accuracy — it is an organizational choice that must still be paired correctly with the structure, liquidity, and displacement concepts taught in later modules.</w:t>
      </w:r>
    </w:p>
    <w:p w14:paraId="33B512C9">
      <w:pPr>
        <w:pStyle w:val="3"/>
        <w:spacing w:before="360" w:after="160"/>
      </w:pPr>
      <w:r>
        <w:rPr>
          <w:b/>
          <w:bCs/>
          <w:color w:val="1B2A4A"/>
          <w:sz w:val="26"/>
          <w:szCs w:val="26"/>
        </w:rPr>
        <w:t>7. What It Is Commonly Paired With</w:t>
      </w:r>
    </w:p>
    <w:p w14:paraId="54314954">
      <w:pPr>
        <w:pStyle w:val="16"/>
        <w:numPr>
          <w:ilvl w:val="0"/>
          <w:numId w:val="2"/>
        </w:numPr>
        <w:spacing w:after="80" w:line="276" w:lineRule="auto"/>
      </w:pPr>
      <w:r>
        <w:rPr>
          <w:sz w:val="22"/>
          <w:szCs w:val="22"/>
        </w:rPr>
        <w:t>HTF/LTF Relationship</w:t>
      </w:r>
    </w:p>
    <w:p w14:paraId="19C42BF5">
      <w:pPr>
        <w:pStyle w:val="16"/>
        <w:numPr>
          <w:ilvl w:val="0"/>
          <w:numId w:val="2"/>
        </w:numPr>
        <w:spacing w:after="80" w:line="276" w:lineRule="auto"/>
      </w:pPr>
      <w:r>
        <w:rPr>
          <w:sz w:val="22"/>
          <w:szCs w:val="22"/>
        </w:rPr>
        <w:t>Daily Bias (Module 10)</w:t>
      </w:r>
    </w:p>
    <w:p w14:paraId="67613869">
      <w:pPr>
        <w:pStyle w:val="16"/>
        <w:numPr>
          <w:ilvl w:val="0"/>
          <w:numId w:val="2"/>
        </w:numPr>
        <w:spacing w:after="80" w:line="276" w:lineRule="auto"/>
      </w:pPr>
      <w:r>
        <w:rPr>
          <w:sz w:val="22"/>
          <w:szCs w:val="22"/>
        </w:rPr>
        <w:t>Daily Execution routine (Module 13)</w:t>
      </w:r>
    </w:p>
    <w:p w14:paraId="02347589">
      <w:pPr>
        <w:spacing w:after="160" w:line="288" w:lineRule="auto"/>
      </w:pPr>
      <w:r>
        <w:rPr>
          <w:b w:val="0"/>
          <w:bCs w:val="0"/>
          <w:i w:val="0"/>
          <w:iCs w:val="0"/>
          <w:sz w:val="22"/>
          <w:szCs w:val="22"/>
        </w:rPr>
        <w:t>Timeframe selection is what makes the HTF/LTF relationship operational; it is also the first concrete step of the pre-market routine formalized in Module 13's daily trading framework.</w:t>
      </w:r>
    </w:p>
    <w:p w14:paraId="482C4D28">
      <w:pPr>
        <w:pStyle w:val="3"/>
        <w:spacing w:before="360" w:after="160"/>
      </w:pPr>
      <w:r>
        <w:rPr>
          <w:b/>
          <w:bCs/>
          <w:color w:val="1B2A4A"/>
          <w:sz w:val="26"/>
          <w:szCs w:val="26"/>
        </w:rPr>
        <w:t>8. Where It Fits in the ICT Framework</w:t>
      </w:r>
    </w:p>
    <w:p w14:paraId="11C119AE">
      <w:pPr>
        <w:spacing w:after="160" w:line="288" w:lineRule="auto"/>
      </w:pPr>
      <w:r>
        <w:rPr>
          <w:b w:val="0"/>
          <w:bCs w:val="0"/>
          <w:i w:val="0"/>
          <w:iCs w:val="0"/>
          <w:sz w:val="22"/>
          <w:szCs w:val="22"/>
        </w:rPr>
        <w:t>Comes before: Requires the HTF/LTF Relationship.</w:t>
      </w:r>
    </w:p>
    <w:p w14:paraId="13DDBCEC">
      <w:pPr>
        <w:spacing w:after="160" w:line="288" w:lineRule="auto"/>
      </w:pPr>
      <w:r>
        <w:rPr>
          <w:b w:val="0"/>
          <w:bCs w:val="0"/>
          <w:i w:val="0"/>
          <w:iCs w:val="0"/>
          <w:sz w:val="22"/>
          <w:szCs w:val="22"/>
        </w:rPr>
        <w:t>Comes after: This concept concludes Module 2 and feeds directly into the pre-market analysis routine covered in Module 13.</w:t>
      </w:r>
    </w:p>
    <w:p w14:paraId="583CEDC1">
      <w:pPr>
        <w:pStyle w:val="3"/>
        <w:spacing w:before="360" w:after="160"/>
      </w:pPr>
      <w:r>
        <w:rPr>
          <w:b/>
          <w:bCs/>
          <w:color w:val="1B2A4A"/>
          <w:sz w:val="26"/>
          <w:szCs w:val="26"/>
        </w:rPr>
        <w:t>9. Beginner Mistakes</w:t>
      </w:r>
    </w:p>
    <w:p w14:paraId="5EBE69A3">
      <w:pPr>
        <w:pStyle w:val="16"/>
        <w:numPr>
          <w:ilvl w:val="0"/>
          <w:numId w:val="2"/>
        </w:numPr>
        <w:spacing w:after="80" w:line="276" w:lineRule="auto"/>
      </w:pPr>
      <w:r>
        <w:rPr>
          <w:sz w:val="22"/>
          <w:szCs w:val="22"/>
        </w:rPr>
        <w:t>Choosing timeframes that are too close together (for example, 5-minute for bias and 1-minute for entry), which produces excessive noise and little genuine separation of information.</w:t>
      </w:r>
    </w:p>
    <w:p w14:paraId="14D2ED11">
      <w:pPr>
        <w:pStyle w:val="16"/>
        <w:numPr>
          <w:ilvl w:val="0"/>
          <w:numId w:val="2"/>
        </w:numPr>
        <w:spacing w:after="80" w:line="276" w:lineRule="auto"/>
      </w:pPr>
      <w:r>
        <w:rPr>
          <w:sz w:val="22"/>
          <w:szCs w:val="22"/>
        </w:rPr>
        <w:t>Constantly switching timeframe stacks day to day without a consistent routine, making it difficult to build pattern recognition over time.</w:t>
      </w:r>
    </w:p>
    <w:p w14:paraId="3F96BEAB">
      <w:pPr>
        <w:pStyle w:val="16"/>
        <w:numPr>
          <w:ilvl w:val="0"/>
          <w:numId w:val="2"/>
        </w:numPr>
        <w:spacing w:after="80" w:line="276" w:lineRule="auto"/>
      </w:pPr>
      <w:r>
        <w:rPr>
          <w:sz w:val="22"/>
          <w:szCs w:val="22"/>
        </w:rPr>
        <w:t>Copying another trader's exact timeframe stack without considering whether it matches one's own intended holding period.</w:t>
      </w:r>
    </w:p>
    <w:p w14:paraId="605966F9">
      <w:pPr>
        <w:pStyle w:val="3"/>
        <w:spacing w:before="360" w:after="160"/>
      </w:pPr>
      <w:r>
        <w:rPr>
          <w:b/>
          <w:bCs/>
          <w:color w:val="1B2A4A"/>
          <w:sz w:val="26"/>
          <w:szCs w:val="26"/>
        </w:rPr>
        <w:t>10. Important Qualification</w:t>
      </w:r>
    </w:p>
    <w:p w14:paraId="011389BF">
      <w:pPr>
        <w:pBdr>
          <w:left w:val="single" w:color="7A2E2E" w:sz="24" w:space="8"/>
        </w:pBdr>
        <w:shd w:val="clear" w:fill="EFEFEF"/>
        <w:spacing w:before="160" w:after="200"/>
        <w:ind w:left="200"/>
      </w:pPr>
      <w:r>
        <w:rPr>
          <w:b/>
          <w:bCs/>
          <w:color w:val="7A2E2E"/>
          <w:sz w:val="21"/>
          <w:szCs w:val="21"/>
        </w:rPr>
        <w:t xml:space="preserve">Qualification: </w:t>
      </w:r>
      <w:r>
        <w:rPr>
          <w:sz w:val="21"/>
          <w:szCs w:val="21"/>
        </w:rPr>
        <w:t>There is no single ICT-mandated timeframe combination that applies to every trader in every market. The specific intervals chosen matter less than the discipline of maintaining a genuine, consistent hierarchy where a distinctly higher timeframe sets bias and a distinctly lower timeframe handles execution.</w:t>
      </w:r>
    </w:p>
    <w:p w14:paraId="793CF49C">
      <w:pPr>
        <w:pStyle w:val="3"/>
        <w:spacing w:before="360" w:after="160"/>
      </w:pPr>
      <w:r>
        <w:rPr>
          <w:b/>
          <w:bCs/>
          <w:color w:val="1B2A4A"/>
          <w:sz w:val="26"/>
          <w:szCs w:val="26"/>
        </w:rPr>
        <w:t>11. Source</w:t>
      </w:r>
    </w:p>
    <w:p w14:paraId="21F0810A"/>
    <w:p w14:paraId="4E906516">
      <w:pPr>
        <w:pStyle w:val="16"/>
        <w:numPr>
          <w:ilvl w:val="0"/>
          <w:numId w:val="2"/>
        </w:numPr>
        <w:spacing w:after="80" w:line="276" w:lineRule="auto"/>
      </w:pPr>
      <w:r>
        <w:rPr>
          <w:sz w:val="22"/>
          <w:szCs w:val="22"/>
        </w:rPr>
        <w:t>writofinance.com — "ICT Timeframe Selection – Advanced ICT Structure Analysis" (Daily/4H/1H swing-trading stack).</w:t>
      </w:r>
    </w:p>
    <w:p w14:paraId="08BE0077">
      <w:pPr>
        <w:pStyle w:val="16"/>
        <w:numPr>
          <w:ilvl w:val="0"/>
          <w:numId w:val="2"/>
        </w:numPr>
        <w:spacing w:after="80" w:line="276" w:lineRule="auto"/>
      </w:pPr>
      <w:r>
        <w:rPr>
          <w:sz w:val="22"/>
          <w:szCs w:val="22"/>
        </w:rPr>
        <w:t>smartinggoods.com — "ICT Trading Strategy: The Complete 2026 Guide" (weekly/daily/4H/1H/15m/1m stack).</w:t>
      </w:r>
    </w:p>
    <w:p w14:paraId="712427F1">
      <w:pPr>
        <w:pStyle w:val="16"/>
        <w:numPr>
          <w:ilvl w:val="0"/>
          <w:numId w:val="2"/>
        </w:numPr>
        <w:spacing w:after="80" w:line="276" w:lineRule="auto"/>
      </w:pPr>
      <w:r>
        <w:rPr>
          <w:sz w:val="22"/>
          <w:szCs w:val="22"/>
        </w:rPr>
        <w:t>luxalgo.com — "Top-down Analysis — Meta &amp; Composition Concept" (four-to-six-times timeframe spacing heuristic).</w:t>
      </w:r>
    </w:p>
    <w:p w14:paraId="16EFB982">
      <w:pPr>
        <w:pBdr>
          <w:left w:val="single" w:color="9A7B2E" w:sz="24" w:space="8"/>
        </w:pBdr>
        <w:shd w:val="clear" w:fill="EFEFEF"/>
        <w:spacing w:before="160" w:after="200"/>
        <w:ind w:left="200"/>
      </w:pPr>
      <w:r>
        <w:rPr>
          <w:b/>
          <w:bCs/>
          <w:color w:val="9A7B2E"/>
          <w:sz w:val="21"/>
          <w:szCs w:val="21"/>
        </w:rPr>
        <w:t xml:space="preserve">Community interpretation: </w:t>
      </w:r>
      <w:r>
        <w:rPr>
          <w:sz w:val="21"/>
          <w:szCs w:val="21"/>
        </w:rPr>
        <w:t>The specific "four-to-six times" spacing ratio is a community/secondary-source heuristic used to describe good practice, not a number confirmed here as an ICT-stated rule.</w:t>
      </w:r>
    </w:p>
    <w:p w14:paraId="6964EBB1">
      <w:r>
        <w:br w:type="page"/>
      </w:r>
    </w:p>
    <w:p w14:paraId="642609B1">
      <w:pPr>
        <w:pStyle w:val="2"/>
        <w:pBdr>
          <w:bottom w:val="single" w:color="1B2A4A" w:sz="12" w:space="4"/>
        </w:pBdr>
        <w:spacing w:before="480" w:after="240"/>
      </w:pPr>
      <w:r>
        <w:rPr>
          <w:b/>
          <w:bCs/>
          <w:color w:val="1B2A4A"/>
          <w:sz w:val="34"/>
          <w:szCs w:val="34"/>
        </w:rPr>
        <w:t>How These Concepts Connect</w:t>
      </w:r>
    </w:p>
    <w:p w14:paraId="6508BB64">
      <w:pPr>
        <w:spacing w:after="160" w:line="288" w:lineRule="auto"/>
      </w:pPr>
      <w:r>
        <w:rPr>
          <w:b w:val="0"/>
          <w:bCs w:val="0"/>
          <w:i w:val="0"/>
          <w:iCs w:val="0"/>
          <w:sz w:val="22"/>
          <w:szCs w:val="22"/>
        </w:rPr>
        <w:t>The six concepts in this module describe a single top-down workflow rather than six separate ideas. Higher Timeframe and Lower Timeframe are the two roles a chart can play; Higher-Timeframe Uses and Lower-Timeframe Uses describe the specific jobs each role performs; the HTF/LTF Relationship is the rule that connects them; and Timeframe Selection is the practical step of choosing which actual chart intervals will fill each role for a given trading style.</w:t>
      </w:r>
    </w:p>
    <w:p w14:paraId="76C5D90B">
      <w:pPr>
        <w:spacing w:after="160" w:line="288" w:lineRule="auto"/>
      </w:pPr>
      <w:r>
        <w:rPr>
          <w:b w:val="0"/>
          <w:bCs w:val="0"/>
          <w:i w:val="0"/>
          <w:iCs w:val="0"/>
          <w:sz w:val="22"/>
          <w:szCs w:val="22"/>
        </w:rPr>
        <w:t>Notice that none of these concepts introduce new price-action vocabulary — they all reuse the swing-point, trend, and support/resistance tools from Module 1, just applied at two (or more) different zoom levels simultaneously. This is why Module 1 had to come first: without a shared, precise vocabulary for describing price on one chart, there would be no consistent way to compare what two different charts are showing.</w:t>
      </w:r>
    </w:p>
    <w:p w14:paraId="3BEEB986">
      <w:pPr>
        <w:spacing w:after="160" w:line="288" w:lineRule="auto"/>
      </w:pPr>
      <w:r>
        <w:rPr>
          <w:b w:val="0"/>
          <w:bCs w:val="0"/>
          <w:i w:val="0"/>
          <w:iCs w:val="0"/>
          <w:sz w:val="22"/>
          <w:szCs w:val="22"/>
        </w:rPr>
        <w:t>This module also sets up a pattern that repeats throughout the rest of the book: establish context on a larger, slower chart before acting on a smaller, faster one. Market Structure (Module 3), Liquidity (Module 4), and every later module will specify which timeframe a given observation is expected to be made on, and this module is what makes that instruction meaningful.</w:t>
      </w:r>
    </w:p>
    <w:p w14:paraId="046F2037">
      <w:pPr>
        <w:pStyle w:val="2"/>
        <w:pBdr>
          <w:bottom w:val="single" w:color="1B2A4A" w:sz="12" w:space="4"/>
        </w:pBdr>
        <w:spacing w:before="480" w:after="240"/>
      </w:pPr>
      <w:r>
        <w:rPr>
          <w:b/>
          <w:bCs/>
          <w:color w:val="1B2A4A"/>
          <w:sz w:val="34"/>
          <w:szCs w:val="34"/>
        </w:rPr>
        <w:t>What You Should Now Be Able to Do</w:t>
      </w:r>
    </w:p>
    <w:p w14:paraId="51ABD061">
      <w:pPr>
        <w:pStyle w:val="16"/>
        <w:numPr>
          <w:ilvl w:val="0"/>
          <w:numId w:val="2"/>
        </w:numPr>
        <w:spacing w:after="80" w:line="276" w:lineRule="auto"/>
      </w:pPr>
      <w:r>
        <w:rPr>
          <w:sz w:val="22"/>
          <w:szCs w:val="22"/>
        </w:rPr>
        <w:t>explain, in your own words, why "higher timeframe" and "lower timeframe" are relative roles rather than fixed chart intervals</w:t>
      </w:r>
    </w:p>
    <w:p w14:paraId="677CFD50">
      <w:pPr>
        <w:pStyle w:val="16"/>
        <w:numPr>
          <w:ilvl w:val="0"/>
          <w:numId w:val="2"/>
        </w:numPr>
        <w:spacing w:after="80" w:line="276" w:lineRule="auto"/>
      </w:pPr>
      <w:r>
        <w:rPr>
          <w:sz w:val="22"/>
          <w:szCs w:val="22"/>
        </w:rPr>
        <w:t>state the three main jobs a higher timeframe chart performs in ICT's method</w:t>
      </w:r>
    </w:p>
    <w:p w14:paraId="07032FD7">
      <w:pPr>
        <w:pStyle w:val="16"/>
        <w:numPr>
          <w:ilvl w:val="0"/>
          <w:numId w:val="2"/>
        </w:numPr>
        <w:spacing w:after="80" w:line="276" w:lineRule="auto"/>
      </w:pPr>
      <w:r>
        <w:rPr>
          <w:sz w:val="22"/>
          <w:szCs w:val="22"/>
        </w:rPr>
        <w:t>state the two main jobs a lower timeframe chart performs in ICT's method</w:t>
      </w:r>
    </w:p>
    <w:p w14:paraId="758DF6AB">
      <w:pPr>
        <w:pStyle w:val="16"/>
        <w:numPr>
          <w:ilvl w:val="0"/>
          <w:numId w:val="2"/>
        </w:numPr>
        <w:spacing w:after="80" w:line="276" w:lineRule="auto"/>
      </w:pPr>
      <w:r>
        <w:rPr>
          <w:sz w:val="22"/>
          <w:szCs w:val="22"/>
        </w:rPr>
        <w:t>apply the rule that lower-timeframe signals must be checked against higher-timeframe bias before being treated as significant</w:t>
      </w:r>
    </w:p>
    <w:p w14:paraId="160596D9">
      <w:pPr>
        <w:pStyle w:val="16"/>
        <w:numPr>
          <w:ilvl w:val="0"/>
          <w:numId w:val="2"/>
        </w:numPr>
        <w:spacing w:after="80" w:line="276" w:lineRule="auto"/>
      </w:pPr>
      <w:r>
        <w:rPr>
          <w:sz w:val="22"/>
          <w:szCs w:val="22"/>
        </w:rPr>
        <w:t>choose an appropriate timeframe stack (a specific HTF and LTF pairing) for a given trading style, such as swing trading or day trading</w:t>
      </w:r>
    </w:p>
    <w:p w14:paraId="6B0E4DCF">
      <w:pPr>
        <w:pStyle w:val="16"/>
        <w:numPr>
          <w:ilvl w:val="0"/>
          <w:numId w:val="2"/>
        </w:numPr>
        <w:spacing w:after="80" w:line="276" w:lineRule="auto"/>
      </w:pPr>
      <w:r>
        <w:rPr>
          <w:sz w:val="22"/>
          <w:szCs w:val="22"/>
        </w:rPr>
        <w:t>recognize the beginner mistake of trading a lower-timeframe signal that contradicts the established higher-timeframe bias</w:t>
      </w:r>
    </w:p>
    <w:p w14:paraId="1ADE195C">
      <w:r>
        <w:br w:type="page"/>
      </w:r>
    </w:p>
    <w:p w14:paraId="12E0FC83">
      <w:pPr>
        <w:pStyle w:val="2"/>
        <w:pBdr>
          <w:bottom w:val="single" w:color="1B2A4A" w:sz="12" w:space="4"/>
        </w:pBdr>
        <w:spacing w:before="480" w:after="240"/>
      </w:pPr>
      <w:r>
        <w:rPr>
          <w:b/>
          <w:bCs/>
          <w:color w:val="1B2A4A"/>
          <w:sz w:val="34"/>
          <w:szCs w:val="34"/>
        </w:rPr>
        <w:t>Module Review</w:t>
      </w:r>
    </w:p>
    <w:p w14:paraId="5ED73AE3">
      <w:pPr>
        <w:pStyle w:val="3"/>
        <w:spacing w:before="360" w:after="160"/>
      </w:pPr>
      <w:r>
        <w:rPr>
          <w:b/>
          <w:bCs/>
          <w:color w:val="1B2A4A"/>
          <w:sz w:val="26"/>
          <w:szCs w:val="26"/>
        </w:rPr>
        <w:t>Key Terms</w:t>
      </w:r>
    </w:p>
    <w:p w14:paraId="5DA0D4FF">
      <w:pPr>
        <w:pStyle w:val="16"/>
        <w:numPr>
          <w:ilvl w:val="0"/>
          <w:numId w:val="2"/>
        </w:numPr>
        <w:spacing w:after="80" w:line="276" w:lineRule="auto"/>
      </w:pPr>
      <w:r>
        <w:rPr>
          <w:sz w:val="22"/>
          <w:szCs w:val="22"/>
        </w:rPr>
        <w:t>Higher Timeframe (HTF)</w:t>
      </w:r>
    </w:p>
    <w:p w14:paraId="79FCABFF">
      <w:pPr>
        <w:pStyle w:val="16"/>
        <w:numPr>
          <w:ilvl w:val="0"/>
          <w:numId w:val="2"/>
        </w:numPr>
        <w:spacing w:after="80" w:line="276" w:lineRule="auto"/>
      </w:pPr>
      <w:r>
        <w:rPr>
          <w:sz w:val="22"/>
          <w:szCs w:val="22"/>
        </w:rPr>
        <w:t>Higher-Timeframe Uses</w:t>
      </w:r>
    </w:p>
    <w:p w14:paraId="3457B1CA">
      <w:pPr>
        <w:pStyle w:val="16"/>
        <w:numPr>
          <w:ilvl w:val="0"/>
          <w:numId w:val="2"/>
        </w:numPr>
        <w:spacing w:after="80" w:line="276" w:lineRule="auto"/>
      </w:pPr>
      <w:r>
        <w:rPr>
          <w:sz w:val="22"/>
          <w:szCs w:val="22"/>
        </w:rPr>
        <w:t>Lower Timeframe (LTF)</w:t>
      </w:r>
    </w:p>
    <w:p w14:paraId="094065C2">
      <w:pPr>
        <w:pStyle w:val="16"/>
        <w:numPr>
          <w:ilvl w:val="0"/>
          <w:numId w:val="2"/>
        </w:numPr>
        <w:spacing w:after="80" w:line="276" w:lineRule="auto"/>
      </w:pPr>
      <w:r>
        <w:rPr>
          <w:sz w:val="22"/>
          <w:szCs w:val="22"/>
        </w:rPr>
        <w:t>Lower-Timeframe Uses</w:t>
      </w:r>
    </w:p>
    <w:p w14:paraId="3F7C16EE">
      <w:pPr>
        <w:pStyle w:val="16"/>
        <w:numPr>
          <w:ilvl w:val="0"/>
          <w:numId w:val="2"/>
        </w:numPr>
        <w:spacing w:after="80" w:line="276" w:lineRule="auto"/>
      </w:pPr>
      <w:r>
        <w:rPr>
          <w:sz w:val="22"/>
          <w:szCs w:val="22"/>
        </w:rPr>
        <w:t>HTF/LTF Relationship</w:t>
      </w:r>
    </w:p>
    <w:p w14:paraId="3B3B8D99">
      <w:pPr>
        <w:pStyle w:val="16"/>
        <w:numPr>
          <w:ilvl w:val="0"/>
          <w:numId w:val="2"/>
        </w:numPr>
        <w:spacing w:after="80" w:line="276" w:lineRule="auto"/>
      </w:pPr>
      <w:r>
        <w:rPr>
          <w:sz w:val="22"/>
          <w:szCs w:val="22"/>
        </w:rPr>
        <w:t>Timeframe Selection</w:t>
      </w:r>
    </w:p>
    <w:p w14:paraId="0ED1323B">
      <w:pPr>
        <w:pStyle w:val="16"/>
        <w:numPr>
          <w:ilvl w:val="0"/>
          <w:numId w:val="2"/>
        </w:numPr>
        <w:spacing w:after="80" w:line="276" w:lineRule="auto"/>
      </w:pPr>
      <w:r>
        <w:rPr>
          <w:sz w:val="22"/>
          <w:szCs w:val="22"/>
        </w:rPr>
        <w:t>Top-Down Analysis</w:t>
      </w:r>
    </w:p>
    <w:p w14:paraId="5B427FD5">
      <w:pPr>
        <w:pStyle w:val="3"/>
        <w:spacing w:before="360" w:after="160"/>
      </w:pPr>
      <w:r>
        <w:rPr>
          <w:b/>
          <w:bCs/>
          <w:color w:val="1B2A4A"/>
          <w:sz w:val="26"/>
          <w:szCs w:val="26"/>
        </w:rPr>
        <w:t>Beginner Summary</w:t>
      </w:r>
    </w:p>
    <w:p w14:paraId="783952A1">
      <w:pPr>
        <w:spacing w:after="160" w:line="288" w:lineRule="auto"/>
      </w:pPr>
      <w:r>
        <w:rPr>
          <w:b w:val="0"/>
          <w:bCs w:val="0"/>
          <w:i w:val="0"/>
          <w:iCs w:val="0"/>
          <w:sz w:val="22"/>
          <w:szCs w:val="22"/>
        </w:rPr>
        <w:t>The same market can be viewed at different zoom levels, and each zoom level answers a different question. A higher timeframe chart — a larger interval such as Daily or 4-Hour — answers "which direction is the market generally headed, and what are the major levels that matter?" A lower timeframe chart — a smaller interval such as 15-minute or 5-minute — answers "exactly where and when should I act on that direction?" In ICT's method, the higher timeframe always sets the context first, and the lower timeframe is used second, only to refine timing within that context — never to contradict it. Timeframe selection is simply the practical step of deciding, in advance, which specific chart intervals will fill each of these two roles for your particular trading style.</w:t>
      </w:r>
    </w:p>
    <w:p w14:paraId="4B53DABC">
      <w:pPr>
        <w:pStyle w:val="3"/>
        <w:spacing w:before="360" w:after="160"/>
      </w:pPr>
      <w:r>
        <w:rPr>
          <w:b/>
          <w:bCs/>
          <w:color w:val="1B2A4A"/>
          <w:sz w:val="26"/>
          <w:szCs w:val="26"/>
        </w:rPr>
        <w:t>Concept Relationships</w:t>
      </w:r>
    </w:p>
    <w:p w14:paraId="74B575F5">
      <w:pPr>
        <w:spacing w:after="160" w:line="288" w:lineRule="auto"/>
      </w:pPr>
      <w:r>
        <w:rPr>
          <w:b w:val="0"/>
          <w:bCs w:val="0"/>
          <w:i w:val="0"/>
          <w:iCs w:val="0"/>
          <w:sz w:val="22"/>
          <w:szCs w:val="22"/>
        </w:rPr>
        <w:t>Higher Timeframe and Lower Timeframe are paired, relative roles. Higher-Timeframe Uses and Lower-Timeframe Uses describe what each role is actually used for. The HTF/LTF Relationship is the governing rule connecting the two roles. Timeframe Selection is the practical application of all of the above — choosing real chart intervals to fill each role.</w:t>
      </w:r>
    </w:p>
    <w:p w14:paraId="2367A6A9">
      <w:pPr>
        <w:pStyle w:val="3"/>
        <w:spacing w:before="360" w:after="160"/>
      </w:pPr>
      <w:r>
        <w:rPr>
          <w:b/>
          <w:bCs/>
          <w:color w:val="1B2A4A"/>
          <w:sz w:val="26"/>
          <w:szCs w:val="26"/>
        </w:rPr>
        <w:t>Practical Chart Exercise</w:t>
      </w:r>
    </w:p>
    <w:p w14:paraId="13677A46">
      <w:pPr>
        <w:spacing w:after="160" w:line="288" w:lineRule="auto"/>
      </w:pPr>
      <w:r>
        <w:rPr>
          <w:b w:val="0"/>
          <w:bCs w:val="0"/>
          <w:i w:val="0"/>
          <w:iCs w:val="0"/>
          <w:sz w:val="22"/>
          <w:szCs w:val="22"/>
        </w:rPr>
        <w:t>Pick any two chart intervals you have access to where one is meaningfully larger than the other (for example, Daily and 15-minute, or 4-Hour and 5-minute). On the larger chart, apply Module 1's tools to determine the current trend and mark the two or three most significant recent highs and lows. Then switch to the smaller chart and identify one moment where price action on the smaller chart would have been easy to misread as a trend reversal if you had not already known the larger chart's context.</w:t>
      </w:r>
    </w:p>
    <w:p w14:paraId="6BFA9BE2">
      <w:pPr>
        <w:pStyle w:val="3"/>
        <w:spacing w:before="360" w:after="160"/>
      </w:pPr>
      <w:r>
        <w:rPr>
          <w:b/>
          <w:bCs/>
          <w:color w:val="1B2A4A"/>
          <w:sz w:val="26"/>
          <w:szCs w:val="26"/>
        </w:rPr>
        <w:t>Self-Test Questions</w:t>
      </w:r>
    </w:p>
    <w:p w14:paraId="718716E4">
      <w:pPr>
        <w:pStyle w:val="16"/>
        <w:numPr>
          <w:ilvl w:val="0"/>
          <w:numId w:val="1"/>
        </w:numPr>
        <w:spacing w:after="80" w:line="276" w:lineRule="auto"/>
      </w:pPr>
      <w:r>
        <w:rPr>
          <w:sz w:val="22"/>
          <w:szCs w:val="22"/>
        </w:rPr>
        <w:t>Why does ICT's method describe "higher timeframe" and "lower timeframe" as relative roles rather than specific, fixed chart intervals?</w:t>
      </w:r>
    </w:p>
    <w:p w14:paraId="5A9DD2B0">
      <w:pPr>
        <w:pStyle w:val="16"/>
        <w:numPr>
          <w:ilvl w:val="0"/>
          <w:numId w:val="1"/>
        </w:numPr>
        <w:spacing w:after="80" w:line="276" w:lineRule="auto"/>
      </w:pPr>
      <w:r>
        <w:rPr>
          <w:sz w:val="22"/>
          <w:szCs w:val="22"/>
        </w:rPr>
        <w:t>What is the difference between what a higher timeframe chart is used for and what a lower timeframe chart is used for?</w:t>
      </w:r>
    </w:p>
    <w:p w14:paraId="13E15245">
      <w:pPr>
        <w:pStyle w:val="16"/>
        <w:numPr>
          <w:ilvl w:val="0"/>
          <w:numId w:val="1"/>
        </w:numPr>
        <w:spacing w:after="80" w:line="276" w:lineRule="auto"/>
      </w:pPr>
      <w:r>
        <w:rPr>
          <w:sz w:val="22"/>
          <w:szCs w:val="22"/>
        </w:rPr>
        <w:t>According to the HTF/LTF relationship, what should a trader generally do when a lower-timeframe signal contradicts the established higher-timeframe bias?</w:t>
      </w:r>
    </w:p>
    <w:p w14:paraId="0C9ED89E">
      <w:pPr>
        <w:pStyle w:val="16"/>
        <w:numPr>
          <w:ilvl w:val="0"/>
          <w:numId w:val="1"/>
        </w:numPr>
        <w:spacing w:after="80" w:line="276" w:lineRule="auto"/>
      </w:pPr>
      <w:r>
        <w:rPr>
          <w:sz w:val="22"/>
          <w:szCs w:val="22"/>
        </w:rPr>
        <w:t>Name one common ICT-associated timeframe stack for swing trading and one for day trading.</w:t>
      </w:r>
    </w:p>
    <w:p w14:paraId="1C115652">
      <w:pPr>
        <w:pStyle w:val="16"/>
        <w:numPr>
          <w:ilvl w:val="0"/>
          <w:numId w:val="1"/>
        </w:numPr>
        <w:spacing w:after="80" w:line="276" w:lineRule="auto"/>
      </w:pPr>
      <w:r>
        <w:rPr>
          <w:sz w:val="22"/>
          <w:szCs w:val="22"/>
        </w:rPr>
        <w:t>Why is spacing timeframes too closely together (for example, 5-minute for bias and 1-minute for entry) considered a mistake?</w:t>
      </w:r>
    </w:p>
    <w:p w14:paraId="0E839B5E">
      <w:pPr>
        <w:pStyle w:val="3"/>
        <w:spacing w:before="360" w:after="160"/>
      </w:pPr>
      <w:r>
        <w:rPr>
          <w:b/>
          <w:bCs/>
          <w:color w:val="1B2A4A"/>
          <w:sz w:val="26"/>
          <w:szCs w:val="26"/>
        </w:rPr>
        <w:t>Common Misconceptions</w:t>
      </w:r>
    </w:p>
    <w:p w14:paraId="122A7AF8">
      <w:pPr>
        <w:pStyle w:val="16"/>
        <w:numPr>
          <w:ilvl w:val="0"/>
          <w:numId w:val="2"/>
        </w:numPr>
        <w:spacing w:after="80" w:line="276" w:lineRule="auto"/>
      </w:pPr>
      <w:r>
        <w:rPr>
          <w:sz w:val="22"/>
          <w:szCs w:val="22"/>
        </w:rPr>
        <w:t>Believing there is one single "correct" higher timeframe (such as always the Daily chart) rather than understanding it as a role relative to whatever lower timeframe is being used for entries.</w:t>
      </w:r>
    </w:p>
    <w:p w14:paraId="6BCE3DFF">
      <w:pPr>
        <w:pStyle w:val="16"/>
        <w:numPr>
          <w:ilvl w:val="0"/>
          <w:numId w:val="2"/>
        </w:numPr>
        <w:spacing w:after="80" w:line="276" w:lineRule="auto"/>
      </w:pPr>
      <w:r>
        <w:rPr>
          <w:sz w:val="22"/>
          <w:szCs w:val="22"/>
        </w:rPr>
        <w:t>Believing a lower-timeframe signal is just as significant as a higher-timeframe signal, rather than understanding the working hierarchy between them.</w:t>
      </w:r>
    </w:p>
    <w:p w14:paraId="1BF7F2FD">
      <w:pPr>
        <w:pStyle w:val="16"/>
        <w:numPr>
          <w:ilvl w:val="0"/>
          <w:numId w:val="2"/>
        </w:numPr>
        <w:spacing w:after="80" w:line="276" w:lineRule="auto"/>
      </w:pPr>
      <w:r>
        <w:rPr>
          <w:sz w:val="22"/>
          <w:szCs w:val="22"/>
        </w:rPr>
        <w:t>Believing HTF bias is permanent and cannot change, rather than understanding it is reassessed as new HTF structure forms.</w:t>
      </w:r>
    </w:p>
    <w:p w14:paraId="6F5D71E2">
      <w:pPr>
        <w:pStyle w:val="16"/>
        <w:numPr>
          <w:ilvl w:val="0"/>
          <w:numId w:val="2"/>
        </w:numPr>
        <w:spacing w:after="80" w:line="276" w:lineRule="auto"/>
      </w:pPr>
      <w:r>
        <w:rPr>
          <w:sz w:val="22"/>
          <w:szCs w:val="22"/>
        </w:rPr>
        <w:t>Believing timeframe selection is arbitrary rather than tied to a trader's intended holding period and trading style.</w:t>
      </w:r>
    </w:p>
    <w:p w14:paraId="3B4C068E">
      <w:pPr>
        <w:pStyle w:val="3"/>
        <w:spacing w:before="360" w:after="160"/>
      </w:pPr>
      <w:r>
        <w:rPr>
          <w:b/>
          <w:bCs/>
          <w:color w:val="1B2A4A"/>
          <w:sz w:val="26"/>
          <w:szCs w:val="26"/>
        </w:rPr>
        <w:t>Research Sources</w:t>
      </w:r>
    </w:p>
    <w:p w14:paraId="52AAA4AA">
      <w:pPr>
        <w:pStyle w:val="16"/>
        <w:numPr>
          <w:ilvl w:val="0"/>
          <w:numId w:val="2"/>
        </w:numPr>
        <w:spacing w:after="80" w:line="276" w:lineRule="auto"/>
      </w:pPr>
      <w:r>
        <w:rPr>
          <w:sz w:val="22"/>
          <w:szCs w:val="22"/>
        </w:rPr>
        <w:t>opofinance.com — "7 Steps to Master ICT Top-Down Analysis."</w:t>
      </w:r>
    </w:p>
    <w:p w14:paraId="39E161CD">
      <w:pPr>
        <w:pStyle w:val="16"/>
        <w:numPr>
          <w:ilvl w:val="0"/>
          <w:numId w:val="2"/>
        </w:numPr>
        <w:spacing w:after="80" w:line="276" w:lineRule="auto"/>
      </w:pPr>
      <w:r>
        <w:rPr>
          <w:sz w:val="22"/>
          <w:szCs w:val="22"/>
        </w:rPr>
        <w:t>tradingfinder.com — "Choose Timeframe in ICT - Top-Down Market Analysis" and "ICT Timeframe Selection – Advanced ICT Structure Analysis."</w:t>
      </w:r>
    </w:p>
    <w:p w14:paraId="5CCDF327">
      <w:pPr>
        <w:pStyle w:val="16"/>
        <w:numPr>
          <w:ilvl w:val="0"/>
          <w:numId w:val="2"/>
        </w:numPr>
        <w:spacing w:after="80" w:line="276" w:lineRule="auto"/>
      </w:pPr>
      <w:r>
        <w:rPr>
          <w:sz w:val="22"/>
          <w:szCs w:val="22"/>
        </w:rPr>
        <w:t>writofinance.com — "ICT Time and Price Theory – SMC Foundational Concept."</w:t>
      </w:r>
    </w:p>
    <w:p w14:paraId="004E5EE8">
      <w:pPr>
        <w:pStyle w:val="16"/>
        <w:numPr>
          <w:ilvl w:val="0"/>
          <w:numId w:val="2"/>
        </w:numPr>
        <w:spacing w:after="80" w:line="276" w:lineRule="auto"/>
      </w:pPr>
      <w:r>
        <w:rPr>
          <w:sz w:val="22"/>
          <w:szCs w:val="22"/>
        </w:rPr>
        <w:t>r2ftrading.com — "Best Timeframes for ICT Trading: How to Combine Them."</w:t>
      </w:r>
    </w:p>
    <w:p w14:paraId="57A5FB77">
      <w:pPr>
        <w:pStyle w:val="16"/>
        <w:numPr>
          <w:ilvl w:val="0"/>
          <w:numId w:val="2"/>
        </w:numPr>
        <w:spacing w:after="80" w:line="276" w:lineRule="auto"/>
      </w:pPr>
      <w:r>
        <w:rPr>
          <w:sz w:val="22"/>
          <w:szCs w:val="22"/>
        </w:rPr>
        <w:t>smartinggoods.com — "ICT Trading Strategy: The Complete 2026 Guide."</w:t>
      </w:r>
    </w:p>
    <w:p w14:paraId="722CAE35">
      <w:pPr>
        <w:pStyle w:val="16"/>
        <w:numPr>
          <w:ilvl w:val="0"/>
          <w:numId w:val="2"/>
        </w:numPr>
        <w:spacing w:after="80" w:line="276" w:lineRule="auto"/>
      </w:pPr>
      <w:r>
        <w:rPr>
          <w:sz w:val="22"/>
          <w:szCs w:val="22"/>
        </w:rPr>
        <w:t>chartinglens.com — "ICT Trading Strategy: The Complete Guide to Inner Circle Trader Concepts."</w:t>
      </w:r>
    </w:p>
    <w:p w14:paraId="0E77AC79">
      <w:pPr>
        <w:pStyle w:val="16"/>
        <w:numPr>
          <w:ilvl w:val="0"/>
          <w:numId w:val="2"/>
        </w:numPr>
        <w:spacing w:after="80" w:line="276" w:lineRule="auto"/>
      </w:pPr>
      <w:r>
        <w:rPr>
          <w:sz w:val="22"/>
          <w:szCs w:val="22"/>
        </w:rPr>
        <w:t>tradingstrategyguides.com — "Day 10: Multi-Timeframe Analysis ICT &amp; SMC — The Top-Down Approach Explained."</w:t>
      </w:r>
    </w:p>
    <w:p w14:paraId="61D85446">
      <w:pPr>
        <w:pStyle w:val="16"/>
        <w:numPr>
          <w:ilvl w:val="0"/>
          <w:numId w:val="2"/>
        </w:numPr>
        <w:spacing w:after="80" w:line="276" w:lineRule="auto"/>
      </w:pPr>
      <w:r>
        <w:rPr>
          <w:sz w:val="22"/>
          <w:szCs w:val="22"/>
        </w:rPr>
        <w:t>Note: as in Module 1, this research pass relied on cross-checked secondary/tutorial documentation rather than direct ICT primary-source video transcripts, which were not accessible in this environment. Claims are corroborated across multiple independent ICT-focused sources.</w:t>
      </w:r>
    </w:p>
    <w:p w14:paraId="5475F25F">
      <w:pPr>
        <w:pStyle w:val="16"/>
        <w:numPr>
          <w:ilvl w:val="0"/>
          <w:numId w:val="0"/>
        </w:numPr>
        <w:spacing w:after="80" w:line="276" w:lineRule="auto"/>
        <w:rPr>
          <w:sz w:val="22"/>
          <w:szCs w:val="22"/>
        </w:rPr>
      </w:pPr>
    </w:p>
    <w:p w14:paraId="3EDC21D8">
      <w:pPr>
        <w:pStyle w:val="16"/>
        <w:numPr>
          <w:ilvl w:val="0"/>
          <w:numId w:val="0"/>
        </w:numPr>
        <w:spacing w:after="80" w:line="276" w:lineRule="auto"/>
        <w:rPr>
          <w:sz w:val="22"/>
          <w:szCs w:val="22"/>
        </w:rPr>
      </w:pPr>
    </w:p>
    <w:p w14:paraId="092F74BE">
      <w:pPr>
        <w:pStyle w:val="16"/>
        <w:numPr>
          <w:ilvl w:val="0"/>
          <w:numId w:val="0"/>
        </w:numPr>
        <w:spacing w:after="80" w:line="276" w:lineRule="auto"/>
        <w:rPr>
          <w:sz w:val="22"/>
          <w:szCs w:val="22"/>
        </w:rPr>
      </w:pPr>
    </w:p>
    <w:p w14:paraId="4B87A0C6">
      <w:pPr>
        <w:pStyle w:val="2"/>
        <w:pBdr>
          <w:bottom w:val="single" w:color="1B2A4A" w:sz="12" w:space="4"/>
        </w:pBdr>
        <w:spacing w:before="480" w:after="240"/>
      </w:pPr>
      <w:r>
        <w:rPr>
          <w:b/>
          <w:bCs/>
          <w:color w:val="1B2A4A"/>
          <w:sz w:val="34"/>
          <w:szCs w:val="34"/>
        </w:rPr>
        <w:t>MODULE 3</w:t>
      </w:r>
    </w:p>
    <w:p w14:paraId="7A68EBB2">
      <w:pPr>
        <w:spacing w:after="300"/>
      </w:pPr>
      <w:r>
        <w:rPr>
          <w:b/>
          <w:bCs/>
          <w:color w:val="9A7B2E"/>
          <w:sz w:val="30"/>
          <w:szCs w:val="30"/>
        </w:rPr>
        <w:t>Market Structure</w:t>
      </w:r>
    </w:p>
    <w:p w14:paraId="6F7BD5DC">
      <w:pPr>
        <w:spacing w:after="160" w:line="288" w:lineRule="auto"/>
      </w:pPr>
      <w:r>
        <w:rPr>
          <w:b w:val="0"/>
          <w:bCs w:val="0"/>
          <w:i w:val="0"/>
          <w:iCs w:val="0"/>
          <w:sz w:val="22"/>
          <w:szCs w:val="22"/>
        </w:rPr>
        <w:t>Modules 1 and 2 gave you the vocabulary to describe individual swing points and the discipline to read them across multiple timeframes. This module assembles that vocabulary into ICT's central analytical tool: market structure — the ongoing, continuously updated read of whether a market is bullish, bearish, or undecided, and the precise mechanism by which that read changes.</w:t>
      </w:r>
    </w:p>
    <w:p w14:paraId="5D4AA4AB">
      <w:pPr>
        <w:spacing w:after="160" w:line="288" w:lineRule="auto"/>
      </w:pPr>
      <w:r>
        <w:rPr>
          <w:b w:val="0"/>
          <w:bCs w:val="0"/>
          <w:i w:val="0"/>
          <w:iCs w:val="0"/>
          <w:sz w:val="22"/>
          <w:szCs w:val="22"/>
        </w:rPr>
        <w:t>This module also contains the single most debated piece of terminology in ICT-adjacent trading education: the distinction between a Market Structure Shift (MSS), a Break of Structure (BOS), and a Change of Character (CHoCH). Rather than presenting a false consensus, this module documents the genuine disagreement found across ICT-focused sources and adopts one specific, clearly labeled working definition for consistency through the rest of this book.</w:t>
      </w:r>
    </w:p>
    <w:p w14:paraId="1FF71551">
      <w:pPr>
        <w:spacing w:after="160" w:line="288" w:lineRule="auto"/>
      </w:pPr>
      <w:r>
        <w:rPr>
          <w:b w:val="0"/>
          <w:bCs w:val="0"/>
          <w:i w:val="0"/>
          <w:iCs w:val="0"/>
          <w:sz w:val="22"/>
          <w:szCs w:val="22"/>
        </w:rPr>
        <w:t>Everything from Module 4 onward — liquidity, displacement, PD arrays, and both the Buy and Sell Models — is triggered by, or built around, the concepts in this module, especially the Market Structure Shift. A precise, careful reading of this module is essential before continuing.</w:t>
      </w:r>
    </w:p>
    <w:p w14:paraId="53C16D02">
      <w:r>
        <w:br w:type="page"/>
      </w:r>
    </w:p>
    <w:p w14:paraId="401E2A50">
      <w:pPr>
        <w:pStyle w:val="2"/>
        <w:pBdr>
          <w:bottom w:val="single" w:color="1B2A4A" w:sz="12" w:space="4"/>
        </w:pBdr>
        <w:spacing w:before="480" w:after="240"/>
      </w:pPr>
      <w:r>
        <w:rPr>
          <w:b/>
          <w:bCs/>
          <w:color w:val="1B2A4A"/>
          <w:sz w:val="34"/>
          <w:szCs w:val="34"/>
        </w:rPr>
        <w:t>Market Structure</w:t>
      </w:r>
    </w:p>
    <w:p w14:paraId="1F10882B">
      <w:pPr>
        <w:pStyle w:val="3"/>
        <w:spacing w:before="360" w:after="160"/>
      </w:pPr>
      <w:r>
        <w:rPr>
          <w:b/>
          <w:bCs/>
          <w:color w:val="1B2A4A"/>
          <w:sz w:val="26"/>
          <w:szCs w:val="26"/>
        </w:rPr>
        <w:t>1. Definition</w:t>
      </w:r>
    </w:p>
    <w:p w14:paraId="6CE729CB">
      <w:pPr>
        <w:spacing w:after="160" w:line="288" w:lineRule="auto"/>
      </w:pPr>
      <w:r>
        <w:rPr>
          <w:b w:val="0"/>
          <w:bCs w:val="0"/>
          <w:i w:val="0"/>
          <w:iCs w:val="0"/>
          <w:sz w:val="22"/>
          <w:szCs w:val="22"/>
        </w:rPr>
        <w:t>Market structure is the pattern formed by a market's sequence of swing highs and swing lows, used to classify price as trending up, trending down, or ranging, and to identify the specific points where that classification changes.</w:t>
      </w:r>
    </w:p>
    <w:p w14:paraId="2BC42382">
      <w:pPr>
        <w:pStyle w:val="3"/>
        <w:spacing w:before="360" w:after="160"/>
      </w:pPr>
      <w:r>
        <w:rPr>
          <w:b/>
          <w:bCs/>
          <w:color w:val="1B2A4A"/>
          <w:sz w:val="26"/>
          <w:szCs w:val="26"/>
        </w:rPr>
        <w:t>2. ICT's Meaning</w:t>
      </w:r>
    </w:p>
    <w:p w14:paraId="114C19B2">
      <w:pPr>
        <w:spacing w:after="160" w:line="288" w:lineRule="auto"/>
      </w:pPr>
      <w:r>
        <w:rPr>
          <w:b w:val="0"/>
          <w:bCs w:val="0"/>
          <w:i w:val="0"/>
          <w:iCs w:val="0"/>
          <w:sz w:val="22"/>
          <w:szCs w:val="22"/>
        </w:rPr>
        <w:t>Within ICT's framework, market structure is the foundational lens through which all price action is read. Rather than relying on indicators, ICT-focused teaching treats the raw sequence of confirmed swing points (Module 1) as the primary evidence of who is in control of the market — buyers or sellers — at any given moment.</w:t>
      </w:r>
    </w:p>
    <w:p w14:paraId="1DD5B159">
      <w:pPr>
        <w:spacing w:after="160" w:line="288" w:lineRule="auto"/>
      </w:pPr>
      <w:r>
        <w:rPr>
          <w:b w:val="0"/>
          <w:bCs w:val="0"/>
          <w:i w:val="0"/>
          <w:iCs w:val="0"/>
          <w:sz w:val="22"/>
          <w:szCs w:val="22"/>
        </w:rPr>
        <w:t>ICT-focused sources consistently describe market structure as operating on a hierarchy of swing-point significance (short-term, intermediate-term, and long-term, introduced in Module 1), and as being read simultaneously across multiple timeframes (Module 2): the higher-timeframe structure sets the dominant bias, while lower-timeframe structure is used to time entries within that bias.</w:t>
      </w:r>
    </w:p>
    <w:p w14:paraId="22922698">
      <w:pPr>
        <w:spacing w:after="160" w:line="288" w:lineRule="auto"/>
      </w:pPr>
      <w:r>
        <w:rPr>
          <w:b w:val="0"/>
          <w:bCs w:val="0"/>
          <w:i w:val="0"/>
          <w:iCs w:val="0"/>
          <w:sz w:val="22"/>
          <w:szCs w:val="22"/>
        </w:rPr>
        <w:t>A recurring point across ICT-focused sources is that structure is not static — it is continuously monitored for breaks and shifts, which is why this module dedicates dedicated concepts to Bullish Structure, Bearish Structure, and Market Structure Shift rather than treating market structure as a single fixed label.</w:t>
      </w:r>
    </w:p>
    <w:p w14:paraId="5BD85A02">
      <w:pPr>
        <w:pStyle w:val="3"/>
        <w:spacing w:before="360" w:after="160"/>
      </w:pPr>
      <w:r>
        <w:rPr>
          <w:b/>
          <w:bCs/>
          <w:color w:val="1B2A4A"/>
          <w:sz w:val="26"/>
          <w:szCs w:val="26"/>
        </w:rPr>
        <w:t>3. Beginner Explanation</w:t>
      </w:r>
    </w:p>
    <w:p w14:paraId="6D904F7E">
      <w:pPr>
        <w:spacing w:after="160" w:line="288" w:lineRule="auto"/>
      </w:pPr>
      <w:r>
        <w:rPr>
          <w:b w:val="0"/>
          <w:bCs w:val="0"/>
          <w:i w:val="0"/>
          <w:iCs w:val="0"/>
          <w:sz w:val="22"/>
          <w:szCs w:val="22"/>
        </w:rPr>
        <w:t>If you strip away every indicator, every color, every added tool from a price chart, you are left with just the zigzag line of price going up and down over time. Market structure is the discipline of reading that raw zigzag line carefully: is it making progress upward, progress downward, or just wandering sideways? And at what exact point does that answer change?</w:t>
      </w:r>
    </w:p>
    <w:p w14:paraId="3A60C066">
      <w:pPr>
        <w:pStyle w:val="3"/>
        <w:spacing w:before="360" w:after="160"/>
      </w:pPr>
      <w:r>
        <w:rPr>
          <w:b/>
          <w:bCs/>
          <w:color w:val="1B2A4A"/>
          <w:sz w:val="26"/>
          <w:szCs w:val="26"/>
        </w:rPr>
        <w:t>4. How to Identify It</w:t>
      </w:r>
    </w:p>
    <w:p w14:paraId="5FE0F3B8">
      <w:pPr>
        <w:pStyle w:val="16"/>
        <w:numPr>
          <w:ilvl w:val="0"/>
          <w:numId w:val="1"/>
        </w:numPr>
        <w:spacing w:after="80" w:line="276" w:lineRule="auto"/>
      </w:pPr>
      <w:r>
        <w:rPr>
          <w:sz w:val="22"/>
          <w:szCs w:val="22"/>
        </w:rPr>
        <w:t>Map every confirmed swing high and swing low on the chart using Module 1's three-candle method.</w:t>
      </w:r>
    </w:p>
    <w:p w14:paraId="3B44288D">
      <w:pPr>
        <w:pStyle w:val="16"/>
        <w:numPr>
          <w:ilvl w:val="0"/>
          <w:numId w:val="1"/>
        </w:numPr>
        <w:spacing w:after="80" w:line="276" w:lineRule="auto"/>
      </w:pPr>
      <w:r>
        <w:rPr>
          <w:sz w:val="22"/>
          <w:szCs w:val="22"/>
        </w:rPr>
        <w:t>Classify each swing high as higher or lower than the one before it, and each swing low as higher or lower than the one before it.</w:t>
      </w:r>
    </w:p>
    <w:p w14:paraId="33E68746">
      <w:pPr>
        <w:pStyle w:val="16"/>
        <w:numPr>
          <w:ilvl w:val="0"/>
          <w:numId w:val="1"/>
        </w:numPr>
        <w:spacing w:after="80" w:line="276" w:lineRule="auto"/>
      </w:pPr>
      <w:r>
        <w:rPr>
          <w:sz w:val="22"/>
          <w:szCs w:val="22"/>
        </w:rPr>
        <w:t>Determine whether the resulting pattern is a consistent run of higher highs and higher lows (bullish structure), a consistent run of lower highs and lower lows (bearish structure), or an inconsistent mix (range/undetermined structure).</w:t>
      </w:r>
    </w:p>
    <w:p w14:paraId="42C2961E">
      <w:pPr>
        <w:pStyle w:val="16"/>
        <w:numPr>
          <w:ilvl w:val="0"/>
          <w:numId w:val="1"/>
        </w:numPr>
        <w:spacing w:after="80" w:line="276" w:lineRule="auto"/>
      </w:pPr>
      <w:r>
        <w:rPr>
          <w:sz w:val="22"/>
          <w:szCs w:val="22"/>
        </w:rPr>
        <w:t>Continue this mapping forward in time, watching specifically for the moment a swing point is broken in a way that contradicts the current classification (covered in Market Structure Shift, below).</w:t>
      </w:r>
    </w:p>
    <w:p w14:paraId="177B2B78">
      <w:pPr>
        <w:pStyle w:val="3"/>
        <w:spacing w:before="360" w:after="160"/>
      </w:pPr>
      <w:r>
        <w:rPr>
          <w:b/>
          <w:bCs/>
          <w:color w:val="1B2A4A"/>
          <w:sz w:val="26"/>
          <w:szCs w:val="26"/>
        </w:rPr>
        <w:t>5. Simple Price Example</w:t>
      </w:r>
    </w:p>
    <w:p w14:paraId="6B558C65">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100 → 108 → 104 → 115 → 109 → 122</w:t>
      </w:r>
    </w:p>
    <w:p w14:paraId="2BCAFC67">
      <w:pPr>
        <w:spacing w:after="160" w:line="288" w:lineRule="auto"/>
      </w:pPr>
      <w:r>
        <w:rPr>
          <w:b w:val="0"/>
          <w:bCs w:val="0"/>
          <w:i w:val="0"/>
          <w:iCs w:val="0"/>
          <w:sz w:val="22"/>
          <w:szCs w:val="22"/>
        </w:rPr>
        <w:t>Swing highs: 108, 115, 122 — each higher than the last. Swing lows: 104, 109 — each higher than the last.</w:t>
      </w:r>
    </w:p>
    <w:p w14:paraId="2DE5ACB7">
      <w:pPr>
        <w:spacing w:after="160" w:line="288" w:lineRule="auto"/>
      </w:pPr>
      <w:r>
        <w:rPr>
          <w:b w:val="0"/>
          <w:bCs w:val="0"/>
          <w:i w:val="0"/>
          <w:iCs w:val="0"/>
          <w:sz w:val="22"/>
          <w:szCs w:val="22"/>
        </w:rPr>
        <w:t>Reading this sequence as market structure: the market is bullish, because both the highs and lows are rising together in a consistent pattern, exactly as defined in Module 1's Trend concept — market structure is simply this same reading formalized as an ongoing, continuously updated framework rather than a one-time observation.</w:t>
      </w:r>
    </w:p>
    <w:p w14:paraId="7C33773F">
      <w:pPr>
        <w:pStyle w:val="3"/>
        <w:spacing w:before="360" w:after="160"/>
      </w:pPr>
      <w:r>
        <w:rPr>
          <w:b/>
          <w:bCs/>
          <w:color w:val="1B2A4A"/>
          <w:sz w:val="26"/>
          <w:szCs w:val="26"/>
        </w:rPr>
        <w:t>6. What It Tells the Trader</w:t>
      </w:r>
    </w:p>
    <w:p w14:paraId="181B2C05">
      <w:pPr>
        <w:spacing w:after="160" w:line="288" w:lineRule="auto"/>
      </w:pPr>
      <w:r>
        <w:rPr>
          <w:b w:val="0"/>
          <w:bCs w:val="0"/>
          <w:i w:val="0"/>
          <w:iCs w:val="0"/>
          <w:sz w:val="22"/>
          <w:szCs w:val="22"/>
        </w:rPr>
        <w:t>Market structure tells the trader, in an objective and repeatable way, whether the market is currently favoring buyers, favoring sellers, or undecided — the starting point for every other decision in ICT's framework.</w:t>
      </w:r>
    </w:p>
    <w:p w14:paraId="1C123B02">
      <w:pPr>
        <w:spacing w:after="160" w:line="288" w:lineRule="auto"/>
      </w:pPr>
      <w:r>
        <w:rPr>
          <w:b w:val="0"/>
          <w:bCs w:val="0"/>
          <w:i w:val="0"/>
          <w:iCs w:val="0"/>
          <w:sz w:val="22"/>
          <w:szCs w:val="22"/>
        </w:rPr>
        <w:t>It does not tell the trader when the current structure will change, or guarantee that a classification will persist. Structure is a description of the past and present, continuously subject to revision as new swing points form.</w:t>
      </w:r>
    </w:p>
    <w:p w14:paraId="60ECDBC9">
      <w:pPr>
        <w:pStyle w:val="3"/>
        <w:spacing w:before="360" w:after="160"/>
      </w:pPr>
      <w:r>
        <w:rPr>
          <w:b/>
          <w:bCs/>
          <w:color w:val="1B2A4A"/>
          <w:sz w:val="26"/>
          <w:szCs w:val="26"/>
        </w:rPr>
        <w:t>7. What It Is Commonly Paired With</w:t>
      </w:r>
    </w:p>
    <w:p w14:paraId="77B89A85">
      <w:pPr>
        <w:pStyle w:val="16"/>
        <w:numPr>
          <w:ilvl w:val="0"/>
          <w:numId w:val="2"/>
        </w:numPr>
        <w:spacing w:after="80" w:line="276" w:lineRule="auto"/>
      </w:pPr>
      <w:r>
        <w:rPr>
          <w:sz w:val="22"/>
          <w:szCs w:val="22"/>
        </w:rPr>
        <w:t>Bullish/Bearish Market Structure</w:t>
      </w:r>
    </w:p>
    <w:p w14:paraId="647CD763">
      <w:pPr>
        <w:pStyle w:val="16"/>
        <w:numPr>
          <w:ilvl w:val="0"/>
          <w:numId w:val="2"/>
        </w:numPr>
        <w:spacing w:after="80" w:line="276" w:lineRule="auto"/>
      </w:pPr>
      <w:r>
        <w:rPr>
          <w:sz w:val="22"/>
          <w:szCs w:val="22"/>
        </w:rPr>
        <w:t>Market Structure Shift</w:t>
      </w:r>
    </w:p>
    <w:p w14:paraId="6E29388A">
      <w:pPr>
        <w:pStyle w:val="16"/>
        <w:numPr>
          <w:ilvl w:val="0"/>
          <w:numId w:val="2"/>
        </w:numPr>
        <w:spacing w:after="80" w:line="276" w:lineRule="auto"/>
      </w:pPr>
      <w:r>
        <w:rPr>
          <w:sz w:val="22"/>
          <w:szCs w:val="22"/>
        </w:rPr>
        <w:t>Liquidity (Module 4)</w:t>
      </w:r>
    </w:p>
    <w:p w14:paraId="0A4A5FFC">
      <w:pPr>
        <w:spacing w:after="160" w:line="288" w:lineRule="auto"/>
      </w:pPr>
      <w:r>
        <w:rPr>
          <w:b w:val="0"/>
          <w:bCs w:val="0"/>
          <w:i w:val="0"/>
          <w:iCs w:val="0"/>
          <w:sz w:val="22"/>
          <w:szCs w:val="22"/>
        </w:rPr>
        <w:t>Market structure is the umbrella concept that Bullish Structure, Bearish Structure, and Market Structure Shift all sit underneath. It is also the direct prerequisite for Liquidity in Module 4, since liquidity pools are defined relative to structural swing points.</w:t>
      </w:r>
    </w:p>
    <w:p w14:paraId="08EA1A6D">
      <w:pPr>
        <w:pStyle w:val="3"/>
        <w:spacing w:before="360" w:after="160"/>
      </w:pPr>
      <w:r>
        <w:rPr>
          <w:b/>
          <w:bCs/>
          <w:color w:val="1B2A4A"/>
          <w:sz w:val="26"/>
          <w:szCs w:val="26"/>
        </w:rPr>
        <w:t>8. Where It Fits in the ICT Framework</w:t>
      </w:r>
    </w:p>
    <w:p w14:paraId="40940E89">
      <w:pPr>
        <w:spacing w:after="160" w:line="288" w:lineRule="auto"/>
      </w:pPr>
      <w:r>
        <w:rPr>
          <w:b w:val="0"/>
          <w:bCs w:val="0"/>
          <w:i w:val="0"/>
          <w:iCs w:val="0"/>
          <w:sz w:val="22"/>
          <w:szCs w:val="22"/>
        </w:rPr>
        <w:t>Comes before: Requires all of Module 1 (Price Fundamentals) and Module 2 (Timeframe Analysis).</w:t>
      </w:r>
    </w:p>
    <w:p w14:paraId="73F0272B">
      <w:pPr>
        <w:spacing w:after="160" w:line="288" w:lineRule="auto"/>
      </w:pPr>
      <w:r>
        <w:rPr>
          <w:b w:val="0"/>
          <w:bCs w:val="0"/>
          <w:i w:val="0"/>
          <w:iCs w:val="0"/>
          <w:sz w:val="22"/>
          <w:szCs w:val="22"/>
        </w:rPr>
        <w:t>Comes after: Splits into Structural Highs/Lows, Bullish Market Structure, Bearish Market Structure, and Market Structure Shift — then feeds into Liquidity (Module 4).</w:t>
      </w:r>
    </w:p>
    <w:p w14:paraId="4506ACCC">
      <w:pPr>
        <w:pStyle w:val="3"/>
        <w:spacing w:before="360" w:after="160"/>
      </w:pPr>
      <w:r>
        <w:rPr>
          <w:b/>
          <w:bCs/>
          <w:color w:val="1B2A4A"/>
          <w:sz w:val="26"/>
          <w:szCs w:val="26"/>
        </w:rPr>
        <w:t>9. Beginner Mistakes</w:t>
      </w:r>
    </w:p>
    <w:p w14:paraId="14C9D0E2">
      <w:pPr>
        <w:pStyle w:val="16"/>
        <w:numPr>
          <w:ilvl w:val="0"/>
          <w:numId w:val="2"/>
        </w:numPr>
        <w:spacing w:after="80" w:line="276" w:lineRule="auto"/>
      </w:pPr>
      <w:r>
        <w:rPr>
          <w:sz w:val="22"/>
          <w:szCs w:val="22"/>
        </w:rPr>
        <w:t>Reading structure on only one timeframe and ignoring how it may differ on a higher or lower timeframe.</w:t>
      </w:r>
    </w:p>
    <w:p w14:paraId="50E7E6CA">
      <w:pPr>
        <w:pStyle w:val="16"/>
        <w:numPr>
          <w:ilvl w:val="0"/>
          <w:numId w:val="2"/>
        </w:numPr>
        <w:spacing w:after="80" w:line="276" w:lineRule="auto"/>
      </w:pPr>
      <w:r>
        <w:rPr>
          <w:sz w:val="22"/>
          <w:szCs w:val="22"/>
        </w:rPr>
        <w:t>Treating structure as a single permanent label rather than continuously re-evaluating it as new candles close.</w:t>
      </w:r>
    </w:p>
    <w:p w14:paraId="41A60BE5">
      <w:pPr>
        <w:pStyle w:val="16"/>
        <w:numPr>
          <w:ilvl w:val="0"/>
          <w:numId w:val="2"/>
        </w:numPr>
        <w:spacing w:after="80" w:line="276" w:lineRule="auto"/>
      </w:pPr>
      <w:r>
        <w:rPr>
          <w:sz w:val="22"/>
          <w:szCs w:val="22"/>
        </w:rPr>
        <w:t>Forcing a bullish or bearish label onto a genuinely mixed, range-bound sequence of swing points.</w:t>
      </w:r>
    </w:p>
    <w:p w14:paraId="2F597D73">
      <w:pPr>
        <w:pStyle w:val="3"/>
        <w:spacing w:before="360" w:after="160"/>
      </w:pPr>
      <w:r>
        <w:rPr>
          <w:b/>
          <w:bCs/>
          <w:color w:val="1B2A4A"/>
          <w:sz w:val="26"/>
          <w:szCs w:val="26"/>
        </w:rPr>
        <w:t>10. Important Qualification</w:t>
      </w:r>
    </w:p>
    <w:p w14:paraId="6C37318A">
      <w:pPr>
        <w:pBdr>
          <w:left w:val="single" w:color="7A2E2E" w:sz="24" w:space="8"/>
        </w:pBdr>
        <w:shd w:val="clear" w:fill="EFEFEF"/>
        <w:spacing w:before="160" w:after="200"/>
        <w:ind w:left="200"/>
      </w:pPr>
      <w:r>
        <w:rPr>
          <w:b/>
          <w:bCs/>
          <w:color w:val="7A2E2E"/>
          <w:sz w:val="21"/>
          <w:szCs w:val="21"/>
        </w:rPr>
        <w:t xml:space="preserve">Qualification: </w:t>
      </w:r>
      <w:r>
        <w:rPr>
          <w:sz w:val="21"/>
          <w:szCs w:val="21"/>
        </w:rPr>
        <w:t>Market structure describes the objective, historical pattern of swing points; it does not by itself predict what comes next. ICT's framework pairs structure with liquidity and displacement (Modules 4–5) specifically because structure alone cannot distinguish a genuine trend from one that is about to reverse.</w:t>
      </w:r>
    </w:p>
    <w:p w14:paraId="1332CAED">
      <w:pPr>
        <w:pStyle w:val="3"/>
        <w:spacing w:before="360" w:after="160"/>
      </w:pPr>
      <w:r>
        <w:rPr>
          <w:b/>
          <w:bCs/>
          <w:color w:val="1B2A4A"/>
          <w:sz w:val="26"/>
          <w:szCs w:val="26"/>
        </w:rPr>
        <w:t>11. Source</w:t>
      </w:r>
    </w:p>
    <w:p w14:paraId="157AD619"/>
    <w:p w14:paraId="188173EF">
      <w:pPr>
        <w:pStyle w:val="16"/>
        <w:numPr>
          <w:ilvl w:val="0"/>
          <w:numId w:val="2"/>
        </w:numPr>
        <w:spacing w:after="80" w:line="276" w:lineRule="auto"/>
      </w:pPr>
      <w:r>
        <w:rPr>
          <w:sz w:val="22"/>
          <w:szCs w:val="22"/>
        </w:rPr>
        <w:t>fairvaluehub.de — "ICT Market Structure — BOS, CHoCH and MSS Explained."</w:t>
      </w:r>
    </w:p>
    <w:p w14:paraId="434601D2">
      <w:pPr>
        <w:pStyle w:val="16"/>
        <w:numPr>
          <w:ilvl w:val="0"/>
          <w:numId w:val="2"/>
        </w:numPr>
        <w:spacing w:after="80" w:line="276" w:lineRule="auto"/>
      </w:pPr>
      <w:r>
        <w:rPr>
          <w:sz w:val="22"/>
          <w:szCs w:val="22"/>
        </w:rPr>
        <w:t>atas.net — "Understanding Market Structure and Market Structure Shift (MSS)."</w:t>
      </w:r>
    </w:p>
    <w:p w14:paraId="3102042C">
      <w:pPr>
        <w:pStyle w:val="16"/>
        <w:numPr>
          <w:ilvl w:val="0"/>
          <w:numId w:val="2"/>
        </w:numPr>
        <w:spacing w:after="80" w:line="276" w:lineRule="auto"/>
      </w:pPr>
      <w:r>
        <w:rPr>
          <w:sz w:val="22"/>
          <w:szCs w:val="22"/>
        </w:rPr>
        <w:t>completetradersedge.com — "ICT Trading Explained: Inner Circle Trader Method."</w:t>
      </w:r>
    </w:p>
    <w:p w14:paraId="468A1EC0">
      <w:r>
        <w:br w:type="page"/>
      </w:r>
    </w:p>
    <w:p w14:paraId="054110BF">
      <w:pPr>
        <w:pStyle w:val="2"/>
        <w:pBdr>
          <w:bottom w:val="single" w:color="1B2A4A" w:sz="12" w:space="4"/>
        </w:pBdr>
        <w:spacing w:before="480" w:after="240"/>
      </w:pPr>
      <w:r>
        <w:rPr>
          <w:b/>
          <w:bCs/>
          <w:color w:val="1B2A4A"/>
          <w:sz w:val="34"/>
          <w:szCs w:val="34"/>
        </w:rPr>
        <w:t>Structural Highs/Lows</w:t>
      </w:r>
    </w:p>
    <w:p w14:paraId="17416AAA">
      <w:pPr>
        <w:pStyle w:val="3"/>
        <w:spacing w:before="360" w:after="160"/>
      </w:pPr>
      <w:r>
        <w:rPr>
          <w:b/>
          <w:bCs/>
          <w:color w:val="1B2A4A"/>
          <w:sz w:val="26"/>
          <w:szCs w:val="26"/>
        </w:rPr>
        <w:t>1. Definition</w:t>
      </w:r>
    </w:p>
    <w:p w14:paraId="518207FE">
      <w:pPr>
        <w:spacing w:after="160" w:line="288" w:lineRule="auto"/>
      </w:pPr>
      <w:r>
        <w:rPr>
          <w:b w:val="0"/>
          <w:bCs w:val="0"/>
          <w:i w:val="0"/>
          <w:iCs w:val="0"/>
          <w:sz w:val="22"/>
          <w:szCs w:val="22"/>
        </w:rPr>
        <w:t>Structural highs and lows are the specific swing highs and swing lows that are currently governing the market's structural classification — the exact reference points a break of which would confirm continuation or signal a reversal.</w:t>
      </w:r>
    </w:p>
    <w:p w14:paraId="505D8BB3">
      <w:pPr>
        <w:pStyle w:val="3"/>
        <w:spacing w:before="360" w:after="160"/>
      </w:pPr>
      <w:r>
        <w:rPr>
          <w:b/>
          <w:bCs/>
          <w:color w:val="1B2A4A"/>
          <w:sz w:val="26"/>
          <w:szCs w:val="26"/>
        </w:rPr>
        <w:t>2. ICT's Meaning</w:t>
      </w:r>
    </w:p>
    <w:p w14:paraId="4265B218">
      <w:pPr>
        <w:spacing w:after="160" w:line="288" w:lineRule="auto"/>
      </w:pPr>
      <w:r>
        <w:rPr>
          <w:b w:val="0"/>
          <w:bCs w:val="0"/>
          <w:i w:val="0"/>
          <w:iCs w:val="0"/>
          <w:sz w:val="22"/>
          <w:szCs w:val="22"/>
        </w:rPr>
        <w:t>Not every swing high or swing low carries equal weight for determining structure. ICT-focused teaching (building on the STH/ITH/LTH and STL/ITL/LTL hierarchy from Module 1) treats certain swing points as the currently governing, or structurally significant, highs and lows — the ones that must hold for the current bullish or bearish classification to remain valid.</w:t>
      </w:r>
    </w:p>
    <w:p w14:paraId="08BED370">
      <w:pPr>
        <w:spacing w:after="160" w:line="288" w:lineRule="auto"/>
      </w:pPr>
      <w:r>
        <w:rPr>
          <w:b w:val="0"/>
          <w:bCs w:val="0"/>
          <w:i w:val="0"/>
          <w:iCs w:val="0"/>
          <w:sz w:val="22"/>
          <w:szCs w:val="22"/>
        </w:rPr>
        <w:t>Multiple ICT-focused sources emphasize that identifying the correct tier of swing point matters: reacting to a minor, short-term swing point as if it were a major structural level is described as one of the most common sources of false structural reads.</w:t>
      </w:r>
    </w:p>
    <w:p w14:paraId="49BF85C8">
      <w:pPr>
        <w:pStyle w:val="3"/>
        <w:spacing w:before="360" w:after="160"/>
      </w:pPr>
      <w:r>
        <w:rPr>
          <w:b/>
          <w:bCs/>
          <w:color w:val="1B2A4A"/>
          <w:sz w:val="26"/>
          <w:szCs w:val="26"/>
        </w:rPr>
        <w:t>3. Beginner Explanation</w:t>
      </w:r>
    </w:p>
    <w:p w14:paraId="443E3F72">
      <w:pPr>
        <w:spacing w:after="160" w:line="288" w:lineRule="auto"/>
      </w:pPr>
      <w:r>
        <w:rPr>
          <w:b w:val="0"/>
          <w:bCs w:val="0"/>
          <w:i w:val="0"/>
          <w:iCs w:val="0"/>
          <w:sz w:val="22"/>
          <w:szCs w:val="22"/>
        </w:rPr>
        <w:t>Not every bump on the price chart matters equally. Some highs and lows are just minor wiggles; others are the specific levels that, if broken, would genuinely change the story of the chart. A structural high or low is one of these load-bearing points — the ones actually holding the current trend label up.</w:t>
      </w:r>
    </w:p>
    <w:p w14:paraId="622F543C">
      <w:pPr>
        <w:pStyle w:val="3"/>
        <w:spacing w:before="360" w:after="160"/>
      </w:pPr>
      <w:r>
        <w:rPr>
          <w:b/>
          <w:bCs/>
          <w:color w:val="1B2A4A"/>
          <w:sz w:val="26"/>
          <w:szCs w:val="26"/>
        </w:rPr>
        <w:t>4. How to Identify It</w:t>
      </w:r>
    </w:p>
    <w:p w14:paraId="7A55021F">
      <w:pPr>
        <w:pStyle w:val="16"/>
        <w:numPr>
          <w:ilvl w:val="0"/>
          <w:numId w:val="1"/>
        </w:numPr>
        <w:spacing w:after="80" w:line="276" w:lineRule="auto"/>
      </w:pPr>
      <w:r>
        <w:rPr>
          <w:sz w:val="22"/>
          <w:szCs w:val="22"/>
        </w:rPr>
        <w:t>From your full map of swing highs and lows (Module 1), identify the most recent significant swing high and swing low relevant to the current structure.</w:t>
      </w:r>
    </w:p>
    <w:p w14:paraId="0027E3B7">
      <w:pPr>
        <w:pStyle w:val="16"/>
        <w:numPr>
          <w:ilvl w:val="0"/>
          <w:numId w:val="1"/>
        </w:numPr>
        <w:spacing w:after="80" w:line="276" w:lineRule="auto"/>
      </w:pPr>
      <w:r>
        <w:rPr>
          <w:sz w:val="22"/>
          <w:szCs w:val="22"/>
        </w:rPr>
        <w:t>In an uptrend, the governing structural low is the most recent confirmed higher low — a close below it would challenge the bullish classification.</w:t>
      </w:r>
    </w:p>
    <w:p w14:paraId="619BE088">
      <w:pPr>
        <w:pStyle w:val="16"/>
        <w:numPr>
          <w:ilvl w:val="0"/>
          <w:numId w:val="1"/>
        </w:numPr>
        <w:spacing w:after="80" w:line="276" w:lineRule="auto"/>
      </w:pPr>
      <w:r>
        <w:rPr>
          <w:sz w:val="22"/>
          <w:szCs w:val="22"/>
        </w:rPr>
        <w:t>In a downtrend, the governing structural high is the most recent confirmed lower high — a close above it would challenge the bearish classification.</w:t>
      </w:r>
    </w:p>
    <w:p w14:paraId="07FEA942">
      <w:pPr>
        <w:pStyle w:val="16"/>
        <w:numPr>
          <w:ilvl w:val="0"/>
          <w:numId w:val="1"/>
        </w:numPr>
        <w:spacing w:after="80" w:line="276" w:lineRule="auto"/>
      </w:pPr>
      <w:r>
        <w:rPr>
          <w:sz w:val="22"/>
          <w:szCs w:val="22"/>
        </w:rPr>
        <w:t>Distinguish this governing point from smaller, more recent swing points that have formed inside the current leg but do not yet carry the same structural weight.</w:t>
      </w:r>
    </w:p>
    <w:p w14:paraId="11955E34">
      <w:pPr>
        <w:pStyle w:val="3"/>
        <w:spacing w:before="360" w:after="160"/>
      </w:pPr>
      <w:r>
        <w:rPr>
          <w:b/>
          <w:bCs/>
          <w:color w:val="1B2A4A"/>
          <w:sz w:val="26"/>
          <w:szCs w:val="26"/>
        </w:rPr>
        <w:t>5. Simple Price Example</w:t>
      </w:r>
    </w:p>
    <w:p w14:paraId="0732F229">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100 → 108 → 104 → 115 → 109 → 122 → 112</w:t>
      </w:r>
    </w:p>
    <w:p w14:paraId="0E4131F0">
      <w:pPr>
        <w:spacing w:after="160" w:line="288" w:lineRule="auto"/>
      </w:pPr>
      <w:r>
        <w:rPr>
          <w:b w:val="0"/>
          <w:bCs w:val="0"/>
          <w:i w:val="0"/>
          <w:iCs w:val="0"/>
          <w:sz w:val="22"/>
          <w:szCs w:val="22"/>
        </w:rPr>
        <w:t>In this bullish sequence, 109 is the most recent confirmed higher low and is therefore the current governing structural low. A break and close below 109 would be the specific event that calls the bullish structure into question — a break below 104 or 100, while further away, is less immediately relevant than the closer, more recent 109.</w:t>
      </w:r>
    </w:p>
    <w:p w14:paraId="0EEE5EE3">
      <w:pPr>
        <w:pStyle w:val="3"/>
        <w:spacing w:before="360" w:after="160"/>
      </w:pPr>
      <w:r>
        <w:rPr>
          <w:b/>
          <w:bCs/>
          <w:color w:val="1B2A4A"/>
          <w:sz w:val="26"/>
          <w:szCs w:val="26"/>
        </w:rPr>
        <w:t>6. What It Tells the Trader</w:t>
      </w:r>
    </w:p>
    <w:p w14:paraId="3C1988EF">
      <w:pPr>
        <w:spacing w:after="160" w:line="288" w:lineRule="auto"/>
      </w:pPr>
      <w:r>
        <w:rPr>
          <w:b w:val="0"/>
          <w:bCs w:val="0"/>
          <w:i w:val="0"/>
          <w:iCs w:val="0"/>
          <w:sz w:val="22"/>
          <w:szCs w:val="22"/>
        </w:rPr>
        <w:t>Structural highs/lows tell the trader precisely which price level to watch to confirm continuation or to flag a potential reversal — turning a general sense of "the market is bullish" into a specific, actionable price.</w:t>
      </w:r>
    </w:p>
    <w:p w14:paraId="5552D9C2">
      <w:pPr>
        <w:spacing w:after="160" w:line="288" w:lineRule="auto"/>
      </w:pPr>
      <w:r>
        <w:rPr>
          <w:b w:val="0"/>
          <w:bCs w:val="0"/>
          <w:i w:val="0"/>
          <w:iCs w:val="0"/>
          <w:sz w:val="22"/>
          <w:szCs w:val="22"/>
        </w:rPr>
        <w:t>They do not tell the trader with certainty that a break of that level will lead to a lasting reversal — only that such a break is structurally significant enough to warrant re-evaluating the current classification.</w:t>
      </w:r>
    </w:p>
    <w:p w14:paraId="0D27F378">
      <w:pPr>
        <w:pStyle w:val="3"/>
        <w:spacing w:before="360" w:after="160"/>
      </w:pPr>
      <w:r>
        <w:rPr>
          <w:b/>
          <w:bCs/>
          <w:color w:val="1B2A4A"/>
          <w:sz w:val="26"/>
          <w:szCs w:val="26"/>
        </w:rPr>
        <w:t>7. What It Is Commonly Paired With</w:t>
      </w:r>
    </w:p>
    <w:p w14:paraId="59A6820B">
      <w:pPr>
        <w:pStyle w:val="16"/>
        <w:numPr>
          <w:ilvl w:val="0"/>
          <w:numId w:val="2"/>
        </w:numPr>
        <w:spacing w:after="80" w:line="276" w:lineRule="auto"/>
      </w:pPr>
      <w:r>
        <w:rPr>
          <w:sz w:val="22"/>
          <w:szCs w:val="22"/>
        </w:rPr>
        <w:t>Market Structure Shift</w:t>
      </w:r>
    </w:p>
    <w:p w14:paraId="215E0C4B">
      <w:pPr>
        <w:pStyle w:val="16"/>
        <w:numPr>
          <w:ilvl w:val="0"/>
          <w:numId w:val="2"/>
        </w:numPr>
        <w:spacing w:after="80" w:line="276" w:lineRule="auto"/>
      </w:pPr>
      <w:r>
        <w:rPr>
          <w:sz w:val="22"/>
          <w:szCs w:val="22"/>
        </w:rPr>
        <w:t>Bullish/Bearish Market Structure</w:t>
      </w:r>
    </w:p>
    <w:p w14:paraId="27CF99D6">
      <w:pPr>
        <w:pStyle w:val="16"/>
        <w:numPr>
          <w:ilvl w:val="0"/>
          <w:numId w:val="2"/>
        </w:numPr>
        <w:spacing w:after="80" w:line="276" w:lineRule="auto"/>
      </w:pPr>
      <w:r>
        <w:rPr>
          <w:sz w:val="22"/>
          <w:szCs w:val="22"/>
        </w:rPr>
        <w:t>Liquidity</w:t>
      </w:r>
    </w:p>
    <w:p w14:paraId="74A6DBFC">
      <w:pPr>
        <w:spacing w:after="160" w:line="288" w:lineRule="auto"/>
      </w:pPr>
      <w:r>
        <w:rPr>
          <w:b w:val="0"/>
          <w:bCs w:val="0"/>
          <w:i w:val="0"/>
          <w:iCs w:val="0"/>
          <w:sz w:val="22"/>
          <w:szCs w:val="22"/>
        </w:rPr>
        <w:t>The structural high or low is the exact level whose break defines a Market Structure Shift. It is also frequently the same level where resting liquidity accumulates (Module 4), since traders commonly place stop-loss orders just beyond these governing points.</w:t>
      </w:r>
    </w:p>
    <w:p w14:paraId="566392C7">
      <w:pPr>
        <w:pStyle w:val="3"/>
        <w:spacing w:before="360" w:after="160"/>
      </w:pPr>
      <w:r>
        <w:rPr>
          <w:b/>
          <w:bCs/>
          <w:color w:val="1B2A4A"/>
          <w:sz w:val="26"/>
          <w:szCs w:val="26"/>
        </w:rPr>
        <w:t>8. Where It Fits in the ICT Framework</w:t>
      </w:r>
    </w:p>
    <w:p w14:paraId="4386DDB1">
      <w:pPr>
        <w:spacing w:after="160" w:line="288" w:lineRule="auto"/>
      </w:pPr>
      <w:r>
        <w:rPr>
          <w:b w:val="0"/>
          <w:bCs w:val="0"/>
          <w:i w:val="0"/>
          <w:iCs w:val="0"/>
          <w:sz w:val="22"/>
          <w:szCs w:val="22"/>
        </w:rPr>
        <w:t>Comes before: Requires Market Structure and the STH/ITH/LTH hierarchy from Module 1.</w:t>
      </w:r>
    </w:p>
    <w:p w14:paraId="650D42C3">
      <w:pPr>
        <w:spacing w:after="160" w:line="288" w:lineRule="auto"/>
      </w:pPr>
      <w:r>
        <w:rPr>
          <w:b w:val="0"/>
          <w:bCs w:val="0"/>
          <w:i w:val="0"/>
          <w:iCs w:val="0"/>
          <w:sz w:val="22"/>
          <w:szCs w:val="22"/>
        </w:rPr>
        <w:t>Comes after: Feeds directly into Market Structure Shift.</w:t>
      </w:r>
    </w:p>
    <w:p w14:paraId="1B934C10">
      <w:pPr>
        <w:pStyle w:val="3"/>
        <w:spacing w:before="360" w:after="160"/>
      </w:pPr>
      <w:r>
        <w:rPr>
          <w:b/>
          <w:bCs/>
          <w:color w:val="1B2A4A"/>
          <w:sz w:val="26"/>
          <w:szCs w:val="26"/>
        </w:rPr>
        <w:t>9. Beginner Mistakes</w:t>
      </w:r>
    </w:p>
    <w:p w14:paraId="7A03A072">
      <w:pPr>
        <w:pStyle w:val="16"/>
        <w:numPr>
          <w:ilvl w:val="0"/>
          <w:numId w:val="2"/>
        </w:numPr>
        <w:spacing w:after="80" w:line="276" w:lineRule="auto"/>
      </w:pPr>
      <w:r>
        <w:rPr>
          <w:sz w:val="22"/>
          <w:szCs w:val="22"/>
        </w:rPr>
        <w:t>Treating every recent swing point as equally structurally significant.</w:t>
      </w:r>
    </w:p>
    <w:p w14:paraId="4D62F8EA">
      <w:pPr>
        <w:pStyle w:val="16"/>
        <w:numPr>
          <w:ilvl w:val="0"/>
          <w:numId w:val="2"/>
        </w:numPr>
        <w:spacing w:after="80" w:line="276" w:lineRule="auto"/>
      </w:pPr>
      <w:r>
        <w:rPr>
          <w:sz w:val="22"/>
          <w:szCs w:val="22"/>
        </w:rPr>
        <w:t>Losing track of which specific swing high or low is currently governing the structure as price makes several smaller moves.</w:t>
      </w:r>
    </w:p>
    <w:p w14:paraId="31F336AB">
      <w:pPr>
        <w:pStyle w:val="3"/>
        <w:spacing w:before="360" w:after="160"/>
      </w:pPr>
      <w:r>
        <w:rPr>
          <w:b/>
          <w:bCs/>
          <w:color w:val="1B2A4A"/>
          <w:sz w:val="26"/>
          <w:szCs w:val="26"/>
        </w:rPr>
        <w:t>10. Important Qualification</w:t>
      </w:r>
    </w:p>
    <w:p w14:paraId="7EC8EAE2">
      <w:pPr>
        <w:pBdr>
          <w:left w:val="single" w:color="7A2E2E" w:sz="24" w:space="8"/>
        </w:pBdr>
        <w:shd w:val="clear" w:fill="EFEFEF"/>
        <w:spacing w:before="160" w:after="200"/>
        <w:ind w:left="200"/>
      </w:pPr>
      <w:r>
        <w:rPr>
          <w:b/>
          <w:bCs/>
          <w:color w:val="7A2E2E"/>
          <w:sz w:val="21"/>
          <w:szCs w:val="21"/>
        </w:rPr>
        <w:t xml:space="preserve">Qualification: </w:t>
      </w:r>
      <w:r>
        <w:rPr>
          <w:sz w:val="21"/>
          <w:szCs w:val="21"/>
        </w:rPr>
        <w:t>Identifying the correct governing structural point is a matter of judgment informed by the swing-point hierarchy, not a purely mechanical calculation — this is one of the more subjective skills in ICT's framework and is a common source of disagreement between traders reading the same chart.</w:t>
      </w:r>
    </w:p>
    <w:p w14:paraId="05F98588">
      <w:pPr>
        <w:pStyle w:val="3"/>
        <w:spacing w:before="360" w:after="160"/>
      </w:pPr>
      <w:r>
        <w:rPr>
          <w:b/>
          <w:bCs/>
          <w:color w:val="1B2A4A"/>
          <w:sz w:val="26"/>
          <w:szCs w:val="26"/>
        </w:rPr>
        <w:t>11. Source</w:t>
      </w:r>
    </w:p>
    <w:p w14:paraId="69B2F761"/>
    <w:p w14:paraId="71DB9D7F">
      <w:pPr>
        <w:pStyle w:val="16"/>
        <w:numPr>
          <w:ilvl w:val="0"/>
          <w:numId w:val="2"/>
        </w:numPr>
        <w:spacing w:after="80" w:line="276" w:lineRule="auto"/>
      </w:pPr>
      <w:r>
        <w:rPr>
          <w:sz w:val="22"/>
          <w:szCs w:val="22"/>
        </w:rPr>
        <w:t>ictkillzone.com — "ICT MSS — Market Structure Shift: The Complete Deep Dive" (discussion of "the right swing tier" as a validity requirement).</w:t>
      </w:r>
    </w:p>
    <w:p w14:paraId="7F6544EE">
      <w:pPr>
        <w:pStyle w:val="16"/>
        <w:numPr>
          <w:ilvl w:val="0"/>
          <w:numId w:val="2"/>
        </w:numPr>
        <w:spacing w:after="80" w:line="276" w:lineRule="auto"/>
      </w:pPr>
      <w:r>
        <w:rPr>
          <w:sz w:val="22"/>
          <w:szCs w:val="22"/>
        </w:rPr>
        <w:t>innercircletrader.net — "What Is ICT Market Structure? BOS Highs, Lows &amp; Liquidity" (STH/ITH/LTH framework, referenced in Module 1).</w:t>
      </w:r>
    </w:p>
    <w:p w14:paraId="57B8FD7F">
      <w:r>
        <w:br w:type="page"/>
      </w:r>
    </w:p>
    <w:p w14:paraId="68F74B05">
      <w:pPr>
        <w:pStyle w:val="2"/>
        <w:pBdr>
          <w:bottom w:val="single" w:color="1B2A4A" w:sz="12" w:space="4"/>
        </w:pBdr>
        <w:spacing w:before="480" w:after="240"/>
      </w:pPr>
      <w:r>
        <w:rPr>
          <w:b/>
          <w:bCs/>
          <w:color w:val="1B2A4A"/>
          <w:sz w:val="34"/>
          <w:szCs w:val="34"/>
        </w:rPr>
        <w:t>Bullish Market Structure</w:t>
      </w:r>
    </w:p>
    <w:p w14:paraId="7E50CC93">
      <w:pPr>
        <w:pStyle w:val="3"/>
        <w:spacing w:before="360" w:after="160"/>
      </w:pPr>
      <w:r>
        <w:rPr>
          <w:b/>
          <w:bCs/>
          <w:color w:val="1B2A4A"/>
          <w:sz w:val="26"/>
          <w:szCs w:val="26"/>
        </w:rPr>
        <w:t>1. Definition</w:t>
      </w:r>
    </w:p>
    <w:p w14:paraId="39FE3A0F">
      <w:pPr>
        <w:spacing w:after="160" w:line="288" w:lineRule="auto"/>
      </w:pPr>
      <w:r>
        <w:rPr>
          <w:b w:val="0"/>
          <w:bCs w:val="0"/>
          <w:i w:val="0"/>
          <w:iCs w:val="0"/>
          <w:sz w:val="22"/>
          <w:szCs w:val="22"/>
        </w:rPr>
        <w:t>Bullish market structure is the classification applied to a market that is consistently forming higher highs and higher lows, indicating buyers are currently in control.</w:t>
      </w:r>
    </w:p>
    <w:p w14:paraId="66A0F3B0">
      <w:pPr>
        <w:pStyle w:val="3"/>
        <w:spacing w:before="360" w:after="160"/>
      </w:pPr>
      <w:r>
        <w:rPr>
          <w:b/>
          <w:bCs/>
          <w:color w:val="1B2A4A"/>
          <w:sz w:val="26"/>
          <w:szCs w:val="26"/>
        </w:rPr>
        <w:t>2. ICT's Meaning</w:t>
      </w:r>
    </w:p>
    <w:p w14:paraId="47B8FCDF">
      <w:pPr>
        <w:spacing w:after="160" w:line="288" w:lineRule="auto"/>
      </w:pPr>
      <w:r>
        <w:rPr>
          <w:b w:val="0"/>
          <w:bCs w:val="0"/>
          <w:i w:val="0"/>
          <w:iCs w:val="0"/>
          <w:sz w:val="22"/>
          <w:szCs w:val="22"/>
        </w:rPr>
        <w:t>This is a direct, formal restatement of the Higher High / Higher Low concepts from Module 1, elevated to describe the market's overall governing condition rather than a single pair of swing points. ICT-focused teaching treats bullish structure as the default context in which a trader looks only for buying (long) opportunities, deferring or avoiding short opportunities until structure changes.</w:t>
      </w:r>
    </w:p>
    <w:p w14:paraId="1F0D903E">
      <w:pPr>
        <w:spacing w:after="160" w:line="288" w:lineRule="auto"/>
      </w:pPr>
      <w:r>
        <w:rPr>
          <w:b w:val="0"/>
          <w:bCs w:val="0"/>
          <w:i w:val="0"/>
          <w:iCs w:val="0"/>
          <w:sz w:val="22"/>
          <w:szCs w:val="22"/>
        </w:rPr>
        <w:t>Multiple sources note that bullish structure remains the operating assumption until it is specifically challenged and broken (see Market Structure Shift) — it is not treated as expiring automatically after some fixed amount of time or number of candles.</w:t>
      </w:r>
    </w:p>
    <w:p w14:paraId="44B6D238">
      <w:pPr>
        <w:pStyle w:val="3"/>
        <w:spacing w:before="360" w:after="160"/>
      </w:pPr>
      <w:r>
        <w:rPr>
          <w:b/>
          <w:bCs/>
          <w:color w:val="1B2A4A"/>
          <w:sz w:val="26"/>
          <w:szCs w:val="26"/>
        </w:rPr>
        <w:t>3. Beginner Explanation</w:t>
      </w:r>
    </w:p>
    <w:p w14:paraId="07E7E198">
      <w:pPr>
        <w:spacing w:after="160" w:line="288" w:lineRule="auto"/>
      </w:pPr>
      <w:r>
        <w:rPr>
          <w:b w:val="0"/>
          <w:bCs w:val="0"/>
          <w:i w:val="0"/>
          <w:iCs w:val="0"/>
          <w:sz w:val="22"/>
          <w:szCs w:val="22"/>
        </w:rPr>
        <w:t>Bullish structure is just the formal name for "the market keeps making higher highs and higher lows." It's the green light, within this framework, for looking to buy rather than sell.</w:t>
      </w:r>
    </w:p>
    <w:p w14:paraId="36597366">
      <w:pPr>
        <w:pStyle w:val="3"/>
        <w:spacing w:before="360" w:after="160"/>
      </w:pPr>
      <w:r>
        <w:rPr>
          <w:b/>
          <w:bCs/>
          <w:color w:val="1B2A4A"/>
          <w:sz w:val="26"/>
          <w:szCs w:val="26"/>
        </w:rPr>
        <w:t>4. How to Identify It</w:t>
      </w:r>
    </w:p>
    <w:p w14:paraId="4A6A045C">
      <w:pPr>
        <w:pStyle w:val="16"/>
        <w:numPr>
          <w:ilvl w:val="0"/>
          <w:numId w:val="1"/>
        </w:numPr>
        <w:spacing w:after="80" w:line="276" w:lineRule="auto"/>
      </w:pPr>
      <w:r>
        <w:rPr>
          <w:sz w:val="22"/>
          <w:szCs w:val="22"/>
        </w:rPr>
        <w:t>Confirm at least two consecutive higher highs and two consecutive higher lows.</w:t>
      </w:r>
    </w:p>
    <w:p w14:paraId="6A81D7C7">
      <w:pPr>
        <w:pStyle w:val="16"/>
        <w:numPr>
          <w:ilvl w:val="0"/>
          <w:numId w:val="1"/>
        </w:numPr>
        <w:spacing w:after="80" w:line="276" w:lineRule="auto"/>
      </w:pPr>
      <w:r>
        <w:rPr>
          <w:sz w:val="22"/>
          <w:szCs w:val="22"/>
        </w:rPr>
        <w:t>Identify the current governing structural low (see Structural Highs/Lows).</w:t>
      </w:r>
    </w:p>
    <w:p w14:paraId="7BAEB3D4">
      <w:pPr>
        <w:pStyle w:val="16"/>
        <w:numPr>
          <w:ilvl w:val="0"/>
          <w:numId w:val="1"/>
        </w:numPr>
        <w:spacing w:after="80" w:line="276" w:lineRule="auto"/>
      </w:pPr>
      <w:r>
        <w:rPr>
          <w:sz w:val="22"/>
          <w:szCs w:val="22"/>
        </w:rPr>
        <w:t>Confirm price remains above that governing low.</w:t>
      </w:r>
    </w:p>
    <w:p w14:paraId="50CA3ADB">
      <w:pPr>
        <w:pStyle w:val="16"/>
        <w:numPr>
          <w:ilvl w:val="0"/>
          <w:numId w:val="1"/>
        </w:numPr>
        <w:spacing w:after="80" w:line="276" w:lineRule="auto"/>
      </w:pPr>
      <w:r>
        <w:rPr>
          <w:sz w:val="22"/>
          <w:szCs w:val="22"/>
        </w:rPr>
        <w:t>Continue monitoring for a new higher high (confirming continued bullish structure) versus a break below the governing low (which would challenge it).</w:t>
      </w:r>
    </w:p>
    <w:p w14:paraId="5FF17B7C">
      <w:pPr>
        <w:pStyle w:val="3"/>
        <w:spacing w:before="360" w:after="160"/>
      </w:pPr>
      <w:r>
        <w:rPr>
          <w:b/>
          <w:bCs/>
          <w:color w:val="1B2A4A"/>
          <w:sz w:val="26"/>
          <w:szCs w:val="26"/>
        </w:rPr>
        <w:t>5. Simple Price Example</w:t>
      </w:r>
    </w:p>
    <w:p w14:paraId="432AE2FF">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100 → 108 → 104 → 115 → 109 → 122</w:t>
      </w:r>
    </w:p>
    <w:p w14:paraId="090A57DB">
      <w:pPr>
        <w:spacing w:after="160" w:line="288" w:lineRule="auto"/>
      </w:pPr>
      <w:r>
        <w:rPr>
          <w:b w:val="0"/>
          <w:bCs w:val="0"/>
          <w:i w:val="0"/>
          <w:iCs w:val="0"/>
          <w:sz w:val="22"/>
          <w:szCs w:val="22"/>
        </w:rPr>
        <w:t>Highs: 108 → 115 → 122 (rising). Lows: 104 → 109 (rising). This is a clean example of bullish market structure: a trader operating under this framework would, at this point, be looking exclusively for long (buy) opportunities and would treat 109 as the level whose breakdown would be the first sign of trouble for that bullish view.</w:t>
      </w:r>
    </w:p>
    <w:p w14:paraId="7948AF86">
      <w:pPr>
        <w:pStyle w:val="3"/>
        <w:spacing w:before="360" w:after="160"/>
      </w:pPr>
      <w:r>
        <w:rPr>
          <w:b/>
          <w:bCs/>
          <w:color w:val="1B2A4A"/>
          <w:sz w:val="26"/>
          <w:szCs w:val="26"/>
        </w:rPr>
        <w:t>6. What It Tells the Trader</w:t>
      </w:r>
    </w:p>
    <w:p w14:paraId="4E47F4FD">
      <w:pPr>
        <w:spacing w:after="160" w:line="288" w:lineRule="auto"/>
      </w:pPr>
      <w:r>
        <w:rPr>
          <w:b w:val="0"/>
          <w:bCs w:val="0"/>
          <w:i w:val="0"/>
          <w:iCs w:val="0"/>
          <w:sz w:val="22"/>
          <w:szCs w:val="22"/>
        </w:rPr>
        <w:t>Bullish structure tells the trader that, up to this point, buyers have consistently overpowered sellers at every test, and provides the directional bias context used before looking at liquidity, displacement, or entry-level concepts.</w:t>
      </w:r>
    </w:p>
    <w:p w14:paraId="006110CC">
      <w:pPr>
        <w:spacing w:after="160" w:line="288" w:lineRule="auto"/>
      </w:pPr>
      <w:r>
        <w:rPr>
          <w:b w:val="0"/>
          <w:bCs w:val="0"/>
          <w:i w:val="0"/>
          <w:iCs w:val="0"/>
          <w:sz w:val="22"/>
          <w:szCs w:val="22"/>
        </w:rPr>
        <w:t>It does not tell the trader that the bullish structure will continue indefinitely, or that every pullback within it is a buying opportunity without further confirmation.</w:t>
      </w:r>
    </w:p>
    <w:p w14:paraId="487C8E18">
      <w:pPr>
        <w:pStyle w:val="3"/>
        <w:spacing w:before="360" w:after="160"/>
      </w:pPr>
      <w:r>
        <w:rPr>
          <w:b/>
          <w:bCs/>
          <w:color w:val="1B2A4A"/>
          <w:sz w:val="26"/>
          <w:szCs w:val="26"/>
        </w:rPr>
        <w:t>7. What It Is Commonly Paired With</w:t>
      </w:r>
    </w:p>
    <w:p w14:paraId="7A6BA1D2">
      <w:pPr>
        <w:pStyle w:val="16"/>
        <w:numPr>
          <w:ilvl w:val="0"/>
          <w:numId w:val="2"/>
        </w:numPr>
        <w:spacing w:after="80" w:line="276" w:lineRule="auto"/>
      </w:pPr>
      <w:r>
        <w:rPr>
          <w:sz w:val="22"/>
          <w:szCs w:val="22"/>
        </w:rPr>
        <w:t>Bias (Module 10)</w:t>
      </w:r>
    </w:p>
    <w:p w14:paraId="14F7C045">
      <w:pPr>
        <w:pStyle w:val="16"/>
        <w:numPr>
          <w:ilvl w:val="0"/>
          <w:numId w:val="2"/>
        </w:numPr>
        <w:spacing w:after="80" w:line="276" w:lineRule="auto"/>
      </w:pPr>
      <w:r>
        <w:rPr>
          <w:sz w:val="22"/>
          <w:szCs w:val="22"/>
        </w:rPr>
        <w:t>Buy-side liquidity as a target (Module 4)</w:t>
      </w:r>
    </w:p>
    <w:p w14:paraId="16373390">
      <w:pPr>
        <w:pStyle w:val="16"/>
        <w:numPr>
          <w:ilvl w:val="0"/>
          <w:numId w:val="2"/>
        </w:numPr>
        <w:spacing w:after="80" w:line="276" w:lineRule="auto"/>
      </w:pPr>
      <w:r>
        <w:rPr>
          <w:sz w:val="22"/>
          <w:szCs w:val="22"/>
        </w:rPr>
        <w:t>ICT Buy Model (Module 11)</w:t>
      </w:r>
    </w:p>
    <w:p w14:paraId="4EF55643">
      <w:pPr>
        <w:spacing w:after="160" w:line="288" w:lineRule="auto"/>
      </w:pPr>
      <w:r>
        <w:rPr>
          <w:b w:val="0"/>
          <w:bCs w:val="0"/>
          <w:i w:val="0"/>
          <w:iCs w:val="0"/>
          <w:sz w:val="22"/>
          <w:szCs w:val="22"/>
        </w:rPr>
        <w:t>Bullish structure is the structural precondition for forming a bullish bias and for the entire ICT Buy Model sequence — none of the later buy-side concepts are applied without first confirming bullish structure on the relevant timeframe.</w:t>
      </w:r>
    </w:p>
    <w:p w14:paraId="20B6EFDA">
      <w:pPr>
        <w:pStyle w:val="3"/>
        <w:spacing w:before="360" w:after="160"/>
      </w:pPr>
      <w:r>
        <w:rPr>
          <w:b/>
          <w:bCs/>
          <w:color w:val="1B2A4A"/>
          <w:sz w:val="26"/>
          <w:szCs w:val="26"/>
        </w:rPr>
        <w:t>8. Where It Fits in the ICT Framework</w:t>
      </w:r>
    </w:p>
    <w:p w14:paraId="7F29EB3C">
      <w:pPr>
        <w:spacing w:after="160" w:line="288" w:lineRule="auto"/>
      </w:pPr>
      <w:r>
        <w:rPr>
          <w:b w:val="0"/>
          <w:bCs w:val="0"/>
          <w:i w:val="0"/>
          <w:iCs w:val="0"/>
          <w:sz w:val="22"/>
          <w:szCs w:val="22"/>
        </w:rPr>
        <w:t>Comes before: Requires Higher High, Higher Low (Module 1), and Structural Highs/Lows.</w:t>
      </w:r>
    </w:p>
    <w:p w14:paraId="0E6AE8BB">
      <w:pPr>
        <w:spacing w:after="160" w:line="288" w:lineRule="auto"/>
      </w:pPr>
      <w:r>
        <w:rPr>
          <w:b w:val="0"/>
          <w:bCs w:val="0"/>
          <w:i w:val="0"/>
          <w:iCs w:val="0"/>
          <w:sz w:val="22"/>
          <w:szCs w:val="22"/>
        </w:rPr>
        <w:t>Comes after: Feeds into Bias (Module 10) and the ICT Buy Model (Module 11), and is directly challenged by a bearish Market Structure Shift.</w:t>
      </w:r>
    </w:p>
    <w:p w14:paraId="72653B3E">
      <w:pPr>
        <w:pStyle w:val="3"/>
        <w:spacing w:before="360" w:after="160"/>
      </w:pPr>
      <w:r>
        <w:rPr>
          <w:b/>
          <w:bCs/>
          <w:color w:val="1B2A4A"/>
          <w:sz w:val="26"/>
          <w:szCs w:val="26"/>
        </w:rPr>
        <w:t>9. Beginner Mistakes</w:t>
      </w:r>
    </w:p>
    <w:p w14:paraId="05A249AA">
      <w:pPr>
        <w:pStyle w:val="16"/>
        <w:numPr>
          <w:ilvl w:val="0"/>
          <w:numId w:val="2"/>
        </w:numPr>
        <w:spacing w:after="80" w:line="276" w:lineRule="auto"/>
      </w:pPr>
      <w:r>
        <w:rPr>
          <w:sz w:val="22"/>
          <w:szCs w:val="22"/>
        </w:rPr>
        <w:t>Continuing to assume bullish structure after it has already been broken by a confirmed close below the governing structural low.</w:t>
      </w:r>
    </w:p>
    <w:p w14:paraId="69C30704">
      <w:pPr>
        <w:pStyle w:val="16"/>
        <w:numPr>
          <w:ilvl w:val="0"/>
          <w:numId w:val="2"/>
        </w:numPr>
        <w:spacing w:after="80" w:line="276" w:lineRule="auto"/>
      </w:pPr>
      <w:r>
        <w:rPr>
          <w:sz w:val="22"/>
          <w:szCs w:val="22"/>
        </w:rPr>
        <w:t>Buying every dip in a bullish structure without waiting for a specific PD array or confirmation (Modules 5–6).</w:t>
      </w:r>
    </w:p>
    <w:p w14:paraId="1BD25E66">
      <w:pPr>
        <w:pStyle w:val="3"/>
        <w:spacing w:before="360" w:after="160"/>
      </w:pPr>
      <w:r>
        <w:rPr>
          <w:b/>
          <w:bCs/>
          <w:color w:val="1B2A4A"/>
          <w:sz w:val="26"/>
          <w:szCs w:val="26"/>
        </w:rPr>
        <w:t>10. Important Qualification</w:t>
      </w:r>
    </w:p>
    <w:p w14:paraId="2A7ED850">
      <w:pPr>
        <w:pBdr>
          <w:left w:val="single" w:color="7A2E2E" w:sz="24" w:space="8"/>
        </w:pBdr>
        <w:shd w:val="clear" w:fill="EFEFEF"/>
        <w:spacing w:before="160" w:after="200"/>
        <w:ind w:left="200"/>
      </w:pPr>
      <w:r>
        <w:rPr>
          <w:b/>
          <w:bCs/>
          <w:color w:val="7A2E2E"/>
          <w:sz w:val="21"/>
          <w:szCs w:val="21"/>
        </w:rPr>
        <w:t xml:space="preserve">Qualification: </w:t>
      </w:r>
      <w:r>
        <w:rPr>
          <w:sz w:val="21"/>
          <w:szCs w:val="21"/>
        </w:rPr>
        <w:t>Bullish structure describes the current, ongoing condition of the market — it is a working assumption maintained until specifically broken, not a static or permanent fact about an instrument.</w:t>
      </w:r>
    </w:p>
    <w:p w14:paraId="3A4EE8E8">
      <w:pPr>
        <w:pStyle w:val="3"/>
        <w:spacing w:before="360" w:after="160"/>
      </w:pPr>
      <w:r>
        <w:rPr>
          <w:b/>
          <w:bCs/>
          <w:color w:val="1B2A4A"/>
          <w:sz w:val="26"/>
          <w:szCs w:val="26"/>
        </w:rPr>
        <w:t>11. Source</w:t>
      </w:r>
    </w:p>
    <w:p w14:paraId="76739158"/>
    <w:p w14:paraId="3805F62B">
      <w:pPr>
        <w:pStyle w:val="16"/>
        <w:numPr>
          <w:ilvl w:val="0"/>
          <w:numId w:val="2"/>
        </w:numPr>
        <w:spacing w:after="80" w:line="276" w:lineRule="auto"/>
      </w:pPr>
      <w:r>
        <w:rPr>
          <w:sz w:val="22"/>
          <w:szCs w:val="22"/>
        </w:rPr>
        <w:t>alphametrixx.com — "ICT Market Structure: BOS, CHoCH, and MSS Explained" ("Bullish structure: Higher highs (HH) and higher lows (HL)").</w:t>
      </w:r>
    </w:p>
    <w:p w14:paraId="59E5E510">
      <w:pPr>
        <w:pStyle w:val="16"/>
        <w:numPr>
          <w:ilvl w:val="0"/>
          <w:numId w:val="2"/>
        </w:numPr>
        <w:spacing w:after="80" w:line="276" w:lineRule="auto"/>
      </w:pPr>
      <w:r>
        <w:rPr>
          <w:sz w:val="22"/>
          <w:szCs w:val="22"/>
        </w:rPr>
        <w:t>litefinance.org — "ICT Trading Strategy: Complete Guide to Inner Circle Trader Method" (cited previously in Module 1).</w:t>
      </w:r>
    </w:p>
    <w:p w14:paraId="67AB413A">
      <w:r>
        <w:br w:type="page"/>
      </w:r>
    </w:p>
    <w:p w14:paraId="20CA74DF">
      <w:pPr>
        <w:pStyle w:val="2"/>
        <w:pBdr>
          <w:bottom w:val="single" w:color="1B2A4A" w:sz="12" w:space="4"/>
        </w:pBdr>
        <w:spacing w:before="480" w:after="240"/>
      </w:pPr>
      <w:r>
        <w:rPr>
          <w:b/>
          <w:bCs/>
          <w:color w:val="1B2A4A"/>
          <w:sz w:val="34"/>
          <w:szCs w:val="34"/>
        </w:rPr>
        <w:t>Bearish Market Structure</w:t>
      </w:r>
    </w:p>
    <w:p w14:paraId="13AAB2AB">
      <w:pPr>
        <w:pStyle w:val="3"/>
        <w:spacing w:before="360" w:after="160"/>
      </w:pPr>
      <w:r>
        <w:rPr>
          <w:b/>
          <w:bCs/>
          <w:color w:val="1B2A4A"/>
          <w:sz w:val="26"/>
          <w:szCs w:val="26"/>
        </w:rPr>
        <w:t>1. Definition</w:t>
      </w:r>
    </w:p>
    <w:p w14:paraId="323267CF">
      <w:pPr>
        <w:spacing w:after="160" w:line="288" w:lineRule="auto"/>
      </w:pPr>
      <w:r>
        <w:rPr>
          <w:b w:val="0"/>
          <w:bCs w:val="0"/>
          <w:i w:val="0"/>
          <w:iCs w:val="0"/>
          <w:sz w:val="22"/>
          <w:szCs w:val="22"/>
        </w:rPr>
        <w:t>Bearish market structure is the classification applied to a market that is consistently forming lower highs and lower lows, indicating sellers are currently in control.</w:t>
      </w:r>
    </w:p>
    <w:p w14:paraId="5915D777">
      <w:pPr>
        <w:pStyle w:val="3"/>
        <w:spacing w:before="360" w:after="160"/>
      </w:pPr>
      <w:r>
        <w:rPr>
          <w:b/>
          <w:bCs/>
          <w:color w:val="1B2A4A"/>
          <w:sz w:val="26"/>
          <w:szCs w:val="26"/>
        </w:rPr>
        <w:t>2. ICT's Meaning</w:t>
      </w:r>
    </w:p>
    <w:p w14:paraId="2B4FF5DC">
      <w:pPr>
        <w:spacing w:after="160" w:line="288" w:lineRule="auto"/>
      </w:pPr>
      <w:r>
        <w:rPr>
          <w:b w:val="0"/>
          <w:bCs w:val="0"/>
          <w:i w:val="0"/>
          <w:iCs w:val="0"/>
          <w:sz w:val="22"/>
          <w:szCs w:val="22"/>
        </w:rPr>
        <w:t>The mirror of bullish structure, and a direct restatement of the Lower High / Lower Low concepts from Module 1 elevated to a governing market condition. ICT-focused teaching treats bearish structure as the context in which a trader looks only for selling (short) opportunities, deferring or avoiding long opportunities until structure changes.</w:t>
      </w:r>
    </w:p>
    <w:p w14:paraId="271BD5A9">
      <w:pPr>
        <w:pStyle w:val="3"/>
        <w:spacing w:before="360" w:after="160"/>
      </w:pPr>
      <w:r>
        <w:rPr>
          <w:b/>
          <w:bCs/>
          <w:color w:val="1B2A4A"/>
          <w:sz w:val="26"/>
          <w:szCs w:val="26"/>
        </w:rPr>
        <w:t>3. Beginner Explanation</w:t>
      </w:r>
    </w:p>
    <w:p w14:paraId="24BDE54F">
      <w:pPr>
        <w:spacing w:after="160" w:line="288" w:lineRule="auto"/>
      </w:pPr>
      <w:r>
        <w:rPr>
          <w:b w:val="0"/>
          <w:bCs w:val="0"/>
          <w:i w:val="0"/>
          <w:iCs w:val="0"/>
          <w:sz w:val="22"/>
          <w:szCs w:val="22"/>
        </w:rPr>
        <w:t>Bearish structure is the formal name for "the market keeps making lower highs and lower lows." It's the green light, within this framework, for looking to sell rather than buy.</w:t>
      </w:r>
    </w:p>
    <w:p w14:paraId="732D1692">
      <w:pPr>
        <w:pStyle w:val="3"/>
        <w:spacing w:before="360" w:after="160"/>
      </w:pPr>
      <w:r>
        <w:rPr>
          <w:b/>
          <w:bCs/>
          <w:color w:val="1B2A4A"/>
          <w:sz w:val="26"/>
          <w:szCs w:val="26"/>
        </w:rPr>
        <w:t>4. How to Identify It</w:t>
      </w:r>
    </w:p>
    <w:p w14:paraId="5AA98A1E">
      <w:pPr>
        <w:pStyle w:val="16"/>
        <w:numPr>
          <w:ilvl w:val="0"/>
          <w:numId w:val="1"/>
        </w:numPr>
        <w:spacing w:after="80" w:line="276" w:lineRule="auto"/>
      </w:pPr>
      <w:r>
        <w:rPr>
          <w:sz w:val="22"/>
          <w:szCs w:val="22"/>
        </w:rPr>
        <w:t>Confirm at least two consecutive lower highs and two consecutive lower lows.</w:t>
      </w:r>
    </w:p>
    <w:p w14:paraId="4BACA841">
      <w:pPr>
        <w:pStyle w:val="16"/>
        <w:numPr>
          <w:ilvl w:val="0"/>
          <w:numId w:val="1"/>
        </w:numPr>
        <w:spacing w:after="80" w:line="276" w:lineRule="auto"/>
      </w:pPr>
      <w:r>
        <w:rPr>
          <w:sz w:val="22"/>
          <w:szCs w:val="22"/>
        </w:rPr>
        <w:t>Identify the current governing structural high (see Structural Highs/Lows).</w:t>
      </w:r>
    </w:p>
    <w:p w14:paraId="07B1ECD2">
      <w:pPr>
        <w:pStyle w:val="16"/>
        <w:numPr>
          <w:ilvl w:val="0"/>
          <w:numId w:val="1"/>
        </w:numPr>
        <w:spacing w:after="80" w:line="276" w:lineRule="auto"/>
      </w:pPr>
      <w:r>
        <w:rPr>
          <w:sz w:val="22"/>
          <w:szCs w:val="22"/>
        </w:rPr>
        <w:t>Confirm price remains below that governing high.</w:t>
      </w:r>
    </w:p>
    <w:p w14:paraId="0346F92E">
      <w:pPr>
        <w:pStyle w:val="16"/>
        <w:numPr>
          <w:ilvl w:val="0"/>
          <w:numId w:val="1"/>
        </w:numPr>
        <w:spacing w:after="80" w:line="276" w:lineRule="auto"/>
      </w:pPr>
      <w:r>
        <w:rPr>
          <w:sz w:val="22"/>
          <w:szCs w:val="22"/>
        </w:rPr>
        <w:t>Continue monitoring for a new lower low (confirming continued bearish structure) versus a break above the governing high (which would challenge it).</w:t>
      </w:r>
    </w:p>
    <w:p w14:paraId="31EB2786">
      <w:pPr>
        <w:pStyle w:val="3"/>
        <w:spacing w:before="360" w:after="160"/>
      </w:pPr>
      <w:r>
        <w:rPr>
          <w:b/>
          <w:bCs/>
          <w:color w:val="1B2A4A"/>
          <w:sz w:val="26"/>
          <w:szCs w:val="26"/>
        </w:rPr>
        <w:t>5. Simple Price Example</w:t>
      </w:r>
    </w:p>
    <w:p w14:paraId="5E756AB5">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122 → 112 → 118 → 105 → 111 → 98</w:t>
      </w:r>
    </w:p>
    <w:p w14:paraId="51E0A32A">
      <w:pPr>
        <w:spacing w:after="160" w:line="288" w:lineRule="auto"/>
      </w:pPr>
      <w:r>
        <w:rPr>
          <w:b w:val="0"/>
          <w:bCs w:val="0"/>
          <w:i w:val="0"/>
          <w:iCs w:val="0"/>
          <w:sz w:val="22"/>
          <w:szCs w:val="22"/>
        </w:rPr>
        <w:t>Highs: 122 → 118 → 111 (falling). Lows: 112 → 105 (falling). This is bearish market structure: a trader would be looking exclusively for short (sell) opportunities here, and would treat 111 as the governing structural high whose breakdown (a close back above it) would be the first sign of trouble for the bearish view.</w:t>
      </w:r>
    </w:p>
    <w:p w14:paraId="0E2DB4C7">
      <w:pPr>
        <w:pStyle w:val="3"/>
        <w:spacing w:before="360" w:after="160"/>
      </w:pPr>
      <w:r>
        <w:rPr>
          <w:b/>
          <w:bCs/>
          <w:color w:val="1B2A4A"/>
          <w:sz w:val="26"/>
          <w:szCs w:val="26"/>
        </w:rPr>
        <w:t>6. What It Tells the Trader</w:t>
      </w:r>
    </w:p>
    <w:p w14:paraId="1B2381B6">
      <w:pPr>
        <w:spacing w:after="160" w:line="288" w:lineRule="auto"/>
      </w:pPr>
      <w:r>
        <w:rPr>
          <w:b w:val="0"/>
          <w:bCs w:val="0"/>
          <w:i w:val="0"/>
          <w:iCs w:val="0"/>
          <w:sz w:val="22"/>
          <w:szCs w:val="22"/>
        </w:rPr>
        <w:t>Bearish structure tells the trader that sellers have consistently overpowered buyers at every test so far, and provides the directional bias context used before looking at liquidity, displacement, or entry-level concepts on the sell side.</w:t>
      </w:r>
    </w:p>
    <w:p w14:paraId="0944D0D9">
      <w:pPr>
        <w:spacing w:after="160" w:line="288" w:lineRule="auto"/>
      </w:pPr>
      <w:r>
        <w:rPr>
          <w:b w:val="0"/>
          <w:bCs w:val="0"/>
          <w:i w:val="0"/>
          <w:iCs w:val="0"/>
          <w:sz w:val="22"/>
          <w:szCs w:val="22"/>
        </w:rPr>
        <w:t>It does not guarantee the bearish structure will continue, nor does it mean every rally within it should automatically be sold without further confirmation.</w:t>
      </w:r>
    </w:p>
    <w:p w14:paraId="7EB171FE">
      <w:pPr>
        <w:pStyle w:val="3"/>
        <w:spacing w:before="360" w:after="160"/>
      </w:pPr>
      <w:r>
        <w:rPr>
          <w:b/>
          <w:bCs/>
          <w:color w:val="1B2A4A"/>
          <w:sz w:val="26"/>
          <w:szCs w:val="26"/>
        </w:rPr>
        <w:t>7. What It Is Commonly Paired With</w:t>
      </w:r>
    </w:p>
    <w:p w14:paraId="536CB0E8">
      <w:pPr>
        <w:pStyle w:val="16"/>
        <w:numPr>
          <w:ilvl w:val="0"/>
          <w:numId w:val="2"/>
        </w:numPr>
        <w:spacing w:after="80" w:line="276" w:lineRule="auto"/>
      </w:pPr>
      <w:r>
        <w:rPr>
          <w:sz w:val="22"/>
          <w:szCs w:val="22"/>
        </w:rPr>
        <w:t>Bias (Module 10)</w:t>
      </w:r>
    </w:p>
    <w:p w14:paraId="6269AA91">
      <w:pPr>
        <w:pStyle w:val="16"/>
        <w:numPr>
          <w:ilvl w:val="0"/>
          <w:numId w:val="2"/>
        </w:numPr>
        <w:spacing w:after="80" w:line="276" w:lineRule="auto"/>
      </w:pPr>
      <w:r>
        <w:rPr>
          <w:sz w:val="22"/>
          <w:szCs w:val="22"/>
        </w:rPr>
        <w:t>Sell-side liquidity as a target (Module 4)</w:t>
      </w:r>
    </w:p>
    <w:p w14:paraId="22BA6861">
      <w:pPr>
        <w:pStyle w:val="16"/>
        <w:numPr>
          <w:ilvl w:val="0"/>
          <w:numId w:val="2"/>
        </w:numPr>
        <w:spacing w:after="80" w:line="276" w:lineRule="auto"/>
      </w:pPr>
      <w:r>
        <w:rPr>
          <w:sz w:val="22"/>
          <w:szCs w:val="22"/>
        </w:rPr>
        <w:t>ICT Sell Model (Module 12)</w:t>
      </w:r>
    </w:p>
    <w:p w14:paraId="4ACF131B">
      <w:pPr>
        <w:spacing w:after="160" w:line="288" w:lineRule="auto"/>
      </w:pPr>
      <w:r>
        <w:rPr>
          <w:b w:val="0"/>
          <w:bCs w:val="0"/>
          <w:i w:val="0"/>
          <w:iCs w:val="0"/>
          <w:sz w:val="22"/>
          <w:szCs w:val="22"/>
        </w:rPr>
        <w:t>Bearish structure is the structural precondition for a bearish bias and the entire ICT Sell Model sequence.</w:t>
      </w:r>
    </w:p>
    <w:p w14:paraId="36A5A389">
      <w:pPr>
        <w:pStyle w:val="3"/>
        <w:spacing w:before="360" w:after="160"/>
      </w:pPr>
      <w:r>
        <w:rPr>
          <w:b/>
          <w:bCs/>
          <w:color w:val="1B2A4A"/>
          <w:sz w:val="26"/>
          <w:szCs w:val="26"/>
        </w:rPr>
        <w:t>8. Where It Fits in the ICT Framework</w:t>
      </w:r>
    </w:p>
    <w:p w14:paraId="164C55BA">
      <w:pPr>
        <w:spacing w:after="160" w:line="288" w:lineRule="auto"/>
      </w:pPr>
      <w:r>
        <w:rPr>
          <w:b w:val="0"/>
          <w:bCs w:val="0"/>
          <w:i w:val="0"/>
          <w:iCs w:val="0"/>
          <w:sz w:val="22"/>
          <w:szCs w:val="22"/>
        </w:rPr>
        <w:t>Comes before: Requires Lower High, Lower Low (Module 1), and Structural Highs/Lows.</w:t>
      </w:r>
    </w:p>
    <w:p w14:paraId="13E04E6B">
      <w:pPr>
        <w:spacing w:after="160" w:line="288" w:lineRule="auto"/>
      </w:pPr>
      <w:r>
        <w:rPr>
          <w:b w:val="0"/>
          <w:bCs w:val="0"/>
          <w:i w:val="0"/>
          <w:iCs w:val="0"/>
          <w:sz w:val="22"/>
          <w:szCs w:val="22"/>
        </w:rPr>
        <w:t>Comes after: Feeds into Bias (Module 10) and the ICT Sell Model (Module 12), and is directly challenged by a bullish Market Structure Shift.</w:t>
      </w:r>
    </w:p>
    <w:p w14:paraId="2917F0F1">
      <w:pPr>
        <w:pStyle w:val="3"/>
        <w:spacing w:before="360" w:after="160"/>
      </w:pPr>
      <w:r>
        <w:rPr>
          <w:b/>
          <w:bCs/>
          <w:color w:val="1B2A4A"/>
          <w:sz w:val="26"/>
          <w:szCs w:val="26"/>
        </w:rPr>
        <w:t>9. Beginner Mistakes</w:t>
      </w:r>
    </w:p>
    <w:p w14:paraId="662B1FDF">
      <w:pPr>
        <w:pStyle w:val="16"/>
        <w:numPr>
          <w:ilvl w:val="0"/>
          <w:numId w:val="2"/>
        </w:numPr>
        <w:spacing w:after="80" w:line="276" w:lineRule="auto"/>
      </w:pPr>
      <w:r>
        <w:rPr>
          <w:sz w:val="22"/>
          <w:szCs w:val="22"/>
        </w:rPr>
        <w:t>Continuing to assume bearish structure after it has already been broken by a confirmed close above the governing structural high.</w:t>
      </w:r>
    </w:p>
    <w:p w14:paraId="4102F5FA">
      <w:pPr>
        <w:pStyle w:val="16"/>
        <w:numPr>
          <w:ilvl w:val="0"/>
          <w:numId w:val="2"/>
        </w:numPr>
        <w:spacing w:after="80" w:line="276" w:lineRule="auto"/>
      </w:pPr>
      <w:r>
        <w:rPr>
          <w:sz w:val="22"/>
          <w:szCs w:val="22"/>
        </w:rPr>
        <w:t>Selling every rally in a bearish structure without waiting for a specific PD array or confirmation (Modules 5–6).</w:t>
      </w:r>
    </w:p>
    <w:p w14:paraId="07603A79">
      <w:pPr>
        <w:pStyle w:val="3"/>
        <w:spacing w:before="360" w:after="160"/>
      </w:pPr>
      <w:r>
        <w:rPr>
          <w:b/>
          <w:bCs/>
          <w:color w:val="1B2A4A"/>
          <w:sz w:val="26"/>
          <w:szCs w:val="26"/>
        </w:rPr>
        <w:t>10. Important Qualification</w:t>
      </w:r>
    </w:p>
    <w:p w14:paraId="46EAA3E1">
      <w:pPr>
        <w:pBdr>
          <w:left w:val="single" w:color="7A2E2E" w:sz="24" w:space="8"/>
        </w:pBdr>
        <w:shd w:val="clear" w:fill="EFEFEF"/>
        <w:spacing w:before="160" w:after="200"/>
        <w:ind w:left="200"/>
      </w:pPr>
      <w:r>
        <w:rPr>
          <w:b/>
          <w:bCs/>
          <w:color w:val="7A2E2E"/>
          <w:sz w:val="21"/>
          <w:szCs w:val="21"/>
        </w:rPr>
        <w:t xml:space="preserve">Qualification: </w:t>
      </w:r>
      <w:r>
        <w:rPr>
          <w:sz w:val="21"/>
          <w:szCs w:val="21"/>
        </w:rPr>
        <w:t>Bearish structure, like bullish structure, describes the current ongoing condition and is a working assumption maintained until specifically broken.</w:t>
      </w:r>
    </w:p>
    <w:p w14:paraId="4E4F56C0">
      <w:pPr>
        <w:pStyle w:val="3"/>
        <w:spacing w:before="360" w:after="160"/>
      </w:pPr>
      <w:r>
        <w:rPr>
          <w:b/>
          <w:bCs/>
          <w:color w:val="1B2A4A"/>
          <w:sz w:val="26"/>
          <w:szCs w:val="26"/>
        </w:rPr>
        <w:t>11. Source</w:t>
      </w:r>
    </w:p>
    <w:p w14:paraId="4B5B32E4"/>
    <w:p w14:paraId="472B2AEC">
      <w:pPr>
        <w:pStyle w:val="16"/>
        <w:numPr>
          <w:ilvl w:val="0"/>
          <w:numId w:val="2"/>
        </w:numPr>
        <w:spacing w:after="80" w:line="276" w:lineRule="auto"/>
      </w:pPr>
      <w:r>
        <w:rPr>
          <w:sz w:val="22"/>
          <w:szCs w:val="22"/>
        </w:rPr>
        <w:t>alphametrixx.com — "ICT Market Structure: BOS, CHoCH, and MSS Explained."</w:t>
      </w:r>
    </w:p>
    <w:p w14:paraId="326C9154">
      <w:pPr>
        <w:pStyle w:val="16"/>
        <w:numPr>
          <w:ilvl w:val="0"/>
          <w:numId w:val="2"/>
        </w:numPr>
        <w:spacing w:after="80" w:line="276" w:lineRule="auto"/>
      </w:pPr>
      <w:r>
        <w:rPr>
          <w:sz w:val="22"/>
          <w:szCs w:val="22"/>
        </w:rPr>
        <w:t>chartinglens.com — "ICT Trading Strategy: The Complete Guide to Inner Circle Trader Concepts" (cited in Module 1).</w:t>
      </w:r>
    </w:p>
    <w:p w14:paraId="23FC52CE">
      <w:r>
        <w:br w:type="page"/>
      </w:r>
    </w:p>
    <w:p w14:paraId="05E94493">
      <w:pPr>
        <w:pStyle w:val="2"/>
        <w:pBdr>
          <w:bottom w:val="single" w:color="1B2A4A" w:sz="12" w:space="4"/>
        </w:pBdr>
        <w:spacing w:before="480" w:after="240"/>
      </w:pPr>
      <w:r>
        <w:rPr>
          <w:b/>
          <w:bCs/>
          <w:color w:val="1B2A4A"/>
          <w:sz w:val="34"/>
          <w:szCs w:val="34"/>
        </w:rPr>
        <w:t>Market Structure Shift (MSS)</w:t>
      </w:r>
    </w:p>
    <w:p w14:paraId="5D201210">
      <w:pPr>
        <w:pStyle w:val="3"/>
        <w:spacing w:before="360" w:after="160"/>
      </w:pPr>
      <w:r>
        <w:rPr>
          <w:b/>
          <w:bCs/>
          <w:color w:val="1B2A4A"/>
          <w:sz w:val="26"/>
          <w:szCs w:val="26"/>
        </w:rPr>
        <w:t>1. Definition</w:t>
      </w:r>
    </w:p>
    <w:p w14:paraId="25E50943">
      <w:pPr>
        <w:spacing w:after="160" w:line="288" w:lineRule="auto"/>
      </w:pPr>
      <w:r>
        <w:rPr>
          <w:b w:val="0"/>
          <w:bCs w:val="0"/>
          <w:i w:val="0"/>
          <w:iCs w:val="0"/>
          <w:sz w:val="22"/>
          <w:szCs w:val="22"/>
        </w:rPr>
        <w:t>A Market Structure Shift is a break of the governing structural swing point against the prevailing trend, generally required to occur with strong, impulsive price movement (displacement), used within ICT's framework as the primary signal that the market's structural classification may be reversing.</w:t>
      </w:r>
    </w:p>
    <w:p w14:paraId="22C935FB">
      <w:pPr>
        <w:pStyle w:val="3"/>
        <w:spacing w:before="360" w:after="160"/>
      </w:pPr>
      <w:r>
        <w:rPr>
          <w:b/>
          <w:bCs/>
          <w:color w:val="1B2A4A"/>
          <w:sz w:val="26"/>
          <w:szCs w:val="26"/>
        </w:rPr>
        <w:t>2. ICT's Meaning</w:t>
      </w:r>
    </w:p>
    <w:p w14:paraId="5FB26D83">
      <w:pPr>
        <w:spacing w:after="160" w:line="288" w:lineRule="auto"/>
      </w:pPr>
      <w:r>
        <w:rPr>
          <w:b w:val="0"/>
          <w:bCs w:val="0"/>
          <w:i w:val="0"/>
          <w:iCs w:val="0"/>
          <w:sz w:val="22"/>
          <w:szCs w:val="22"/>
        </w:rPr>
        <w:t>This concept requires an explicit conflicting-sources notice. ICT-focused secondary sources do not use a single, uniform definition of MSS relative to the related terms Break of Structure (BOS) and Change of Character (CHoCH):</w:t>
      </w:r>
    </w:p>
    <w:p w14:paraId="64C88F4B">
      <w:pPr>
        <w:spacing w:after="160" w:line="288" w:lineRule="auto"/>
      </w:pPr>
      <w:r>
        <w:rPr>
          <w:b w:val="0"/>
          <w:bCs w:val="0"/>
          <w:i w:val="0"/>
          <w:iCs w:val="0"/>
          <w:sz w:val="22"/>
          <w:szCs w:val="22"/>
        </w:rPr>
        <w:t>One common framing (used by sources such as fairvaluehub.de, alphametrixx.com, and grandalgo.com) treats CHoCH as the first, unconfirmed break of a counter-trend swing point, and MSS as a stricter, higher-quality version of that same event — specifically requiring the break to happen with displacement (a strong, impulsive move, often leaving behind a Fair Value Gap). Under this framing, every MSS is a CHoCH, but not every CHoCH qualifies as a full MSS.</w:t>
      </w:r>
    </w:p>
    <w:p w14:paraId="236261A1">
      <w:pPr>
        <w:spacing w:after="160" w:line="288" w:lineRule="auto"/>
      </w:pPr>
      <w:r>
        <w:rPr>
          <w:b w:val="0"/>
          <w:bCs w:val="0"/>
          <w:i w:val="0"/>
          <w:iCs w:val="0"/>
          <w:sz w:val="22"/>
          <w:szCs w:val="22"/>
        </w:rPr>
        <w:t>A second framing (used by sources such as ATAS and Equiti) treats MSS and CHoCH as closely related synonyms for the same reversal event, both contrasted against BOS as the continuation event.</w:t>
      </w:r>
    </w:p>
    <w:p w14:paraId="5C234124">
      <w:pPr>
        <w:spacing w:after="160" w:line="288" w:lineRule="auto"/>
      </w:pPr>
      <w:r>
        <w:rPr>
          <w:b w:val="0"/>
          <w:bCs w:val="0"/>
          <w:i w:val="0"/>
          <w:iCs w:val="0"/>
          <w:sz w:val="22"/>
          <w:szCs w:val="22"/>
        </w:rPr>
        <w:t>A third framing (used by tradingfinder.com's abbreviation glossary) defines MSS more broadly as any "short or long-term directional trend shift," without specifying that it must be counter-trend or must include displacement — closer to a general umbrella term covering any structural change, continuation or reversal.</w:t>
      </w:r>
    </w:p>
    <w:p w14:paraId="6A69B352">
      <w:pPr>
        <w:spacing w:after="160" w:line="288" w:lineRule="auto"/>
      </w:pPr>
      <w:r>
        <w:rPr>
          <w:b w:val="0"/>
          <w:bCs w:val="0"/>
          <w:i w:val="0"/>
          <w:iCs w:val="0"/>
          <w:sz w:val="22"/>
          <w:szCs w:val="22"/>
        </w:rPr>
        <w:t>This book adopts the first framing (MSS = a counter-trend structural break confirmed by displacement) as its working definition for the remainder of the book, because it is the most specific, most commonly cross-corroborated, and most operationally useful definition for the Buy/Sell Models taught in Modules 11–12. Readers should be aware that other ICT-focused material may use "MSS" more loosely, and should not assume every source means exactly the same thing by the term.</w:t>
      </w:r>
    </w:p>
    <w:p w14:paraId="28AA09EA">
      <w:pPr>
        <w:pStyle w:val="3"/>
        <w:spacing w:before="360" w:after="160"/>
      </w:pPr>
      <w:r>
        <w:rPr>
          <w:b/>
          <w:bCs/>
          <w:color w:val="1B2A4A"/>
          <w:sz w:val="26"/>
          <w:szCs w:val="26"/>
        </w:rPr>
        <w:t>3. Beginner Explanation</w:t>
      </w:r>
    </w:p>
    <w:p w14:paraId="65E21ABC">
      <w:pPr>
        <w:spacing w:after="160" w:line="288" w:lineRule="auto"/>
      </w:pPr>
      <w:r>
        <w:rPr>
          <w:b w:val="0"/>
          <w:bCs w:val="0"/>
          <w:i w:val="0"/>
          <w:iCs w:val="0"/>
          <w:sz w:val="22"/>
          <w:szCs w:val="22"/>
        </w:rPr>
        <w:t>Imagine a market has been climbing steadily, making higher highs and higher lows for weeks. Then, in a single sharp, forceful move, price drops through the most recent higher low — not a slow drift, but a fast, decisive break. That sharp break through a level that was supposed to hold, done with real force, is what this book calls a Market Structure Shift: the first solid piece of evidence that the uptrend may be ending and a new downtrend may be starting.</w:t>
      </w:r>
    </w:p>
    <w:p w14:paraId="5D1D4429">
      <w:pPr>
        <w:pStyle w:val="3"/>
        <w:spacing w:before="360" w:after="160"/>
      </w:pPr>
      <w:r>
        <w:rPr>
          <w:b/>
          <w:bCs/>
          <w:color w:val="1B2A4A"/>
          <w:sz w:val="26"/>
          <w:szCs w:val="26"/>
        </w:rPr>
        <w:t>4. How to Identify It</w:t>
      </w:r>
    </w:p>
    <w:p w14:paraId="1450A84D">
      <w:pPr>
        <w:pStyle w:val="16"/>
        <w:numPr>
          <w:ilvl w:val="0"/>
          <w:numId w:val="1"/>
        </w:numPr>
        <w:spacing w:after="80" w:line="276" w:lineRule="auto"/>
      </w:pPr>
      <w:r>
        <w:rPr>
          <w:sz w:val="22"/>
          <w:szCs w:val="22"/>
        </w:rPr>
        <w:t>Confirm the market is currently in a defined bullish or bearish structure (see Bullish/Bearish Market Structure).</w:t>
      </w:r>
    </w:p>
    <w:p w14:paraId="5373938A">
      <w:pPr>
        <w:pStyle w:val="16"/>
        <w:numPr>
          <w:ilvl w:val="0"/>
          <w:numId w:val="1"/>
        </w:numPr>
        <w:spacing w:after="80" w:line="276" w:lineRule="auto"/>
      </w:pPr>
      <w:r>
        <w:rPr>
          <w:sz w:val="22"/>
          <w:szCs w:val="22"/>
        </w:rPr>
        <w:t>Identify the current governing structural swing point (see Structural Highs/Lows) — the most recent higher low in an uptrend, or the most recent lower high in a downtrend.</w:t>
      </w:r>
    </w:p>
    <w:p w14:paraId="6201974C">
      <w:pPr>
        <w:pStyle w:val="16"/>
        <w:numPr>
          <w:ilvl w:val="0"/>
          <w:numId w:val="1"/>
        </w:numPr>
        <w:spacing w:after="80" w:line="276" w:lineRule="auto"/>
      </w:pPr>
      <w:r>
        <w:rPr>
          <w:sz w:val="22"/>
          <w:szCs w:val="22"/>
        </w:rPr>
        <w:t>Watch for a full candle-body close beyond that governing point, against the prevailing trend (a wick alone, without a close beyond the level, is generally treated as insufficient).</w:t>
      </w:r>
    </w:p>
    <w:p w14:paraId="4E11B5F9">
      <w:pPr>
        <w:pStyle w:val="16"/>
        <w:numPr>
          <w:ilvl w:val="0"/>
          <w:numId w:val="1"/>
        </w:numPr>
        <w:spacing w:after="80" w:line="276" w:lineRule="auto"/>
      </w:pPr>
      <w:r>
        <w:rPr>
          <w:sz w:val="22"/>
          <w:szCs w:val="22"/>
        </w:rPr>
        <w:t>Confirm the breaking move is impulsive — large candle bodies, minimal overlapping wicks, and ideally leaving behind a visible Fair Value Gap (Module 5) — rather than a slow, grinding move.</w:t>
      </w:r>
    </w:p>
    <w:p w14:paraId="43581336">
      <w:pPr>
        <w:pStyle w:val="16"/>
        <w:numPr>
          <w:ilvl w:val="0"/>
          <w:numId w:val="1"/>
        </w:numPr>
        <w:spacing w:after="80" w:line="276" w:lineRule="auto"/>
      </w:pPr>
      <w:r>
        <w:rPr>
          <w:sz w:val="22"/>
          <w:szCs w:val="22"/>
        </w:rPr>
        <w:t>If both the structural break and the displacement condition are met, classify the event as a Market Structure Shift.</w:t>
      </w:r>
    </w:p>
    <w:p w14:paraId="7CBB42C9">
      <w:pPr>
        <w:pStyle w:val="3"/>
        <w:spacing w:before="360" w:after="160"/>
      </w:pPr>
      <w:r>
        <w:rPr>
          <w:b/>
          <w:bCs/>
          <w:color w:val="1B2A4A"/>
          <w:sz w:val="26"/>
          <w:szCs w:val="26"/>
        </w:rPr>
        <w:t>5. Simple Price Example</w:t>
      </w:r>
    </w:p>
    <w:p w14:paraId="3E777F9D">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100 → 108 → 104 → 115 → 109 → 122 → 101 (sharp, fast drop)</w:t>
      </w:r>
    </w:p>
    <w:p w14:paraId="24D84DB8">
      <w:pPr>
        <w:spacing w:after="160" w:line="288" w:lineRule="auto"/>
      </w:pPr>
      <w:r>
        <w:rPr>
          <w:b w:val="0"/>
          <w:bCs w:val="0"/>
          <w:i w:val="0"/>
          <w:iCs w:val="0"/>
          <w:sz w:val="22"/>
          <w:szCs w:val="22"/>
        </w:rPr>
        <w:t>The market was bullish (108→115→122 highs, 104→109 lows). The governing structural low was 109. The final move to 101 breaks decisively below 109 — and if this move happens quickly, with large bearish candles and minimal retracement along the way, it qualifies as a bearish Market Structure Shift under this book's working definition: a specific, forceful signal that the prior bullish structure may be ending.</w:t>
      </w:r>
    </w:p>
    <w:p w14:paraId="3E31C2B7">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 xml:space="preserve">        122</w:t>
      </w:r>
      <w:r>
        <w:rPr>
          <w:rFonts w:ascii="Consolas" w:hAnsi="Consolas" w:eastAsia="Consolas" w:cs="Consolas"/>
          <w:sz w:val="19"/>
          <w:szCs w:val="19"/>
        </w:rPr>
        <w:br w:type="textWrapping"/>
      </w:r>
      <w:r>
        <w:rPr>
          <w:rFonts w:ascii="Consolas" w:hAnsi="Consolas" w:eastAsia="Consolas" w:cs="Consolas"/>
          <w:sz w:val="19"/>
          <w:szCs w:val="19"/>
        </w:rPr>
        <w:t xml:space="preserve">  115  /   \</w:t>
      </w:r>
      <w:r>
        <w:rPr>
          <w:rFonts w:ascii="Consolas" w:hAnsi="Consolas" w:eastAsia="Consolas" w:cs="Consolas"/>
          <w:sz w:val="19"/>
          <w:szCs w:val="19"/>
        </w:rPr>
        <w:br w:type="textWrapping"/>
      </w:r>
      <w:r>
        <w:rPr>
          <w:rFonts w:ascii="Consolas" w:hAnsi="Consolas" w:eastAsia="Consolas" w:cs="Consolas"/>
          <w:sz w:val="19"/>
          <w:szCs w:val="19"/>
        </w:rPr>
        <w:t xml:space="preserve"> /   \/     \</w:t>
      </w:r>
      <w:r>
        <w:rPr>
          <w:rFonts w:ascii="Consolas" w:hAnsi="Consolas" w:eastAsia="Consolas" w:cs="Consolas"/>
          <w:sz w:val="19"/>
          <w:szCs w:val="19"/>
        </w:rPr>
        <w:br w:type="textWrapping"/>
      </w:r>
      <w:r>
        <w:rPr>
          <w:rFonts w:ascii="Consolas" w:hAnsi="Consolas" w:eastAsia="Consolas" w:cs="Consolas"/>
          <w:sz w:val="19"/>
          <w:szCs w:val="19"/>
        </w:rPr>
        <w:t>108  109     \</w:t>
      </w:r>
      <w:r>
        <w:rPr>
          <w:rFonts w:ascii="Consolas" w:hAnsi="Consolas" w:eastAsia="Consolas" w:cs="Consolas"/>
          <w:sz w:val="19"/>
          <w:szCs w:val="19"/>
        </w:rPr>
        <w:br w:type="textWrapping"/>
      </w:r>
      <w:r>
        <w:rPr>
          <w:rFonts w:ascii="Consolas" w:hAnsi="Consolas" w:eastAsia="Consolas" w:cs="Consolas"/>
          <w:sz w:val="19"/>
          <w:szCs w:val="19"/>
        </w:rPr>
        <w:t>/              \</w:t>
      </w:r>
      <w:r>
        <w:rPr>
          <w:rFonts w:ascii="Consolas" w:hAnsi="Consolas" w:eastAsia="Consolas" w:cs="Consolas"/>
          <w:sz w:val="19"/>
          <w:szCs w:val="19"/>
        </w:rPr>
        <w:br w:type="textWrapping"/>
      </w:r>
      <w:r>
        <w:rPr>
          <w:rFonts w:ascii="Consolas" w:hAnsi="Consolas" w:eastAsia="Consolas" w:cs="Consolas"/>
          <w:sz w:val="19"/>
          <w:szCs w:val="19"/>
        </w:rPr>
        <w:t>100             101  &lt;- MSS: sharp close below</w:t>
      </w:r>
      <w:r>
        <w:rPr>
          <w:rFonts w:ascii="Consolas" w:hAnsi="Consolas" w:eastAsia="Consolas" w:cs="Consolas"/>
          <w:sz w:val="19"/>
          <w:szCs w:val="19"/>
        </w:rPr>
        <w:br w:type="textWrapping"/>
      </w:r>
      <w:r>
        <w:rPr>
          <w:rFonts w:ascii="Consolas" w:hAnsi="Consolas" w:eastAsia="Consolas" w:cs="Consolas"/>
          <w:sz w:val="19"/>
          <w:szCs w:val="19"/>
        </w:rPr>
        <w:t xml:space="preserve">                       governing low (109)</w:t>
      </w:r>
    </w:p>
    <w:p w14:paraId="20DF06D6">
      <w:pPr>
        <w:pStyle w:val="3"/>
        <w:spacing w:before="360" w:after="160"/>
      </w:pPr>
      <w:r>
        <w:rPr>
          <w:b/>
          <w:bCs/>
          <w:color w:val="1B2A4A"/>
          <w:sz w:val="26"/>
          <w:szCs w:val="26"/>
        </w:rPr>
        <w:t>6. What It Tells the Trader</w:t>
      </w:r>
    </w:p>
    <w:p w14:paraId="5E3B83DA">
      <w:pPr>
        <w:spacing w:after="160" w:line="288" w:lineRule="auto"/>
      </w:pPr>
      <w:r>
        <w:rPr>
          <w:b w:val="0"/>
          <w:bCs w:val="0"/>
          <w:i w:val="0"/>
          <w:iCs w:val="0"/>
          <w:sz w:val="22"/>
          <w:szCs w:val="22"/>
        </w:rPr>
        <w:t>A Market Structure Shift tells the trader that the balance of control between buyers and sellers has changed forcefully enough, at a structurally significant level, to warrant treating the prior trend as potentially over and to begin looking for opportunities in the new direction.</w:t>
      </w:r>
    </w:p>
    <w:p w14:paraId="1133F389">
      <w:pPr>
        <w:spacing w:after="160" w:line="288" w:lineRule="auto"/>
      </w:pPr>
      <w:r>
        <w:rPr>
          <w:b w:val="0"/>
          <w:bCs w:val="0"/>
          <w:i w:val="0"/>
          <w:iCs w:val="0"/>
          <w:sz w:val="22"/>
          <w:szCs w:val="22"/>
        </w:rPr>
        <w:t>It does not, on its own, confirm the reversal is complete or permanent. ICT-focused sources are explicit that an MSS marks the start of a possible new direction, not a guarantee — the new direction typically still needs to be confirmed by a subsequent Break of Structure in the new direction.</w:t>
      </w:r>
    </w:p>
    <w:p w14:paraId="7C31E9E1">
      <w:pPr>
        <w:pStyle w:val="3"/>
        <w:spacing w:before="360" w:after="160"/>
      </w:pPr>
      <w:r>
        <w:rPr>
          <w:b/>
          <w:bCs/>
          <w:color w:val="1B2A4A"/>
          <w:sz w:val="26"/>
          <w:szCs w:val="26"/>
        </w:rPr>
        <w:t>7. What It Is Commonly Paired With</w:t>
      </w:r>
    </w:p>
    <w:p w14:paraId="7C71953D">
      <w:pPr>
        <w:pStyle w:val="16"/>
        <w:numPr>
          <w:ilvl w:val="0"/>
          <w:numId w:val="2"/>
        </w:numPr>
        <w:spacing w:after="80" w:line="276" w:lineRule="auto"/>
      </w:pPr>
      <w:r>
        <w:rPr>
          <w:sz w:val="22"/>
          <w:szCs w:val="22"/>
        </w:rPr>
        <w:t>Liquidity sweep (Module 4)</w:t>
      </w:r>
    </w:p>
    <w:p w14:paraId="0C6C9288">
      <w:pPr>
        <w:pStyle w:val="16"/>
        <w:numPr>
          <w:ilvl w:val="0"/>
          <w:numId w:val="2"/>
        </w:numPr>
        <w:spacing w:after="80" w:line="276" w:lineRule="auto"/>
      </w:pPr>
      <w:r>
        <w:rPr>
          <w:sz w:val="22"/>
          <w:szCs w:val="22"/>
        </w:rPr>
        <w:t>Displacement (Module 5)</w:t>
      </w:r>
    </w:p>
    <w:p w14:paraId="334173A0">
      <w:pPr>
        <w:pStyle w:val="16"/>
        <w:numPr>
          <w:ilvl w:val="0"/>
          <w:numId w:val="2"/>
        </w:numPr>
        <w:spacing w:after="80" w:line="276" w:lineRule="auto"/>
      </w:pPr>
      <w:r>
        <w:rPr>
          <w:sz w:val="22"/>
          <w:szCs w:val="22"/>
        </w:rPr>
        <w:t>Fair Value Gap / Order Block (Modules 5–6)</w:t>
      </w:r>
    </w:p>
    <w:p w14:paraId="285DD584">
      <w:pPr>
        <w:spacing w:after="160" w:line="288" w:lineRule="auto"/>
      </w:pPr>
      <w:r>
        <w:rPr>
          <w:b w:val="0"/>
          <w:bCs w:val="0"/>
          <w:i w:val="0"/>
          <w:iCs w:val="0"/>
          <w:sz w:val="22"/>
          <w:szCs w:val="22"/>
        </w:rPr>
        <w:t>ICT-focused sources consistently describe the highest-quality MSS as one that occurs immediately after a liquidity sweep (the market grabbing resting stop orders beyond the old extreme before reversing) and that leaves behind a Fair Value Gap or Order Block at the point of the shift — this specific combination (sweep, then displacement-confirmed MSS, then a PD array left behind) is the backbone of the ICT Buy and Sell Models in Modules 11–12.</w:t>
      </w:r>
    </w:p>
    <w:p w14:paraId="1ADE7A39">
      <w:pPr>
        <w:pStyle w:val="3"/>
        <w:spacing w:before="360" w:after="160"/>
      </w:pPr>
      <w:r>
        <w:rPr>
          <w:b/>
          <w:bCs/>
          <w:color w:val="1B2A4A"/>
          <w:sz w:val="26"/>
          <w:szCs w:val="26"/>
        </w:rPr>
        <w:t>8. Where It Fits in the ICT Framework</w:t>
      </w:r>
    </w:p>
    <w:p w14:paraId="66489EE6">
      <w:pPr>
        <w:spacing w:after="160" w:line="288" w:lineRule="auto"/>
      </w:pPr>
      <w:r>
        <w:rPr>
          <w:b w:val="0"/>
          <w:bCs w:val="0"/>
          <w:i w:val="0"/>
          <w:iCs w:val="0"/>
          <w:sz w:val="22"/>
          <w:szCs w:val="22"/>
        </w:rPr>
        <w:t>Comes before: Requires Market Structure, Structural Highs/Lows, and Bullish/Bearish Structure.</w:t>
      </w:r>
    </w:p>
    <w:p w14:paraId="7332FEA7">
      <w:pPr>
        <w:spacing w:after="160" w:line="288" w:lineRule="auto"/>
      </w:pPr>
      <w:r>
        <w:rPr>
          <w:b w:val="0"/>
          <w:bCs w:val="0"/>
          <w:i w:val="0"/>
          <w:iCs w:val="0"/>
          <w:sz w:val="22"/>
          <w:szCs w:val="22"/>
        </w:rPr>
        <w:t>Comes after: Feeds directly into Liquidity (Module 4, since the highest-quality shifts follow a sweep), Displacement and Imbalance (Module 5), and is one of the central pillars of the ICT Buy/Sell Models (Modules 11–12).</w:t>
      </w:r>
    </w:p>
    <w:p w14:paraId="09B04715">
      <w:pPr>
        <w:pStyle w:val="3"/>
        <w:spacing w:before="360" w:after="160"/>
      </w:pPr>
      <w:r>
        <w:rPr>
          <w:b/>
          <w:bCs/>
          <w:color w:val="1B2A4A"/>
          <w:sz w:val="26"/>
          <w:szCs w:val="26"/>
        </w:rPr>
        <w:t>9. Beginner Mistakes</w:t>
      </w:r>
    </w:p>
    <w:p w14:paraId="6F71A8F5">
      <w:pPr>
        <w:pStyle w:val="16"/>
        <w:numPr>
          <w:ilvl w:val="0"/>
          <w:numId w:val="2"/>
        </w:numPr>
        <w:spacing w:after="80" w:line="276" w:lineRule="auto"/>
      </w:pPr>
      <w:r>
        <w:rPr>
          <w:sz w:val="22"/>
          <w:szCs w:val="22"/>
        </w:rPr>
        <w:t>Treating a simple wick through a structural level, without a confirmed close beyond it, as a valid MSS.</w:t>
      </w:r>
    </w:p>
    <w:p w14:paraId="532E75D9">
      <w:pPr>
        <w:pStyle w:val="16"/>
        <w:numPr>
          <w:ilvl w:val="0"/>
          <w:numId w:val="2"/>
        </w:numPr>
        <w:spacing w:after="80" w:line="276" w:lineRule="auto"/>
      </w:pPr>
      <w:r>
        <w:rPr>
          <w:sz w:val="22"/>
          <w:szCs w:val="22"/>
        </w:rPr>
        <w:t>Treating every break of every minor swing point as a Market Structure Shift, rather than reserving the label for breaks of the correctly identified governing structural point.</w:t>
      </w:r>
    </w:p>
    <w:p w14:paraId="58BD6B58">
      <w:pPr>
        <w:pStyle w:val="16"/>
        <w:numPr>
          <w:ilvl w:val="0"/>
          <w:numId w:val="2"/>
        </w:numPr>
        <w:spacing w:after="80" w:line="276" w:lineRule="auto"/>
      </w:pPr>
      <w:r>
        <w:rPr>
          <w:sz w:val="22"/>
          <w:szCs w:val="22"/>
        </w:rPr>
        <w:t>Trading immediately off a suspected MSS without confirming the displacement (impulsive, forceful) requirement.</w:t>
      </w:r>
    </w:p>
    <w:p w14:paraId="576C400C">
      <w:pPr>
        <w:pStyle w:val="16"/>
        <w:numPr>
          <w:ilvl w:val="0"/>
          <w:numId w:val="2"/>
        </w:numPr>
        <w:spacing w:after="80" w:line="276" w:lineRule="auto"/>
      </w:pPr>
      <w:r>
        <w:rPr>
          <w:sz w:val="22"/>
          <w:szCs w:val="22"/>
        </w:rPr>
        <w:t>Confusing this book's working definition of MSS with looser usages of the term found elsewhere, and assuming all ICT-focused content means exactly the same thing by "MSS."</w:t>
      </w:r>
    </w:p>
    <w:p w14:paraId="54760D1E">
      <w:pPr>
        <w:pStyle w:val="3"/>
        <w:spacing w:before="360" w:after="160"/>
      </w:pPr>
      <w:r>
        <w:rPr>
          <w:b/>
          <w:bCs/>
          <w:color w:val="1B2A4A"/>
          <w:sz w:val="26"/>
          <w:szCs w:val="26"/>
        </w:rPr>
        <w:t>10. Important Qualification</w:t>
      </w:r>
    </w:p>
    <w:p w14:paraId="65BEDF63">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 Market Structure Shift, even when identified correctly under this book's stricter definition, is not a guaranteed reversal signal. ICT-focused sources are explicit that it signals the beginning of a possible shift, not its completion, and that a shift can still fail and be followed by a resumption of the original trend.</w:t>
      </w:r>
    </w:p>
    <w:p w14:paraId="0C665521">
      <w:pPr>
        <w:pStyle w:val="3"/>
        <w:spacing w:before="360" w:after="160"/>
      </w:pPr>
      <w:r>
        <w:rPr>
          <w:b/>
          <w:bCs/>
          <w:color w:val="1B2A4A"/>
          <w:sz w:val="26"/>
          <w:szCs w:val="26"/>
        </w:rPr>
        <w:t>11. Source</w:t>
      </w:r>
    </w:p>
    <w:p w14:paraId="7BDCE37B"/>
    <w:p w14:paraId="17748481">
      <w:pPr>
        <w:pStyle w:val="16"/>
        <w:numPr>
          <w:ilvl w:val="0"/>
          <w:numId w:val="2"/>
        </w:numPr>
        <w:spacing w:after="80" w:line="276" w:lineRule="auto"/>
      </w:pPr>
      <w:r>
        <w:rPr>
          <w:sz w:val="22"/>
          <w:szCs w:val="22"/>
        </w:rPr>
        <w:t>fairvaluehub.de — "ICT Market Structure — BOS, CHoCH and MSS Explained."</w:t>
      </w:r>
    </w:p>
    <w:p w14:paraId="298FE9AF">
      <w:pPr>
        <w:pStyle w:val="16"/>
        <w:numPr>
          <w:ilvl w:val="0"/>
          <w:numId w:val="2"/>
        </w:numPr>
        <w:spacing w:after="80" w:line="276" w:lineRule="auto"/>
      </w:pPr>
      <w:r>
        <w:rPr>
          <w:sz w:val="22"/>
          <w:szCs w:val="22"/>
        </w:rPr>
        <w:t>alphametrixx.com — "ICT Market Structure: BOS, CHoCH, and MSS Explained."</w:t>
      </w:r>
    </w:p>
    <w:p w14:paraId="1425FC01">
      <w:pPr>
        <w:pStyle w:val="16"/>
        <w:numPr>
          <w:ilvl w:val="0"/>
          <w:numId w:val="2"/>
        </w:numPr>
        <w:spacing w:after="80" w:line="276" w:lineRule="auto"/>
      </w:pPr>
      <w:r>
        <w:rPr>
          <w:sz w:val="22"/>
          <w:szCs w:val="22"/>
        </w:rPr>
        <w:t>grandalgo.com — "Market Structure Shift (MSS) Trading: Complete ICT/SMC Guide."</w:t>
      </w:r>
    </w:p>
    <w:p w14:paraId="5C2B0A8E">
      <w:pPr>
        <w:pStyle w:val="16"/>
        <w:numPr>
          <w:ilvl w:val="0"/>
          <w:numId w:val="2"/>
        </w:numPr>
        <w:spacing w:after="80" w:line="276" w:lineRule="auto"/>
      </w:pPr>
      <w:r>
        <w:rPr>
          <w:sz w:val="22"/>
          <w:szCs w:val="22"/>
        </w:rPr>
        <w:t>innercircletrader.net — "ICT Market Structure Shift (MSS) — Complete Guide with Examples."</w:t>
      </w:r>
    </w:p>
    <w:p w14:paraId="25A60C42">
      <w:pPr>
        <w:pStyle w:val="16"/>
        <w:numPr>
          <w:ilvl w:val="0"/>
          <w:numId w:val="2"/>
        </w:numPr>
        <w:spacing w:after="80" w:line="276" w:lineRule="auto"/>
      </w:pPr>
      <w:r>
        <w:rPr>
          <w:sz w:val="22"/>
          <w:szCs w:val="22"/>
        </w:rPr>
        <w:t>backtrex.com — "ICT Market Structure Shift (MSS): Complete Guide" (notes MSS mandatorily requires a preceding liquidity sweep, per this source).</w:t>
      </w:r>
    </w:p>
    <w:p w14:paraId="58293178">
      <w:pPr>
        <w:pBdr>
          <w:left w:val="single" w:color="9A7B2E" w:sz="24" w:space="8"/>
        </w:pBdr>
        <w:shd w:val="clear" w:fill="EFEFEF"/>
        <w:spacing w:before="160" w:after="200"/>
        <w:ind w:left="200"/>
      </w:pPr>
      <w:r>
        <w:rPr>
          <w:b/>
          <w:bCs/>
          <w:color w:val="9A7B2E"/>
          <w:sz w:val="21"/>
          <w:szCs w:val="21"/>
        </w:rPr>
        <w:t xml:space="preserve">Community interpretation: </w:t>
      </w:r>
      <w:r>
        <w:rPr>
          <w:sz w:val="21"/>
          <w:szCs w:val="21"/>
        </w:rPr>
        <w:t>As detailed in the ICT's Meaning section above, ICT-focused sources genuinely disagree on whether MSS requires displacement, whether it is synonymous with CHoCH, and whether it strictly requires a preceding liquidity sweep. This book adopts the displacement-required, counter-trend-specific definition as its working standard for consistency across later modules, and flags this as a documented area of inconsistent secondary usage rather than a single settled ICT definition confirmed from primary source material.</w:t>
      </w:r>
    </w:p>
    <w:p w14:paraId="572E97D7">
      <w:r>
        <w:br w:type="page"/>
      </w:r>
    </w:p>
    <w:p w14:paraId="14DE94B0">
      <w:pPr>
        <w:pStyle w:val="2"/>
        <w:pBdr>
          <w:bottom w:val="single" w:color="1B2A4A" w:sz="12" w:space="4"/>
        </w:pBdr>
        <w:spacing w:before="480" w:after="240"/>
      </w:pPr>
      <w:r>
        <w:rPr>
          <w:b/>
          <w:bCs/>
          <w:color w:val="1B2A4A"/>
          <w:sz w:val="34"/>
          <w:szCs w:val="34"/>
        </w:rPr>
        <w:t>How These Concepts Connect</w:t>
      </w:r>
    </w:p>
    <w:p w14:paraId="2655CB4C">
      <w:pPr>
        <w:spacing w:after="160" w:line="288" w:lineRule="auto"/>
      </w:pPr>
      <w:r>
        <w:rPr>
          <w:b w:val="0"/>
          <w:bCs w:val="0"/>
          <w:i w:val="0"/>
          <w:iCs w:val="0"/>
          <w:sz w:val="22"/>
          <w:szCs w:val="22"/>
        </w:rPr>
        <w:t>Market Structure is the umbrella concept for this entire module: it is simply the name for continuously classifying price using the swing-point comparisons from Module 1. Structural Highs/Lows narrows that classification down to the specific, currently governing swing points — the exact levels that matter right now, as opposed to every swing point that has ever formed.</w:t>
      </w:r>
    </w:p>
    <w:p w14:paraId="6E882CFB">
      <w:pPr>
        <w:spacing w:after="160" w:line="288" w:lineRule="auto"/>
      </w:pPr>
      <w:r>
        <w:rPr>
          <w:b w:val="0"/>
          <w:bCs w:val="0"/>
          <w:i w:val="0"/>
          <w:iCs w:val="0"/>
          <w:sz w:val="22"/>
          <w:szCs w:val="22"/>
        </w:rPr>
        <w:t>Bullish Market Structure and Bearish Market Structure are the two possible ongoing classifications a market can hold, each acting as a working assumption that governs which direction a trader looks to trade, right up until that assumption is challenged.</w:t>
      </w:r>
    </w:p>
    <w:p w14:paraId="23A83DF5">
      <w:pPr>
        <w:spacing w:after="160" w:line="288" w:lineRule="auto"/>
      </w:pPr>
      <w:r>
        <w:rPr>
          <w:b w:val="0"/>
          <w:bCs w:val="0"/>
          <w:i w:val="0"/>
          <w:iCs w:val="0"/>
          <w:sz w:val="22"/>
          <w:szCs w:val="22"/>
        </w:rPr>
        <w:t>Market Structure Shift is the event that challenges and potentially overturns that working assumption. It is deliberately the most detailed concept in this module because it functions as the connective tissue between everything taught so far (structure, swing points, timeframes) and everything still to come (liquidity, displacement, and the entry models in Modules 11–12). A shift is not just "a break" — under this book's adopted definition, it specifically requires a break of the correct governing point, done with force (displacement), which is why Module 5 on Displacement immediately follows this module rather than jumping straight to liquidity or entries.</w:t>
      </w:r>
    </w:p>
    <w:p w14:paraId="45442A4B">
      <w:pPr>
        <w:pStyle w:val="2"/>
        <w:pBdr>
          <w:bottom w:val="single" w:color="1B2A4A" w:sz="12" w:space="4"/>
        </w:pBdr>
        <w:spacing w:before="480" w:after="240"/>
      </w:pPr>
      <w:r>
        <w:rPr>
          <w:b/>
          <w:bCs/>
          <w:color w:val="1B2A4A"/>
          <w:sz w:val="34"/>
          <w:szCs w:val="34"/>
        </w:rPr>
        <w:t>What You Should Now Be Able to Do</w:t>
      </w:r>
    </w:p>
    <w:p w14:paraId="021AA87B">
      <w:pPr>
        <w:pStyle w:val="16"/>
        <w:numPr>
          <w:ilvl w:val="0"/>
          <w:numId w:val="2"/>
        </w:numPr>
        <w:spacing w:after="80" w:line="276" w:lineRule="auto"/>
      </w:pPr>
      <w:r>
        <w:rPr>
          <w:sz w:val="22"/>
          <w:szCs w:val="22"/>
        </w:rPr>
        <w:t>explain what market structure is without referencing any indicator</w:t>
      </w:r>
    </w:p>
    <w:p w14:paraId="68E7565F">
      <w:pPr>
        <w:pStyle w:val="16"/>
        <w:numPr>
          <w:ilvl w:val="0"/>
          <w:numId w:val="2"/>
        </w:numPr>
        <w:spacing w:after="80" w:line="276" w:lineRule="auto"/>
      </w:pPr>
      <w:r>
        <w:rPr>
          <w:sz w:val="22"/>
          <w:szCs w:val="22"/>
        </w:rPr>
        <w:t>distinguish a minor, insignificant swing point from a structurally significant (governing) high or low</w:t>
      </w:r>
    </w:p>
    <w:p w14:paraId="712128EB">
      <w:pPr>
        <w:pStyle w:val="16"/>
        <w:numPr>
          <w:ilvl w:val="0"/>
          <w:numId w:val="2"/>
        </w:numPr>
        <w:spacing w:after="80" w:line="276" w:lineRule="auto"/>
      </w:pPr>
      <w:r>
        <w:rPr>
          <w:sz w:val="22"/>
          <w:szCs w:val="22"/>
        </w:rPr>
        <w:t>correctly classify a chart as exhibiting bullish structure, bearish structure, or neither</w:t>
      </w:r>
    </w:p>
    <w:p w14:paraId="37FCD723">
      <w:pPr>
        <w:pStyle w:val="16"/>
        <w:numPr>
          <w:ilvl w:val="0"/>
          <w:numId w:val="2"/>
        </w:numPr>
        <w:spacing w:after="80" w:line="276" w:lineRule="auto"/>
      </w:pPr>
      <w:r>
        <w:rPr>
          <w:sz w:val="22"/>
          <w:szCs w:val="22"/>
        </w:rPr>
        <w:t>state, in your own words, the disagreement across ICT-focused sources regarding MSS, BOS, and CHoCH, and identify which working definition this book uses</w:t>
      </w:r>
    </w:p>
    <w:p w14:paraId="2ACED6B6">
      <w:pPr>
        <w:pStyle w:val="16"/>
        <w:numPr>
          <w:ilvl w:val="0"/>
          <w:numId w:val="2"/>
        </w:numPr>
        <w:spacing w:after="80" w:line="276" w:lineRule="auto"/>
      </w:pPr>
      <w:r>
        <w:rPr>
          <w:sz w:val="22"/>
          <w:szCs w:val="22"/>
        </w:rPr>
        <w:t>identify a candidate Market Structure Shift on a simple price sequence, including checking for a genuine close beyond the governing level and for displacement</w:t>
      </w:r>
    </w:p>
    <w:p w14:paraId="139603F7">
      <w:pPr>
        <w:pStyle w:val="16"/>
        <w:numPr>
          <w:ilvl w:val="0"/>
          <w:numId w:val="2"/>
        </w:numPr>
        <w:spacing w:after="80" w:line="276" w:lineRule="auto"/>
      </w:pPr>
      <w:r>
        <w:rPr>
          <w:sz w:val="22"/>
          <w:szCs w:val="22"/>
        </w:rPr>
        <w:t>explain why a Market Structure Shift signals the possible start of a new direction rather than its confirmed completion</w:t>
      </w:r>
    </w:p>
    <w:p w14:paraId="2B862B93">
      <w:r>
        <w:br w:type="page"/>
      </w:r>
    </w:p>
    <w:p w14:paraId="4442B320">
      <w:pPr>
        <w:pStyle w:val="2"/>
        <w:pBdr>
          <w:bottom w:val="single" w:color="1B2A4A" w:sz="12" w:space="4"/>
        </w:pBdr>
        <w:spacing w:before="480" w:after="240"/>
      </w:pPr>
      <w:r>
        <w:rPr>
          <w:b/>
          <w:bCs/>
          <w:color w:val="1B2A4A"/>
          <w:sz w:val="34"/>
          <w:szCs w:val="34"/>
        </w:rPr>
        <w:t>Module Review</w:t>
      </w:r>
    </w:p>
    <w:p w14:paraId="68106707">
      <w:pPr>
        <w:pStyle w:val="3"/>
        <w:spacing w:before="360" w:after="160"/>
      </w:pPr>
      <w:r>
        <w:rPr>
          <w:b/>
          <w:bCs/>
          <w:color w:val="1B2A4A"/>
          <w:sz w:val="26"/>
          <w:szCs w:val="26"/>
        </w:rPr>
        <w:t>Key Terms</w:t>
      </w:r>
    </w:p>
    <w:p w14:paraId="46E19372">
      <w:pPr>
        <w:pStyle w:val="16"/>
        <w:numPr>
          <w:ilvl w:val="0"/>
          <w:numId w:val="2"/>
        </w:numPr>
        <w:spacing w:after="80" w:line="276" w:lineRule="auto"/>
      </w:pPr>
      <w:r>
        <w:rPr>
          <w:sz w:val="22"/>
          <w:szCs w:val="22"/>
        </w:rPr>
        <w:t>Market Structure</w:t>
      </w:r>
    </w:p>
    <w:p w14:paraId="76EF6604">
      <w:pPr>
        <w:pStyle w:val="16"/>
        <w:numPr>
          <w:ilvl w:val="0"/>
          <w:numId w:val="2"/>
        </w:numPr>
        <w:spacing w:after="80" w:line="276" w:lineRule="auto"/>
      </w:pPr>
      <w:r>
        <w:rPr>
          <w:sz w:val="22"/>
          <w:szCs w:val="22"/>
        </w:rPr>
        <w:t>Structural Highs/Lows</w:t>
      </w:r>
    </w:p>
    <w:p w14:paraId="7D8DA0CA">
      <w:pPr>
        <w:pStyle w:val="16"/>
        <w:numPr>
          <w:ilvl w:val="0"/>
          <w:numId w:val="2"/>
        </w:numPr>
        <w:spacing w:after="80" w:line="276" w:lineRule="auto"/>
      </w:pPr>
      <w:r>
        <w:rPr>
          <w:sz w:val="22"/>
          <w:szCs w:val="22"/>
        </w:rPr>
        <w:t>Bullish Market Structure</w:t>
      </w:r>
    </w:p>
    <w:p w14:paraId="410EB5C3">
      <w:pPr>
        <w:pStyle w:val="16"/>
        <w:numPr>
          <w:ilvl w:val="0"/>
          <w:numId w:val="2"/>
        </w:numPr>
        <w:spacing w:after="80" w:line="276" w:lineRule="auto"/>
      </w:pPr>
      <w:r>
        <w:rPr>
          <w:sz w:val="22"/>
          <w:szCs w:val="22"/>
        </w:rPr>
        <w:t>Bearish Market Structure</w:t>
      </w:r>
    </w:p>
    <w:p w14:paraId="63EDC5F6">
      <w:pPr>
        <w:pStyle w:val="16"/>
        <w:numPr>
          <w:ilvl w:val="0"/>
          <w:numId w:val="2"/>
        </w:numPr>
        <w:spacing w:after="80" w:line="276" w:lineRule="auto"/>
      </w:pPr>
      <w:r>
        <w:rPr>
          <w:sz w:val="22"/>
          <w:szCs w:val="22"/>
        </w:rPr>
        <w:t>Market Structure Shift (MSS)</w:t>
      </w:r>
    </w:p>
    <w:p w14:paraId="29CB3FDA">
      <w:pPr>
        <w:pStyle w:val="16"/>
        <w:numPr>
          <w:ilvl w:val="0"/>
          <w:numId w:val="2"/>
        </w:numPr>
        <w:spacing w:after="80" w:line="276" w:lineRule="auto"/>
      </w:pPr>
      <w:r>
        <w:rPr>
          <w:sz w:val="22"/>
          <w:szCs w:val="22"/>
        </w:rPr>
        <w:t>Break of Structure (BOS)</w:t>
      </w:r>
    </w:p>
    <w:p w14:paraId="1408191B">
      <w:pPr>
        <w:pStyle w:val="16"/>
        <w:numPr>
          <w:ilvl w:val="0"/>
          <w:numId w:val="2"/>
        </w:numPr>
        <w:spacing w:after="80" w:line="276" w:lineRule="auto"/>
      </w:pPr>
      <w:r>
        <w:rPr>
          <w:sz w:val="22"/>
          <w:szCs w:val="22"/>
        </w:rPr>
        <w:t>Change of Character (CHoCH)</w:t>
      </w:r>
    </w:p>
    <w:p w14:paraId="757C8FFD">
      <w:pPr>
        <w:pStyle w:val="16"/>
        <w:numPr>
          <w:ilvl w:val="0"/>
          <w:numId w:val="2"/>
        </w:numPr>
        <w:spacing w:after="80" w:line="276" w:lineRule="auto"/>
      </w:pPr>
      <w:r>
        <w:rPr>
          <w:sz w:val="22"/>
          <w:szCs w:val="22"/>
        </w:rPr>
        <w:t>Displacement (preview)</w:t>
      </w:r>
    </w:p>
    <w:p w14:paraId="49BEEC08">
      <w:pPr>
        <w:pStyle w:val="3"/>
        <w:spacing w:before="360" w:after="160"/>
      </w:pPr>
      <w:r>
        <w:rPr>
          <w:b/>
          <w:bCs/>
          <w:color w:val="1B2A4A"/>
          <w:sz w:val="26"/>
          <w:szCs w:val="26"/>
        </w:rPr>
        <w:t>Beginner Summary</w:t>
      </w:r>
    </w:p>
    <w:p w14:paraId="68DDFEE6">
      <w:pPr>
        <w:spacing w:after="160" w:line="288" w:lineRule="auto"/>
      </w:pPr>
      <w:r>
        <w:rPr>
          <w:b w:val="0"/>
          <w:bCs w:val="0"/>
          <w:i w:val="0"/>
          <w:iCs w:val="0"/>
          <w:sz w:val="22"/>
          <w:szCs w:val="22"/>
        </w:rPr>
        <w:t>Market structure is the ongoing, updated conclusion drawn from comparing swing highs and lows over time: is the market currently bullish (higher highs and higher lows), bearish (lower highs and lower lows), or undecided? Not every swing point matters equally — the currently governing structural high or low is the specific level that, if broken, would call the current classification into question. When that governing level is broken by a forceful, decisive move against the prevailing trend, ICT-focused teaching calls this a Market Structure Shift — the first real evidence that control of the market may be changing hands. Sources disagree on the exact technical boundary between this event and two related terms, Break of Structure and Change of Character; this book adopts one specific, clearly stated definition for consistency.</w:t>
      </w:r>
    </w:p>
    <w:p w14:paraId="39528D2A">
      <w:pPr>
        <w:pStyle w:val="3"/>
        <w:spacing w:before="360" w:after="160"/>
      </w:pPr>
      <w:r>
        <w:rPr>
          <w:b/>
          <w:bCs/>
          <w:color w:val="1B2A4A"/>
          <w:sz w:val="26"/>
          <w:szCs w:val="26"/>
        </w:rPr>
        <w:t>Concept Relationships</w:t>
      </w:r>
    </w:p>
    <w:p w14:paraId="1B85E55D">
      <w:pPr>
        <w:spacing w:after="160" w:line="288" w:lineRule="auto"/>
      </w:pPr>
      <w:r>
        <w:rPr>
          <w:b w:val="0"/>
          <w:bCs w:val="0"/>
          <w:i w:val="0"/>
          <w:iCs w:val="0"/>
          <w:sz w:val="22"/>
          <w:szCs w:val="22"/>
        </w:rPr>
        <w:t>Market Structure is the umbrella concept. Structural Highs/Lows identifies the specific governing points within it. Bullish and Bearish Market Structure are the two possible classifications the umbrella concept can produce. Market Structure Shift is the event that overturns one classification in favor of the other, by breaking a structural high/low with displacement.</w:t>
      </w:r>
    </w:p>
    <w:p w14:paraId="4F3D0186">
      <w:pPr>
        <w:pStyle w:val="3"/>
        <w:spacing w:before="360" w:after="160"/>
      </w:pPr>
      <w:r>
        <w:rPr>
          <w:b/>
          <w:bCs/>
          <w:color w:val="1B2A4A"/>
          <w:sz w:val="26"/>
          <w:szCs w:val="26"/>
        </w:rPr>
        <w:t>Practical Chart Exercise</w:t>
      </w:r>
    </w:p>
    <w:p w14:paraId="0A184988">
      <w:pPr>
        <w:spacing w:after="160" w:line="288" w:lineRule="auto"/>
      </w:pPr>
      <w:r>
        <w:rPr>
          <w:b w:val="0"/>
          <w:bCs w:val="0"/>
          <w:i w:val="0"/>
          <w:iCs w:val="0"/>
          <w:sz w:val="22"/>
          <w:szCs w:val="22"/>
        </w:rPr>
        <w:t>Using the sequence 200 → 215 → 208 → 225 → 217 → 190 (with the final move happening sharply and with large, decisive candles), classify the structure through 217 as bullish or bearish, identify the governing structural point at that stage, determine whether the final move to 190 qualifies as a Market Structure Shift under this book's working definition, and explain what additional information (not present in this simplified sequence) you would want to see on a real chart before being fully confident in that classification.</w:t>
      </w:r>
    </w:p>
    <w:p w14:paraId="4A2C93EB">
      <w:pPr>
        <w:pStyle w:val="3"/>
        <w:spacing w:before="360" w:after="160"/>
      </w:pPr>
      <w:r>
        <w:rPr>
          <w:b/>
          <w:bCs/>
          <w:color w:val="1B2A4A"/>
          <w:sz w:val="26"/>
          <w:szCs w:val="26"/>
        </w:rPr>
        <w:t>Self-Test Questions</w:t>
      </w:r>
    </w:p>
    <w:p w14:paraId="009ED6C6">
      <w:pPr>
        <w:pStyle w:val="16"/>
        <w:numPr>
          <w:ilvl w:val="0"/>
          <w:numId w:val="1"/>
        </w:numPr>
        <w:spacing w:after="80" w:line="276" w:lineRule="auto"/>
      </w:pPr>
      <w:r>
        <w:rPr>
          <w:sz w:val="22"/>
          <w:szCs w:val="22"/>
        </w:rPr>
        <w:t>What is the difference between market structure in general and a structural high or low specifically?</w:t>
      </w:r>
    </w:p>
    <w:p w14:paraId="319B9CFE">
      <w:pPr>
        <w:pStyle w:val="16"/>
        <w:numPr>
          <w:ilvl w:val="0"/>
          <w:numId w:val="1"/>
        </w:numPr>
        <w:spacing w:after="80" w:line="276" w:lineRule="auto"/>
      </w:pPr>
      <w:r>
        <w:rPr>
          <w:sz w:val="22"/>
          <w:szCs w:val="22"/>
        </w:rPr>
        <w:t>What two conditions does this book's working definition require for an event to qualify as a full Market Structure Shift, rather than a weaker Change of Character?</w:t>
      </w:r>
    </w:p>
    <w:p w14:paraId="5D2441C6">
      <w:pPr>
        <w:pStyle w:val="16"/>
        <w:numPr>
          <w:ilvl w:val="0"/>
          <w:numId w:val="1"/>
        </w:numPr>
        <w:spacing w:after="80" w:line="276" w:lineRule="auto"/>
      </w:pPr>
      <w:r>
        <w:rPr>
          <w:sz w:val="22"/>
          <w:szCs w:val="22"/>
        </w:rPr>
        <w:t>Why does a wick through a governing structural level, without a candle-body close beyond it, generally not qualify as a valid structural break?</w:t>
      </w:r>
    </w:p>
    <w:p w14:paraId="609FFA07">
      <w:pPr>
        <w:pStyle w:val="16"/>
        <w:numPr>
          <w:ilvl w:val="0"/>
          <w:numId w:val="1"/>
        </w:numPr>
        <w:spacing w:after="80" w:line="276" w:lineRule="auto"/>
      </w:pPr>
      <w:r>
        <w:rPr>
          <w:sz w:val="22"/>
          <w:szCs w:val="22"/>
        </w:rPr>
        <w:t>Name the three different ways ICT-focused secondary sources define the relationship between MSS, BOS, and CHoCH, as documented in this module.</w:t>
      </w:r>
    </w:p>
    <w:p w14:paraId="083003DE">
      <w:pPr>
        <w:pStyle w:val="16"/>
        <w:numPr>
          <w:ilvl w:val="0"/>
          <w:numId w:val="1"/>
        </w:numPr>
        <w:spacing w:after="80" w:line="276" w:lineRule="auto"/>
      </w:pPr>
      <w:r>
        <w:rPr>
          <w:sz w:val="22"/>
          <w:szCs w:val="22"/>
        </w:rPr>
        <w:t>Why does a confirmed Market Structure Shift not guarantee that the new direction will continue?</w:t>
      </w:r>
    </w:p>
    <w:p w14:paraId="23393095">
      <w:pPr>
        <w:pStyle w:val="3"/>
        <w:spacing w:before="360" w:after="160"/>
      </w:pPr>
      <w:r>
        <w:rPr>
          <w:b/>
          <w:bCs/>
          <w:color w:val="1B2A4A"/>
          <w:sz w:val="26"/>
          <w:szCs w:val="26"/>
        </w:rPr>
        <w:t>Common Misconceptions</w:t>
      </w:r>
    </w:p>
    <w:p w14:paraId="41BA43A3">
      <w:pPr>
        <w:pStyle w:val="16"/>
        <w:numPr>
          <w:ilvl w:val="0"/>
          <w:numId w:val="2"/>
        </w:numPr>
        <w:spacing w:after="80" w:line="276" w:lineRule="auto"/>
      </w:pPr>
      <w:r>
        <w:rPr>
          <w:sz w:val="22"/>
          <w:szCs w:val="22"/>
        </w:rPr>
        <w:t>Believing MSS, BOS, and CHoCH are universally defined the same way by every ICT-focused source — as this module documents, they are not.</w:t>
      </w:r>
    </w:p>
    <w:p w14:paraId="3C4D5A09">
      <w:pPr>
        <w:pStyle w:val="16"/>
        <w:numPr>
          <w:ilvl w:val="0"/>
          <w:numId w:val="2"/>
        </w:numPr>
        <w:spacing w:after="80" w:line="276" w:lineRule="auto"/>
      </w:pPr>
      <w:r>
        <w:rPr>
          <w:sz w:val="22"/>
          <w:szCs w:val="22"/>
        </w:rPr>
        <w:t>Believing every broken swing point, regardless of its structural significance or the force behind the break, qualifies as a Market Structure Shift.</w:t>
      </w:r>
    </w:p>
    <w:p w14:paraId="5529D130">
      <w:pPr>
        <w:pStyle w:val="16"/>
        <w:numPr>
          <w:ilvl w:val="0"/>
          <w:numId w:val="2"/>
        </w:numPr>
        <w:spacing w:after="80" w:line="276" w:lineRule="auto"/>
      </w:pPr>
      <w:r>
        <w:rPr>
          <w:sz w:val="22"/>
          <w:szCs w:val="22"/>
        </w:rPr>
        <w:t>Believing a confirmed Market Structure Shift means the reversal is already complete, rather than understanding it as the first piece of evidence that a reversal may be underway.</w:t>
      </w:r>
    </w:p>
    <w:p w14:paraId="7370A32E">
      <w:pPr>
        <w:pStyle w:val="16"/>
        <w:numPr>
          <w:ilvl w:val="0"/>
          <w:numId w:val="2"/>
        </w:numPr>
        <w:spacing w:after="80" w:line="276" w:lineRule="auto"/>
      </w:pPr>
      <w:r>
        <w:rPr>
          <w:sz w:val="22"/>
          <w:szCs w:val="22"/>
        </w:rPr>
        <w:t>Believing market structure can be read once and then ignored, rather than continuously monitored as new candles close.</w:t>
      </w:r>
    </w:p>
    <w:p w14:paraId="15E3854D">
      <w:pPr>
        <w:pStyle w:val="3"/>
        <w:spacing w:before="360" w:after="160"/>
      </w:pPr>
      <w:r>
        <w:rPr>
          <w:b/>
          <w:bCs/>
          <w:color w:val="1B2A4A"/>
          <w:sz w:val="26"/>
          <w:szCs w:val="26"/>
        </w:rPr>
        <w:t>Research Sources</w:t>
      </w:r>
    </w:p>
    <w:p w14:paraId="6C7ECCDB">
      <w:pPr>
        <w:pStyle w:val="16"/>
        <w:numPr>
          <w:ilvl w:val="0"/>
          <w:numId w:val="2"/>
        </w:numPr>
        <w:spacing w:after="80" w:line="276" w:lineRule="auto"/>
      </w:pPr>
      <w:r>
        <w:rPr>
          <w:sz w:val="22"/>
          <w:szCs w:val="22"/>
        </w:rPr>
        <w:t>fairvaluehub.de — "ICT Market Structure — BOS, CHoCH and MSS Explained."</w:t>
      </w:r>
    </w:p>
    <w:p w14:paraId="036D17CF">
      <w:pPr>
        <w:pStyle w:val="16"/>
        <w:numPr>
          <w:ilvl w:val="0"/>
          <w:numId w:val="2"/>
        </w:numPr>
        <w:spacing w:after="80" w:line="276" w:lineRule="auto"/>
      </w:pPr>
      <w:r>
        <w:rPr>
          <w:sz w:val="22"/>
          <w:szCs w:val="22"/>
        </w:rPr>
        <w:t>alphametrixx.com — "ICT Market Structure: BOS, CHoCH, and MSS Explained."</w:t>
      </w:r>
    </w:p>
    <w:p w14:paraId="61A4EF50">
      <w:pPr>
        <w:pStyle w:val="16"/>
        <w:numPr>
          <w:ilvl w:val="0"/>
          <w:numId w:val="2"/>
        </w:numPr>
        <w:spacing w:after="80" w:line="276" w:lineRule="auto"/>
      </w:pPr>
      <w:r>
        <w:rPr>
          <w:sz w:val="22"/>
          <w:szCs w:val="22"/>
        </w:rPr>
        <w:t>grandalgo.com — "Market Structure Shift (MSS) Trading: Complete ICT/SMC Guide."</w:t>
      </w:r>
    </w:p>
    <w:p w14:paraId="577447AA">
      <w:pPr>
        <w:pStyle w:val="16"/>
        <w:numPr>
          <w:ilvl w:val="0"/>
          <w:numId w:val="2"/>
        </w:numPr>
        <w:spacing w:after="80" w:line="276" w:lineRule="auto"/>
      </w:pPr>
      <w:r>
        <w:rPr>
          <w:sz w:val="22"/>
          <w:szCs w:val="22"/>
        </w:rPr>
        <w:t>innercircletrader.net — "ICT Market Structure Shift (MSS) — Complete Guide with Examples" and "What Is ICT Market Structure? BOS Highs, Lows &amp; Liquidity."</w:t>
      </w:r>
    </w:p>
    <w:p w14:paraId="1B3E286F">
      <w:pPr>
        <w:pStyle w:val="16"/>
        <w:numPr>
          <w:ilvl w:val="0"/>
          <w:numId w:val="2"/>
        </w:numPr>
        <w:spacing w:after="80" w:line="276" w:lineRule="auto"/>
      </w:pPr>
      <w:r>
        <w:rPr>
          <w:sz w:val="22"/>
          <w:szCs w:val="22"/>
        </w:rPr>
        <w:t>backtrex.com — "ICT Market Structure Shift (MSS): Complete Guide."</w:t>
      </w:r>
    </w:p>
    <w:p w14:paraId="61A76234">
      <w:pPr>
        <w:pStyle w:val="16"/>
        <w:numPr>
          <w:ilvl w:val="0"/>
          <w:numId w:val="2"/>
        </w:numPr>
        <w:spacing w:after="80" w:line="276" w:lineRule="auto"/>
      </w:pPr>
      <w:r>
        <w:rPr>
          <w:sz w:val="22"/>
          <w:szCs w:val="22"/>
        </w:rPr>
        <w:t>atas.net — "Understanding Market Structure and Market Structure Shift (MSS)."</w:t>
      </w:r>
    </w:p>
    <w:p w14:paraId="213A09F2">
      <w:pPr>
        <w:pStyle w:val="16"/>
        <w:numPr>
          <w:ilvl w:val="0"/>
          <w:numId w:val="2"/>
        </w:numPr>
        <w:spacing w:after="80" w:line="276" w:lineRule="auto"/>
      </w:pPr>
      <w:r>
        <w:rPr>
          <w:sz w:val="22"/>
          <w:szCs w:val="22"/>
        </w:rPr>
        <w:t>equiti.com — "Why MSS vs BOS matters in market structure."</w:t>
      </w:r>
    </w:p>
    <w:p w14:paraId="37181114">
      <w:pPr>
        <w:pStyle w:val="16"/>
        <w:numPr>
          <w:ilvl w:val="0"/>
          <w:numId w:val="2"/>
        </w:numPr>
        <w:spacing w:after="80" w:line="276" w:lineRule="auto"/>
      </w:pPr>
      <w:r>
        <w:rPr>
          <w:sz w:val="22"/>
          <w:szCs w:val="22"/>
        </w:rPr>
        <w:t>tradingfinder.com — "ICT Trading Style: Abbreviations &amp; Terms" and "Market Structure Inducements ICT."</w:t>
      </w:r>
    </w:p>
    <w:p w14:paraId="37AD3031">
      <w:pPr>
        <w:pStyle w:val="16"/>
        <w:numPr>
          <w:ilvl w:val="0"/>
          <w:numId w:val="2"/>
        </w:numPr>
        <w:spacing w:after="80" w:line="276" w:lineRule="auto"/>
      </w:pPr>
      <w:r>
        <w:rPr>
          <w:sz w:val="22"/>
          <w:szCs w:val="22"/>
        </w:rPr>
        <w:t>Note: This module documents a genuine, unresolved terminology disagreement across ICT-focused secondary sources regarding MSS/BOS/CHoCH boundaries. No direct ICT primary-source transcript was accessible in this research pass to resolve the disagreement definitively; this book's adopted working definition is stated explicitly wherever the term MSS is used going forward.</w:t>
      </w:r>
    </w:p>
    <w:p w14:paraId="12FFDDCD">
      <w:pPr>
        <w:pStyle w:val="16"/>
        <w:numPr>
          <w:ilvl w:val="0"/>
          <w:numId w:val="0"/>
        </w:numPr>
        <w:spacing w:after="80" w:line="276" w:lineRule="auto"/>
        <w:rPr>
          <w:sz w:val="22"/>
          <w:szCs w:val="22"/>
        </w:rPr>
      </w:pPr>
    </w:p>
    <w:p w14:paraId="677F37FC">
      <w:pPr>
        <w:pStyle w:val="16"/>
        <w:numPr>
          <w:ilvl w:val="0"/>
          <w:numId w:val="0"/>
        </w:numPr>
        <w:spacing w:after="80" w:line="276" w:lineRule="auto"/>
        <w:rPr>
          <w:sz w:val="22"/>
          <w:szCs w:val="22"/>
        </w:rPr>
      </w:pPr>
    </w:p>
    <w:p w14:paraId="3BA70A74">
      <w:pPr>
        <w:pStyle w:val="16"/>
        <w:numPr>
          <w:ilvl w:val="0"/>
          <w:numId w:val="0"/>
        </w:numPr>
        <w:spacing w:after="80" w:line="276" w:lineRule="auto"/>
        <w:rPr>
          <w:sz w:val="22"/>
          <w:szCs w:val="22"/>
        </w:rPr>
      </w:pPr>
    </w:p>
    <w:p w14:paraId="746E5232">
      <w:pPr>
        <w:pStyle w:val="16"/>
        <w:numPr>
          <w:ilvl w:val="0"/>
          <w:numId w:val="0"/>
        </w:numPr>
        <w:spacing w:after="80" w:line="276" w:lineRule="auto"/>
        <w:rPr>
          <w:sz w:val="22"/>
          <w:szCs w:val="22"/>
        </w:rPr>
      </w:pPr>
    </w:p>
    <w:p w14:paraId="3ADF7294">
      <w:pPr>
        <w:pStyle w:val="16"/>
        <w:numPr>
          <w:ilvl w:val="0"/>
          <w:numId w:val="0"/>
        </w:numPr>
        <w:spacing w:after="80" w:line="276" w:lineRule="auto"/>
        <w:rPr>
          <w:sz w:val="22"/>
          <w:szCs w:val="22"/>
        </w:rPr>
      </w:pPr>
    </w:p>
    <w:p w14:paraId="36BABBB2">
      <w:pPr>
        <w:pStyle w:val="16"/>
        <w:numPr>
          <w:ilvl w:val="0"/>
          <w:numId w:val="0"/>
        </w:numPr>
        <w:spacing w:after="80" w:line="276" w:lineRule="auto"/>
        <w:rPr>
          <w:sz w:val="22"/>
          <w:szCs w:val="22"/>
        </w:rPr>
      </w:pPr>
    </w:p>
    <w:p w14:paraId="50ECEE82">
      <w:pPr>
        <w:pStyle w:val="16"/>
        <w:numPr>
          <w:ilvl w:val="0"/>
          <w:numId w:val="0"/>
        </w:numPr>
        <w:spacing w:after="80" w:line="276" w:lineRule="auto"/>
        <w:rPr>
          <w:sz w:val="22"/>
          <w:szCs w:val="22"/>
        </w:rPr>
      </w:pPr>
    </w:p>
    <w:p w14:paraId="4DCD4607">
      <w:pPr>
        <w:pStyle w:val="16"/>
        <w:numPr>
          <w:ilvl w:val="0"/>
          <w:numId w:val="0"/>
        </w:numPr>
        <w:spacing w:after="80" w:line="276" w:lineRule="auto"/>
        <w:rPr>
          <w:sz w:val="22"/>
          <w:szCs w:val="22"/>
        </w:rPr>
      </w:pPr>
    </w:p>
    <w:p w14:paraId="5B91B6E5">
      <w:pPr>
        <w:pStyle w:val="16"/>
        <w:numPr>
          <w:ilvl w:val="0"/>
          <w:numId w:val="0"/>
        </w:numPr>
        <w:spacing w:after="80" w:line="276" w:lineRule="auto"/>
        <w:rPr>
          <w:sz w:val="22"/>
          <w:szCs w:val="22"/>
        </w:rPr>
      </w:pPr>
    </w:p>
    <w:p w14:paraId="4E192E32">
      <w:pPr>
        <w:pStyle w:val="16"/>
        <w:numPr>
          <w:ilvl w:val="0"/>
          <w:numId w:val="0"/>
        </w:numPr>
        <w:spacing w:after="80" w:line="276" w:lineRule="auto"/>
        <w:rPr>
          <w:sz w:val="22"/>
          <w:szCs w:val="22"/>
        </w:rPr>
      </w:pPr>
    </w:p>
    <w:p w14:paraId="36971388">
      <w:pPr>
        <w:pStyle w:val="16"/>
        <w:numPr>
          <w:ilvl w:val="0"/>
          <w:numId w:val="0"/>
        </w:numPr>
        <w:spacing w:after="80" w:line="276" w:lineRule="auto"/>
        <w:rPr>
          <w:sz w:val="22"/>
          <w:szCs w:val="22"/>
        </w:rPr>
      </w:pPr>
    </w:p>
    <w:p w14:paraId="747E95D5">
      <w:pPr>
        <w:pStyle w:val="16"/>
        <w:numPr>
          <w:ilvl w:val="0"/>
          <w:numId w:val="0"/>
        </w:numPr>
        <w:spacing w:after="80" w:line="276" w:lineRule="auto"/>
        <w:rPr>
          <w:sz w:val="22"/>
          <w:szCs w:val="22"/>
        </w:rPr>
      </w:pPr>
    </w:p>
    <w:p w14:paraId="6C4C3AA4">
      <w:pPr>
        <w:pStyle w:val="16"/>
        <w:numPr>
          <w:ilvl w:val="0"/>
          <w:numId w:val="0"/>
        </w:numPr>
        <w:spacing w:after="80" w:line="276" w:lineRule="auto"/>
        <w:rPr>
          <w:sz w:val="22"/>
          <w:szCs w:val="22"/>
        </w:rPr>
      </w:pPr>
    </w:p>
    <w:p w14:paraId="68E3727C">
      <w:pPr>
        <w:pStyle w:val="16"/>
        <w:numPr>
          <w:ilvl w:val="0"/>
          <w:numId w:val="0"/>
        </w:numPr>
        <w:spacing w:after="80" w:line="276" w:lineRule="auto"/>
        <w:rPr>
          <w:sz w:val="22"/>
          <w:szCs w:val="22"/>
        </w:rPr>
      </w:pPr>
    </w:p>
    <w:p w14:paraId="01692EDA">
      <w:pPr>
        <w:pStyle w:val="16"/>
        <w:numPr>
          <w:ilvl w:val="0"/>
          <w:numId w:val="0"/>
        </w:numPr>
        <w:spacing w:after="80" w:line="276" w:lineRule="auto"/>
        <w:rPr>
          <w:sz w:val="22"/>
          <w:szCs w:val="22"/>
        </w:rPr>
      </w:pPr>
    </w:p>
    <w:p w14:paraId="1D59491D">
      <w:pPr>
        <w:pStyle w:val="16"/>
        <w:numPr>
          <w:ilvl w:val="0"/>
          <w:numId w:val="0"/>
        </w:numPr>
        <w:spacing w:after="80" w:line="276" w:lineRule="auto"/>
        <w:rPr>
          <w:sz w:val="22"/>
          <w:szCs w:val="22"/>
        </w:rPr>
      </w:pPr>
    </w:p>
    <w:p w14:paraId="7FA84C58">
      <w:pPr>
        <w:pStyle w:val="16"/>
        <w:numPr>
          <w:ilvl w:val="0"/>
          <w:numId w:val="0"/>
        </w:numPr>
        <w:spacing w:after="80" w:line="276" w:lineRule="auto"/>
        <w:rPr>
          <w:sz w:val="22"/>
          <w:szCs w:val="22"/>
        </w:rPr>
      </w:pPr>
    </w:p>
    <w:p w14:paraId="7F9F0482">
      <w:pPr>
        <w:pStyle w:val="16"/>
        <w:numPr>
          <w:ilvl w:val="0"/>
          <w:numId w:val="0"/>
        </w:numPr>
        <w:spacing w:after="80" w:line="276" w:lineRule="auto"/>
        <w:rPr>
          <w:sz w:val="22"/>
          <w:szCs w:val="22"/>
        </w:rPr>
      </w:pPr>
    </w:p>
    <w:p w14:paraId="6CF04AF2">
      <w:pPr>
        <w:pStyle w:val="16"/>
        <w:numPr>
          <w:ilvl w:val="0"/>
          <w:numId w:val="0"/>
        </w:numPr>
        <w:spacing w:after="80" w:line="276" w:lineRule="auto"/>
        <w:rPr>
          <w:sz w:val="22"/>
          <w:szCs w:val="22"/>
        </w:rPr>
      </w:pPr>
    </w:p>
    <w:p w14:paraId="56E4AA31">
      <w:pPr>
        <w:pStyle w:val="16"/>
        <w:numPr>
          <w:ilvl w:val="0"/>
          <w:numId w:val="0"/>
        </w:numPr>
        <w:spacing w:after="80" w:line="276" w:lineRule="auto"/>
        <w:rPr>
          <w:sz w:val="22"/>
          <w:szCs w:val="22"/>
        </w:rPr>
      </w:pPr>
    </w:p>
    <w:p w14:paraId="56E93F03">
      <w:pPr>
        <w:pStyle w:val="16"/>
        <w:numPr>
          <w:ilvl w:val="0"/>
          <w:numId w:val="0"/>
        </w:numPr>
        <w:spacing w:after="80" w:line="276" w:lineRule="auto"/>
        <w:rPr>
          <w:sz w:val="22"/>
          <w:szCs w:val="22"/>
        </w:rPr>
      </w:pPr>
    </w:p>
    <w:p w14:paraId="740A0A3E">
      <w:pPr>
        <w:pStyle w:val="16"/>
        <w:numPr>
          <w:ilvl w:val="0"/>
          <w:numId w:val="0"/>
        </w:numPr>
        <w:spacing w:after="80" w:line="276" w:lineRule="auto"/>
        <w:rPr>
          <w:sz w:val="22"/>
          <w:szCs w:val="22"/>
        </w:rPr>
      </w:pPr>
    </w:p>
    <w:p w14:paraId="09B101F9">
      <w:pPr>
        <w:pStyle w:val="16"/>
        <w:numPr>
          <w:ilvl w:val="0"/>
          <w:numId w:val="0"/>
        </w:numPr>
        <w:spacing w:after="80" w:line="276" w:lineRule="auto"/>
        <w:rPr>
          <w:sz w:val="22"/>
          <w:szCs w:val="22"/>
        </w:rPr>
      </w:pPr>
    </w:p>
    <w:p w14:paraId="49AA94D6">
      <w:pPr>
        <w:pStyle w:val="16"/>
        <w:numPr>
          <w:ilvl w:val="0"/>
          <w:numId w:val="0"/>
        </w:numPr>
        <w:spacing w:after="80" w:line="276" w:lineRule="auto"/>
        <w:rPr>
          <w:sz w:val="22"/>
          <w:szCs w:val="22"/>
        </w:rPr>
      </w:pPr>
    </w:p>
    <w:p w14:paraId="7808327D">
      <w:pPr>
        <w:pStyle w:val="16"/>
        <w:numPr>
          <w:ilvl w:val="0"/>
          <w:numId w:val="0"/>
        </w:numPr>
        <w:spacing w:after="80" w:line="276" w:lineRule="auto"/>
        <w:rPr>
          <w:sz w:val="22"/>
          <w:szCs w:val="22"/>
        </w:rPr>
      </w:pPr>
    </w:p>
    <w:p w14:paraId="2D6F553C">
      <w:pPr>
        <w:pStyle w:val="16"/>
        <w:numPr>
          <w:ilvl w:val="0"/>
          <w:numId w:val="0"/>
        </w:numPr>
        <w:spacing w:after="80" w:line="276" w:lineRule="auto"/>
        <w:rPr>
          <w:sz w:val="22"/>
          <w:szCs w:val="22"/>
        </w:rPr>
      </w:pPr>
    </w:p>
    <w:p w14:paraId="02335584">
      <w:pPr>
        <w:pStyle w:val="16"/>
        <w:numPr>
          <w:ilvl w:val="0"/>
          <w:numId w:val="0"/>
        </w:numPr>
        <w:spacing w:after="80" w:line="276" w:lineRule="auto"/>
        <w:rPr>
          <w:sz w:val="22"/>
          <w:szCs w:val="22"/>
        </w:rPr>
      </w:pPr>
    </w:p>
    <w:p w14:paraId="003C4FBD">
      <w:pPr>
        <w:pStyle w:val="16"/>
        <w:numPr>
          <w:ilvl w:val="0"/>
          <w:numId w:val="0"/>
        </w:numPr>
        <w:spacing w:after="80" w:line="276" w:lineRule="auto"/>
        <w:rPr>
          <w:sz w:val="22"/>
          <w:szCs w:val="22"/>
        </w:rPr>
      </w:pPr>
    </w:p>
    <w:p w14:paraId="5ABDE9DB">
      <w:pPr>
        <w:pStyle w:val="16"/>
        <w:numPr>
          <w:ilvl w:val="0"/>
          <w:numId w:val="0"/>
        </w:numPr>
        <w:spacing w:after="80" w:line="276" w:lineRule="auto"/>
        <w:rPr>
          <w:sz w:val="22"/>
          <w:szCs w:val="22"/>
        </w:rPr>
      </w:pPr>
    </w:p>
    <w:p w14:paraId="4C5E266F">
      <w:pPr>
        <w:pStyle w:val="16"/>
        <w:numPr>
          <w:ilvl w:val="0"/>
          <w:numId w:val="0"/>
        </w:numPr>
        <w:spacing w:after="80" w:line="276" w:lineRule="auto"/>
        <w:rPr>
          <w:sz w:val="22"/>
          <w:szCs w:val="22"/>
        </w:rPr>
      </w:pPr>
    </w:p>
    <w:p w14:paraId="4CF8A0FC">
      <w:pPr>
        <w:pStyle w:val="2"/>
        <w:pBdr>
          <w:bottom w:val="single" w:color="1B2A4A" w:sz="12" w:space="4"/>
        </w:pBdr>
        <w:spacing w:before="480" w:after="240"/>
      </w:pPr>
      <w:r>
        <w:rPr>
          <w:b/>
          <w:bCs/>
          <w:color w:val="1B2A4A"/>
          <w:sz w:val="34"/>
          <w:szCs w:val="34"/>
        </w:rPr>
        <w:t>MODULE 4</w:t>
      </w:r>
    </w:p>
    <w:p w14:paraId="1ACDB851">
      <w:pPr>
        <w:spacing w:after="300"/>
      </w:pPr>
      <w:r>
        <w:rPr>
          <w:b/>
          <w:bCs/>
          <w:color w:val="9A7B2E"/>
          <w:sz w:val="30"/>
          <w:szCs w:val="30"/>
        </w:rPr>
        <w:t>Liquidity</w:t>
      </w:r>
    </w:p>
    <w:p w14:paraId="5E41C51A">
      <w:pPr>
        <w:spacing w:after="160" w:line="288" w:lineRule="auto"/>
      </w:pPr>
      <w:r>
        <w:rPr>
          <w:b w:val="0"/>
          <w:bCs w:val="0"/>
          <w:i w:val="0"/>
          <w:iCs w:val="0"/>
          <w:sz w:val="22"/>
          <w:szCs w:val="22"/>
        </w:rPr>
        <w:t>Modules 1 through 3 gave you the tools to describe price structure objectively: swing points, trend, timeframes, and the mechanics of a structural shift. This module introduces the concept that ICT-focused material treats as the actual engine behind why price moves where it moves: liquidity.</w:t>
      </w:r>
    </w:p>
    <w:p w14:paraId="6838D754">
      <w:pPr>
        <w:spacing w:after="160" w:line="288" w:lineRule="auto"/>
      </w:pPr>
      <w:r>
        <w:rPr>
          <w:b w:val="0"/>
          <w:bCs w:val="0"/>
          <w:i w:val="0"/>
          <w:iCs w:val="0"/>
          <w:sz w:val="22"/>
          <w:szCs w:val="22"/>
        </w:rPr>
        <w:t>Where conventional technical analysis treats an old high or low as "resistance" or "support" because price reacted there before, ICT's framework offers a specific mechanical explanation for why that reaction happened and why it might happen again: resting stop-loss and breakout orders accumulate at exactly these levels, and large market participants are described as needing that resting order flow to fill sizable positions.</w:t>
      </w:r>
    </w:p>
    <w:p w14:paraId="4F2EF8EB">
      <w:pPr>
        <w:spacing w:after="160" w:line="288" w:lineRule="auto"/>
      </w:pPr>
      <w:r>
        <w:rPr>
          <w:b w:val="0"/>
          <w:bCs w:val="0"/>
          <w:i w:val="0"/>
          <w:iCs w:val="0"/>
          <w:sz w:val="22"/>
          <w:szCs w:val="22"/>
        </w:rPr>
        <w:t>This module builds from the general concept of liquidity down to the specific, chart-markable tools built on top of it — liquidity pools, buy-side and sell-side liquidity, equal highs and lows, stop hunts, and liquidity sweeps. The final concept in this module, the liquidity sweep, is the direct bridge into Module 5's displacement and imbalance concepts, and ultimately into the ICT Buy and Sell Models in Modules 11 and 12.</w:t>
      </w:r>
    </w:p>
    <w:p w14:paraId="0CD453D1">
      <w:r>
        <w:br w:type="page"/>
      </w:r>
    </w:p>
    <w:p w14:paraId="3675751E">
      <w:pPr>
        <w:pStyle w:val="2"/>
        <w:pBdr>
          <w:bottom w:val="single" w:color="1B2A4A" w:sz="12" w:space="4"/>
        </w:pBdr>
        <w:spacing w:before="480" w:after="240"/>
      </w:pPr>
      <w:r>
        <w:rPr>
          <w:b/>
          <w:bCs/>
          <w:color w:val="1B2A4A"/>
          <w:sz w:val="34"/>
          <w:szCs w:val="34"/>
        </w:rPr>
        <w:t>Liquidity</w:t>
      </w:r>
    </w:p>
    <w:p w14:paraId="17CEA3A6">
      <w:pPr>
        <w:pStyle w:val="3"/>
        <w:spacing w:before="360" w:after="160"/>
      </w:pPr>
      <w:r>
        <w:rPr>
          <w:b/>
          <w:bCs/>
          <w:color w:val="1B2A4A"/>
          <w:sz w:val="26"/>
          <w:szCs w:val="26"/>
        </w:rPr>
        <w:t>1. Definition</w:t>
      </w:r>
    </w:p>
    <w:p w14:paraId="05872922">
      <w:pPr>
        <w:spacing w:after="160" w:line="288" w:lineRule="auto"/>
      </w:pPr>
      <w:r>
        <w:rPr>
          <w:b w:val="0"/>
          <w:bCs w:val="0"/>
          <w:i w:val="0"/>
          <w:iCs w:val="0"/>
          <w:sz w:val="22"/>
          <w:szCs w:val="22"/>
        </w:rPr>
        <w:t>Within ICT's framework, liquidity refers to concentrations of resting orders — primarily stop-loss orders and pending breakout orders — clustered at predictable price levels, which large market participants are understood to target in order to fill sizable positions.</w:t>
      </w:r>
    </w:p>
    <w:p w14:paraId="51DD1B02">
      <w:pPr>
        <w:pStyle w:val="3"/>
        <w:spacing w:before="360" w:after="160"/>
      </w:pPr>
      <w:r>
        <w:rPr>
          <w:b/>
          <w:bCs/>
          <w:color w:val="1B2A4A"/>
          <w:sz w:val="26"/>
          <w:szCs w:val="26"/>
        </w:rPr>
        <w:t>2. ICT's Meaning</w:t>
      </w:r>
    </w:p>
    <w:p w14:paraId="643C75BE">
      <w:pPr>
        <w:spacing w:after="160" w:line="288" w:lineRule="auto"/>
      </w:pPr>
      <w:r>
        <w:rPr>
          <w:b w:val="0"/>
          <w:bCs w:val="0"/>
          <w:i w:val="0"/>
          <w:iCs w:val="0"/>
          <w:sz w:val="22"/>
          <w:szCs w:val="22"/>
        </w:rPr>
        <w:t>ICT-focused teaching reframes the general financial concept of "liquidity" (the ease of buying or selling an asset without moving its price) into a specific, actionable idea: retail traders, using widely shared and predictable technical analysis, tend to place stop-loss and breakout orders at the same handful of obvious locations — just beyond swing highs, swing lows, round numbers, and session extremes. This predictable clustering is what ICT-focused sources call liquidity.</w:t>
      </w:r>
    </w:p>
    <w:p w14:paraId="23D5CDA0">
      <w:pPr>
        <w:spacing w:after="160" w:line="288" w:lineRule="auto"/>
      </w:pPr>
      <w:r>
        <w:rPr>
          <w:b w:val="0"/>
          <w:bCs w:val="0"/>
          <w:i w:val="0"/>
          <w:iCs w:val="0"/>
          <w:sz w:val="22"/>
          <w:szCs w:val="22"/>
        </w:rPr>
        <w:t>The central claim in ICT-focused material is that institutions need large opposing order flow to fill sizable positions without excessively moving the price against themselves, and that resting retail stop and breakout orders provide exactly this — meaning price is frequently drawn toward these clusters not randomly, but because they represent a place where a large amount of order flow becomes available all at once when triggered.</w:t>
      </w:r>
    </w:p>
    <w:p w14:paraId="12D5DEBF">
      <w:pPr>
        <w:spacing w:after="160" w:line="288" w:lineRule="auto"/>
      </w:pPr>
      <w:r>
        <w:rPr>
          <w:b w:val="0"/>
          <w:bCs w:val="0"/>
          <w:i w:val="0"/>
          <w:iCs w:val="0"/>
          <w:sz w:val="22"/>
          <w:szCs w:val="22"/>
        </w:rPr>
        <w:t>This reframes ordinary support and resistance behavior (Module 1): an old high or low matters, in ICT's account, not simply because "price bounced there before," but because of the specific resting orders understood to accumulate there.</w:t>
      </w:r>
    </w:p>
    <w:p w14:paraId="547BA575">
      <w:pPr>
        <w:pStyle w:val="3"/>
        <w:spacing w:before="360" w:after="160"/>
      </w:pPr>
      <w:r>
        <w:rPr>
          <w:b/>
          <w:bCs/>
          <w:color w:val="1B2A4A"/>
          <w:sz w:val="26"/>
          <w:szCs w:val="26"/>
        </w:rPr>
        <w:t>3. Beginner Explanation</w:t>
      </w:r>
    </w:p>
    <w:p w14:paraId="4C61A661">
      <w:pPr>
        <w:spacing w:after="160" w:line="288" w:lineRule="auto"/>
      </w:pPr>
      <w:r>
        <w:rPr>
          <w:b w:val="0"/>
          <w:bCs w:val="0"/>
          <w:i w:val="0"/>
          <w:iCs w:val="0"/>
          <w:sz w:val="22"/>
          <w:szCs w:val="22"/>
        </w:rPr>
        <w:t>Imagine a large group of people who all use the same simple rule for placing bets: "if the price goes below this specific point, I'll immediately close my position." If enough people use the same rule at the same price, that price becomes a place where a lot of automatic activity is waiting to happen the instant price reaches it. Within ICT's framework, that concentration of automatic, resting activity is what "liquidity" means — not a vague economic term, but a specific, mappable feature of a real chart.</w:t>
      </w:r>
    </w:p>
    <w:p w14:paraId="59D269B8">
      <w:pPr>
        <w:pStyle w:val="3"/>
        <w:spacing w:before="360" w:after="160"/>
      </w:pPr>
      <w:r>
        <w:rPr>
          <w:b/>
          <w:bCs/>
          <w:color w:val="1B2A4A"/>
          <w:sz w:val="26"/>
          <w:szCs w:val="26"/>
        </w:rPr>
        <w:t>4. How to Identify It</w:t>
      </w:r>
    </w:p>
    <w:p w14:paraId="272F3240">
      <w:pPr>
        <w:pStyle w:val="16"/>
        <w:numPr>
          <w:ilvl w:val="0"/>
          <w:numId w:val="1"/>
        </w:numPr>
        <w:spacing w:after="80" w:line="276" w:lineRule="auto"/>
      </w:pPr>
      <w:r>
        <w:rPr>
          <w:sz w:val="22"/>
          <w:szCs w:val="22"/>
        </w:rPr>
        <w:t>Locate the swing highs and swing lows already mapped using Module 1's method.</w:t>
      </w:r>
    </w:p>
    <w:p w14:paraId="71347EC4">
      <w:pPr>
        <w:pStyle w:val="16"/>
        <w:numPr>
          <w:ilvl w:val="0"/>
          <w:numId w:val="1"/>
        </w:numPr>
        <w:spacing w:after="80" w:line="276" w:lineRule="auto"/>
      </w:pPr>
      <w:r>
        <w:rPr>
          <w:sz w:val="22"/>
          <w:szCs w:val="22"/>
        </w:rPr>
        <w:t>Identify any obvious round numbers, prior day/week/month highs and lows, or session extremes near current price (Module 8 will formalize sessions).</w:t>
      </w:r>
    </w:p>
    <w:p w14:paraId="3CB0BAA0">
      <w:pPr>
        <w:pStyle w:val="16"/>
        <w:numPr>
          <w:ilvl w:val="0"/>
          <w:numId w:val="1"/>
        </w:numPr>
        <w:spacing w:after="80" w:line="276" w:lineRule="auto"/>
      </w:pPr>
      <w:r>
        <w:rPr>
          <w:sz w:val="22"/>
          <w:szCs w:val="22"/>
        </w:rPr>
        <w:t>Recognize each of these levels as a candidate liquidity concentration: buy-stop orders and breakout-buy orders cluster above highs; sell-stop orders and breakdown-sell orders cluster below lows.</w:t>
      </w:r>
    </w:p>
    <w:p w14:paraId="5773DB8C">
      <w:pPr>
        <w:pStyle w:val="16"/>
        <w:numPr>
          <w:ilvl w:val="0"/>
          <w:numId w:val="1"/>
        </w:numPr>
        <w:spacing w:after="80" w:line="276" w:lineRule="auto"/>
      </w:pPr>
      <w:r>
        <w:rPr>
          <w:sz w:val="22"/>
          <w:szCs w:val="22"/>
        </w:rPr>
        <w:t>Note that the more times a level has been tested without breaking, or the more separate highs/lows sit at close to the same price, the larger the presumed concentration of resting orders at that level (see Equal Highs / Equal Lows below).</w:t>
      </w:r>
    </w:p>
    <w:p w14:paraId="55A26EF6">
      <w:pPr>
        <w:pStyle w:val="3"/>
        <w:spacing w:before="360" w:after="160"/>
      </w:pPr>
      <w:r>
        <w:rPr>
          <w:b/>
          <w:bCs/>
          <w:color w:val="1B2A4A"/>
          <w:sz w:val="26"/>
          <w:szCs w:val="26"/>
        </w:rPr>
        <w:t>5. Simple Price Example</w:t>
      </w:r>
    </w:p>
    <w:p w14:paraId="64BF9AF9">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Price approaches a well-defined old high at 120, having failed to break above it twice before</w:t>
      </w:r>
    </w:p>
    <w:p w14:paraId="5B5EA77E">
      <w:pPr>
        <w:spacing w:after="160" w:line="288" w:lineRule="auto"/>
      </w:pPr>
      <w:r>
        <w:rPr>
          <w:b w:val="0"/>
          <w:bCs w:val="0"/>
          <w:i w:val="0"/>
          <w:iCs w:val="0"/>
          <w:sz w:val="22"/>
          <w:szCs w:val="22"/>
        </w:rPr>
        <w:t>Under ICT's framework, the level at 120 is not simply "resistance" in the conventional sense — it is read as a specific pool of buy-stop orders belonging to short sellers protecting themselves, plus pending buy orders from breakout traders waiting for a move above 120. The more times price has approached and failed to clear 120, the larger this presumed pool is considered to be.</w:t>
      </w:r>
    </w:p>
    <w:p w14:paraId="3F14F650">
      <w:pPr>
        <w:pStyle w:val="3"/>
        <w:spacing w:before="360" w:after="160"/>
      </w:pPr>
      <w:r>
        <w:rPr>
          <w:b/>
          <w:bCs/>
          <w:color w:val="1B2A4A"/>
          <w:sz w:val="26"/>
          <w:szCs w:val="26"/>
        </w:rPr>
        <w:t>6. What It Tells the Trader</w:t>
      </w:r>
    </w:p>
    <w:p w14:paraId="316F86CC">
      <w:pPr>
        <w:spacing w:after="160" w:line="288" w:lineRule="auto"/>
      </w:pPr>
      <w:r>
        <w:rPr>
          <w:b w:val="0"/>
          <w:bCs w:val="0"/>
          <w:i w:val="0"/>
          <w:iCs w:val="0"/>
          <w:sz w:val="22"/>
          <w:szCs w:val="22"/>
        </w:rPr>
        <w:t>Liquidity tells the trader where a meaningful concentration of resting orders is likely to exist, providing a rationale for why price might move toward a level that otherwise looks like an ordinary old high or low.</w:t>
      </w:r>
    </w:p>
    <w:p w14:paraId="6CC9C2F1">
      <w:pPr>
        <w:spacing w:after="160" w:line="288" w:lineRule="auto"/>
      </w:pPr>
      <w:r>
        <w:rPr>
          <w:b w:val="0"/>
          <w:bCs w:val="0"/>
          <w:i w:val="0"/>
          <w:iCs w:val="0"/>
          <w:sz w:val="22"/>
          <w:szCs w:val="22"/>
        </w:rPr>
        <w:t>It does not tell the trader with certainty how much liquidity actually exists at a level, since resting orders are not directly visible on a standard retail price chart — liquidity concentration is inferred from price structure, not measured directly.</w:t>
      </w:r>
    </w:p>
    <w:p w14:paraId="7BD45F4A">
      <w:pPr>
        <w:pStyle w:val="3"/>
        <w:spacing w:before="360" w:after="160"/>
      </w:pPr>
      <w:r>
        <w:rPr>
          <w:b/>
          <w:bCs/>
          <w:color w:val="1B2A4A"/>
          <w:sz w:val="26"/>
          <w:szCs w:val="26"/>
        </w:rPr>
        <w:t>7. What It Is Commonly Paired With</w:t>
      </w:r>
    </w:p>
    <w:p w14:paraId="5A776BED">
      <w:pPr>
        <w:pStyle w:val="16"/>
        <w:numPr>
          <w:ilvl w:val="0"/>
          <w:numId w:val="2"/>
        </w:numPr>
        <w:spacing w:after="80" w:line="276" w:lineRule="auto"/>
      </w:pPr>
      <w:r>
        <w:rPr>
          <w:sz w:val="22"/>
          <w:szCs w:val="22"/>
        </w:rPr>
        <w:t>Liquidity Pools</w:t>
      </w:r>
    </w:p>
    <w:p w14:paraId="28ABF0A8">
      <w:pPr>
        <w:pStyle w:val="16"/>
        <w:numPr>
          <w:ilvl w:val="0"/>
          <w:numId w:val="2"/>
        </w:numPr>
        <w:spacing w:after="80" w:line="276" w:lineRule="auto"/>
      </w:pPr>
      <w:r>
        <w:rPr>
          <w:sz w:val="22"/>
          <w:szCs w:val="22"/>
        </w:rPr>
        <w:t>Buy-Side / Sell-Side Liquidity</w:t>
      </w:r>
    </w:p>
    <w:p w14:paraId="0CB1ECF5">
      <w:pPr>
        <w:pStyle w:val="16"/>
        <w:numPr>
          <w:ilvl w:val="0"/>
          <w:numId w:val="2"/>
        </w:numPr>
        <w:spacing w:after="80" w:line="276" w:lineRule="auto"/>
      </w:pPr>
      <w:r>
        <w:rPr>
          <w:sz w:val="22"/>
          <w:szCs w:val="22"/>
        </w:rPr>
        <w:t>Liquidity Sweep</w:t>
      </w:r>
    </w:p>
    <w:p w14:paraId="29B39093">
      <w:pPr>
        <w:spacing w:after="160" w:line="288" w:lineRule="auto"/>
      </w:pPr>
      <w:r>
        <w:rPr>
          <w:b w:val="0"/>
          <w:bCs w:val="0"/>
          <w:i w:val="0"/>
          <w:iCs w:val="0"/>
          <w:sz w:val="22"/>
          <w:szCs w:val="22"/>
        </w:rPr>
        <w:t>Liquidity is the general concept; the remaining concepts in this module (pools, buy-side/sell-side, equal highs/lows, stop hunts, sweeps) are all specific applications or mechanisms of this one underlying idea.</w:t>
      </w:r>
    </w:p>
    <w:p w14:paraId="37B334E5">
      <w:pPr>
        <w:pStyle w:val="3"/>
        <w:spacing w:before="360" w:after="160"/>
      </w:pPr>
      <w:r>
        <w:rPr>
          <w:b/>
          <w:bCs/>
          <w:color w:val="1B2A4A"/>
          <w:sz w:val="26"/>
          <w:szCs w:val="26"/>
        </w:rPr>
        <w:t>8. Where It Fits in the ICT Framework</w:t>
      </w:r>
    </w:p>
    <w:p w14:paraId="58B5EB5B">
      <w:pPr>
        <w:spacing w:after="160" w:line="288" w:lineRule="auto"/>
      </w:pPr>
      <w:r>
        <w:rPr>
          <w:b w:val="0"/>
          <w:bCs w:val="0"/>
          <w:i w:val="0"/>
          <w:iCs w:val="0"/>
          <w:sz w:val="22"/>
          <w:szCs w:val="22"/>
        </w:rPr>
        <w:t>Comes before: Requires Module 1 (swing highs/lows) and Module 3 (market structure) — liquidity concentrations are identified relative to structural swing points.</w:t>
      </w:r>
    </w:p>
    <w:p w14:paraId="3AB05878">
      <w:pPr>
        <w:spacing w:after="160" w:line="288" w:lineRule="auto"/>
      </w:pPr>
      <w:r>
        <w:rPr>
          <w:b w:val="0"/>
          <w:bCs w:val="0"/>
          <w:i w:val="0"/>
          <w:iCs w:val="0"/>
          <w:sz w:val="22"/>
          <w:szCs w:val="22"/>
        </w:rPr>
        <w:t>Comes after: Feeds into every remaining concept in this module, and later into Displacement (Module 5), since a liquidity sweep is frequently the event that precedes and helps confirm a genuine Market Structure Shift.</w:t>
      </w:r>
    </w:p>
    <w:p w14:paraId="74F0C63B">
      <w:pPr>
        <w:pStyle w:val="3"/>
        <w:spacing w:before="360" w:after="160"/>
      </w:pPr>
      <w:r>
        <w:rPr>
          <w:b/>
          <w:bCs/>
          <w:color w:val="1B2A4A"/>
          <w:sz w:val="26"/>
          <w:szCs w:val="26"/>
        </w:rPr>
        <w:t>9. Beginner Mistakes</w:t>
      </w:r>
    </w:p>
    <w:p w14:paraId="5892A9CF">
      <w:pPr>
        <w:pStyle w:val="16"/>
        <w:numPr>
          <w:ilvl w:val="0"/>
          <w:numId w:val="2"/>
        </w:numPr>
        <w:spacing w:after="80" w:line="276" w:lineRule="auto"/>
      </w:pPr>
      <w:r>
        <w:rPr>
          <w:sz w:val="22"/>
          <w:szCs w:val="22"/>
        </w:rPr>
        <w:t>Treating every old high or low as equally significant liquidity, without considering how many times it has been tested or how obvious it is to other market participants.</w:t>
      </w:r>
    </w:p>
    <w:p w14:paraId="68A5AA9D">
      <w:pPr>
        <w:pStyle w:val="16"/>
        <w:numPr>
          <w:ilvl w:val="0"/>
          <w:numId w:val="2"/>
        </w:numPr>
        <w:spacing w:after="80" w:line="276" w:lineRule="auto"/>
      </w:pPr>
      <w:r>
        <w:rPr>
          <w:sz w:val="22"/>
          <w:szCs w:val="22"/>
        </w:rPr>
        <w:t>Assuming resting order concentrations can be measured with precision from a retail chart, rather than understood as an inferred, probabilistic concept.</w:t>
      </w:r>
    </w:p>
    <w:p w14:paraId="024CF458">
      <w:pPr>
        <w:pStyle w:val="16"/>
        <w:numPr>
          <w:ilvl w:val="0"/>
          <w:numId w:val="2"/>
        </w:numPr>
        <w:spacing w:after="80" w:line="276" w:lineRule="auto"/>
      </w:pPr>
      <w:r>
        <w:rPr>
          <w:sz w:val="22"/>
          <w:szCs w:val="22"/>
        </w:rPr>
        <w:t>Confusing liquidity in ICT's specific sense with the general financial-markets definition of liquidity (ease of trading an asset), which is a related but distinct idea.</w:t>
      </w:r>
    </w:p>
    <w:p w14:paraId="10739E40">
      <w:pPr>
        <w:pStyle w:val="3"/>
        <w:spacing w:before="360" w:after="160"/>
      </w:pPr>
      <w:r>
        <w:rPr>
          <w:b/>
          <w:bCs/>
          <w:color w:val="1B2A4A"/>
          <w:sz w:val="26"/>
          <w:szCs w:val="26"/>
        </w:rPr>
        <w:t>10. Important Qualification</w:t>
      </w:r>
    </w:p>
    <w:p w14:paraId="78B4083E">
      <w:pPr>
        <w:pBdr>
          <w:left w:val="single" w:color="7A2E2E" w:sz="24" w:space="8"/>
        </w:pBdr>
        <w:shd w:val="clear" w:fill="EFEFEF"/>
        <w:spacing w:before="160" w:after="200"/>
        <w:ind w:left="200"/>
      </w:pPr>
      <w:r>
        <w:rPr>
          <w:b/>
          <w:bCs/>
          <w:color w:val="7A2E2E"/>
          <w:sz w:val="21"/>
          <w:szCs w:val="21"/>
        </w:rPr>
        <w:t xml:space="preserve">Qualification: </w:t>
      </w:r>
      <w:r>
        <w:rPr>
          <w:sz w:val="21"/>
          <w:szCs w:val="21"/>
        </w:rPr>
        <w:t>Liquidity concentration, as used in ICT's framework, is inferred from chart structure and typical retail trader behavior — it is not directly observable data. Institutions do not publish their order books, and no retail trader can confirm the exact size of resting orders at a given level; this concept should be treated as a probabilistic model of trader behavior, not a verified fact about the order book.</w:t>
      </w:r>
    </w:p>
    <w:p w14:paraId="467FA84E">
      <w:pPr>
        <w:pStyle w:val="3"/>
        <w:spacing w:before="360" w:after="160"/>
      </w:pPr>
      <w:r>
        <w:rPr>
          <w:b/>
          <w:bCs/>
          <w:color w:val="1B2A4A"/>
          <w:sz w:val="26"/>
          <w:szCs w:val="26"/>
        </w:rPr>
        <w:t>11. Source</w:t>
      </w:r>
    </w:p>
    <w:p w14:paraId="379C72BB"/>
    <w:p w14:paraId="515ECD47">
      <w:pPr>
        <w:pStyle w:val="16"/>
        <w:numPr>
          <w:ilvl w:val="0"/>
          <w:numId w:val="2"/>
        </w:numPr>
        <w:spacing w:after="80" w:line="276" w:lineRule="auto"/>
      </w:pPr>
      <w:r>
        <w:rPr>
          <w:sz w:val="22"/>
          <w:szCs w:val="22"/>
        </w:rPr>
        <w:t>innercircletrader.net — "Liquidity in Forex — Buy-Side vs Sell-Side Liquidity (ICT)."</w:t>
      </w:r>
    </w:p>
    <w:p w14:paraId="0F28CAFB">
      <w:pPr>
        <w:pStyle w:val="16"/>
        <w:numPr>
          <w:ilvl w:val="0"/>
          <w:numId w:val="2"/>
        </w:numPr>
        <w:spacing w:after="80" w:line="276" w:lineRule="auto"/>
      </w:pPr>
      <w:r>
        <w:rPr>
          <w:sz w:val="22"/>
          <w:szCs w:val="22"/>
        </w:rPr>
        <w:t>ictkillzone.com — "ICT Liquidity: Buy Side, Sell Side and Sweeps Explained."</w:t>
      </w:r>
    </w:p>
    <w:p w14:paraId="443DADD0">
      <w:pPr>
        <w:pStyle w:val="16"/>
        <w:numPr>
          <w:ilvl w:val="0"/>
          <w:numId w:val="2"/>
        </w:numPr>
        <w:spacing w:after="80" w:line="276" w:lineRule="auto"/>
      </w:pPr>
      <w:r>
        <w:rPr>
          <w:sz w:val="22"/>
          <w:szCs w:val="22"/>
        </w:rPr>
        <w:t>arongroups.co — "What Is Liquidity in ICT? Buy-Side, Sell-Side &amp; Liquidity Sweeps."</w:t>
      </w:r>
    </w:p>
    <w:p w14:paraId="41C45DFE">
      <w:pPr>
        <w:pStyle w:val="16"/>
        <w:numPr>
          <w:ilvl w:val="0"/>
          <w:numId w:val="2"/>
        </w:numPr>
        <w:spacing w:after="80" w:line="276" w:lineRule="auto"/>
      </w:pPr>
      <w:r>
        <w:rPr>
          <w:sz w:val="22"/>
          <w:szCs w:val="22"/>
        </w:rPr>
        <w:t>audacity.capital — "ICT Trading Strategy Explained: A Beginner's Guide to Smart Money Concepts."</w:t>
      </w:r>
    </w:p>
    <w:p w14:paraId="44D66B31">
      <w:r>
        <w:br w:type="page"/>
      </w:r>
    </w:p>
    <w:p w14:paraId="4B5AC1E6">
      <w:pPr>
        <w:pStyle w:val="2"/>
        <w:pBdr>
          <w:bottom w:val="single" w:color="1B2A4A" w:sz="12" w:space="4"/>
        </w:pBdr>
        <w:spacing w:before="480" w:after="240"/>
      </w:pPr>
      <w:r>
        <w:rPr>
          <w:b/>
          <w:bCs/>
          <w:color w:val="1B2A4A"/>
          <w:sz w:val="34"/>
          <w:szCs w:val="34"/>
        </w:rPr>
        <w:t>Liquidity Pools</w:t>
      </w:r>
    </w:p>
    <w:p w14:paraId="3A408924">
      <w:pPr>
        <w:pStyle w:val="3"/>
        <w:spacing w:before="360" w:after="160"/>
      </w:pPr>
      <w:r>
        <w:rPr>
          <w:b/>
          <w:bCs/>
          <w:color w:val="1B2A4A"/>
          <w:sz w:val="26"/>
          <w:szCs w:val="26"/>
        </w:rPr>
        <w:t>1. Definition</w:t>
      </w:r>
    </w:p>
    <w:p w14:paraId="5C6BA92C">
      <w:pPr>
        <w:spacing w:after="160" w:line="288" w:lineRule="auto"/>
      </w:pPr>
      <w:r>
        <w:rPr>
          <w:b w:val="0"/>
          <w:bCs w:val="0"/>
          <w:i w:val="0"/>
          <w:iCs w:val="0"/>
          <w:sz w:val="22"/>
          <w:szCs w:val="22"/>
        </w:rPr>
        <w:t>A liquidity pool is a specific, identifiable price zone — typically just above a swing high/old high or just below a swing low/old low — where resting stop-loss and breakout orders are concentrated densely enough to be treated as a likely target for price.</w:t>
      </w:r>
    </w:p>
    <w:p w14:paraId="0592AA33">
      <w:pPr>
        <w:pStyle w:val="3"/>
        <w:spacing w:before="360" w:after="160"/>
      </w:pPr>
      <w:r>
        <w:rPr>
          <w:b/>
          <w:bCs/>
          <w:color w:val="1B2A4A"/>
          <w:sz w:val="26"/>
          <w:szCs w:val="26"/>
        </w:rPr>
        <w:t>2. ICT's Meaning</w:t>
      </w:r>
    </w:p>
    <w:p w14:paraId="21C7CED3">
      <w:pPr>
        <w:spacing w:after="160" w:line="288" w:lineRule="auto"/>
      </w:pPr>
      <w:r>
        <w:rPr>
          <w:b w:val="0"/>
          <w:bCs w:val="0"/>
          <w:i w:val="0"/>
          <w:iCs w:val="0"/>
          <w:sz w:val="22"/>
          <w:szCs w:val="22"/>
        </w:rPr>
        <w:t>ICT-focused teaching treats liquidity pools as the concrete, chart-markable version of the general liquidity concept. Rather than discussing liquidity in the abstract, a trader is expected to physically mark specific pools on a chart — a process most commonly applied to swing highs/lows, equal highs/lows, prior day/week/month highs and lows, and the edges of a trading range.</w:t>
      </w:r>
    </w:p>
    <w:p w14:paraId="735EEA32">
      <w:pPr>
        <w:spacing w:after="160" w:line="288" w:lineRule="auto"/>
      </w:pPr>
      <w:r>
        <w:rPr>
          <w:b w:val="0"/>
          <w:bCs w:val="0"/>
          <w:i w:val="0"/>
          <w:iCs w:val="0"/>
          <w:sz w:val="22"/>
          <w:szCs w:val="22"/>
        </w:rPr>
        <w:t>Some ICT-focused sources distinguish internal liquidity (pools resting inside a current trading range, sometimes described as a nearer-term, intermediate objective) from external liquidity (pools resting at the outer boundaries of a range or beyond recent significant highs/lows, described as a higher-order or larger target). This internal/external distinction is a documented feature of secondary ICT-focused teaching material.</w:t>
      </w:r>
    </w:p>
    <w:p w14:paraId="417728FA">
      <w:pPr>
        <w:spacing w:after="160" w:line="288" w:lineRule="auto"/>
      </w:pPr>
      <w:r>
        <w:rPr>
          <w:b w:val="0"/>
          <w:bCs w:val="0"/>
          <w:i w:val="0"/>
          <w:iCs w:val="0"/>
          <w:sz w:val="22"/>
          <w:szCs w:val="22"/>
        </w:rPr>
        <w:t>Ranging markets are specifically highlighted across sources as environments where liquidity pools build up on both sides simultaneously — the longer a range persists, the larger the presumed pools above and below it become, since more traders enter positions and set corresponding stops within the same well-defined boundaries.</w:t>
      </w:r>
    </w:p>
    <w:p w14:paraId="3E847D08">
      <w:pPr>
        <w:pStyle w:val="3"/>
        <w:spacing w:before="360" w:after="160"/>
      </w:pPr>
      <w:r>
        <w:rPr>
          <w:b/>
          <w:bCs/>
          <w:color w:val="1B2A4A"/>
          <w:sz w:val="26"/>
          <w:szCs w:val="26"/>
        </w:rPr>
        <w:t>3. Beginner Explanation</w:t>
      </w:r>
    </w:p>
    <w:p w14:paraId="6540CF85">
      <w:pPr>
        <w:spacing w:after="160" w:line="288" w:lineRule="auto"/>
      </w:pPr>
      <w:r>
        <w:rPr>
          <w:b w:val="0"/>
          <w:bCs w:val="0"/>
          <w:i w:val="0"/>
          <w:iCs w:val="0"/>
          <w:sz w:val="22"/>
          <w:szCs w:val="22"/>
        </w:rPr>
        <w:t>If liquidity is the general idea of "clustered resting orders," a liquidity pool is one specific, named puddle of that clustering — a particular price zone you can point to on a chart and say, "the resting orders are concentrated right here."</w:t>
      </w:r>
    </w:p>
    <w:p w14:paraId="231DC1C5">
      <w:pPr>
        <w:pStyle w:val="3"/>
        <w:spacing w:before="360" w:after="160"/>
      </w:pPr>
      <w:r>
        <w:rPr>
          <w:b/>
          <w:bCs/>
          <w:color w:val="1B2A4A"/>
          <w:sz w:val="26"/>
          <w:szCs w:val="26"/>
        </w:rPr>
        <w:t>4. How to Identify It</w:t>
      </w:r>
    </w:p>
    <w:p w14:paraId="2997AEB3">
      <w:pPr>
        <w:pStyle w:val="16"/>
        <w:numPr>
          <w:ilvl w:val="0"/>
          <w:numId w:val="1"/>
        </w:numPr>
        <w:spacing w:after="80" w:line="276" w:lineRule="auto"/>
      </w:pPr>
      <w:r>
        <w:rPr>
          <w:sz w:val="22"/>
          <w:szCs w:val="22"/>
        </w:rPr>
        <w:t>Mark all significant swing highs and swing lows on the relevant timeframe.</w:t>
      </w:r>
    </w:p>
    <w:p w14:paraId="66946A2A">
      <w:pPr>
        <w:pStyle w:val="16"/>
        <w:numPr>
          <w:ilvl w:val="0"/>
          <w:numId w:val="1"/>
        </w:numPr>
        <w:spacing w:after="80" w:line="276" w:lineRule="auto"/>
      </w:pPr>
      <w:r>
        <w:rPr>
          <w:sz w:val="22"/>
          <w:szCs w:val="22"/>
        </w:rPr>
        <w:t>Mark prior day, week, and month highs/lows, and the edges of any recent trading range.</w:t>
      </w:r>
    </w:p>
    <w:p w14:paraId="4F133D9B">
      <w:pPr>
        <w:pStyle w:val="16"/>
        <w:numPr>
          <w:ilvl w:val="0"/>
          <w:numId w:val="1"/>
        </w:numPr>
        <w:spacing w:after="80" w:line="276" w:lineRule="auto"/>
      </w:pPr>
      <w:r>
        <w:rPr>
          <w:sz w:val="22"/>
          <w:szCs w:val="22"/>
        </w:rPr>
        <w:t>Group nearby marked levels into named pools where multiple marks cluster closely together (a stronger, denser pool) versus a single isolated mark (a weaker, thinner pool).</w:t>
      </w:r>
    </w:p>
    <w:p w14:paraId="705FCC20">
      <w:pPr>
        <w:pStyle w:val="16"/>
        <w:numPr>
          <w:ilvl w:val="0"/>
          <w:numId w:val="1"/>
        </w:numPr>
        <w:spacing w:after="80" w:line="276" w:lineRule="auto"/>
      </w:pPr>
      <w:r>
        <w:rPr>
          <w:sz w:val="22"/>
          <w:szCs w:val="22"/>
        </w:rPr>
        <w:t>Label each pool as buy-side (above price, targeted by upward moves) or sell-side (below price, targeted by downward moves).</w:t>
      </w:r>
    </w:p>
    <w:p w14:paraId="736D4335">
      <w:pPr>
        <w:pStyle w:val="3"/>
        <w:spacing w:before="360" w:after="160"/>
      </w:pPr>
      <w:r>
        <w:rPr>
          <w:b/>
          <w:bCs/>
          <w:color w:val="1B2A4A"/>
          <w:sz w:val="26"/>
          <w:szCs w:val="26"/>
        </w:rPr>
        <w:t>5. Simple Price Example</w:t>
      </w:r>
    </w:p>
    <w:p w14:paraId="1FB9BF9B">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Range-bound price: 100 → 110 → 101 → 109 → 102 → 108 (repeated tests of ~100–101 and ~108–110)</w:t>
      </w:r>
    </w:p>
    <w:p w14:paraId="12F07066">
      <w:pPr>
        <w:spacing w:after="160" w:line="288" w:lineRule="auto"/>
      </w:pPr>
      <w:r>
        <w:rPr>
          <w:b w:val="0"/>
          <w:bCs w:val="0"/>
          <w:i w:val="0"/>
          <w:iCs w:val="0"/>
          <w:sz w:val="22"/>
          <w:szCs w:val="22"/>
        </w:rPr>
        <w:t>Repeated failed attempts to break below ~100–101 and above ~108–110 build up two liquidity pools: a sell-side pool just below 100 and a buy-side pool just above 110. Under ICT's framework, the longer this range persists, the larger both pools are presumed to grow, since more traders keep entering and protecting positions at the same well-defined edges.</w:t>
      </w:r>
    </w:p>
    <w:p w14:paraId="3D08DE8E">
      <w:pPr>
        <w:pStyle w:val="3"/>
        <w:spacing w:before="360" w:after="160"/>
      </w:pPr>
      <w:r>
        <w:rPr>
          <w:b/>
          <w:bCs/>
          <w:color w:val="1B2A4A"/>
          <w:sz w:val="26"/>
          <w:szCs w:val="26"/>
        </w:rPr>
        <w:t>6. What It Tells the Trader</w:t>
      </w:r>
    </w:p>
    <w:p w14:paraId="04AD9B06">
      <w:pPr>
        <w:spacing w:after="160" w:line="288" w:lineRule="auto"/>
      </w:pPr>
      <w:r>
        <w:rPr>
          <w:b w:val="0"/>
          <w:bCs w:val="0"/>
          <w:i w:val="0"/>
          <w:iCs w:val="0"/>
          <w:sz w:val="22"/>
          <w:szCs w:val="22"/>
        </w:rPr>
        <w:t>Liquidity pools tell the trader which specific price zones are the most probable near-term destinations for price, giving a working map of "draws" (attractive targets) above and below the current price.</w:t>
      </w:r>
    </w:p>
    <w:p w14:paraId="2C9C025C">
      <w:pPr>
        <w:spacing w:after="160" w:line="288" w:lineRule="auto"/>
      </w:pPr>
      <w:r>
        <w:rPr>
          <w:b w:val="0"/>
          <w:bCs w:val="0"/>
          <w:i w:val="0"/>
          <w:iCs w:val="0"/>
          <w:sz w:val="22"/>
          <w:szCs w:val="22"/>
        </w:rPr>
        <w:t>They do not tell the trader that price will necessarily reach every marked pool, or in what order multiple pools will be reached if there are several candidates in the same direction.</w:t>
      </w:r>
    </w:p>
    <w:p w14:paraId="0715F0DF">
      <w:pPr>
        <w:pStyle w:val="3"/>
        <w:spacing w:before="360" w:after="160"/>
      </w:pPr>
      <w:r>
        <w:rPr>
          <w:b/>
          <w:bCs/>
          <w:color w:val="1B2A4A"/>
          <w:sz w:val="26"/>
          <w:szCs w:val="26"/>
        </w:rPr>
        <w:t>7. What It Is Commonly Paired With</w:t>
      </w:r>
    </w:p>
    <w:p w14:paraId="61816261">
      <w:pPr>
        <w:pStyle w:val="16"/>
        <w:numPr>
          <w:ilvl w:val="0"/>
          <w:numId w:val="2"/>
        </w:numPr>
        <w:spacing w:after="80" w:line="276" w:lineRule="auto"/>
      </w:pPr>
      <w:r>
        <w:rPr>
          <w:sz w:val="22"/>
          <w:szCs w:val="22"/>
        </w:rPr>
        <w:t>Buy-Side / Sell-Side Liquidity</w:t>
      </w:r>
    </w:p>
    <w:p w14:paraId="6269238C">
      <w:pPr>
        <w:pStyle w:val="16"/>
        <w:numPr>
          <w:ilvl w:val="0"/>
          <w:numId w:val="2"/>
        </w:numPr>
        <w:spacing w:after="80" w:line="276" w:lineRule="auto"/>
      </w:pPr>
      <w:r>
        <w:rPr>
          <w:sz w:val="22"/>
          <w:szCs w:val="22"/>
        </w:rPr>
        <w:t>Equal Highs / Equal Lows</w:t>
      </w:r>
    </w:p>
    <w:p w14:paraId="17FFBB32">
      <w:pPr>
        <w:pStyle w:val="16"/>
        <w:numPr>
          <w:ilvl w:val="0"/>
          <w:numId w:val="2"/>
        </w:numPr>
        <w:spacing w:after="80" w:line="276" w:lineRule="auto"/>
      </w:pPr>
      <w:r>
        <w:rPr>
          <w:sz w:val="22"/>
          <w:szCs w:val="22"/>
        </w:rPr>
        <w:t>Liquidity Sweep</w:t>
      </w:r>
    </w:p>
    <w:p w14:paraId="59007D01">
      <w:pPr>
        <w:spacing w:after="160" w:line="288" w:lineRule="auto"/>
      </w:pPr>
      <w:r>
        <w:rPr>
          <w:b w:val="0"/>
          <w:bCs w:val="0"/>
          <w:i w:val="0"/>
          <w:iCs w:val="0"/>
          <w:sz w:val="22"/>
          <w:szCs w:val="22"/>
        </w:rPr>
        <w:t>Liquidity pools are the specific objects that get labeled buy-side or sell-side, are frequently formed by equal highs/lows, and are the specific zones a liquidity sweep is defined against.</w:t>
      </w:r>
    </w:p>
    <w:p w14:paraId="52D9A5C3">
      <w:pPr>
        <w:pStyle w:val="3"/>
        <w:spacing w:before="360" w:after="160"/>
      </w:pPr>
      <w:r>
        <w:rPr>
          <w:b/>
          <w:bCs/>
          <w:color w:val="1B2A4A"/>
          <w:sz w:val="26"/>
          <w:szCs w:val="26"/>
        </w:rPr>
        <w:t>8. Where It Fits in the ICT Framework</w:t>
      </w:r>
    </w:p>
    <w:p w14:paraId="6227F7E8">
      <w:pPr>
        <w:spacing w:after="160" w:line="288" w:lineRule="auto"/>
      </w:pPr>
      <w:r>
        <w:rPr>
          <w:b w:val="0"/>
          <w:bCs w:val="0"/>
          <w:i w:val="0"/>
          <w:iCs w:val="0"/>
          <w:sz w:val="22"/>
          <w:szCs w:val="22"/>
        </w:rPr>
        <w:t>Comes before: Requires Liquidity.</w:t>
      </w:r>
    </w:p>
    <w:p w14:paraId="574EDBE3">
      <w:pPr>
        <w:spacing w:after="160" w:line="288" w:lineRule="auto"/>
      </w:pPr>
      <w:r>
        <w:rPr>
          <w:b w:val="0"/>
          <w:bCs w:val="0"/>
          <w:i w:val="0"/>
          <w:iCs w:val="0"/>
          <w:sz w:val="22"/>
          <w:szCs w:val="22"/>
        </w:rPr>
        <w:t>Comes after: Feeds directly into Buy-Side Liquidity, Sell-Side Liquidity, and Liquidity Sweep.</w:t>
      </w:r>
    </w:p>
    <w:p w14:paraId="75972DB4">
      <w:pPr>
        <w:pStyle w:val="3"/>
        <w:spacing w:before="360" w:after="160"/>
      </w:pPr>
      <w:r>
        <w:rPr>
          <w:b/>
          <w:bCs/>
          <w:color w:val="1B2A4A"/>
          <w:sz w:val="26"/>
          <w:szCs w:val="26"/>
        </w:rPr>
        <w:t>9. Beginner Mistakes</w:t>
      </w:r>
    </w:p>
    <w:p w14:paraId="3861CB68">
      <w:pPr>
        <w:pStyle w:val="16"/>
        <w:numPr>
          <w:ilvl w:val="0"/>
          <w:numId w:val="2"/>
        </w:numPr>
        <w:spacing w:after="80" w:line="276" w:lineRule="auto"/>
      </w:pPr>
      <w:r>
        <w:rPr>
          <w:sz w:val="22"/>
          <w:szCs w:val="22"/>
        </w:rPr>
        <w:t>Marking so many pools that the chart becomes cluttered and no single pool stands out as significant.</w:t>
      </w:r>
    </w:p>
    <w:p w14:paraId="03F542D4">
      <w:pPr>
        <w:pStyle w:val="16"/>
        <w:numPr>
          <w:ilvl w:val="0"/>
          <w:numId w:val="2"/>
        </w:numPr>
        <w:spacing w:after="80" w:line="276" w:lineRule="auto"/>
      </w:pPr>
      <w:r>
        <w:rPr>
          <w:sz w:val="22"/>
          <w:szCs w:val="22"/>
        </w:rPr>
        <w:t>Ignoring the internal/external distinction and treating every pool as an equally likely target regardless of how far away or how significant it is.</w:t>
      </w:r>
    </w:p>
    <w:p w14:paraId="2E3E5613">
      <w:pPr>
        <w:pStyle w:val="3"/>
        <w:spacing w:before="360" w:after="160"/>
      </w:pPr>
      <w:r>
        <w:rPr>
          <w:b/>
          <w:bCs/>
          <w:color w:val="1B2A4A"/>
          <w:sz w:val="26"/>
          <w:szCs w:val="26"/>
        </w:rPr>
        <w:t>10. Important Qualification</w:t>
      </w:r>
    </w:p>
    <w:p w14:paraId="78D36C0F">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 marked liquidity pool describes a probable target, not a certain one. Multiple pools may exist in the same direction, and price may reach a nearer, smaller pool without ever reaching a further, larger one, or vice versa.</w:t>
      </w:r>
    </w:p>
    <w:p w14:paraId="144F9454">
      <w:pPr>
        <w:pStyle w:val="3"/>
        <w:spacing w:before="360" w:after="160"/>
      </w:pPr>
      <w:r>
        <w:rPr>
          <w:b/>
          <w:bCs/>
          <w:color w:val="1B2A4A"/>
          <w:sz w:val="26"/>
          <w:szCs w:val="26"/>
        </w:rPr>
        <w:t>11. Source</w:t>
      </w:r>
    </w:p>
    <w:p w14:paraId="7DE2CB1D"/>
    <w:p w14:paraId="09EAD93A">
      <w:pPr>
        <w:pStyle w:val="16"/>
        <w:numPr>
          <w:ilvl w:val="0"/>
          <w:numId w:val="2"/>
        </w:numPr>
        <w:spacing w:after="80" w:line="276" w:lineRule="auto"/>
      </w:pPr>
      <w:r>
        <w:rPr>
          <w:sz w:val="22"/>
          <w:szCs w:val="22"/>
        </w:rPr>
        <w:t>writofinance.com — "ICT Liquidity Pools – SMC and ICT Trading Concept."</w:t>
      </w:r>
    </w:p>
    <w:p w14:paraId="2A7F15D0">
      <w:pPr>
        <w:pStyle w:val="16"/>
        <w:numPr>
          <w:ilvl w:val="0"/>
          <w:numId w:val="2"/>
        </w:numPr>
        <w:spacing w:after="80" w:line="276" w:lineRule="auto"/>
      </w:pPr>
      <w:r>
        <w:rPr>
          <w:sz w:val="22"/>
          <w:szCs w:val="22"/>
        </w:rPr>
        <w:t>innercircletrader.net — "ICT Liquidity Pool — Buy-Side &amp; Sell-Side Liquidity Trading."</w:t>
      </w:r>
    </w:p>
    <w:p w14:paraId="7AF781C9">
      <w:pPr>
        <w:pStyle w:val="16"/>
        <w:numPr>
          <w:ilvl w:val="0"/>
          <w:numId w:val="2"/>
        </w:numPr>
        <w:spacing w:after="80" w:line="276" w:lineRule="auto"/>
      </w:pPr>
      <w:r>
        <w:rPr>
          <w:sz w:val="22"/>
          <w:szCs w:val="22"/>
        </w:rPr>
        <w:t>TradingView (CandelaCharts) — "Trading Framework: ICT Smart Money Concepts" (internal/external liquidity distinction).</w:t>
      </w:r>
    </w:p>
    <w:p w14:paraId="4A9E4B28">
      <w:pPr>
        <w:pBdr>
          <w:left w:val="single" w:color="9A7B2E" w:sz="24" w:space="8"/>
        </w:pBdr>
        <w:shd w:val="clear" w:fill="EFEFEF"/>
        <w:spacing w:before="160" w:after="200"/>
        <w:ind w:left="200"/>
      </w:pPr>
      <w:r>
        <w:rPr>
          <w:b/>
          <w:bCs/>
          <w:color w:val="9A7B2E"/>
          <w:sz w:val="21"/>
          <w:szCs w:val="21"/>
        </w:rPr>
        <w:t xml:space="preserve">Community interpretation: </w:t>
      </w:r>
      <w:r>
        <w:rPr>
          <w:sz w:val="21"/>
          <w:szCs w:val="21"/>
        </w:rPr>
        <w:t>The internal/external liquidity distinction is documented consistently in secondary ICT-focused material; this book treats it as reasonably well-corroborated community-level elaboration rather than a directly confirmed ICT primary-source term.</w:t>
      </w:r>
    </w:p>
    <w:p w14:paraId="387B8587">
      <w:r>
        <w:br w:type="page"/>
      </w:r>
    </w:p>
    <w:p w14:paraId="7E4BF3CB">
      <w:pPr>
        <w:pStyle w:val="2"/>
        <w:pBdr>
          <w:bottom w:val="single" w:color="1B2A4A" w:sz="12" w:space="4"/>
        </w:pBdr>
        <w:spacing w:before="480" w:after="240"/>
      </w:pPr>
      <w:r>
        <w:rPr>
          <w:b/>
          <w:bCs/>
          <w:color w:val="1B2A4A"/>
          <w:sz w:val="34"/>
          <w:szCs w:val="34"/>
        </w:rPr>
        <w:t>Buy-Side Liquidity (BSL)</w:t>
      </w:r>
    </w:p>
    <w:p w14:paraId="25E1B63E">
      <w:pPr>
        <w:pStyle w:val="3"/>
        <w:spacing w:before="360" w:after="160"/>
      </w:pPr>
      <w:r>
        <w:rPr>
          <w:b/>
          <w:bCs/>
          <w:color w:val="1B2A4A"/>
          <w:sz w:val="26"/>
          <w:szCs w:val="26"/>
        </w:rPr>
        <w:t>1. Definition</w:t>
      </w:r>
    </w:p>
    <w:p w14:paraId="3FA4F90B">
      <w:pPr>
        <w:spacing w:after="160" w:line="288" w:lineRule="auto"/>
      </w:pPr>
      <w:r>
        <w:rPr>
          <w:b w:val="0"/>
          <w:bCs w:val="0"/>
          <w:i w:val="0"/>
          <w:iCs w:val="0"/>
          <w:sz w:val="22"/>
          <w:szCs w:val="22"/>
        </w:rPr>
        <w:t>Buy-side liquidity is the concentration of resting buy-stop orders (belonging to short sellers protecting their positions) and pending breakout-buy orders that accumulates just above a swing high, equal highs, or another significant resistance-type level.</w:t>
      </w:r>
    </w:p>
    <w:p w14:paraId="467914F0">
      <w:pPr>
        <w:pStyle w:val="3"/>
        <w:spacing w:before="360" w:after="160"/>
      </w:pPr>
      <w:r>
        <w:rPr>
          <w:b/>
          <w:bCs/>
          <w:color w:val="1B2A4A"/>
          <w:sz w:val="26"/>
          <w:szCs w:val="26"/>
        </w:rPr>
        <w:t>2. ICT's Meaning</w:t>
      </w:r>
    </w:p>
    <w:p w14:paraId="5C3B5B58">
      <w:pPr>
        <w:spacing w:after="160" w:line="288" w:lineRule="auto"/>
      </w:pPr>
      <w:r>
        <w:rPr>
          <w:b w:val="0"/>
          <w:bCs w:val="0"/>
          <w:i w:val="0"/>
          <w:iCs w:val="0"/>
          <w:sz w:val="22"/>
          <w:szCs w:val="22"/>
        </w:rPr>
        <w:t>ICT-focused teaching describes buy-side liquidity as forming specifically because traders holding short (sell) positions place protective stop-loss orders above the level they consider resistance, and because breakout traders place pending buy orders to enter if price clears that same level. Both of these order types execute as buying pressure if triggered, which is why they are grouped together as "buy-side."</w:t>
      </w:r>
    </w:p>
    <w:p w14:paraId="6F59CE0B">
      <w:pPr>
        <w:spacing w:after="160" w:line="288" w:lineRule="auto"/>
      </w:pPr>
      <w:r>
        <w:rPr>
          <w:b w:val="0"/>
          <w:bCs w:val="0"/>
          <w:i w:val="0"/>
          <w:iCs w:val="0"/>
          <w:sz w:val="22"/>
          <w:szCs w:val="22"/>
        </w:rPr>
        <w:t>Institutions are described in ICT-focused material as sometimes needing to buy in size, and as being able to do so more efficiently by pushing price up into a buy-side liquidity pool, where the triggered stop and breakout orders provide the counter-side selling flow needed to fill a large buy order without moving price as unfavorably as a large order might otherwise require.</w:t>
      </w:r>
    </w:p>
    <w:p w14:paraId="40EB7BF2">
      <w:pPr>
        <w:pStyle w:val="3"/>
        <w:spacing w:before="360" w:after="160"/>
      </w:pPr>
      <w:r>
        <w:rPr>
          <w:b/>
          <w:bCs/>
          <w:color w:val="1B2A4A"/>
          <w:sz w:val="26"/>
          <w:szCs w:val="26"/>
        </w:rPr>
        <w:t>3. Beginner Explanation</w:t>
      </w:r>
    </w:p>
    <w:p w14:paraId="64200F02">
      <w:pPr>
        <w:spacing w:after="160" w:line="288" w:lineRule="auto"/>
      </w:pPr>
      <w:r>
        <w:rPr>
          <w:b w:val="0"/>
          <w:bCs w:val="0"/>
          <w:i w:val="0"/>
          <w:iCs w:val="0"/>
          <w:sz w:val="22"/>
          <w:szCs w:val="22"/>
        </w:rPr>
        <w:t>Buy-side liquidity is simply the name for the cluster of automatic buy orders sitting just above an old high. Some of those orders come from short-sellers protecting themselves; others come from traders hoping to buy if the price breaks out upward. Whatever their origin, ICT's framework treats them all as available buying pressure resting just above that old high.</w:t>
      </w:r>
    </w:p>
    <w:p w14:paraId="6CDCA25B">
      <w:pPr>
        <w:pStyle w:val="3"/>
        <w:spacing w:before="360" w:after="160"/>
      </w:pPr>
      <w:r>
        <w:rPr>
          <w:b/>
          <w:bCs/>
          <w:color w:val="1B2A4A"/>
          <w:sz w:val="26"/>
          <w:szCs w:val="26"/>
        </w:rPr>
        <w:t>4. How to Identify It</w:t>
      </w:r>
    </w:p>
    <w:p w14:paraId="58D09DAA">
      <w:pPr>
        <w:pStyle w:val="16"/>
        <w:numPr>
          <w:ilvl w:val="0"/>
          <w:numId w:val="1"/>
        </w:numPr>
        <w:spacing w:after="80" w:line="276" w:lineRule="auto"/>
      </w:pPr>
      <w:r>
        <w:rPr>
          <w:sz w:val="22"/>
          <w:szCs w:val="22"/>
        </w:rPr>
        <w:t>Locate a swing high, prior day/week/month high, or session high (see also Equal Highs).</w:t>
      </w:r>
    </w:p>
    <w:p w14:paraId="2CFF84E3">
      <w:pPr>
        <w:pStyle w:val="16"/>
        <w:numPr>
          <w:ilvl w:val="0"/>
          <w:numId w:val="1"/>
        </w:numPr>
        <w:spacing w:after="80" w:line="276" w:lineRule="auto"/>
      </w:pPr>
      <w:r>
        <w:rPr>
          <w:sz w:val="22"/>
          <w:szCs w:val="22"/>
        </w:rPr>
        <w:t>Recognize the zone immediately above that level as a candidate buy-side liquidity pool.</w:t>
      </w:r>
    </w:p>
    <w:p w14:paraId="3305E06A">
      <w:pPr>
        <w:pStyle w:val="16"/>
        <w:numPr>
          <w:ilvl w:val="0"/>
          <w:numId w:val="1"/>
        </w:numPr>
        <w:spacing w:after="80" w:line="276" w:lineRule="auto"/>
      </w:pPr>
      <w:r>
        <w:rPr>
          <w:sz w:val="22"/>
          <w:szCs w:val="22"/>
        </w:rPr>
        <w:t>Note how many separate highs cluster near the same price — more clustering suggests a denser, more significant pool.</w:t>
      </w:r>
    </w:p>
    <w:p w14:paraId="1F114CD2">
      <w:pPr>
        <w:pStyle w:val="16"/>
        <w:numPr>
          <w:ilvl w:val="0"/>
          <w:numId w:val="1"/>
        </w:numPr>
        <w:spacing w:after="80" w:line="276" w:lineRule="auto"/>
      </w:pPr>
      <w:r>
        <w:rPr>
          <w:sz w:val="22"/>
          <w:szCs w:val="22"/>
        </w:rPr>
        <w:t>Label this pool as a potential upside target ("draw on liquidity") for price, especially if the higher-timeframe bias is bullish or if a bearish reversal setup requires sweeping this level first (see Module 12).</w:t>
      </w:r>
    </w:p>
    <w:p w14:paraId="74261F94">
      <w:pPr>
        <w:pStyle w:val="3"/>
        <w:spacing w:before="360" w:after="160"/>
      </w:pPr>
      <w:r>
        <w:rPr>
          <w:b/>
          <w:bCs/>
          <w:color w:val="1B2A4A"/>
          <w:sz w:val="26"/>
          <w:szCs w:val="26"/>
        </w:rPr>
        <w:t>5. Simple Price Example</w:t>
      </w:r>
    </w:p>
    <w:p w14:paraId="1873755B">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Swing highs at 130 and 131 (close together), current price at 125</w:t>
      </w:r>
    </w:p>
    <w:p w14:paraId="088F6DC7">
      <w:pPr>
        <w:spacing w:after="160" w:line="288" w:lineRule="auto"/>
      </w:pPr>
      <w:r>
        <w:rPr>
          <w:b w:val="0"/>
          <w:bCs w:val="0"/>
          <w:i w:val="0"/>
          <w:iCs w:val="0"/>
          <w:sz w:val="22"/>
          <w:szCs w:val="22"/>
        </w:rPr>
        <w:t>The two closely spaced highs at 130 and 131 suggest a cluster of buy-stop and breakout-buy orders resting just above 131. Under ICT's framework, this zone (roughly 131–132) is marked as a buy-side liquidity pool — a plausible target if price moves upward from 125.</w:t>
      </w:r>
    </w:p>
    <w:p w14:paraId="41D9EF8F">
      <w:pPr>
        <w:pStyle w:val="3"/>
        <w:spacing w:before="360" w:after="160"/>
      </w:pPr>
      <w:r>
        <w:rPr>
          <w:b/>
          <w:bCs/>
          <w:color w:val="1B2A4A"/>
          <w:sz w:val="26"/>
          <w:szCs w:val="26"/>
        </w:rPr>
        <w:t>6. What It Tells the Trader</w:t>
      </w:r>
    </w:p>
    <w:p w14:paraId="4B9C775B">
      <w:pPr>
        <w:spacing w:after="160" w:line="288" w:lineRule="auto"/>
      </w:pPr>
      <w:r>
        <w:rPr>
          <w:b w:val="0"/>
          <w:bCs w:val="0"/>
          <w:i w:val="0"/>
          <w:iCs w:val="0"/>
          <w:sz w:val="22"/>
          <w:szCs w:val="22"/>
        </w:rPr>
        <w:t>Buy-side liquidity tells the trader where upward price movement is most likely to be "drawn" toward, and provides a specific rationale (available counter-order flow) for why an upward move to that level might occur even without an obvious fundamental reason.</w:t>
      </w:r>
    </w:p>
    <w:p w14:paraId="6DA2EF4F">
      <w:pPr>
        <w:spacing w:after="160" w:line="288" w:lineRule="auto"/>
      </w:pPr>
      <w:r>
        <w:rPr>
          <w:b w:val="0"/>
          <w:bCs w:val="0"/>
          <w:i w:val="0"/>
          <w:iCs w:val="0"/>
          <w:sz w:val="22"/>
          <w:szCs w:val="22"/>
        </w:rPr>
        <w:t>It does not tell the trader that price will necessarily reach or exceed that level, nor does it specify what will happen immediately after the level is reached — that depends on the presence or absence of a genuine reversal signal (see Liquidity Sweep, Displacement, and Market Structure Shift).</w:t>
      </w:r>
    </w:p>
    <w:p w14:paraId="16D77B7F">
      <w:pPr>
        <w:pStyle w:val="3"/>
        <w:spacing w:before="360" w:after="160"/>
      </w:pPr>
      <w:r>
        <w:rPr>
          <w:b/>
          <w:bCs/>
          <w:color w:val="1B2A4A"/>
          <w:sz w:val="26"/>
          <w:szCs w:val="26"/>
        </w:rPr>
        <w:t>7. What It Is Commonly Paired With</w:t>
      </w:r>
    </w:p>
    <w:p w14:paraId="27698092">
      <w:pPr>
        <w:pStyle w:val="16"/>
        <w:numPr>
          <w:ilvl w:val="0"/>
          <w:numId w:val="2"/>
        </w:numPr>
        <w:spacing w:after="80" w:line="276" w:lineRule="auto"/>
      </w:pPr>
      <w:r>
        <w:rPr>
          <w:sz w:val="22"/>
          <w:szCs w:val="22"/>
        </w:rPr>
        <w:t>Sell-Side Liquidity (its mirror)</w:t>
      </w:r>
    </w:p>
    <w:p w14:paraId="09A0E169">
      <w:pPr>
        <w:pStyle w:val="16"/>
        <w:numPr>
          <w:ilvl w:val="0"/>
          <w:numId w:val="2"/>
        </w:numPr>
        <w:spacing w:after="80" w:line="276" w:lineRule="auto"/>
      </w:pPr>
      <w:r>
        <w:rPr>
          <w:sz w:val="22"/>
          <w:szCs w:val="22"/>
        </w:rPr>
        <w:t>Liquidity Sweep</w:t>
      </w:r>
    </w:p>
    <w:p w14:paraId="4E2AD80F">
      <w:pPr>
        <w:pStyle w:val="16"/>
        <w:numPr>
          <w:ilvl w:val="0"/>
          <w:numId w:val="2"/>
        </w:numPr>
        <w:spacing w:after="80" w:line="276" w:lineRule="auto"/>
      </w:pPr>
      <w:r>
        <w:rPr>
          <w:sz w:val="22"/>
          <w:szCs w:val="22"/>
        </w:rPr>
        <w:t>ICT Sell Model (Module 12)</w:t>
      </w:r>
    </w:p>
    <w:p w14:paraId="6AE3B075">
      <w:pPr>
        <w:spacing w:after="160" w:line="288" w:lineRule="auto"/>
      </w:pPr>
      <w:r>
        <w:rPr>
          <w:b w:val="0"/>
          <w:bCs w:val="0"/>
          <w:i w:val="0"/>
          <w:iCs w:val="0"/>
          <w:sz w:val="22"/>
          <w:szCs w:val="22"/>
        </w:rPr>
        <w:t>Buy-side liquidity is frequently the specific target swept immediately before a bearish reversal in ICT's Sell Model — the sweep of buy-side liquidity is treated as evidence that the upward move served to collect available buying-side orders before institutions began selling.</w:t>
      </w:r>
    </w:p>
    <w:p w14:paraId="34DB1A7D">
      <w:pPr>
        <w:pStyle w:val="3"/>
        <w:spacing w:before="360" w:after="160"/>
      </w:pPr>
      <w:r>
        <w:rPr>
          <w:b/>
          <w:bCs/>
          <w:color w:val="1B2A4A"/>
          <w:sz w:val="26"/>
          <w:szCs w:val="26"/>
        </w:rPr>
        <w:t>8. Where It Fits in the ICT Framework</w:t>
      </w:r>
    </w:p>
    <w:p w14:paraId="4932F58D">
      <w:pPr>
        <w:spacing w:after="160" w:line="288" w:lineRule="auto"/>
      </w:pPr>
      <w:r>
        <w:rPr>
          <w:b w:val="0"/>
          <w:bCs w:val="0"/>
          <w:i w:val="0"/>
          <w:iCs w:val="0"/>
          <w:sz w:val="22"/>
          <w:szCs w:val="22"/>
        </w:rPr>
        <w:t>Comes before: Requires Liquidity Pools.</w:t>
      </w:r>
    </w:p>
    <w:p w14:paraId="6F46E6A6">
      <w:pPr>
        <w:spacing w:after="160" w:line="288" w:lineRule="auto"/>
      </w:pPr>
      <w:r>
        <w:rPr>
          <w:b w:val="0"/>
          <w:bCs w:val="0"/>
          <w:i w:val="0"/>
          <w:iCs w:val="0"/>
          <w:sz w:val="22"/>
          <w:szCs w:val="22"/>
        </w:rPr>
        <w:t>Comes after: Feeds into Liquidity Sweep and the ICT Sell Model (Module 12).</w:t>
      </w:r>
    </w:p>
    <w:p w14:paraId="4F933B4E">
      <w:pPr>
        <w:pStyle w:val="3"/>
        <w:spacing w:before="360" w:after="160"/>
      </w:pPr>
      <w:r>
        <w:rPr>
          <w:b/>
          <w:bCs/>
          <w:color w:val="1B2A4A"/>
          <w:sz w:val="26"/>
          <w:szCs w:val="26"/>
        </w:rPr>
        <w:t>9. Beginner Mistakes</w:t>
      </w:r>
    </w:p>
    <w:p w14:paraId="1B509DE0">
      <w:pPr>
        <w:pStyle w:val="16"/>
        <w:numPr>
          <w:ilvl w:val="0"/>
          <w:numId w:val="2"/>
        </w:numPr>
        <w:spacing w:after="80" w:line="276" w:lineRule="auto"/>
      </w:pPr>
      <w:r>
        <w:rPr>
          <w:sz w:val="22"/>
          <w:szCs w:val="22"/>
        </w:rPr>
        <w:t>Assuming every approach to a buy-side liquidity level will result in a sweep and reversal, rather than a genuine breakout continuation.</w:t>
      </w:r>
    </w:p>
    <w:p w14:paraId="3311ABAC">
      <w:pPr>
        <w:pStyle w:val="16"/>
        <w:numPr>
          <w:ilvl w:val="0"/>
          <w:numId w:val="2"/>
        </w:numPr>
        <w:spacing w:after="80" w:line="276" w:lineRule="auto"/>
      </w:pPr>
      <w:r>
        <w:rPr>
          <w:sz w:val="22"/>
          <w:szCs w:val="22"/>
        </w:rPr>
        <w:t>Failing to distinguish a nearer, smaller buy-side pool from a further, more significant one when multiple candidates exist above current price.</w:t>
      </w:r>
    </w:p>
    <w:p w14:paraId="06611299">
      <w:pPr>
        <w:pStyle w:val="3"/>
        <w:spacing w:before="360" w:after="160"/>
      </w:pPr>
      <w:r>
        <w:rPr>
          <w:b/>
          <w:bCs/>
          <w:color w:val="1B2A4A"/>
          <w:sz w:val="26"/>
          <w:szCs w:val="26"/>
        </w:rPr>
        <w:t>10. Important Qualification</w:t>
      </w:r>
    </w:p>
    <w:p w14:paraId="6C7F7FB7">
      <w:pPr>
        <w:pBdr>
          <w:left w:val="single" w:color="7A2E2E" w:sz="24" w:space="8"/>
        </w:pBdr>
        <w:shd w:val="clear" w:fill="EFEFEF"/>
        <w:spacing w:before="160" w:after="200"/>
        <w:ind w:left="200"/>
      </w:pPr>
      <w:r>
        <w:rPr>
          <w:b/>
          <w:bCs/>
          <w:color w:val="7A2E2E"/>
          <w:sz w:val="21"/>
          <w:szCs w:val="21"/>
        </w:rPr>
        <w:t xml:space="preserve">Qualification: </w:t>
      </w:r>
      <w:r>
        <w:rPr>
          <w:sz w:val="21"/>
          <w:szCs w:val="21"/>
        </w:rPr>
        <w:t>The presence of buy-side liquidity above price does not by itself indicate that a reversal is coming. Price can, and often does, break through buy-side liquidity and continue higher without reversing — this is a normal outcome, not an exception, and must be judged using structure and displacement, not liquidity location alone.</w:t>
      </w:r>
    </w:p>
    <w:p w14:paraId="7AB4C04F">
      <w:pPr>
        <w:pStyle w:val="3"/>
        <w:spacing w:before="360" w:after="160"/>
      </w:pPr>
      <w:r>
        <w:rPr>
          <w:b/>
          <w:bCs/>
          <w:color w:val="1B2A4A"/>
          <w:sz w:val="26"/>
          <w:szCs w:val="26"/>
        </w:rPr>
        <w:t>11. Source</w:t>
      </w:r>
    </w:p>
    <w:p w14:paraId="12F3BCB9"/>
    <w:p w14:paraId="39CD4954">
      <w:pPr>
        <w:pStyle w:val="16"/>
        <w:numPr>
          <w:ilvl w:val="0"/>
          <w:numId w:val="2"/>
        </w:numPr>
        <w:spacing w:after="80" w:line="276" w:lineRule="auto"/>
      </w:pPr>
      <w:r>
        <w:rPr>
          <w:sz w:val="22"/>
          <w:szCs w:val="22"/>
        </w:rPr>
        <w:t>TradingView (CandelaCharts) — "Trading Framework: ICT Smart Money Concepts."</w:t>
      </w:r>
    </w:p>
    <w:p w14:paraId="417D473B">
      <w:pPr>
        <w:pStyle w:val="16"/>
        <w:numPr>
          <w:ilvl w:val="0"/>
          <w:numId w:val="2"/>
        </w:numPr>
        <w:spacing w:after="80" w:line="276" w:lineRule="auto"/>
      </w:pPr>
      <w:r>
        <w:rPr>
          <w:sz w:val="22"/>
          <w:szCs w:val="22"/>
        </w:rPr>
        <w:t>ictkillzone.com — "ICT Liquidity: Buy Side, Sell Side and Sweeps Explained."</w:t>
      </w:r>
    </w:p>
    <w:p w14:paraId="4C77D403">
      <w:pPr>
        <w:pStyle w:val="16"/>
        <w:numPr>
          <w:ilvl w:val="0"/>
          <w:numId w:val="2"/>
        </w:numPr>
        <w:spacing w:after="80" w:line="276" w:lineRule="auto"/>
      </w:pPr>
      <w:r>
        <w:rPr>
          <w:sz w:val="22"/>
          <w:szCs w:val="22"/>
        </w:rPr>
        <w:t>zayecapitalmarkets.com — "ICT Trading Concept Explained: Master Smart Money."</w:t>
      </w:r>
    </w:p>
    <w:p w14:paraId="4F30687A">
      <w:r>
        <w:br w:type="page"/>
      </w:r>
    </w:p>
    <w:p w14:paraId="79A567F1">
      <w:pPr>
        <w:pStyle w:val="2"/>
        <w:pBdr>
          <w:bottom w:val="single" w:color="1B2A4A" w:sz="12" w:space="4"/>
        </w:pBdr>
        <w:spacing w:before="480" w:after="240"/>
      </w:pPr>
      <w:r>
        <w:rPr>
          <w:b/>
          <w:bCs/>
          <w:color w:val="1B2A4A"/>
          <w:sz w:val="34"/>
          <w:szCs w:val="34"/>
        </w:rPr>
        <w:t>Sell-Side Liquidity (SSL)</w:t>
      </w:r>
    </w:p>
    <w:p w14:paraId="3BD4B255">
      <w:pPr>
        <w:pStyle w:val="3"/>
        <w:spacing w:before="360" w:after="160"/>
      </w:pPr>
      <w:r>
        <w:rPr>
          <w:b/>
          <w:bCs/>
          <w:color w:val="1B2A4A"/>
          <w:sz w:val="26"/>
          <w:szCs w:val="26"/>
        </w:rPr>
        <w:t>1. Definition</w:t>
      </w:r>
    </w:p>
    <w:p w14:paraId="0CF36742">
      <w:pPr>
        <w:spacing w:after="160" w:line="288" w:lineRule="auto"/>
      </w:pPr>
      <w:r>
        <w:rPr>
          <w:b w:val="0"/>
          <w:bCs w:val="0"/>
          <w:i w:val="0"/>
          <w:iCs w:val="0"/>
          <w:sz w:val="22"/>
          <w:szCs w:val="22"/>
        </w:rPr>
        <w:t>Sell-side liquidity is the concentration of resting sell-stop orders (belonging to long buyers protecting their positions) and pending breakdown-sell orders that accumulates just below a swing low, equal lows, or another significant support-type level.</w:t>
      </w:r>
    </w:p>
    <w:p w14:paraId="5BE2C5F0">
      <w:pPr>
        <w:pStyle w:val="3"/>
        <w:spacing w:before="360" w:after="160"/>
      </w:pPr>
      <w:r>
        <w:rPr>
          <w:b/>
          <w:bCs/>
          <w:color w:val="1B2A4A"/>
          <w:sz w:val="26"/>
          <w:szCs w:val="26"/>
        </w:rPr>
        <w:t>2. ICT's Meaning</w:t>
      </w:r>
    </w:p>
    <w:p w14:paraId="424D4C9D">
      <w:pPr>
        <w:spacing w:after="160" w:line="288" w:lineRule="auto"/>
      </w:pPr>
      <w:r>
        <w:rPr>
          <w:b w:val="0"/>
          <w:bCs w:val="0"/>
          <w:i w:val="0"/>
          <w:iCs w:val="0"/>
          <w:sz w:val="22"/>
          <w:szCs w:val="22"/>
        </w:rPr>
        <w:t>The mirror of buy-side liquidity. ICT-focused teaching describes sell-side liquidity as forming because traders holding long (buy) positions place protective stop-loss orders below the level they consider support, and because breakdown traders place pending sell orders to enter if price falls below that same level.</w:t>
      </w:r>
    </w:p>
    <w:p w14:paraId="54A982AF">
      <w:pPr>
        <w:spacing w:after="160" w:line="288" w:lineRule="auto"/>
      </w:pPr>
      <w:r>
        <w:rPr>
          <w:b w:val="0"/>
          <w:bCs w:val="0"/>
          <w:i w:val="0"/>
          <w:iCs w:val="0"/>
          <w:sz w:val="22"/>
          <w:szCs w:val="22"/>
        </w:rPr>
        <w:t>Institutions are described as sometimes needing to sell in size (or to buy from panicked sellers), and as being able to do so more efficiently by pushing price down into a sell-side liquidity pool, where the triggered stop and breakdown orders provide counter-side flow.</w:t>
      </w:r>
    </w:p>
    <w:p w14:paraId="39B891C7">
      <w:pPr>
        <w:pStyle w:val="3"/>
        <w:spacing w:before="360" w:after="160"/>
      </w:pPr>
      <w:r>
        <w:rPr>
          <w:b/>
          <w:bCs/>
          <w:color w:val="1B2A4A"/>
          <w:sz w:val="26"/>
          <w:szCs w:val="26"/>
        </w:rPr>
        <w:t>3. Beginner Explanation</w:t>
      </w:r>
    </w:p>
    <w:p w14:paraId="40058F1D">
      <w:pPr>
        <w:spacing w:after="160" w:line="288" w:lineRule="auto"/>
      </w:pPr>
      <w:r>
        <w:rPr>
          <w:b w:val="0"/>
          <w:bCs w:val="0"/>
          <w:i w:val="0"/>
          <w:iCs w:val="0"/>
          <w:sz w:val="22"/>
          <w:szCs w:val="22"/>
        </w:rPr>
        <w:t>Sell-side liquidity is the cluster of automatic sell orders sitting just below an old low — some from long traders protecting themselves, others from traders hoping to sell short if price breaks down. ICT's framework treats this cluster as available selling pressure resting just below that old low.</w:t>
      </w:r>
    </w:p>
    <w:p w14:paraId="426BBAC8">
      <w:pPr>
        <w:pStyle w:val="3"/>
        <w:spacing w:before="360" w:after="160"/>
      </w:pPr>
      <w:r>
        <w:rPr>
          <w:b/>
          <w:bCs/>
          <w:color w:val="1B2A4A"/>
          <w:sz w:val="26"/>
          <w:szCs w:val="26"/>
        </w:rPr>
        <w:t>4. How to Identify It</w:t>
      </w:r>
    </w:p>
    <w:p w14:paraId="7E008BD9">
      <w:pPr>
        <w:pStyle w:val="16"/>
        <w:numPr>
          <w:ilvl w:val="0"/>
          <w:numId w:val="1"/>
        </w:numPr>
        <w:spacing w:after="80" w:line="276" w:lineRule="auto"/>
      </w:pPr>
      <w:r>
        <w:rPr>
          <w:sz w:val="22"/>
          <w:szCs w:val="22"/>
        </w:rPr>
        <w:t>Locate a swing low, prior day/week/month low, or session low (see also Equal Lows).</w:t>
      </w:r>
    </w:p>
    <w:p w14:paraId="110FE3EE">
      <w:pPr>
        <w:pStyle w:val="16"/>
        <w:numPr>
          <w:ilvl w:val="0"/>
          <w:numId w:val="1"/>
        </w:numPr>
        <w:spacing w:after="80" w:line="276" w:lineRule="auto"/>
      </w:pPr>
      <w:r>
        <w:rPr>
          <w:sz w:val="22"/>
          <w:szCs w:val="22"/>
        </w:rPr>
        <w:t>Recognize the zone immediately below that level as a candidate sell-side liquidity pool.</w:t>
      </w:r>
    </w:p>
    <w:p w14:paraId="7190DCDD">
      <w:pPr>
        <w:pStyle w:val="16"/>
        <w:numPr>
          <w:ilvl w:val="0"/>
          <w:numId w:val="1"/>
        </w:numPr>
        <w:spacing w:after="80" w:line="276" w:lineRule="auto"/>
      </w:pPr>
      <w:r>
        <w:rPr>
          <w:sz w:val="22"/>
          <w:szCs w:val="22"/>
        </w:rPr>
        <w:t>Note how many separate lows cluster near the same price — more clustering suggests a denser, more significant pool.</w:t>
      </w:r>
    </w:p>
    <w:p w14:paraId="3B6F4D64">
      <w:pPr>
        <w:pStyle w:val="16"/>
        <w:numPr>
          <w:ilvl w:val="0"/>
          <w:numId w:val="1"/>
        </w:numPr>
        <w:spacing w:after="80" w:line="276" w:lineRule="auto"/>
      </w:pPr>
      <w:r>
        <w:rPr>
          <w:sz w:val="22"/>
          <w:szCs w:val="22"/>
        </w:rPr>
        <w:t>Label this pool as a potential downside target ("draw on liquidity") for price, especially if the higher-timeframe bias is bearish or if a bullish reversal setup requires sweeping this level first (see Module 11).</w:t>
      </w:r>
    </w:p>
    <w:p w14:paraId="2A8AED9C">
      <w:pPr>
        <w:pStyle w:val="3"/>
        <w:spacing w:before="360" w:after="160"/>
      </w:pPr>
      <w:r>
        <w:rPr>
          <w:b/>
          <w:bCs/>
          <w:color w:val="1B2A4A"/>
          <w:sz w:val="26"/>
          <w:szCs w:val="26"/>
        </w:rPr>
        <w:t>5. Simple Price Example</w:t>
      </w:r>
    </w:p>
    <w:p w14:paraId="497FA89F">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Swing lows at 95 and 94 (close together), current price at 100</w:t>
      </w:r>
    </w:p>
    <w:p w14:paraId="6718C59B">
      <w:pPr>
        <w:spacing w:after="160" w:line="288" w:lineRule="auto"/>
      </w:pPr>
      <w:r>
        <w:rPr>
          <w:b w:val="0"/>
          <w:bCs w:val="0"/>
          <w:i w:val="0"/>
          <w:iCs w:val="0"/>
          <w:sz w:val="22"/>
          <w:szCs w:val="22"/>
        </w:rPr>
        <w:t>The two closely spaced lows at 95 and 94 suggest a cluster of sell-stop and breakdown-sell orders resting just below 94. Under ICT's framework, this zone (roughly 93–94) is marked as a sell-side liquidity pool — a plausible target if price moves downward from 100.</w:t>
      </w:r>
    </w:p>
    <w:p w14:paraId="0DC4E692">
      <w:pPr>
        <w:pStyle w:val="3"/>
        <w:spacing w:before="360" w:after="160"/>
      </w:pPr>
      <w:r>
        <w:rPr>
          <w:b/>
          <w:bCs/>
          <w:color w:val="1B2A4A"/>
          <w:sz w:val="26"/>
          <w:szCs w:val="26"/>
        </w:rPr>
        <w:t>6. What It Tells the Trader</w:t>
      </w:r>
    </w:p>
    <w:p w14:paraId="30B35047">
      <w:pPr>
        <w:spacing w:after="160" w:line="288" w:lineRule="auto"/>
      </w:pPr>
      <w:r>
        <w:rPr>
          <w:b w:val="0"/>
          <w:bCs w:val="0"/>
          <w:i w:val="0"/>
          <w:iCs w:val="0"/>
          <w:sz w:val="22"/>
          <w:szCs w:val="22"/>
        </w:rPr>
        <w:t>Sell-side liquidity tells the trader where downward price movement is most likely to be drawn toward, and provides a rationale for why a downward move to that level might occur.</w:t>
      </w:r>
    </w:p>
    <w:p w14:paraId="74AFAB91">
      <w:pPr>
        <w:spacing w:after="160" w:line="288" w:lineRule="auto"/>
      </w:pPr>
      <w:r>
        <w:rPr>
          <w:b w:val="0"/>
          <w:bCs w:val="0"/>
          <w:i w:val="0"/>
          <w:iCs w:val="0"/>
          <w:sz w:val="22"/>
          <w:szCs w:val="22"/>
        </w:rPr>
        <w:t>It does not tell the trader that price will necessarily reach that level, or what happens immediately afterward — that depends on subsequent structural confirmation, not on the liquidity location alone.</w:t>
      </w:r>
    </w:p>
    <w:p w14:paraId="0CE875D8">
      <w:pPr>
        <w:pStyle w:val="3"/>
        <w:spacing w:before="360" w:after="160"/>
      </w:pPr>
      <w:r>
        <w:rPr>
          <w:b/>
          <w:bCs/>
          <w:color w:val="1B2A4A"/>
          <w:sz w:val="26"/>
          <w:szCs w:val="26"/>
        </w:rPr>
        <w:t>7. What It Is Commonly Paired With</w:t>
      </w:r>
    </w:p>
    <w:p w14:paraId="7E7BAF9A">
      <w:pPr>
        <w:pStyle w:val="16"/>
        <w:numPr>
          <w:ilvl w:val="0"/>
          <w:numId w:val="2"/>
        </w:numPr>
        <w:spacing w:after="80" w:line="276" w:lineRule="auto"/>
      </w:pPr>
      <w:r>
        <w:rPr>
          <w:sz w:val="22"/>
          <w:szCs w:val="22"/>
        </w:rPr>
        <w:t>Buy-Side Liquidity (its mirror)</w:t>
      </w:r>
    </w:p>
    <w:p w14:paraId="2A3974C4">
      <w:pPr>
        <w:pStyle w:val="16"/>
        <w:numPr>
          <w:ilvl w:val="0"/>
          <w:numId w:val="2"/>
        </w:numPr>
        <w:spacing w:after="80" w:line="276" w:lineRule="auto"/>
      </w:pPr>
      <w:r>
        <w:rPr>
          <w:sz w:val="22"/>
          <w:szCs w:val="22"/>
        </w:rPr>
        <w:t>Liquidity Sweep</w:t>
      </w:r>
    </w:p>
    <w:p w14:paraId="352B0C55">
      <w:pPr>
        <w:pStyle w:val="16"/>
        <w:numPr>
          <w:ilvl w:val="0"/>
          <w:numId w:val="2"/>
        </w:numPr>
        <w:spacing w:after="80" w:line="276" w:lineRule="auto"/>
      </w:pPr>
      <w:r>
        <w:rPr>
          <w:sz w:val="22"/>
          <w:szCs w:val="22"/>
        </w:rPr>
        <w:t>ICT Buy Model (Module 11)</w:t>
      </w:r>
    </w:p>
    <w:p w14:paraId="5919E185">
      <w:pPr>
        <w:spacing w:after="160" w:line="288" w:lineRule="auto"/>
      </w:pPr>
      <w:r>
        <w:rPr>
          <w:b w:val="0"/>
          <w:bCs w:val="0"/>
          <w:i w:val="0"/>
          <w:iCs w:val="0"/>
          <w:sz w:val="22"/>
          <w:szCs w:val="22"/>
        </w:rPr>
        <w:t>Sell-side liquidity is frequently the specific target swept immediately before a bullish reversal in ICT's Buy Model — the sweep of sell-side liquidity is treated as evidence that the downward move served to collect available selling-side orders before institutions began buying.</w:t>
      </w:r>
    </w:p>
    <w:p w14:paraId="1DD6D4C5">
      <w:pPr>
        <w:pStyle w:val="3"/>
        <w:spacing w:before="360" w:after="160"/>
      </w:pPr>
      <w:r>
        <w:rPr>
          <w:b/>
          <w:bCs/>
          <w:color w:val="1B2A4A"/>
          <w:sz w:val="26"/>
          <w:szCs w:val="26"/>
        </w:rPr>
        <w:t>8. Where It Fits in the ICT Framework</w:t>
      </w:r>
    </w:p>
    <w:p w14:paraId="7B4AA656">
      <w:pPr>
        <w:spacing w:after="160" w:line="288" w:lineRule="auto"/>
      </w:pPr>
      <w:r>
        <w:rPr>
          <w:b w:val="0"/>
          <w:bCs w:val="0"/>
          <w:i w:val="0"/>
          <w:iCs w:val="0"/>
          <w:sz w:val="22"/>
          <w:szCs w:val="22"/>
        </w:rPr>
        <w:t>Comes before: Requires Liquidity Pools.</w:t>
      </w:r>
    </w:p>
    <w:p w14:paraId="5FA4CC3D">
      <w:pPr>
        <w:spacing w:after="160" w:line="288" w:lineRule="auto"/>
      </w:pPr>
      <w:r>
        <w:rPr>
          <w:b w:val="0"/>
          <w:bCs w:val="0"/>
          <w:i w:val="0"/>
          <w:iCs w:val="0"/>
          <w:sz w:val="22"/>
          <w:szCs w:val="22"/>
        </w:rPr>
        <w:t>Comes after: Feeds into Liquidity Sweep and the ICT Buy Model (Module 11).</w:t>
      </w:r>
    </w:p>
    <w:p w14:paraId="7BC960B1">
      <w:pPr>
        <w:pStyle w:val="3"/>
        <w:spacing w:before="360" w:after="160"/>
      </w:pPr>
      <w:r>
        <w:rPr>
          <w:b/>
          <w:bCs/>
          <w:color w:val="1B2A4A"/>
          <w:sz w:val="26"/>
          <w:szCs w:val="26"/>
        </w:rPr>
        <w:t>9. Beginner Mistakes</w:t>
      </w:r>
    </w:p>
    <w:p w14:paraId="11234861">
      <w:pPr>
        <w:pStyle w:val="16"/>
        <w:numPr>
          <w:ilvl w:val="0"/>
          <w:numId w:val="2"/>
        </w:numPr>
        <w:spacing w:after="80" w:line="276" w:lineRule="auto"/>
      </w:pPr>
      <w:r>
        <w:rPr>
          <w:sz w:val="22"/>
          <w:szCs w:val="22"/>
        </w:rPr>
        <w:t>Assuming every approach to a sell-side liquidity level will result in a sweep and reversal, rather than a genuine breakdown continuation.</w:t>
      </w:r>
    </w:p>
    <w:p w14:paraId="1D5EF1A2">
      <w:pPr>
        <w:pStyle w:val="16"/>
        <w:numPr>
          <w:ilvl w:val="0"/>
          <w:numId w:val="2"/>
        </w:numPr>
        <w:spacing w:after="80" w:line="276" w:lineRule="auto"/>
      </w:pPr>
      <w:r>
        <w:rPr>
          <w:sz w:val="22"/>
          <w:szCs w:val="22"/>
        </w:rPr>
        <w:t>Panic-selling a long position purely because price is approaching a marked sell-side liquidity pool, without waiting to see whether a genuine reversal confirms.</w:t>
      </w:r>
    </w:p>
    <w:p w14:paraId="53E380F8">
      <w:pPr>
        <w:pStyle w:val="3"/>
        <w:spacing w:before="360" w:after="160"/>
      </w:pPr>
      <w:r>
        <w:rPr>
          <w:b/>
          <w:bCs/>
          <w:color w:val="1B2A4A"/>
          <w:sz w:val="26"/>
          <w:szCs w:val="26"/>
        </w:rPr>
        <w:t>10. Important Qualification</w:t>
      </w:r>
    </w:p>
    <w:p w14:paraId="39B34480">
      <w:pPr>
        <w:pBdr>
          <w:left w:val="single" w:color="7A2E2E" w:sz="24" w:space="8"/>
        </w:pBdr>
        <w:shd w:val="clear" w:fill="EFEFEF"/>
        <w:spacing w:before="160" w:after="200"/>
        <w:ind w:left="200"/>
      </w:pPr>
      <w:r>
        <w:rPr>
          <w:b/>
          <w:bCs/>
          <w:color w:val="7A2E2E"/>
          <w:sz w:val="21"/>
          <w:szCs w:val="21"/>
        </w:rPr>
        <w:t xml:space="preserve">Qualification: </w:t>
      </w:r>
      <w:r>
        <w:rPr>
          <w:sz w:val="21"/>
          <w:szCs w:val="21"/>
        </w:rPr>
        <w:t>The presence of sell-side liquidity below price does not by itself indicate that a reversal is coming. Price can, and often does, break through sell-side liquidity and continue lower without reversing.</w:t>
      </w:r>
    </w:p>
    <w:p w14:paraId="7CB68C90">
      <w:pPr>
        <w:pStyle w:val="3"/>
        <w:spacing w:before="360" w:after="160"/>
      </w:pPr>
      <w:r>
        <w:rPr>
          <w:b/>
          <w:bCs/>
          <w:color w:val="1B2A4A"/>
          <w:sz w:val="26"/>
          <w:szCs w:val="26"/>
        </w:rPr>
        <w:t>11. Source</w:t>
      </w:r>
    </w:p>
    <w:p w14:paraId="700C05C2"/>
    <w:p w14:paraId="18A7B6F5">
      <w:pPr>
        <w:pStyle w:val="16"/>
        <w:numPr>
          <w:ilvl w:val="0"/>
          <w:numId w:val="2"/>
        </w:numPr>
        <w:spacing w:after="80" w:line="276" w:lineRule="auto"/>
      </w:pPr>
      <w:r>
        <w:rPr>
          <w:sz w:val="22"/>
          <w:szCs w:val="22"/>
        </w:rPr>
        <w:t>TradingView (CandelaCharts) — "Trading Framework: ICT Smart Money Concepts."</w:t>
      </w:r>
    </w:p>
    <w:p w14:paraId="65A346EC">
      <w:pPr>
        <w:pStyle w:val="16"/>
        <w:numPr>
          <w:ilvl w:val="0"/>
          <w:numId w:val="2"/>
        </w:numPr>
        <w:spacing w:after="80" w:line="276" w:lineRule="auto"/>
      </w:pPr>
      <w:r>
        <w:rPr>
          <w:sz w:val="22"/>
          <w:szCs w:val="22"/>
        </w:rPr>
        <w:t>writofinance.com — "Buy Side and Sell Side Liquidity – ICT and SMC Trading."</w:t>
      </w:r>
    </w:p>
    <w:p w14:paraId="1B601DA5">
      <w:pPr>
        <w:pStyle w:val="16"/>
        <w:numPr>
          <w:ilvl w:val="0"/>
          <w:numId w:val="2"/>
        </w:numPr>
        <w:spacing w:after="80" w:line="276" w:lineRule="auto"/>
      </w:pPr>
      <w:r>
        <w:rPr>
          <w:sz w:val="22"/>
          <w:szCs w:val="22"/>
        </w:rPr>
        <w:t>litefinance.org — "Buy Side and Sell Side Liquidity Explained: How to Trade It."</w:t>
      </w:r>
    </w:p>
    <w:p w14:paraId="6B06A5EC">
      <w:r>
        <w:br w:type="page"/>
      </w:r>
    </w:p>
    <w:p w14:paraId="5D883EB7">
      <w:pPr>
        <w:pStyle w:val="2"/>
        <w:pBdr>
          <w:bottom w:val="single" w:color="1B2A4A" w:sz="12" w:space="4"/>
        </w:pBdr>
        <w:spacing w:before="480" w:after="240"/>
      </w:pPr>
      <w:r>
        <w:rPr>
          <w:b/>
          <w:bCs/>
          <w:color w:val="1B2A4A"/>
          <w:sz w:val="34"/>
          <w:szCs w:val="34"/>
        </w:rPr>
        <w:t>Equal Highs</w:t>
      </w:r>
    </w:p>
    <w:p w14:paraId="3AFBE2C6">
      <w:pPr>
        <w:pStyle w:val="3"/>
        <w:spacing w:before="360" w:after="160"/>
      </w:pPr>
      <w:r>
        <w:rPr>
          <w:b/>
          <w:bCs/>
          <w:color w:val="1B2A4A"/>
          <w:sz w:val="26"/>
          <w:szCs w:val="26"/>
        </w:rPr>
        <w:t>1. Definition</w:t>
      </w:r>
    </w:p>
    <w:p w14:paraId="7D0510AC">
      <w:pPr>
        <w:spacing w:after="160" w:line="288" w:lineRule="auto"/>
      </w:pPr>
      <w:r>
        <w:rPr>
          <w:b w:val="0"/>
          <w:bCs w:val="0"/>
          <w:i w:val="0"/>
          <w:iCs w:val="0"/>
          <w:sz w:val="22"/>
          <w:szCs w:val="22"/>
        </w:rPr>
        <w:t>Equal highs are two or more swing highs that print at, or very close to, the same price level, indicating a denser-than-usual concentration of buy-side liquidity at that shared level.</w:t>
      </w:r>
    </w:p>
    <w:p w14:paraId="15C0AE81">
      <w:pPr>
        <w:pStyle w:val="3"/>
        <w:spacing w:before="360" w:after="160"/>
      </w:pPr>
      <w:r>
        <w:rPr>
          <w:b/>
          <w:bCs/>
          <w:color w:val="1B2A4A"/>
          <w:sz w:val="26"/>
          <w:szCs w:val="26"/>
        </w:rPr>
        <w:t>2. ICT's Meaning</w:t>
      </w:r>
    </w:p>
    <w:p w14:paraId="6686ADEC">
      <w:pPr>
        <w:spacing w:after="160" w:line="288" w:lineRule="auto"/>
      </w:pPr>
      <w:r>
        <w:rPr>
          <w:b w:val="0"/>
          <w:bCs w:val="0"/>
          <w:i w:val="0"/>
          <w:iCs w:val="0"/>
          <w:sz w:val="22"/>
          <w:szCs w:val="22"/>
        </w:rPr>
        <w:t>ICT-focused teaching treats equal highs not as a sign of strong resistance in the conventional technical-analysis sense, but as a specifically attractive liquidity target: repeated failure to close above the same level suggests that a large and growing number of short-side stop-loss orders and breakout-buy orders have accumulated at essentially one price, making that level a denser pool than a single, isolated swing high would represent.</w:t>
      </w:r>
    </w:p>
    <w:p w14:paraId="4D7EA474">
      <w:pPr>
        <w:spacing w:after="160" w:line="288" w:lineRule="auto"/>
      </w:pPr>
      <w:r>
        <w:rPr>
          <w:b w:val="0"/>
          <w:bCs w:val="0"/>
          <w:i w:val="0"/>
          <w:iCs w:val="0"/>
          <w:sz w:val="22"/>
          <w:szCs w:val="22"/>
        </w:rPr>
        <w:t>ICT-focused sources commonly abbreviate this as EQH and describe an acceptable tolerance range (some sources cite a rough range such as "within 5–10 pips" in forex markets) for two highs to be considered "equal" — this specific numeric tolerance is a documented feature of secondary teaching material rather than a fixed universal rule.</w:t>
      </w:r>
    </w:p>
    <w:p w14:paraId="78BF7E2A">
      <w:pPr>
        <w:pStyle w:val="3"/>
        <w:spacing w:before="360" w:after="160"/>
      </w:pPr>
      <w:r>
        <w:rPr>
          <w:b/>
          <w:bCs/>
          <w:color w:val="1B2A4A"/>
          <w:sz w:val="26"/>
          <w:szCs w:val="26"/>
        </w:rPr>
        <w:t>3. Beginner Explanation</w:t>
      </w:r>
    </w:p>
    <w:p w14:paraId="58B5A13F">
      <w:pPr>
        <w:spacing w:after="160" w:line="288" w:lineRule="auto"/>
      </w:pPr>
      <w:r>
        <w:rPr>
          <w:b w:val="0"/>
          <w:bCs w:val="0"/>
          <w:i w:val="0"/>
          <w:iCs w:val="0"/>
          <w:sz w:val="22"/>
          <w:szCs w:val="22"/>
        </w:rPr>
        <w:t>If a price chart shows two peaks that reach almost exactly the same height, separated by some time and at least one dip in between, those two peaks are equal highs. Within this framework, this isn't read as "strong resistance that will definitely hold" — it's read as a bigger-than-usual pile of resting buy orders sitting just above that shared height, making that specific price more attractive to sweep.</w:t>
      </w:r>
    </w:p>
    <w:p w14:paraId="011F23AA">
      <w:pPr>
        <w:pStyle w:val="3"/>
        <w:spacing w:before="360" w:after="160"/>
      </w:pPr>
      <w:r>
        <w:rPr>
          <w:b/>
          <w:bCs/>
          <w:color w:val="1B2A4A"/>
          <w:sz w:val="26"/>
          <w:szCs w:val="26"/>
        </w:rPr>
        <w:t>4. How to Identify It</w:t>
      </w:r>
    </w:p>
    <w:p w14:paraId="3EBBAB75">
      <w:pPr>
        <w:pStyle w:val="16"/>
        <w:numPr>
          <w:ilvl w:val="0"/>
          <w:numId w:val="1"/>
        </w:numPr>
        <w:spacing w:after="80" w:line="276" w:lineRule="auto"/>
      </w:pPr>
      <w:r>
        <w:rPr>
          <w:sz w:val="22"/>
          <w:szCs w:val="22"/>
        </w:rPr>
        <w:t>Identify two or more confirmed swing highs on the chart.</w:t>
      </w:r>
    </w:p>
    <w:p w14:paraId="614500E6">
      <w:pPr>
        <w:pStyle w:val="16"/>
        <w:numPr>
          <w:ilvl w:val="0"/>
          <w:numId w:val="1"/>
        </w:numPr>
        <w:spacing w:after="80" w:line="276" w:lineRule="auto"/>
      </w:pPr>
      <w:r>
        <w:rPr>
          <w:sz w:val="22"/>
          <w:szCs w:val="22"/>
        </w:rPr>
        <w:t>Compare their prices; if they sit at, or within a small tolerance of, the same level, classify them as equal highs.</w:t>
      </w:r>
    </w:p>
    <w:p w14:paraId="1AC6BD8B">
      <w:pPr>
        <w:pStyle w:val="16"/>
        <w:numPr>
          <w:ilvl w:val="0"/>
          <w:numId w:val="1"/>
        </w:numPr>
        <w:spacing w:after="80" w:line="276" w:lineRule="auto"/>
      </w:pPr>
      <w:r>
        <w:rPr>
          <w:sz w:val="22"/>
          <w:szCs w:val="22"/>
        </w:rPr>
        <w:t>Mark the buy-side liquidity pool as resting just above this shared level.</w:t>
      </w:r>
    </w:p>
    <w:p w14:paraId="1CB2FB2F">
      <w:pPr>
        <w:pStyle w:val="16"/>
        <w:numPr>
          <w:ilvl w:val="0"/>
          <w:numId w:val="1"/>
        </w:numPr>
        <w:spacing w:after="80" w:line="276" w:lineRule="auto"/>
      </w:pPr>
      <w:r>
        <w:rPr>
          <w:sz w:val="22"/>
          <w:szCs w:val="22"/>
        </w:rPr>
        <w:t>Treat this pool as a higher-priority target than an isolated single swing high, due to the presumed denser order concentration.</w:t>
      </w:r>
    </w:p>
    <w:p w14:paraId="1007A4BF">
      <w:pPr>
        <w:pStyle w:val="3"/>
        <w:spacing w:before="360" w:after="160"/>
      </w:pPr>
      <w:r>
        <w:rPr>
          <w:b/>
          <w:bCs/>
          <w:color w:val="1B2A4A"/>
          <w:sz w:val="26"/>
          <w:szCs w:val="26"/>
        </w:rPr>
        <w:t>5. Simple Price Example</w:t>
      </w:r>
    </w:p>
    <w:p w14:paraId="5042F06F">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100 → 115 → 108 → 114 → 103 → 115.2</w:t>
      </w:r>
    </w:p>
    <w:p w14:paraId="7701ECEE">
      <w:pPr>
        <w:spacing w:after="160" w:line="288" w:lineRule="auto"/>
      </w:pPr>
      <w:r>
        <w:rPr>
          <w:b w:val="0"/>
          <w:bCs w:val="0"/>
          <w:i w:val="0"/>
          <w:iCs w:val="0"/>
          <w:sz w:val="22"/>
          <w:szCs w:val="22"/>
        </w:rPr>
        <w:t>The swing highs at 115 and 115.2 are close enough to be classified as equal highs. This shared level, just above 115, would be marked as a denser buy-side liquidity pool than either high would represent individually.</w:t>
      </w:r>
    </w:p>
    <w:p w14:paraId="267B4A28">
      <w:pPr>
        <w:pStyle w:val="3"/>
        <w:spacing w:before="360" w:after="160"/>
      </w:pPr>
      <w:r>
        <w:rPr>
          <w:b/>
          <w:bCs/>
          <w:color w:val="1B2A4A"/>
          <w:sz w:val="26"/>
          <w:szCs w:val="26"/>
        </w:rPr>
        <w:t>6. What It Tells the Trader</w:t>
      </w:r>
    </w:p>
    <w:p w14:paraId="4E27FBD3">
      <w:pPr>
        <w:spacing w:after="160" w:line="288" w:lineRule="auto"/>
      </w:pPr>
      <w:r>
        <w:rPr>
          <w:b w:val="0"/>
          <w:bCs w:val="0"/>
          <w:i w:val="0"/>
          <w:iCs w:val="0"/>
          <w:sz w:val="22"/>
          <w:szCs w:val="22"/>
        </w:rPr>
        <w:t>Equal highs tell the trader that a particular level is likely to be a higher-priority target for an upward liquidity-seeking move, due to the presumed accumulation of orders from repeated failed attempts to break through.</w:t>
      </w:r>
    </w:p>
    <w:p w14:paraId="7541BC96">
      <w:pPr>
        <w:spacing w:after="160" w:line="288" w:lineRule="auto"/>
      </w:pPr>
      <w:r>
        <w:rPr>
          <w:b w:val="0"/>
          <w:bCs w:val="0"/>
          <w:i w:val="0"/>
          <w:iCs w:val="0"/>
          <w:sz w:val="22"/>
          <w:szCs w:val="22"/>
        </w:rPr>
        <w:t>They do not tell the trader that the level will necessarily be swept and reversed rather than broken through and continued beyond — both outcomes are possible.</w:t>
      </w:r>
    </w:p>
    <w:p w14:paraId="3EDE0CB0">
      <w:pPr>
        <w:pStyle w:val="3"/>
        <w:spacing w:before="360" w:after="160"/>
      </w:pPr>
      <w:r>
        <w:rPr>
          <w:b/>
          <w:bCs/>
          <w:color w:val="1B2A4A"/>
          <w:sz w:val="26"/>
          <w:szCs w:val="26"/>
        </w:rPr>
        <w:t>7. What It Is Commonly Paired With</w:t>
      </w:r>
    </w:p>
    <w:p w14:paraId="50A94C78">
      <w:pPr>
        <w:pStyle w:val="16"/>
        <w:numPr>
          <w:ilvl w:val="0"/>
          <w:numId w:val="2"/>
        </w:numPr>
        <w:spacing w:after="80" w:line="276" w:lineRule="auto"/>
      </w:pPr>
      <w:r>
        <w:rPr>
          <w:sz w:val="22"/>
          <w:szCs w:val="22"/>
        </w:rPr>
        <w:t>Buy-Side Liquidity</w:t>
      </w:r>
    </w:p>
    <w:p w14:paraId="30735EFA">
      <w:pPr>
        <w:pStyle w:val="16"/>
        <w:numPr>
          <w:ilvl w:val="0"/>
          <w:numId w:val="2"/>
        </w:numPr>
        <w:spacing w:after="80" w:line="276" w:lineRule="auto"/>
      </w:pPr>
      <w:r>
        <w:rPr>
          <w:sz w:val="22"/>
          <w:szCs w:val="22"/>
        </w:rPr>
        <w:t>Liquidity Sweep</w:t>
      </w:r>
    </w:p>
    <w:p w14:paraId="0AFA20C5">
      <w:pPr>
        <w:pStyle w:val="16"/>
        <w:numPr>
          <w:ilvl w:val="0"/>
          <w:numId w:val="2"/>
        </w:numPr>
        <w:spacing w:after="80" w:line="276" w:lineRule="auto"/>
      </w:pPr>
      <w:r>
        <w:rPr>
          <w:sz w:val="22"/>
          <w:szCs w:val="22"/>
        </w:rPr>
        <w:t>Stop Hunt</w:t>
      </w:r>
    </w:p>
    <w:p w14:paraId="73ACA637">
      <w:pPr>
        <w:spacing w:after="160" w:line="288" w:lineRule="auto"/>
      </w:pPr>
      <w:r>
        <w:rPr>
          <w:b w:val="0"/>
          <w:bCs w:val="0"/>
          <w:i w:val="0"/>
          <w:iCs w:val="0"/>
          <w:sz w:val="22"/>
          <w:szCs w:val="22"/>
        </w:rPr>
        <w:t>Equal highs are simply a specific, higher-confidence version of a buy-side liquidity pool, and are one of the most commonly cited setups for a subsequent liquidity sweep or stop hunt in ICT-focused teaching.</w:t>
      </w:r>
    </w:p>
    <w:p w14:paraId="74C580E1">
      <w:pPr>
        <w:pStyle w:val="3"/>
        <w:spacing w:before="360" w:after="160"/>
      </w:pPr>
      <w:r>
        <w:rPr>
          <w:b/>
          <w:bCs/>
          <w:color w:val="1B2A4A"/>
          <w:sz w:val="26"/>
          <w:szCs w:val="26"/>
        </w:rPr>
        <w:t>8. Where It Fits in the ICT Framework</w:t>
      </w:r>
    </w:p>
    <w:p w14:paraId="5A21E5A4">
      <w:pPr>
        <w:spacing w:after="160" w:line="288" w:lineRule="auto"/>
      </w:pPr>
      <w:r>
        <w:rPr>
          <w:b w:val="0"/>
          <w:bCs w:val="0"/>
          <w:i w:val="0"/>
          <w:iCs w:val="0"/>
          <w:sz w:val="22"/>
          <w:szCs w:val="22"/>
        </w:rPr>
        <w:t>Comes before: Requires Buy-Side Liquidity.</w:t>
      </w:r>
    </w:p>
    <w:p w14:paraId="73255C9C">
      <w:pPr>
        <w:spacing w:after="160" w:line="288" w:lineRule="auto"/>
      </w:pPr>
      <w:r>
        <w:rPr>
          <w:b w:val="0"/>
          <w:bCs w:val="0"/>
          <w:i w:val="0"/>
          <w:iCs w:val="0"/>
          <w:sz w:val="22"/>
          <w:szCs w:val="22"/>
        </w:rPr>
        <w:t>Comes after: Feeds into Liquidity Sweep and Stop Hunt.</w:t>
      </w:r>
    </w:p>
    <w:p w14:paraId="12857311">
      <w:pPr>
        <w:pStyle w:val="3"/>
        <w:spacing w:before="360" w:after="160"/>
      </w:pPr>
      <w:r>
        <w:rPr>
          <w:b/>
          <w:bCs/>
          <w:color w:val="1B2A4A"/>
          <w:sz w:val="26"/>
          <w:szCs w:val="26"/>
        </w:rPr>
        <w:t>9. Beginner Mistakes</w:t>
      </w:r>
    </w:p>
    <w:p w14:paraId="7D2BB39A">
      <w:pPr>
        <w:pStyle w:val="16"/>
        <w:numPr>
          <w:ilvl w:val="0"/>
          <w:numId w:val="2"/>
        </w:numPr>
        <w:spacing w:after="80" w:line="276" w:lineRule="auto"/>
      </w:pPr>
      <w:r>
        <w:rPr>
          <w:sz w:val="22"/>
          <w:szCs w:val="22"/>
        </w:rPr>
        <w:t>Requiring perfectly identical prices before calling two highs "equal," rather than allowing for the small, realistic tolerance ICT-focused teaching typically applies.</w:t>
      </w:r>
    </w:p>
    <w:p w14:paraId="55B10245">
      <w:pPr>
        <w:pStyle w:val="16"/>
        <w:numPr>
          <w:ilvl w:val="0"/>
          <w:numId w:val="2"/>
        </w:numPr>
        <w:spacing w:after="80" w:line="276" w:lineRule="auto"/>
      </w:pPr>
      <w:r>
        <w:rPr>
          <w:sz w:val="22"/>
          <w:szCs w:val="22"/>
        </w:rPr>
        <w:t>Assuming equal highs guarantee a reversal rather than recognizing they simply mark a higher-priority liquidity target.</w:t>
      </w:r>
    </w:p>
    <w:p w14:paraId="6F1D10C6">
      <w:pPr>
        <w:pStyle w:val="3"/>
        <w:spacing w:before="360" w:after="160"/>
      </w:pPr>
      <w:r>
        <w:rPr>
          <w:b/>
          <w:bCs/>
          <w:color w:val="1B2A4A"/>
          <w:sz w:val="26"/>
          <w:szCs w:val="26"/>
        </w:rPr>
        <w:t>10. Important Qualification</w:t>
      </w:r>
    </w:p>
    <w:p w14:paraId="22419EE2">
      <w:pPr>
        <w:pBdr>
          <w:left w:val="single" w:color="7A2E2E" w:sz="24" w:space="8"/>
        </w:pBdr>
        <w:shd w:val="clear" w:fill="EFEFEF"/>
        <w:spacing w:before="160" w:after="200"/>
        <w:ind w:left="200"/>
      </w:pPr>
      <w:r>
        <w:rPr>
          <w:b/>
          <w:bCs/>
          <w:color w:val="7A2E2E"/>
          <w:sz w:val="21"/>
          <w:szCs w:val="21"/>
        </w:rPr>
        <w:t xml:space="preserve">Qualification: </w:t>
      </w:r>
      <w:r>
        <w:rPr>
          <w:sz w:val="21"/>
          <w:szCs w:val="21"/>
        </w:rPr>
        <w:t>Equal highs mark an attractive target, not a guaranteed turning point. Markets frequently break decisively through equal highs and continue in a genuine trend continuation rather than reversing.</w:t>
      </w:r>
    </w:p>
    <w:p w14:paraId="6D1E2484">
      <w:pPr>
        <w:pStyle w:val="3"/>
        <w:spacing w:before="360" w:after="160"/>
      </w:pPr>
      <w:r>
        <w:rPr>
          <w:b/>
          <w:bCs/>
          <w:color w:val="1B2A4A"/>
          <w:sz w:val="26"/>
          <w:szCs w:val="26"/>
        </w:rPr>
        <w:t>11. Source</w:t>
      </w:r>
    </w:p>
    <w:p w14:paraId="570BBAA4"/>
    <w:p w14:paraId="5A176DA8">
      <w:pPr>
        <w:pStyle w:val="16"/>
        <w:numPr>
          <w:ilvl w:val="0"/>
          <w:numId w:val="2"/>
        </w:numPr>
        <w:spacing w:after="80" w:line="276" w:lineRule="auto"/>
      </w:pPr>
      <w:r>
        <w:rPr>
          <w:sz w:val="22"/>
          <w:szCs w:val="22"/>
        </w:rPr>
        <w:t>r2ftrading.com — "Equal Highs and Equal Lows ICT: Liquidity Targets Explained."</w:t>
      </w:r>
    </w:p>
    <w:p w14:paraId="5E7D1758">
      <w:pPr>
        <w:pStyle w:val="16"/>
        <w:numPr>
          <w:ilvl w:val="0"/>
          <w:numId w:val="2"/>
        </w:numPr>
        <w:spacing w:after="80" w:line="276" w:lineRule="auto"/>
      </w:pPr>
      <w:r>
        <w:rPr>
          <w:sz w:val="22"/>
          <w:szCs w:val="22"/>
        </w:rPr>
        <w:t>ictkillzone.com — "ICT Liquidity: Buy Side, Sell Side and Sweeps Explained" (EQH tolerance discussion).</w:t>
      </w:r>
    </w:p>
    <w:p w14:paraId="555A1B7D">
      <w:pPr>
        <w:pBdr>
          <w:left w:val="single" w:color="9A7B2E" w:sz="24" w:space="8"/>
        </w:pBdr>
        <w:shd w:val="clear" w:fill="EFEFEF"/>
        <w:spacing w:before="160" w:after="200"/>
        <w:ind w:left="200"/>
      </w:pPr>
      <w:r>
        <w:rPr>
          <w:b/>
          <w:bCs/>
          <w:color w:val="9A7B2E"/>
          <w:sz w:val="21"/>
          <w:szCs w:val="21"/>
        </w:rPr>
        <w:t xml:space="preserve">Community interpretation: </w:t>
      </w:r>
      <w:r>
        <w:rPr>
          <w:sz w:val="21"/>
          <w:szCs w:val="21"/>
        </w:rPr>
        <w:t>The specific numeric tolerance (e.g., "5–10 pips") for what counts as "equal" is a community/secondary-source convention rather than a fixed rule confirmed from ICT primary material; tolerances in practice vary by instrument and timeframe.</w:t>
      </w:r>
    </w:p>
    <w:p w14:paraId="230AF2E1">
      <w:r>
        <w:br w:type="page"/>
      </w:r>
    </w:p>
    <w:p w14:paraId="06A78841">
      <w:pPr>
        <w:pStyle w:val="2"/>
        <w:pBdr>
          <w:bottom w:val="single" w:color="1B2A4A" w:sz="12" w:space="4"/>
        </w:pBdr>
        <w:spacing w:before="480" w:after="240"/>
      </w:pPr>
      <w:r>
        <w:rPr>
          <w:b/>
          <w:bCs/>
          <w:color w:val="1B2A4A"/>
          <w:sz w:val="34"/>
          <w:szCs w:val="34"/>
        </w:rPr>
        <w:t>Equal Lows</w:t>
      </w:r>
    </w:p>
    <w:p w14:paraId="376635D8">
      <w:pPr>
        <w:pStyle w:val="3"/>
        <w:spacing w:before="360" w:after="160"/>
      </w:pPr>
      <w:r>
        <w:rPr>
          <w:b/>
          <w:bCs/>
          <w:color w:val="1B2A4A"/>
          <w:sz w:val="26"/>
          <w:szCs w:val="26"/>
        </w:rPr>
        <w:t>1. Definition</w:t>
      </w:r>
    </w:p>
    <w:p w14:paraId="4056A73F">
      <w:pPr>
        <w:spacing w:after="160" w:line="288" w:lineRule="auto"/>
      </w:pPr>
      <w:r>
        <w:rPr>
          <w:b w:val="0"/>
          <w:bCs w:val="0"/>
          <w:i w:val="0"/>
          <w:iCs w:val="0"/>
          <w:sz w:val="22"/>
          <w:szCs w:val="22"/>
        </w:rPr>
        <w:t>Equal lows are two or more swing lows that print at, or very close to, the same price level, indicating a denser-than-usual concentration of sell-side liquidity at that shared level.</w:t>
      </w:r>
    </w:p>
    <w:p w14:paraId="5B5CB206">
      <w:pPr>
        <w:pStyle w:val="3"/>
        <w:spacing w:before="360" w:after="160"/>
      </w:pPr>
      <w:r>
        <w:rPr>
          <w:b/>
          <w:bCs/>
          <w:color w:val="1B2A4A"/>
          <w:sz w:val="26"/>
          <w:szCs w:val="26"/>
        </w:rPr>
        <w:t>2. ICT's Meaning</w:t>
      </w:r>
    </w:p>
    <w:p w14:paraId="29D3B144">
      <w:pPr>
        <w:spacing w:after="160" w:line="288" w:lineRule="auto"/>
      </w:pPr>
      <w:r>
        <w:rPr>
          <w:b w:val="0"/>
          <w:bCs w:val="0"/>
          <w:i w:val="0"/>
          <w:iCs w:val="0"/>
          <w:sz w:val="22"/>
          <w:szCs w:val="22"/>
        </w:rPr>
        <w:t>The mirror of equal highs. ICT-focused teaching treats equal lows as a specifically attractive downside liquidity target: repeated failure to close below the same level suggests an accumulating cluster of long-side stop-loss orders and breakdown-sell orders at essentially one price.</w:t>
      </w:r>
    </w:p>
    <w:p w14:paraId="29C4FBB8">
      <w:pPr>
        <w:spacing w:after="160" w:line="288" w:lineRule="auto"/>
      </w:pPr>
      <w:r>
        <w:rPr>
          <w:b w:val="0"/>
          <w:bCs w:val="0"/>
          <w:i w:val="0"/>
          <w:iCs w:val="0"/>
          <w:sz w:val="22"/>
          <w:szCs w:val="22"/>
        </w:rPr>
        <w:t>As with equal highs, this is commonly abbreviated (EQL) in secondary ICT-focused material.</w:t>
      </w:r>
    </w:p>
    <w:p w14:paraId="2FCED4B5">
      <w:pPr>
        <w:pStyle w:val="3"/>
        <w:spacing w:before="360" w:after="160"/>
      </w:pPr>
      <w:r>
        <w:rPr>
          <w:b/>
          <w:bCs/>
          <w:color w:val="1B2A4A"/>
          <w:sz w:val="26"/>
          <w:szCs w:val="26"/>
        </w:rPr>
        <w:t>3. Beginner Explanation</w:t>
      </w:r>
    </w:p>
    <w:p w14:paraId="2A3FB7E1">
      <w:pPr>
        <w:spacing w:after="160" w:line="288" w:lineRule="auto"/>
      </w:pPr>
      <w:r>
        <w:rPr>
          <w:b w:val="0"/>
          <w:bCs w:val="0"/>
          <w:i w:val="0"/>
          <w:iCs w:val="0"/>
          <w:sz w:val="22"/>
          <w:szCs w:val="22"/>
        </w:rPr>
        <w:t>If a chart shows two dips that fall to almost exactly the same depth, separated by some time and at least one rally in between, those two dips are equal lows — read within this framework as a bigger-than-usual pile of resting sell orders just below that shared depth.</w:t>
      </w:r>
    </w:p>
    <w:p w14:paraId="0A2B9C5A">
      <w:pPr>
        <w:pStyle w:val="3"/>
        <w:spacing w:before="360" w:after="160"/>
      </w:pPr>
      <w:r>
        <w:rPr>
          <w:b/>
          <w:bCs/>
          <w:color w:val="1B2A4A"/>
          <w:sz w:val="26"/>
          <w:szCs w:val="26"/>
        </w:rPr>
        <w:t>4. How to Identify It</w:t>
      </w:r>
    </w:p>
    <w:p w14:paraId="3483FD93">
      <w:pPr>
        <w:pStyle w:val="16"/>
        <w:numPr>
          <w:ilvl w:val="0"/>
          <w:numId w:val="1"/>
        </w:numPr>
        <w:spacing w:after="80" w:line="276" w:lineRule="auto"/>
      </w:pPr>
      <w:r>
        <w:rPr>
          <w:sz w:val="22"/>
          <w:szCs w:val="22"/>
        </w:rPr>
        <w:t>Identify two or more confirmed swing lows on the chart.</w:t>
      </w:r>
    </w:p>
    <w:p w14:paraId="46A8B8CA">
      <w:pPr>
        <w:pStyle w:val="16"/>
        <w:numPr>
          <w:ilvl w:val="0"/>
          <w:numId w:val="1"/>
        </w:numPr>
        <w:spacing w:after="80" w:line="276" w:lineRule="auto"/>
      </w:pPr>
      <w:r>
        <w:rPr>
          <w:sz w:val="22"/>
          <w:szCs w:val="22"/>
        </w:rPr>
        <w:t>Compare their prices; if they sit at, or within a small tolerance of, the same level, classify them as equal lows.</w:t>
      </w:r>
    </w:p>
    <w:p w14:paraId="1D17C598">
      <w:pPr>
        <w:pStyle w:val="16"/>
        <w:numPr>
          <w:ilvl w:val="0"/>
          <w:numId w:val="1"/>
        </w:numPr>
        <w:spacing w:after="80" w:line="276" w:lineRule="auto"/>
      </w:pPr>
      <w:r>
        <w:rPr>
          <w:sz w:val="22"/>
          <w:szCs w:val="22"/>
        </w:rPr>
        <w:t>Mark the sell-side liquidity pool as resting just below this shared level.</w:t>
      </w:r>
    </w:p>
    <w:p w14:paraId="771117AB">
      <w:pPr>
        <w:pStyle w:val="16"/>
        <w:numPr>
          <w:ilvl w:val="0"/>
          <w:numId w:val="1"/>
        </w:numPr>
        <w:spacing w:after="80" w:line="276" w:lineRule="auto"/>
      </w:pPr>
      <w:r>
        <w:rPr>
          <w:sz w:val="22"/>
          <w:szCs w:val="22"/>
        </w:rPr>
        <w:t>Treat this pool as a higher-priority target than an isolated single swing low.</w:t>
      </w:r>
    </w:p>
    <w:p w14:paraId="3C155CED">
      <w:pPr>
        <w:pStyle w:val="3"/>
        <w:spacing w:before="360" w:after="160"/>
      </w:pPr>
      <w:r>
        <w:rPr>
          <w:b/>
          <w:bCs/>
          <w:color w:val="1B2A4A"/>
          <w:sz w:val="26"/>
          <w:szCs w:val="26"/>
        </w:rPr>
        <w:t>5. Simple Price Example</w:t>
      </w:r>
    </w:p>
    <w:p w14:paraId="59C50ECB">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115 → 100 → 108 → 101 → 112 → 99.8</w:t>
      </w:r>
    </w:p>
    <w:p w14:paraId="06603DFD">
      <w:pPr>
        <w:spacing w:after="160" w:line="288" w:lineRule="auto"/>
      </w:pPr>
      <w:r>
        <w:rPr>
          <w:b w:val="0"/>
          <w:bCs w:val="0"/>
          <w:i w:val="0"/>
          <w:iCs w:val="0"/>
          <w:sz w:val="22"/>
          <w:szCs w:val="22"/>
        </w:rPr>
        <w:t>The swing lows at 100 and 99.8 are close enough to be classified as equal lows. This shared level, just below 99.8, would be marked as a denser sell-side liquidity pool than either low would represent individually.</w:t>
      </w:r>
    </w:p>
    <w:p w14:paraId="04AB8976">
      <w:pPr>
        <w:pStyle w:val="3"/>
        <w:spacing w:before="360" w:after="160"/>
      </w:pPr>
      <w:r>
        <w:rPr>
          <w:b/>
          <w:bCs/>
          <w:color w:val="1B2A4A"/>
          <w:sz w:val="26"/>
          <w:szCs w:val="26"/>
        </w:rPr>
        <w:t>6. What It Tells the Trader</w:t>
      </w:r>
    </w:p>
    <w:p w14:paraId="7A69E687">
      <w:pPr>
        <w:spacing w:after="160" w:line="288" w:lineRule="auto"/>
      </w:pPr>
      <w:r>
        <w:rPr>
          <w:b w:val="0"/>
          <w:bCs w:val="0"/>
          <w:i w:val="0"/>
          <w:iCs w:val="0"/>
          <w:sz w:val="22"/>
          <w:szCs w:val="22"/>
        </w:rPr>
        <w:t>Equal lows tell the trader that a particular level is likely to be a higher-priority target for a downward liquidity-seeking move.</w:t>
      </w:r>
    </w:p>
    <w:p w14:paraId="51467C10">
      <w:pPr>
        <w:spacing w:after="160" w:line="288" w:lineRule="auto"/>
      </w:pPr>
      <w:r>
        <w:rPr>
          <w:b w:val="0"/>
          <w:bCs w:val="0"/>
          <w:i w:val="0"/>
          <w:iCs w:val="0"/>
          <w:sz w:val="22"/>
          <w:szCs w:val="22"/>
        </w:rPr>
        <w:t>They do not tell the trader whether the level will be swept and reversed or broken through and continued beyond.</w:t>
      </w:r>
    </w:p>
    <w:p w14:paraId="1169DAC9">
      <w:pPr>
        <w:pStyle w:val="3"/>
        <w:spacing w:before="360" w:after="160"/>
      </w:pPr>
      <w:r>
        <w:rPr>
          <w:b/>
          <w:bCs/>
          <w:color w:val="1B2A4A"/>
          <w:sz w:val="26"/>
          <w:szCs w:val="26"/>
        </w:rPr>
        <w:t>7. What It Is Commonly Paired With</w:t>
      </w:r>
    </w:p>
    <w:p w14:paraId="757C8F5D">
      <w:pPr>
        <w:pStyle w:val="16"/>
        <w:numPr>
          <w:ilvl w:val="0"/>
          <w:numId w:val="2"/>
        </w:numPr>
        <w:spacing w:after="80" w:line="276" w:lineRule="auto"/>
      </w:pPr>
      <w:r>
        <w:rPr>
          <w:sz w:val="22"/>
          <w:szCs w:val="22"/>
        </w:rPr>
        <w:t>Sell-Side Liquidity</w:t>
      </w:r>
    </w:p>
    <w:p w14:paraId="2A35E03E">
      <w:pPr>
        <w:pStyle w:val="16"/>
        <w:numPr>
          <w:ilvl w:val="0"/>
          <w:numId w:val="2"/>
        </w:numPr>
        <w:spacing w:after="80" w:line="276" w:lineRule="auto"/>
      </w:pPr>
      <w:r>
        <w:rPr>
          <w:sz w:val="22"/>
          <w:szCs w:val="22"/>
        </w:rPr>
        <w:t>Liquidity Sweep</w:t>
      </w:r>
    </w:p>
    <w:p w14:paraId="7C9CC938">
      <w:pPr>
        <w:pStyle w:val="16"/>
        <w:numPr>
          <w:ilvl w:val="0"/>
          <w:numId w:val="2"/>
        </w:numPr>
        <w:spacing w:after="80" w:line="276" w:lineRule="auto"/>
      </w:pPr>
      <w:r>
        <w:rPr>
          <w:sz w:val="22"/>
          <w:szCs w:val="22"/>
        </w:rPr>
        <w:t>Stop Hunt</w:t>
      </w:r>
    </w:p>
    <w:p w14:paraId="18654484">
      <w:pPr>
        <w:spacing w:after="160" w:line="288" w:lineRule="auto"/>
      </w:pPr>
      <w:r>
        <w:rPr>
          <w:b w:val="0"/>
          <w:bCs w:val="0"/>
          <w:i w:val="0"/>
          <w:iCs w:val="0"/>
          <w:sz w:val="22"/>
          <w:szCs w:val="22"/>
        </w:rPr>
        <w:t>Equal lows are a specific, higher-confidence version of a sell-side liquidity pool, and are commonly cited as a setup for a subsequent liquidity sweep or stop hunt.</w:t>
      </w:r>
    </w:p>
    <w:p w14:paraId="18EB14A7">
      <w:pPr>
        <w:pStyle w:val="3"/>
        <w:spacing w:before="360" w:after="160"/>
      </w:pPr>
      <w:r>
        <w:rPr>
          <w:b/>
          <w:bCs/>
          <w:color w:val="1B2A4A"/>
          <w:sz w:val="26"/>
          <w:szCs w:val="26"/>
        </w:rPr>
        <w:t>8. Where It Fits in the ICT Framework</w:t>
      </w:r>
    </w:p>
    <w:p w14:paraId="55699592">
      <w:pPr>
        <w:spacing w:after="160" w:line="288" w:lineRule="auto"/>
      </w:pPr>
      <w:r>
        <w:rPr>
          <w:b w:val="0"/>
          <w:bCs w:val="0"/>
          <w:i w:val="0"/>
          <w:iCs w:val="0"/>
          <w:sz w:val="22"/>
          <w:szCs w:val="22"/>
        </w:rPr>
        <w:t>Comes before: Requires Sell-Side Liquidity.</w:t>
      </w:r>
    </w:p>
    <w:p w14:paraId="36C051E2">
      <w:pPr>
        <w:spacing w:after="160" w:line="288" w:lineRule="auto"/>
      </w:pPr>
      <w:r>
        <w:rPr>
          <w:b w:val="0"/>
          <w:bCs w:val="0"/>
          <w:i w:val="0"/>
          <w:iCs w:val="0"/>
          <w:sz w:val="22"/>
          <w:szCs w:val="22"/>
        </w:rPr>
        <w:t>Comes after: Feeds into Liquidity Sweep and Stop Hunt.</w:t>
      </w:r>
    </w:p>
    <w:p w14:paraId="33D0178D">
      <w:pPr>
        <w:pStyle w:val="3"/>
        <w:spacing w:before="360" w:after="160"/>
      </w:pPr>
      <w:r>
        <w:rPr>
          <w:b/>
          <w:bCs/>
          <w:color w:val="1B2A4A"/>
          <w:sz w:val="26"/>
          <w:szCs w:val="26"/>
        </w:rPr>
        <w:t>9. Beginner Mistakes</w:t>
      </w:r>
    </w:p>
    <w:p w14:paraId="5B2A665D">
      <w:pPr>
        <w:pStyle w:val="16"/>
        <w:numPr>
          <w:ilvl w:val="0"/>
          <w:numId w:val="2"/>
        </w:numPr>
        <w:spacing w:after="80" w:line="276" w:lineRule="auto"/>
      </w:pPr>
      <w:r>
        <w:rPr>
          <w:sz w:val="22"/>
          <w:szCs w:val="22"/>
        </w:rPr>
        <w:t>Requiring perfectly identical prices before calling two lows "equal."</w:t>
      </w:r>
    </w:p>
    <w:p w14:paraId="111FBED0">
      <w:pPr>
        <w:pStyle w:val="16"/>
        <w:numPr>
          <w:ilvl w:val="0"/>
          <w:numId w:val="2"/>
        </w:numPr>
        <w:spacing w:after="80" w:line="276" w:lineRule="auto"/>
      </w:pPr>
      <w:r>
        <w:rPr>
          <w:sz w:val="22"/>
          <w:szCs w:val="22"/>
        </w:rPr>
        <w:t>Assuming equal lows guarantee a bullish reversal.</w:t>
      </w:r>
    </w:p>
    <w:p w14:paraId="7DD4732D">
      <w:pPr>
        <w:pStyle w:val="3"/>
        <w:spacing w:before="360" w:after="160"/>
      </w:pPr>
      <w:r>
        <w:rPr>
          <w:b/>
          <w:bCs/>
          <w:color w:val="1B2A4A"/>
          <w:sz w:val="26"/>
          <w:szCs w:val="26"/>
        </w:rPr>
        <w:t>10. Important Qualification</w:t>
      </w:r>
    </w:p>
    <w:p w14:paraId="4FEE4D08">
      <w:pPr>
        <w:pBdr>
          <w:left w:val="single" w:color="7A2E2E" w:sz="24" w:space="8"/>
        </w:pBdr>
        <w:shd w:val="clear" w:fill="EFEFEF"/>
        <w:spacing w:before="160" w:after="200"/>
        <w:ind w:left="200"/>
      </w:pPr>
      <w:r>
        <w:rPr>
          <w:b/>
          <w:bCs/>
          <w:color w:val="7A2E2E"/>
          <w:sz w:val="21"/>
          <w:szCs w:val="21"/>
        </w:rPr>
        <w:t xml:space="preserve">Qualification: </w:t>
      </w:r>
      <w:r>
        <w:rPr>
          <w:sz w:val="21"/>
          <w:szCs w:val="21"/>
        </w:rPr>
        <w:t>Equal lows mark an attractive downside target, not a guaranteed turning point.</w:t>
      </w:r>
    </w:p>
    <w:p w14:paraId="2A66D6DD">
      <w:pPr>
        <w:pStyle w:val="3"/>
        <w:spacing w:before="360" w:after="160"/>
      </w:pPr>
      <w:r>
        <w:rPr>
          <w:b/>
          <w:bCs/>
          <w:color w:val="1B2A4A"/>
          <w:sz w:val="26"/>
          <w:szCs w:val="26"/>
        </w:rPr>
        <w:t>11. Source</w:t>
      </w:r>
    </w:p>
    <w:p w14:paraId="5ACC6608"/>
    <w:p w14:paraId="54004EB3">
      <w:pPr>
        <w:pStyle w:val="16"/>
        <w:numPr>
          <w:ilvl w:val="0"/>
          <w:numId w:val="2"/>
        </w:numPr>
        <w:spacing w:after="80" w:line="276" w:lineRule="auto"/>
      </w:pPr>
      <w:r>
        <w:rPr>
          <w:sz w:val="22"/>
          <w:szCs w:val="22"/>
        </w:rPr>
        <w:t>r2ftrading.com — "Equal Highs and Equal Lows ICT: Liquidity Targets Explained."</w:t>
      </w:r>
    </w:p>
    <w:p w14:paraId="56CFFA94">
      <w:pPr>
        <w:pStyle w:val="16"/>
        <w:numPr>
          <w:ilvl w:val="0"/>
          <w:numId w:val="2"/>
        </w:numPr>
        <w:spacing w:after="80" w:line="276" w:lineRule="auto"/>
      </w:pPr>
      <w:r>
        <w:rPr>
          <w:sz w:val="22"/>
          <w:szCs w:val="22"/>
        </w:rPr>
        <w:t>writofinance.com — "Buy Side and Sell Side Liquidity – ICT and SMC Trading" (equal lows as sell-stop clusters).</w:t>
      </w:r>
    </w:p>
    <w:p w14:paraId="0B10BB40">
      <w:r>
        <w:br w:type="page"/>
      </w:r>
    </w:p>
    <w:p w14:paraId="24327716">
      <w:pPr>
        <w:pStyle w:val="2"/>
        <w:pBdr>
          <w:bottom w:val="single" w:color="1B2A4A" w:sz="12" w:space="4"/>
        </w:pBdr>
        <w:spacing w:before="480" w:after="240"/>
      </w:pPr>
      <w:r>
        <w:rPr>
          <w:b/>
          <w:bCs/>
          <w:color w:val="1B2A4A"/>
          <w:sz w:val="34"/>
          <w:szCs w:val="34"/>
        </w:rPr>
        <w:t>Stop Hunt</w:t>
      </w:r>
    </w:p>
    <w:p w14:paraId="36B0F9E2">
      <w:pPr>
        <w:pStyle w:val="3"/>
        <w:spacing w:before="360" w:after="160"/>
      </w:pPr>
      <w:r>
        <w:rPr>
          <w:b/>
          <w:bCs/>
          <w:color w:val="1B2A4A"/>
          <w:sz w:val="26"/>
          <w:szCs w:val="26"/>
        </w:rPr>
        <w:t>1. Definition</w:t>
      </w:r>
    </w:p>
    <w:p w14:paraId="204D7F4F">
      <w:pPr>
        <w:spacing w:after="160" w:line="288" w:lineRule="auto"/>
      </w:pPr>
      <w:r>
        <w:rPr>
          <w:b w:val="0"/>
          <w:bCs w:val="0"/>
          <w:i w:val="0"/>
          <w:iCs w:val="0"/>
          <w:sz w:val="22"/>
          <w:szCs w:val="22"/>
        </w:rPr>
        <w:t>A stop hunt is a price move that pushes briefly beyond a level known to hold a concentration of stop-loss orders, triggering those orders, before reversing back in the opposite direction.</w:t>
      </w:r>
    </w:p>
    <w:p w14:paraId="0048116E">
      <w:pPr>
        <w:pStyle w:val="3"/>
        <w:spacing w:before="360" w:after="160"/>
      </w:pPr>
      <w:r>
        <w:rPr>
          <w:b/>
          <w:bCs/>
          <w:color w:val="1B2A4A"/>
          <w:sz w:val="26"/>
          <w:szCs w:val="26"/>
        </w:rPr>
        <w:t>2. ICT's Meaning</w:t>
      </w:r>
    </w:p>
    <w:p w14:paraId="4A80C1D8">
      <w:pPr>
        <w:spacing w:after="160" w:line="288" w:lineRule="auto"/>
      </w:pPr>
      <w:r>
        <w:rPr>
          <w:b w:val="0"/>
          <w:bCs w:val="0"/>
          <w:i w:val="0"/>
          <w:iCs w:val="0"/>
          <w:sz w:val="22"/>
          <w:szCs w:val="22"/>
        </w:rPr>
        <w:t>ICT-focused teaching frames a stop hunt as a description of the mechanism, not merely the outcome: price is understood to be deliberately (from the institutional perspective) driven just beyond an obvious level specifically because doing so activates a cluster of stop-loss orders, providing exactly the counter-side order flow institutions are described as needing to fill large positions.</w:t>
      </w:r>
    </w:p>
    <w:p w14:paraId="30BFB9DA">
      <w:pPr>
        <w:spacing w:after="160" w:line="288" w:lineRule="auto"/>
      </w:pPr>
      <w:r>
        <w:rPr>
          <w:b w:val="0"/>
          <w:bCs w:val="0"/>
          <w:i w:val="0"/>
          <w:iCs w:val="0"/>
          <w:sz w:val="22"/>
          <w:szCs w:val="22"/>
        </w:rPr>
        <w:t>Some ICT-focused sources use "stop hunt" and "liquidity sweep" as near-interchangeable terms, while others (see Liquidity Sweep below) treat "liquidity sweep" as the more general, neutral technical term and "stop hunt" as the more narrative, intent-implying version of the same observable price action.</w:t>
      </w:r>
    </w:p>
    <w:p w14:paraId="1B931590">
      <w:pPr>
        <w:pStyle w:val="3"/>
        <w:spacing w:before="360" w:after="160"/>
      </w:pPr>
      <w:r>
        <w:rPr>
          <w:b/>
          <w:bCs/>
          <w:color w:val="1B2A4A"/>
          <w:sz w:val="26"/>
          <w:szCs w:val="26"/>
        </w:rPr>
        <w:t>3. Beginner Explanation</w:t>
      </w:r>
    </w:p>
    <w:p w14:paraId="7EF121D9">
      <w:pPr>
        <w:spacing w:after="160" w:line="288" w:lineRule="auto"/>
      </w:pPr>
      <w:r>
        <w:rPr>
          <w:b w:val="0"/>
          <w:bCs w:val="0"/>
          <w:i w:val="0"/>
          <w:iCs w:val="0"/>
          <w:sz w:val="22"/>
          <w:szCs w:val="22"/>
        </w:rPr>
        <w:t>A stop hunt is exactly what it sounds like: a price move specifically aimed at an area known to be full of automatic exit orders (stops), briefly pushing through that area to trigger them, and then reversing — as if the move's purpose was to "hunt" those orders rather than to establish a genuine new trend.</w:t>
      </w:r>
    </w:p>
    <w:p w14:paraId="24EEE8AF">
      <w:pPr>
        <w:pStyle w:val="3"/>
        <w:spacing w:before="360" w:after="160"/>
      </w:pPr>
      <w:r>
        <w:rPr>
          <w:b/>
          <w:bCs/>
          <w:color w:val="1B2A4A"/>
          <w:sz w:val="26"/>
          <w:szCs w:val="26"/>
        </w:rPr>
        <w:t>4. How to Identify It</w:t>
      </w:r>
    </w:p>
    <w:p w14:paraId="57B78AA6">
      <w:pPr>
        <w:pStyle w:val="16"/>
        <w:numPr>
          <w:ilvl w:val="0"/>
          <w:numId w:val="1"/>
        </w:numPr>
        <w:spacing w:after="80" w:line="276" w:lineRule="auto"/>
      </w:pPr>
      <w:r>
        <w:rPr>
          <w:sz w:val="22"/>
          <w:szCs w:val="22"/>
        </w:rPr>
        <w:t>Identify a level with an established concentration of resting stop-loss orders (a swing high/low, equal highs/lows, or another marked liquidity pool).</w:t>
      </w:r>
    </w:p>
    <w:p w14:paraId="6628D04A">
      <w:pPr>
        <w:pStyle w:val="16"/>
        <w:numPr>
          <w:ilvl w:val="0"/>
          <w:numId w:val="1"/>
        </w:numPr>
        <w:spacing w:after="80" w:line="276" w:lineRule="auto"/>
      </w:pPr>
      <w:r>
        <w:rPr>
          <w:sz w:val="22"/>
          <w:szCs w:val="22"/>
        </w:rPr>
        <w:t>Watch for price to move briefly beyond that level.</w:t>
      </w:r>
    </w:p>
    <w:p w14:paraId="799FA507">
      <w:pPr>
        <w:pStyle w:val="16"/>
        <w:numPr>
          <w:ilvl w:val="0"/>
          <w:numId w:val="1"/>
        </w:numPr>
        <w:spacing w:after="80" w:line="276" w:lineRule="auto"/>
      </w:pPr>
      <w:r>
        <w:rPr>
          <w:sz w:val="22"/>
          <w:szCs w:val="22"/>
        </w:rPr>
        <w:t>Confirm the move does not sustain — price reverses back to the other side of the level shortly after, often within the same or the next few candles.</w:t>
      </w:r>
    </w:p>
    <w:p w14:paraId="5F4D1AEA">
      <w:pPr>
        <w:pStyle w:val="16"/>
        <w:numPr>
          <w:ilvl w:val="0"/>
          <w:numId w:val="1"/>
        </w:numPr>
        <w:spacing w:after="80" w:line="276" w:lineRule="auto"/>
      </w:pPr>
      <w:r>
        <w:rPr>
          <w:sz w:val="22"/>
          <w:szCs w:val="22"/>
        </w:rPr>
        <w:t>Distinguish this from a genuine breakout, in which price closes beyond the level and continues in that direction without a prompt reversal.</w:t>
      </w:r>
    </w:p>
    <w:p w14:paraId="7F0B5BE8">
      <w:pPr>
        <w:pStyle w:val="3"/>
        <w:spacing w:before="360" w:after="160"/>
      </w:pPr>
      <w:r>
        <w:rPr>
          <w:b/>
          <w:bCs/>
          <w:color w:val="1B2A4A"/>
          <w:sz w:val="26"/>
          <w:szCs w:val="26"/>
        </w:rPr>
        <w:t>5. Simple Price Example</w:t>
      </w:r>
    </w:p>
    <w:p w14:paraId="7DE6059C">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108 → 106 → 109 → 104 → 110</w:t>
      </w:r>
    </w:p>
    <w:p w14:paraId="02B90CBE">
      <w:pPr>
        <w:spacing w:after="160" w:line="288" w:lineRule="auto"/>
      </w:pPr>
      <w:r>
        <w:rPr>
          <w:b w:val="0"/>
          <w:bCs w:val="0"/>
          <w:i w:val="0"/>
          <w:iCs w:val="0"/>
          <w:sz w:val="22"/>
          <w:szCs w:val="22"/>
        </w:rPr>
        <w:t>Assume a well-established swing low near 106 (holding resting sell-stop orders). Price briefly pushes down to 104 — below the presumed liquidity level — before quickly reversing back up to 110. This brief dip below 106 and swift reversal is read, within ICT's framework, as a stop hunt: the dip served to trigger sell-stop orders resting below 106 before reversing.</w:t>
      </w:r>
    </w:p>
    <w:p w14:paraId="74E20AD8">
      <w:pPr>
        <w:pStyle w:val="3"/>
        <w:spacing w:before="360" w:after="160"/>
      </w:pPr>
      <w:r>
        <w:rPr>
          <w:b/>
          <w:bCs/>
          <w:color w:val="1B2A4A"/>
          <w:sz w:val="26"/>
          <w:szCs w:val="26"/>
        </w:rPr>
        <w:t>6. What It Tells the Trader</w:t>
      </w:r>
    </w:p>
    <w:p w14:paraId="11F44F4E">
      <w:pPr>
        <w:spacing w:after="160" w:line="288" w:lineRule="auto"/>
      </w:pPr>
      <w:r>
        <w:rPr>
          <w:b w:val="0"/>
          <w:bCs w:val="0"/>
          <w:i w:val="0"/>
          <w:iCs w:val="0"/>
          <w:sz w:val="22"/>
          <w:szCs w:val="22"/>
        </w:rPr>
        <w:t>A stop hunt, once it has occurred and reversed, tells the trader that a specific liquidity level has likely been "cleared out," which some ICT-focused teaching treats as a factor that can make a subsequent reversal more credible (since the orders that might have continued to fuel a move in the original direction, or provided resistance to a reversal, have already been triggered).</w:t>
      </w:r>
    </w:p>
    <w:p w14:paraId="54437E5A">
      <w:pPr>
        <w:spacing w:after="160" w:line="288" w:lineRule="auto"/>
      </w:pPr>
      <w:r>
        <w:rPr>
          <w:b w:val="0"/>
          <w:bCs w:val="0"/>
          <w:i w:val="0"/>
          <w:iCs w:val="0"/>
          <w:sz w:val="22"/>
          <w:szCs w:val="22"/>
        </w:rPr>
        <w:t>It does not tell the trader, while the move beyond the level is still in progress, whether this is in fact a stop hunt about to reverse or the start of a genuine breakout continuation — the two look identical until the reversal (or lack of one) actually happens.</w:t>
      </w:r>
    </w:p>
    <w:p w14:paraId="13F11335">
      <w:pPr>
        <w:pStyle w:val="3"/>
        <w:spacing w:before="360" w:after="160"/>
      </w:pPr>
      <w:r>
        <w:rPr>
          <w:b/>
          <w:bCs/>
          <w:color w:val="1B2A4A"/>
          <w:sz w:val="26"/>
          <w:szCs w:val="26"/>
        </w:rPr>
        <w:t>7. What It Is Commonly Paired With</w:t>
      </w:r>
    </w:p>
    <w:p w14:paraId="0D5EF07D">
      <w:pPr>
        <w:pStyle w:val="16"/>
        <w:numPr>
          <w:ilvl w:val="0"/>
          <w:numId w:val="2"/>
        </w:numPr>
        <w:spacing w:after="80" w:line="276" w:lineRule="auto"/>
      </w:pPr>
      <w:r>
        <w:rPr>
          <w:sz w:val="22"/>
          <w:szCs w:val="22"/>
        </w:rPr>
        <w:t>Liquidity Sweep</w:t>
      </w:r>
    </w:p>
    <w:p w14:paraId="6A624B95">
      <w:pPr>
        <w:pStyle w:val="16"/>
        <w:numPr>
          <w:ilvl w:val="0"/>
          <w:numId w:val="2"/>
        </w:numPr>
        <w:spacing w:after="80" w:line="276" w:lineRule="auto"/>
      </w:pPr>
      <w:r>
        <w:rPr>
          <w:sz w:val="22"/>
          <w:szCs w:val="22"/>
        </w:rPr>
        <w:t>Displacement (Module 5)</w:t>
      </w:r>
    </w:p>
    <w:p w14:paraId="5DA5C507">
      <w:pPr>
        <w:pStyle w:val="16"/>
        <w:numPr>
          <w:ilvl w:val="0"/>
          <w:numId w:val="2"/>
        </w:numPr>
        <w:spacing w:after="80" w:line="276" w:lineRule="auto"/>
      </w:pPr>
      <w:r>
        <w:rPr>
          <w:sz w:val="22"/>
          <w:szCs w:val="22"/>
        </w:rPr>
        <w:t>Market Structure Shift (Module 3)</w:t>
      </w:r>
    </w:p>
    <w:p w14:paraId="0B65CA99">
      <w:pPr>
        <w:spacing w:after="160" w:line="288" w:lineRule="auto"/>
      </w:pPr>
      <w:r>
        <w:rPr>
          <w:b w:val="0"/>
          <w:bCs w:val="0"/>
          <w:i w:val="0"/>
          <w:iCs w:val="0"/>
          <w:sz w:val="22"/>
          <w:szCs w:val="22"/>
        </w:rPr>
        <w:t>A stop hunt is most useful within ICT's framework when it is immediately followed by displacement and a market structure shift — this combination (sweep/hunt, then forceful reversal, then structural confirmation) is treated as significantly more reliable than a stop hunt observed in isolation.</w:t>
      </w:r>
    </w:p>
    <w:p w14:paraId="44E52D64">
      <w:pPr>
        <w:pStyle w:val="3"/>
        <w:spacing w:before="360" w:after="160"/>
      </w:pPr>
      <w:r>
        <w:rPr>
          <w:b/>
          <w:bCs/>
          <w:color w:val="1B2A4A"/>
          <w:sz w:val="26"/>
          <w:szCs w:val="26"/>
        </w:rPr>
        <w:t>8. Where It Fits in the ICT Framework</w:t>
      </w:r>
    </w:p>
    <w:p w14:paraId="2E00D52C">
      <w:pPr>
        <w:spacing w:after="160" w:line="288" w:lineRule="auto"/>
      </w:pPr>
      <w:r>
        <w:rPr>
          <w:b w:val="0"/>
          <w:bCs w:val="0"/>
          <w:i w:val="0"/>
          <w:iCs w:val="0"/>
          <w:sz w:val="22"/>
          <w:szCs w:val="22"/>
        </w:rPr>
        <w:t>Comes before: Requires Equal Highs/Lows and Buy-Side/Sell-Side Liquidity.</w:t>
      </w:r>
    </w:p>
    <w:p w14:paraId="72C142DC">
      <w:pPr>
        <w:spacing w:after="160" w:line="288" w:lineRule="auto"/>
      </w:pPr>
      <w:r>
        <w:rPr>
          <w:b w:val="0"/>
          <w:bCs w:val="0"/>
          <w:i w:val="0"/>
          <w:iCs w:val="0"/>
          <w:sz w:val="22"/>
          <w:szCs w:val="22"/>
        </w:rPr>
        <w:t>Comes after: Feeds into Liquidity Sweep, Displacement (Module 5), and the ICT Buy/Sell Models (Modules 11–12).</w:t>
      </w:r>
    </w:p>
    <w:p w14:paraId="0CF536C0">
      <w:pPr>
        <w:pStyle w:val="3"/>
        <w:spacing w:before="360" w:after="160"/>
      </w:pPr>
      <w:r>
        <w:rPr>
          <w:b/>
          <w:bCs/>
          <w:color w:val="1B2A4A"/>
          <w:sz w:val="26"/>
          <w:szCs w:val="26"/>
        </w:rPr>
        <w:t>9. Beginner Mistakes</w:t>
      </w:r>
    </w:p>
    <w:p w14:paraId="7D3AB8F2">
      <w:pPr>
        <w:pStyle w:val="16"/>
        <w:numPr>
          <w:ilvl w:val="0"/>
          <w:numId w:val="2"/>
        </w:numPr>
        <w:spacing w:after="80" w:line="276" w:lineRule="auto"/>
      </w:pPr>
      <w:r>
        <w:rPr>
          <w:sz w:val="22"/>
          <w:szCs w:val="22"/>
        </w:rPr>
        <w:t>Labeling any brief wick beyond a level as a stop hunt before waiting for confirmation of an actual reversal.</w:t>
      </w:r>
    </w:p>
    <w:p w14:paraId="28B072F7">
      <w:pPr>
        <w:pStyle w:val="16"/>
        <w:numPr>
          <w:ilvl w:val="0"/>
          <w:numId w:val="2"/>
        </w:numPr>
        <w:spacing w:after="80" w:line="276" w:lineRule="auto"/>
      </w:pPr>
      <w:r>
        <w:rPr>
          <w:sz w:val="22"/>
          <w:szCs w:val="22"/>
        </w:rPr>
        <w:t>Attempting to enter a trade the instant price crosses a liquidity level, rather than waiting for the reversal and subsequent structural confirmation.</w:t>
      </w:r>
    </w:p>
    <w:p w14:paraId="2904D399">
      <w:pPr>
        <w:pStyle w:val="3"/>
        <w:spacing w:before="360" w:after="160"/>
      </w:pPr>
      <w:r>
        <w:rPr>
          <w:b/>
          <w:bCs/>
          <w:color w:val="1B2A4A"/>
          <w:sz w:val="26"/>
          <w:szCs w:val="26"/>
        </w:rPr>
        <w:t>10. Important Qualification</w:t>
      </w:r>
    </w:p>
    <w:p w14:paraId="3B777A9C">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 stop hunt can only be confirmed after the fact, once price has actually reversed. While the move beyond the level is happening, it is indistinguishable from a genuine breakout, and treating every level cross as a stop hunt in real time will produce many false reads.</w:t>
      </w:r>
    </w:p>
    <w:p w14:paraId="1E4334C3">
      <w:pPr>
        <w:pStyle w:val="3"/>
        <w:spacing w:before="360" w:after="160"/>
      </w:pPr>
      <w:r>
        <w:rPr>
          <w:b/>
          <w:bCs/>
          <w:color w:val="1B2A4A"/>
          <w:sz w:val="26"/>
          <w:szCs w:val="26"/>
        </w:rPr>
        <w:t>11. Source</w:t>
      </w:r>
    </w:p>
    <w:p w14:paraId="7DC9CA7E"/>
    <w:p w14:paraId="18EA265C">
      <w:pPr>
        <w:pStyle w:val="16"/>
        <w:numPr>
          <w:ilvl w:val="0"/>
          <w:numId w:val="2"/>
        </w:numPr>
        <w:spacing w:after="80" w:line="276" w:lineRule="auto"/>
      </w:pPr>
      <w:r>
        <w:rPr>
          <w:sz w:val="22"/>
          <w:szCs w:val="22"/>
        </w:rPr>
        <w:t>coinranking.com — "ICT Trading Strategy Basics: Liquidity, Imbalance, Market Structure, and Timing."</w:t>
      </w:r>
    </w:p>
    <w:p w14:paraId="38F6D898">
      <w:pPr>
        <w:pStyle w:val="16"/>
        <w:numPr>
          <w:ilvl w:val="0"/>
          <w:numId w:val="2"/>
        </w:numPr>
        <w:spacing w:after="80" w:line="276" w:lineRule="auto"/>
      </w:pPr>
      <w:r>
        <w:rPr>
          <w:sz w:val="22"/>
          <w:szCs w:val="22"/>
        </w:rPr>
        <w:t>liquidity-provider.com — "Buy Side and Sell Side Liquidity Explained" (candlestick wick/spike signals of stop hunts).</w:t>
      </w:r>
    </w:p>
    <w:p w14:paraId="33B1F4D4">
      <w:pPr>
        <w:pStyle w:val="16"/>
        <w:numPr>
          <w:ilvl w:val="0"/>
          <w:numId w:val="2"/>
        </w:numPr>
        <w:spacing w:after="80" w:line="276" w:lineRule="auto"/>
      </w:pPr>
      <w:r>
        <w:rPr>
          <w:sz w:val="22"/>
          <w:szCs w:val="22"/>
        </w:rPr>
        <w:t>ebc.com — "ICT Trading Strategy Explained: A Beginner's Guide" (Judas Swing framing of stop hunts around session opens, previewed further in Module 8).</w:t>
      </w:r>
    </w:p>
    <w:p w14:paraId="1F62BDC3">
      <w:r>
        <w:br w:type="page"/>
      </w:r>
    </w:p>
    <w:p w14:paraId="7C613DF2">
      <w:pPr>
        <w:pStyle w:val="2"/>
        <w:pBdr>
          <w:bottom w:val="single" w:color="1B2A4A" w:sz="12" w:space="4"/>
        </w:pBdr>
        <w:spacing w:before="480" w:after="240"/>
      </w:pPr>
      <w:r>
        <w:rPr>
          <w:b/>
          <w:bCs/>
          <w:color w:val="1B2A4A"/>
          <w:sz w:val="34"/>
          <w:szCs w:val="34"/>
        </w:rPr>
        <w:t>Liquidity Sweep</w:t>
      </w:r>
    </w:p>
    <w:p w14:paraId="0B014D38">
      <w:pPr>
        <w:pStyle w:val="3"/>
        <w:spacing w:before="360" w:after="160"/>
      </w:pPr>
      <w:r>
        <w:rPr>
          <w:b/>
          <w:bCs/>
          <w:color w:val="1B2A4A"/>
          <w:sz w:val="26"/>
          <w:szCs w:val="26"/>
        </w:rPr>
        <w:t>1. Definition</w:t>
      </w:r>
    </w:p>
    <w:p w14:paraId="10BB6F53">
      <w:pPr>
        <w:spacing w:after="160" w:line="288" w:lineRule="auto"/>
      </w:pPr>
      <w:r>
        <w:rPr>
          <w:b w:val="0"/>
          <w:bCs w:val="0"/>
          <w:i w:val="0"/>
          <w:iCs w:val="0"/>
          <w:sz w:val="22"/>
          <w:szCs w:val="22"/>
        </w:rPr>
        <w:t>A liquidity sweep is the technical, outcome-focused term for price briefly trading through a marked liquidity level (a swing high/low, equal highs/lows, or other resting-order concentration) and then reversing — the same observable event described more narratively as a stop hunt.</w:t>
      </w:r>
    </w:p>
    <w:p w14:paraId="4CDDC1CA">
      <w:pPr>
        <w:pStyle w:val="3"/>
        <w:spacing w:before="360" w:after="160"/>
      </w:pPr>
      <w:r>
        <w:rPr>
          <w:b/>
          <w:bCs/>
          <w:color w:val="1B2A4A"/>
          <w:sz w:val="26"/>
          <w:szCs w:val="26"/>
        </w:rPr>
        <w:t>2. ICT's Meaning</w:t>
      </w:r>
    </w:p>
    <w:p w14:paraId="22E19360">
      <w:pPr>
        <w:spacing w:after="160" w:line="288" w:lineRule="auto"/>
      </w:pPr>
      <w:r>
        <w:rPr>
          <w:b w:val="0"/>
          <w:bCs w:val="0"/>
          <w:i w:val="0"/>
          <w:iCs w:val="0"/>
          <w:sz w:val="22"/>
          <w:szCs w:val="22"/>
        </w:rPr>
        <w:t>ICT-focused sources generally treat "liquidity sweep" as the more neutral, descriptive term for the price action itself (a wick or brief close beyond a level, followed by a reversal), reserving "stop hunt" for the same event when emphasizing the presumed institutional intent behind it. Some sources use the two terms interchangeably; this book uses "liquidity sweep" as the primary technical term and treats "stop hunt" as a synonym describing the same observed price behavior with an added narrative of deliberate intent.</w:t>
      </w:r>
    </w:p>
    <w:p w14:paraId="58733687">
      <w:pPr>
        <w:spacing w:after="160" w:line="288" w:lineRule="auto"/>
      </w:pPr>
      <w:r>
        <w:rPr>
          <w:b w:val="0"/>
          <w:bCs w:val="0"/>
          <w:i w:val="0"/>
          <w:iCs w:val="0"/>
          <w:sz w:val="22"/>
          <w:szCs w:val="22"/>
        </w:rPr>
        <w:t>A liquidity sweep is treated across ICT-focused sources as one of the necessary early ingredients of a high-quality reversal setup: several sources explicitly describe a required sequence of sweep, then displacement, then a market-structure shift confirmation, as the backbone of both the ICT Buy Model and ICT Sell Model (Modules 11–12).</w:t>
      </w:r>
    </w:p>
    <w:p w14:paraId="707D8E02">
      <w:pPr>
        <w:pStyle w:val="3"/>
        <w:spacing w:before="360" w:after="160"/>
      </w:pPr>
      <w:r>
        <w:rPr>
          <w:b/>
          <w:bCs/>
          <w:color w:val="1B2A4A"/>
          <w:sz w:val="26"/>
          <w:szCs w:val="26"/>
        </w:rPr>
        <w:t>3. Beginner Explanation</w:t>
      </w:r>
    </w:p>
    <w:p w14:paraId="683E8D9D">
      <w:pPr>
        <w:spacing w:after="160" w:line="288" w:lineRule="auto"/>
      </w:pPr>
      <w:r>
        <w:rPr>
          <w:b w:val="0"/>
          <w:bCs w:val="0"/>
          <w:i w:val="0"/>
          <w:iCs w:val="0"/>
          <w:sz w:val="22"/>
          <w:szCs w:val="22"/>
        </w:rPr>
        <w:t>A liquidity sweep is just the technical name for "price poked through a known level and immediately came back." If a stop hunt is the story ("institutions deliberately triggered stops"), a liquidity sweep is the plain description of exactly what happened on the chart, regardless of why.</w:t>
      </w:r>
    </w:p>
    <w:p w14:paraId="6F7E0371">
      <w:pPr>
        <w:pStyle w:val="3"/>
        <w:spacing w:before="360" w:after="160"/>
      </w:pPr>
      <w:r>
        <w:rPr>
          <w:b/>
          <w:bCs/>
          <w:color w:val="1B2A4A"/>
          <w:sz w:val="26"/>
          <w:szCs w:val="26"/>
        </w:rPr>
        <w:t>4. How to Identify It</w:t>
      </w:r>
    </w:p>
    <w:p w14:paraId="173688FC">
      <w:pPr>
        <w:pStyle w:val="16"/>
        <w:numPr>
          <w:ilvl w:val="0"/>
          <w:numId w:val="1"/>
        </w:numPr>
        <w:spacing w:after="80" w:line="276" w:lineRule="auto"/>
      </w:pPr>
      <w:r>
        <w:rPr>
          <w:sz w:val="22"/>
          <w:szCs w:val="22"/>
        </w:rPr>
        <w:t>Mark a specific liquidity level (swing high/low, equal highs/lows, or session extreme).</w:t>
      </w:r>
    </w:p>
    <w:p w14:paraId="7614B2C8">
      <w:pPr>
        <w:pStyle w:val="16"/>
        <w:numPr>
          <w:ilvl w:val="0"/>
          <w:numId w:val="1"/>
        </w:numPr>
        <w:spacing w:after="80" w:line="276" w:lineRule="auto"/>
      </w:pPr>
      <w:r>
        <w:rPr>
          <w:sz w:val="22"/>
          <w:szCs w:val="22"/>
        </w:rPr>
        <w:t>Watch for price to trade beyond that level, ideally with a wick rather than a sustained close.</w:t>
      </w:r>
    </w:p>
    <w:p w14:paraId="689BF5E3">
      <w:pPr>
        <w:pStyle w:val="16"/>
        <w:numPr>
          <w:ilvl w:val="0"/>
          <w:numId w:val="1"/>
        </w:numPr>
        <w:spacing w:after="80" w:line="276" w:lineRule="auto"/>
      </w:pPr>
      <w:r>
        <w:rPr>
          <w:sz w:val="22"/>
          <w:szCs w:val="22"/>
        </w:rPr>
        <w:t>Confirm price reverses back through the level shortly afterward.</w:t>
      </w:r>
    </w:p>
    <w:p w14:paraId="235BC2EC">
      <w:pPr>
        <w:pStyle w:val="16"/>
        <w:numPr>
          <w:ilvl w:val="0"/>
          <w:numId w:val="1"/>
        </w:numPr>
        <w:spacing w:after="80" w:line="276" w:lineRule="auto"/>
      </w:pPr>
      <w:r>
        <w:rPr>
          <w:sz w:val="22"/>
          <w:szCs w:val="22"/>
        </w:rPr>
        <w:t>Check whether this reversal is accompanied by displacement and, ideally, a market structure shift (Modules 3 and 5) — this combination is what elevates a simple sweep into a higher-confidence setup.</w:t>
      </w:r>
    </w:p>
    <w:p w14:paraId="118CD46A">
      <w:pPr>
        <w:pStyle w:val="3"/>
        <w:spacing w:before="360" w:after="160"/>
      </w:pPr>
      <w:r>
        <w:rPr>
          <w:b/>
          <w:bCs/>
          <w:color w:val="1B2A4A"/>
          <w:sz w:val="26"/>
          <w:szCs w:val="26"/>
        </w:rPr>
        <w:t>5. Simple Price Example</w:t>
      </w:r>
    </w:p>
    <w:p w14:paraId="7A933F26">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Sell-side liquidity marked at 100 (equal lows). Price: 103 → 100 → 98 → 104</w:t>
      </w:r>
    </w:p>
    <w:p w14:paraId="6363BA18">
      <w:pPr>
        <w:spacing w:after="160" w:line="288" w:lineRule="auto"/>
      </w:pPr>
      <w:r>
        <w:rPr>
          <w:b w:val="0"/>
          <w:bCs w:val="0"/>
          <w:i w:val="0"/>
          <w:iCs w:val="0"/>
          <w:sz w:val="22"/>
          <w:szCs w:val="22"/>
        </w:rPr>
        <w:t>Price dips from 100 down to 98, below the marked sell-side liquidity level, then reverses sharply back up to 104. This is a liquidity sweep of the 100 level: the sell-side liquidity pool below 100 was traded through and then abandoned as price reversed.</w:t>
      </w:r>
    </w:p>
    <w:p w14:paraId="227A5BF2">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104                  &lt;- reversal continues</w:t>
      </w:r>
      <w:r>
        <w:rPr>
          <w:rFonts w:ascii="Consolas" w:hAnsi="Consolas" w:eastAsia="Consolas" w:cs="Consolas"/>
          <w:sz w:val="19"/>
          <w:szCs w:val="19"/>
        </w:rPr>
        <w:br w:type="textWrapping"/>
      </w:r>
      <w:r>
        <w:rPr>
          <w:rFonts w:ascii="Consolas" w:hAnsi="Consolas" w:eastAsia="Consolas" w:cs="Consolas"/>
          <w:sz w:val="19"/>
          <w:szCs w:val="19"/>
        </w:rPr>
        <w:t xml:space="preserve">  \                 /</w:t>
      </w:r>
      <w:r>
        <w:rPr>
          <w:rFonts w:ascii="Consolas" w:hAnsi="Consolas" w:eastAsia="Consolas" w:cs="Consolas"/>
          <w:sz w:val="19"/>
          <w:szCs w:val="19"/>
        </w:rPr>
        <w:br w:type="textWrapping"/>
      </w:r>
      <w:r>
        <w:rPr>
          <w:rFonts w:ascii="Consolas" w:hAnsi="Consolas" w:eastAsia="Consolas" w:cs="Consolas"/>
          <w:sz w:val="19"/>
          <w:szCs w:val="19"/>
        </w:rPr>
        <w:t>103\               /</w:t>
      </w:r>
      <w:r>
        <w:rPr>
          <w:rFonts w:ascii="Consolas" w:hAnsi="Consolas" w:eastAsia="Consolas" w:cs="Consolas"/>
          <w:sz w:val="19"/>
          <w:szCs w:val="19"/>
        </w:rPr>
        <w:br w:type="textWrapping"/>
      </w:r>
      <w:r>
        <w:rPr>
          <w:rFonts w:ascii="Consolas" w:hAnsi="Consolas" w:eastAsia="Consolas" w:cs="Consolas"/>
          <w:sz w:val="19"/>
          <w:szCs w:val="19"/>
        </w:rPr>
        <w:t xml:space="preserve">    \             /</w:t>
      </w:r>
      <w:r>
        <w:rPr>
          <w:rFonts w:ascii="Consolas" w:hAnsi="Consolas" w:eastAsia="Consolas" w:cs="Consolas"/>
          <w:sz w:val="19"/>
          <w:szCs w:val="19"/>
        </w:rPr>
        <w:br w:type="textWrapping"/>
      </w:r>
      <w:r>
        <w:rPr>
          <w:rFonts w:ascii="Consolas" w:hAnsi="Consolas" w:eastAsia="Consolas" w:cs="Consolas"/>
          <w:sz w:val="19"/>
          <w:szCs w:val="19"/>
        </w:rPr>
        <w:t xml:space="preserve">    100 ---------/  &lt;- marked SSL level</w:t>
      </w:r>
      <w:r>
        <w:rPr>
          <w:rFonts w:ascii="Consolas" w:hAnsi="Consolas" w:eastAsia="Consolas" w:cs="Consolas"/>
          <w:sz w:val="19"/>
          <w:szCs w:val="19"/>
        </w:rPr>
        <w:br w:type="textWrapping"/>
      </w:r>
      <w:r>
        <w:rPr>
          <w:rFonts w:ascii="Consolas" w:hAnsi="Consolas" w:eastAsia="Consolas" w:cs="Consolas"/>
          <w:sz w:val="19"/>
          <w:szCs w:val="19"/>
        </w:rPr>
        <w:t xml:space="preserve">      \         /</w:t>
      </w:r>
      <w:r>
        <w:rPr>
          <w:rFonts w:ascii="Consolas" w:hAnsi="Consolas" w:eastAsia="Consolas" w:cs="Consolas"/>
          <w:sz w:val="19"/>
          <w:szCs w:val="19"/>
        </w:rPr>
        <w:br w:type="textWrapping"/>
      </w:r>
      <w:r>
        <w:rPr>
          <w:rFonts w:ascii="Consolas" w:hAnsi="Consolas" w:eastAsia="Consolas" w:cs="Consolas"/>
          <w:sz w:val="19"/>
          <w:szCs w:val="19"/>
        </w:rPr>
        <w:t xml:space="preserve">       98  &lt;- sweep (wick below level)</w:t>
      </w:r>
    </w:p>
    <w:p w14:paraId="251C8524">
      <w:pPr>
        <w:pStyle w:val="3"/>
        <w:spacing w:before="360" w:after="160"/>
      </w:pPr>
      <w:r>
        <w:rPr>
          <w:b/>
          <w:bCs/>
          <w:color w:val="1B2A4A"/>
          <w:sz w:val="26"/>
          <w:szCs w:val="26"/>
        </w:rPr>
        <w:t>6. What It Tells the Trader</w:t>
      </w:r>
    </w:p>
    <w:p w14:paraId="5E0E5317">
      <w:pPr>
        <w:spacing w:after="160" w:line="288" w:lineRule="auto"/>
      </w:pPr>
      <w:r>
        <w:rPr>
          <w:b w:val="0"/>
          <w:bCs w:val="0"/>
          <w:i w:val="0"/>
          <w:iCs w:val="0"/>
          <w:sz w:val="22"/>
          <w:szCs w:val="22"/>
        </w:rPr>
        <w:t>A liquidity sweep tells the trader that a specific pool of resting orders has likely been triggered and absorbed, which is treated within ICT's framework as one piece of supporting evidence (not proof) that a reversal may follow.</w:t>
      </w:r>
    </w:p>
    <w:p w14:paraId="427CAA17">
      <w:pPr>
        <w:spacing w:after="160" w:line="288" w:lineRule="auto"/>
      </w:pPr>
      <w:r>
        <w:rPr>
          <w:b w:val="0"/>
          <w:bCs w:val="0"/>
          <w:i w:val="0"/>
          <w:iCs w:val="0"/>
          <w:sz w:val="22"/>
          <w:szCs w:val="22"/>
        </w:rPr>
        <w:t>It does not, on its own, confirm a reversal. Many liquidity sweeps are followed by continuation rather than reversal; ICT-focused teaching is explicit that a sweep must be paired with displacement and structural confirmation before being treated as a trade signal.</w:t>
      </w:r>
    </w:p>
    <w:p w14:paraId="28205CF1">
      <w:pPr>
        <w:pStyle w:val="3"/>
        <w:spacing w:before="360" w:after="160"/>
      </w:pPr>
      <w:r>
        <w:rPr>
          <w:b/>
          <w:bCs/>
          <w:color w:val="1B2A4A"/>
          <w:sz w:val="26"/>
          <w:szCs w:val="26"/>
        </w:rPr>
        <w:t>7. What It Is Commonly Paired With</w:t>
      </w:r>
    </w:p>
    <w:p w14:paraId="30AA34BD">
      <w:pPr>
        <w:pStyle w:val="16"/>
        <w:numPr>
          <w:ilvl w:val="0"/>
          <w:numId w:val="2"/>
        </w:numPr>
        <w:spacing w:after="80" w:line="276" w:lineRule="auto"/>
      </w:pPr>
      <w:r>
        <w:rPr>
          <w:sz w:val="22"/>
          <w:szCs w:val="22"/>
        </w:rPr>
        <w:t>Displacement (Module 5)</w:t>
      </w:r>
    </w:p>
    <w:p w14:paraId="58AF1C4C">
      <w:pPr>
        <w:pStyle w:val="16"/>
        <w:numPr>
          <w:ilvl w:val="0"/>
          <w:numId w:val="2"/>
        </w:numPr>
        <w:spacing w:after="80" w:line="276" w:lineRule="auto"/>
      </w:pPr>
      <w:r>
        <w:rPr>
          <w:sz w:val="22"/>
          <w:szCs w:val="22"/>
        </w:rPr>
        <w:t>Market Structure Shift (Module 3)</w:t>
      </w:r>
    </w:p>
    <w:p w14:paraId="4FBA0C9A">
      <w:pPr>
        <w:pStyle w:val="16"/>
        <w:numPr>
          <w:ilvl w:val="0"/>
          <w:numId w:val="2"/>
        </w:numPr>
        <w:spacing w:after="80" w:line="276" w:lineRule="auto"/>
      </w:pPr>
      <w:r>
        <w:rPr>
          <w:sz w:val="22"/>
          <w:szCs w:val="22"/>
        </w:rPr>
        <w:t>Fair Value Gap / Order Block (Modules 5–6)</w:t>
      </w:r>
    </w:p>
    <w:p w14:paraId="67C937F0">
      <w:pPr>
        <w:spacing w:after="160" w:line="288" w:lineRule="auto"/>
      </w:pPr>
      <w:r>
        <w:rPr>
          <w:b w:val="0"/>
          <w:bCs w:val="0"/>
          <w:i w:val="0"/>
          <w:iCs w:val="0"/>
          <w:sz w:val="22"/>
          <w:szCs w:val="22"/>
        </w:rPr>
        <w:t>This pairing — sweep, then displacement, then a structure shift that leaves behind a Fair Value Gap or Order Block — is the single most repeated sequence across ICT-focused secondary sources and forms the entire backbone of the ICT Buy and Sell Models covered in Modules 11 and 12.</w:t>
      </w:r>
    </w:p>
    <w:p w14:paraId="60E0F647">
      <w:pPr>
        <w:pStyle w:val="3"/>
        <w:spacing w:before="360" w:after="160"/>
      </w:pPr>
      <w:r>
        <w:rPr>
          <w:b/>
          <w:bCs/>
          <w:color w:val="1B2A4A"/>
          <w:sz w:val="26"/>
          <w:szCs w:val="26"/>
        </w:rPr>
        <w:t>8. Where It Fits in the ICT Framework</w:t>
      </w:r>
    </w:p>
    <w:p w14:paraId="545ACF47">
      <w:pPr>
        <w:spacing w:after="160" w:line="288" w:lineRule="auto"/>
      </w:pPr>
      <w:r>
        <w:rPr>
          <w:b w:val="0"/>
          <w:bCs w:val="0"/>
          <w:i w:val="0"/>
          <w:iCs w:val="0"/>
          <w:sz w:val="22"/>
          <w:szCs w:val="22"/>
        </w:rPr>
        <w:t>Comes before: Requires Liquidity Pools, Buy-Side/Sell-Side Liquidity, Equal Highs/Lows, and Stop Hunt.</w:t>
      </w:r>
    </w:p>
    <w:p w14:paraId="7DD591D9">
      <w:pPr>
        <w:spacing w:after="160" w:line="288" w:lineRule="auto"/>
      </w:pPr>
      <w:r>
        <w:rPr>
          <w:b w:val="0"/>
          <w:bCs w:val="0"/>
          <w:i w:val="0"/>
          <w:iCs w:val="0"/>
          <w:sz w:val="22"/>
          <w:szCs w:val="22"/>
        </w:rPr>
        <w:t>Comes after: This is the concluding concept of Module 4 and the direct bridge into Module 5 (Displacement &amp; Imbalance) — the next event ICT's framework looks for immediately after a liquidity sweep.</w:t>
      </w:r>
    </w:p>
    <w:p w14:paraId="5383FD01">
      <w:pPr>
        <w:pStyle w:val="3"/>
        <w:spacing w:before="360" w:after="160"/>
      </w:pPr>
      <w:r>
        <w:rPr>
          <w:b/>
          <w:bCs/>
          <w:color w:val="1B2A4A"/>
          <w:sz w:val="26"/>
          <w:szCs w:val="26"/>
        </w:rPr>
        <w:t>9. Beginner Mistakes</w:t>
      </w:r>
    </w:p>
    <w:p w14:paraId="3C996697">
      <w:pPr>
        <w:pStyle w:val="16"/>
        <w:numPr>
          <w:ilvl w:val="0"/>
          <w:numId w:val="2"/>
        </w:numPr>
        <w:spacing w:after="80" w:line="276" w:lineRule="auto"/>
      </w:pPr>
      <w:r>
        <w:rPr>
          <w:sz w:val="22"/>
          <w:szCs w:val="22"/>
        </w:rPr>
        <w:t>Entering a trade immediately upon seeing price cross a liquidity level, without waiting for the reversal to actually occur.</w:t>
      </w:r>
    </w:p>
    <w:p w14:paraId="38A12C17">
      <w:pPr>
        <w:pStyle w:val="16"/>
        <w:numPr>
          <w:ilvl w:val="0"/>
          <w:numId w:val="2"/>
        </w:numPr>
        <w:spacing w:after="80" w:line="276" w:lineRule="auto"/>
      </w:pPr>
      <w:r>
        <w:rPr>
          <w:sz w:val="22"/>
          <w:szCs w:val="22"/>
        </w:rPr>
        <w:t>Treating every liquidity sweep as automatically leading to a full reversal, ignoring the requirement for displacement and structural confirmation.</w:t>
      </w:r>
    </w:p>
    <w:p w14:paraId="2D655542">
      <w:pPr>
        <w:pStyle w:val="16"/>
        <w:numPr>
          <w:ilvl w:val="0"/>
          <w:numId w:val="2"/>
        </w:numPr>
        <w:spacing w:after="80" w:line="276" w:lineRule="auto"/>
      </w:pPr>
      <w:r>
        <w:rPr>
          <w:sz w:val="22"/>
          <w:szCs w:val="22"/>
        </w:rPr>
        <w:t>Confusing a liquidity sweep (a wick beyond a level followed by reversal) with a genuine breakout (a sustained close beyond a level followed by continuation) — the two can look identical for the first one or two candles.</w:t>
      </w:r>
    </w:p>
    <w:p w14:paraId="13A5E322">
      <w:pPr>
        <w:pStyle w:val="3"/>
        <w:spacing w:before="360" w:after="160"/>
      </w:pPr>
      <w:r>
        <w:rPr>
          <w:b/>
          <w:bCs/>
          <w:color w:val="1B2A4A"/>
          <w:sz w:val="26"/>
          <w:szCs w:val="26"/>
        </w:rPr>
        <w:t>10. Important Qualification</w:t>
      </w:r>
    </w:p>
    <w:p w14:paraId="257DD66C">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 liquidity sweep is a necessary but explicitly insufficient condition for an ICT-style reversal trade. This book, echoing consistent guidance across ICT-focused sources, treats a bare liquidity sweep — without accompanying displacement and a market structure shift — as context, not as a standalone entry signal.</w:t>
      </w:r>
    </w:p>
    <w:p w14:paraId="5DEC5958">
      <w:pPr>
        <w:pStyle w:val="3"/>
        <w:spacing w:before="360" w:after="160"/>
      </w:pPr>
      <w:r>
        <w:rPr>
          <w:b/>
          <w:bCs/>
          <w:color w:val="1B2A4A"/>
          <w:sz w:val="26"/>
          <w:szCs w:val="26"/>
        </w:rPr>
        <w:t>11. Source</w:t>
      </w:r>
    </w:p>
    <w:p w14:paraId="00A05F87"/>
    <w:p w14:paraId="1BF7597E">
      <w:pPr>
        <w:pStyle w:val="16"/>
        <w:numPr>
          <w:ilvl w:val="0"/>
          <w:numId w:val="2"/>
        </w:numPr>
        <w:spacing w:after="80" w:line="276" w:lineRule="auto"/>
      </w:pPr>
      <w:r>
        <w:rPr>
          <w:sz w:val="22"/>
          <w:szCs w:val="22"/>
        </w:rPr>
        <w:t>innercircletrader.net — "Liquidity in Forex — Buy-Side vs Sell-Side Liquidity (ICT)" (explicit sweep-then-structure-confirmation sequence).</w:t>
      </w:r>
    </w:p>
    <w:p w14:paraId="21EAAEED">
      <w:pPr>
        <w:pStyle w:val="16"/>
        <w:numPr>
          <w:ilvl w:val="0"/>
          <w:numId w:val="2"/>
        </w:numPr>
        <w:spacing w:after="80" w:line="276" w:lineRule="auto"/>
      </w:pPr>
      <w:r>
        <w:rPr>
          <w:sz w:val="22"/>
          <w:szCs w:val="22"/>
        </w:rPr>
        <w:t>ictkillzone.com — "ICT Liquidity: Buy Side, Sell Side and Sweeps Explained" ("the sweep is the accumulation phase, the reversal is the delivery phase").</w:t>
      </w:r>
    </w:p>
    <w:p w14:paraId="0EB62DF6">
      <w:pPr>
        <w:pStyle w:val="16"/>
        <w:numPr>
          <w:ilvl w:val="0"/>
          <w:numId w:val="2"/>
        </w:numPr>
        <w:spacing w:after="80" w:line="276" w:lineRule="auto"/>
      </w:pPr>
      <w:r>
        <w:rPr>
          <w:sz w:val="22"/>
          <w:szCs w:val="22"/>
        </w:rPr>
        <w:t>test-max.com — "ICT Trading Strategies: Concepts, Setups &amp; Honest Verdict" (independent framing of the sweep-then-reversal pattern as an observable phenomenon, separate from the institutional-intent narrative).</w:t>
      </w:r>
    </w:p>
    <w:p w14:paraId="7353134B">
      <w:r>
        <w:br w:type="page"/>
      </w:r>
    </w:p>
    <w:p w14:paraId="51708766">
      <w:pPr>
        <w:pStyle w:val="2"/>
        <w:pBdr>
          <w:bottom w:val="single" w:color="1B2A4A" w:sz="12" w:space="4"/>
        </w:pBdr>
        <w:spacing w:before="480" w:after="240"/>
      </w:pPr>
      <w:r>
        <w:rPr>
          <w:b/>
          <w:bCs/>
          <w:color w:val="1B2A4A"/>
          <w:sz w:val="34"/>
          <w:szCs w:val="34"/>
        </w:rPr>
        <w:t>How These Concepts Connect</w:t>
      </w:r>
    </w:p>
    <w:p w14:paraId="2353C56E">
      <w:pPr>
        <w:spacing w:after="160" w:line="288" w:lineRule="auto"/>
      </w:pPr>
      <w:r>
        <w:rPr>
          <w:b w:val="0"/>
          <w:bCs w:val="0"/>
          <w:i w:val="0"/>
          <w:iCs w:val="0"/>
          <w:sz w:val="22"/>
          <w:szCs w:val="22"/>
        </w:rPr>
        <w:t>This module builds a single funnel from the general to the specific. Liquidity is the broad idea: resting orders cluster predictably. Liquidity Pools makes that idea concrete and chart-markable — specific zones you can actually mark. Buy-Side Liquidity and Sell-Side Liquidity split those pools by direction, labeling which side of price each pool sits on and what kind of move would target it.</w:t>
      </w:r>
    </w:p>
    <w:p w14:paraId="7FC5FC50">
      <w:pPr>
        <w:spacing w:after="160" w:line="288" w:lineRule="auto"/>
      </w:pPr>
      <w:r>
        <w:rPr>
          <w:b w:val="0"/>
          <w:bCs w:val="0"/>
          <w:i w:val="0"/>
          <w:iCs w:val="0"/>
          <w:sz w:val="22"/>
          <w:szCs w:val="22"/>
        </w:rPr>
        <w:t>Equal Highs and Equal Lows are a specific, higher-confidence version of a liquidity pool, formed when multiple swing points cluster at nearly the same price — under ICT's framework, this repeated failure to break through is read as evidence of a denser-than-usual concentration of resting orders, not as proof the level will hold.</w:t>
      </w:r>
    </w:p>
    <w:p w14:paraId="63E28203">
      <w:pPr>
        <w:spacing w:after="160" w:line="288" w:lineRule="auto"/>
      </w:pPr>
      <w:r>
        <w:rPr>
          <w:b w:val="0"/>
          <w:bCs w:val="0"/>
          <w:i w:val="0"/>
          <w:iCs w:val="0"/>
          <w:sz w:val="22"/>
          <w:szCs w:val="22"/>
        </w:rPr>
        <w:t>Stop Hunt and Liquidity Sweep describe the same observable event — price briefly trading beyond a marked level before reversing — from two different angles: stop hunt emphasizes the presumed institutional intent, while liquidity sweep is the more neutral technical description this book uses going forward. This event is deliberately the last concept in the module because it is the direct trigger for everything Module 5 covers next: a swept liquidity level is where ICT's framework looks for displacement and, ultimately, a market structure shift.</w:t>
      </w:r>
    </w:p>
    <w:p w14:paraId="3416080C">
      <w:pPr>
        <w:pStyle w:val="2"/>
        <w:pBdr>
          <w:bottom w:val="single" w:color="1B2A4A" w:sz="12" w:space="4"/>
        </w:pBdr>
        <w:spacing w:before="480" w:after="240"/>
      </w:pPr>
      <w:r>
        <w:rPr>
          <w:b/>
          <w:bCs/>
          <w:color w:val="1B2A4A"/>
          <w:sz w:val="34"/>
          <w:szCs w:val="34"/>
        </w:rPr>
        <w:t>What You Should Now Be Able to Do</w:t>
      </w:r>
    </w:p>
    <w:p w14:paraId="785802F9">
      <w:pPr>
        <w:pStyle w:val="16"/>
        <w:numPr>
          <w:ilvl w:val="0"/>
          <w:numId w:val="2"/>
        </w:numPr>
        <w:spacing w:after="80" w:line="276" w:lineRule="auto"/>
      </w:pPr>
      <w:r>
        <w:rPr>
          <w:sz w:val="22"/>
          <w:szCs w:val="22"/>
        </w:rPr>
        <w:t>explain, without relying on institutional-intent narrative, what liquidity means as a specific, mappable feature of a price chart</w:t>
      </w:r>
    </w:p>
    <w:p w14:paraId="5E38593D">
      <w:pPr>
        <w:pStyle w:val="16"/>
        <w:numPr>
          <w:ilvl w:val="0"/>
          <w:numId w:val="2"/>
        </w:numPr>
        <w:spacing w:after="80" w:line="276" w:lineRule="auto"/>
      </w:pPr>
      <w:r>
        <w:rPr>
          <w:sz w:val="22"/>
          <w:szCs w:val="22"/>
        </w:rPr>
        <w:t>mark buy-side and sell-side liquidity pools on a simple price sequence</w:t>
      </w:r>
    </w:p>
    <w:p w14:paraId="76A447BD">
      <w:pPr>
        <w:pStyle w:val="16"/>
        <w:numPr>
          <w:ilvl w:val="0"/>
          <w:numId w:val="2"/>
        </w:numPr>
        <w:spacing w:after="80" w:line="276" w:lineRule="auto"/>
      </w:pPr>
      <w:r>
        <w:rPr>
          <w:sz w:val="22"/>
          <w:szCs w:val="22"/>
        </w:rPr>
        <w:t>identify equal highs and equal lows and explain why they are treated as denser liquidity concentrations than isolated swing points</w:t>
      </w:r>
    </w:p>
    <w:p w14:paraId="181622D2">
      <w:pPr>
        <w:pStyle w:val="16"/>
        <w:numPr>
          <w:ilvl w:val="0"/>
          <w:numId w:val="2"/>
        </w:numPr>
        <w:spacing w:after="80" w:line="276" w:lineRule="auto"/>
      </w:pPr>
      <w:r>
        <w:rPr>
          <w:sz w:val="22"/>
          <w:szCs w:val="22"/>
        </w:rPr>
        <w:t>distinguish a liquidity sweep from a genuine breakout, and explain why the two look identical until the reversal (or lack of one) actually happens</w:t>
      </w:r>
    </w:p>
    <w:p w14:paraId="378D3E6C">
      <w:pPr>
        <w:pStyle w:val="16"/>
        <w:numPr>
          <w:ilvl w:val="0"/>
          <w:numId w:val="2"/>
        </w:numPr>
        <w:spacing w:after="80" w:line="276" w:lineRule="auto"/>
      </w:pPr>
      <w:r>
        <w:rPr>
          <w:sz w:val="22"/>
          <w:szCs w:val="22"/>
        </w:rPr>
        <w:t>explain why ICT-focused teaching treats a liquidity sweep as necessary but not sufficient for a reversal trade signal</w:t>
      </w:r>
    </w:p>
    <w:p w14:paraId="50830A7F">
      <w:pPr>
        <w:pStyle w:val="16"/>
        <w:numPr>
          <w:ilvl w:val="0"/>
          <w:numId w:val="2"/>
        </w:numPr>
        <w:spacing w:after="80" w:line="276" w:lineRule="auto"/>
      </w:pPr>
      <w:r>
        <w:rPr>
          <w:sz w:val="22"/>
          <w:szCs w:val="22"/>
        </w:rPr>
        <w:t>state the specific three-part sequence (sweep, displacement, structure shift) that elevates a plain liquidity sweep into a higher-confidence setup</w:t>
      </w:r>
    </w:p>
    <w:p w14:paraId="1A5A5B27">
      <w:r>
        <w:br w:type="page"/>
      </w:r>
    </w:p>
    <w:p w14:paraId="5EA66F4F">
      <w:pPr>
        <w:pStyle w:val="2"/>
        <w:pBdr>
          <w:bottom w:val="single" w:color="1B2A4A" w:sz="12" w:space="4"/>
        </w:pBdr>
        <w:spacing w:before="480" w:after="240"/>
      </w:pPr>
      <w:r>
        <w:rPr>
          <w:b/>
          <w:bCs/>
          <w:color w:val="1B2A4A"/>
          <w:sz w:val="34"/>
          <w:szCs w:val="34"/>
        </w:rPr>
        <w:t>Module Review</w:t>
      </w:r>
    </w:p>
    <w:p w14:paraId="04F5E865">
      <w:pPr>
        <w:pStyle w:val="3"/>
        <w:spacing w:before="360" w:after="160"/>
      </w:pPr>
      <w:r>
        <w:rPr>
          <w:b/>
          <w:bCs/>
          <w:color w:val="1B2A4A"/>
          <w:sz w:val="26"/>
          <w:szCs w:val="26"/>
        </w:rPr>
        <w:t>Key Terms</w:t>
      </w:r>
    </w:p>
    <w:p w14:paraId="38108205">
      <w:pPr>
        <w:pStyle w:val="16"/>
        <w:numPr>
          <w:ilvl w:val="0"/>
          <w:numId w:val="2"/>
        </w:numPr>
        <w:spacing w:after="80" w:line="276" w:lineRule="auto"/>
      </w:pPr>
      <w:r>
        <w:rPr>
          <w:sz w:val="22"/>
          <w:szCs w:val="22"/>
        </w:rPr>
        <w:t>Liquidity</w:t>
      </w:r>
    </w:p>
    <w:p w14:paraId="560550AD">
      <w:pPr>
        <w:pStyle w:val="16"/>
        <w:numPr>
          <w:ilvl w:val="0"/>
          <w:numId w:val="2"/>
        </w:numPr>
        <w:spacing w:after="80" w:line="276" w:lineRule="auto"/>
      </w:pPr>
      <w:r>
        <w:rPr>
          <w:sz w:val="22"/>
          <w:szCs w:val="22"/>
        </w:rPr>
        <w:t>Liquidity Pool</w:t>
      </w:r>
    </w:p>
    <w:p w14:paraId="22616CAC">
      <w:pPr>
        <w:pStyle w:val="16"/>
        <w:numPr>
          <w:ilvl w:val="0"/>
          <w:numId w:val="2"/>
        </w:numPr>
        <w:spacing w:after="80" w:line="276" w:lineRule="auto"/>
      </w:pPr>
      <w:r>
        <w:rPr>
          <w:sz w:val="22"/>
          <w:szCs w:val="22"/>
        </w:rPr>
        <w:t>Buy-Side Liquidity (BSL)</w:t>
      </w:r>
    </w:p>
    <w:p w14:paraId="3CB4DFC2">
      <w:pPr>
        <w:pStyle w:val="16"/>
        <w:numPr>
          <w:ilvl w:val="0"/>
          <w:numId w:val="2"/>
        </w:numPr>
        <w:spacing w:after="80" w:line="276" w:lineRule="auto"/>
      </w:pPr>
      <w:r>
        <w:rPr>
          <w:sz w:val="22"/>
          <w:szCs w:val="22"/>
        </w:rPr>
        <w:t>Sell-Side Liquidity (SSL)</w:t>
      </w:r>
    </w:p>
    <w:p w14:paraId="1B81200B">
      <w:pPr>
        <w:pStyle w:val="16"/>
        <w:numPr>
          <w:ilvl w:val="0"/>
          <w:numId w:val="2"/>
        </w:numPr>
        <w:spacing w:after="80" w:line="276" w:lineRule="auto"/>
      </w:pPr>
      <w:r>
        <w:rPr>
          <w:sz w:val="22"/>
          <w:szCs w:val="22"/>
        </w:rPr>
        <w:t>Equal Highs (EQH)</w:t>
      </w:r>
    </w:p>
    <w:p w14:paraId="0C144DA4">
      <w:pPr>
        <w:pStyle w:val="16"/>
        <w:numPr>
          <w:ilvl w:val="0"/>
          <w:numId w:val="2"/>
        </w:numPr>
        <w:spacing w:after="80" w:line="276" w:lineRule="auto"/>
      </w:pPr>
      <w:r>
        <w:rPr>
          <w:sz w:val="22"/>
          <w:szCs w:val="22"/>
        </w:rPr>
        <w:t>Equal Lows (EQL)</w:t>
      </w:r>
    </w:p>
    <w:p w14:paraId="6D1990E8">
      <w:pPr>
        <w:pStyle w:val="16"/>
        <w:numPr>
          <w:ilvl w:val="0"/>
          <w:numId w:val="2"/>
        </w:numPr>
        <w:spacing w:after="80" w:line="276" w:lineRule="auto"/>
      </w:pPr>
      <w:r>
        <w:rPr>
          <w:sz w:val="22"/>
          <w:szCs w:val="22"/>
        </w:rPr>
        <w:t>Stop Hunt</w:t>
      </w:r>
    </w:p>
    <w:p w14:paraId="09BE5F0F">
      <w:pPr>
        <w:pStyle w:val="16"/>
        <w:numPr>
          <w:ilvl w:val="0"/>
          <w:numId w:val="2"/>
        </w:numPr>
        <w:spacing w:after="80" w:line="276" w:lineRule="auto"/>
      </w:pPr>
      <w:r>
        <w:rPr>
          <w:sz w:val="22"/>
          <w:szCs w:val="22"/>
        </w:rPr>
        <w:t>Liquidity Sweep</w:t>
      </w:r>
    </w:p>
    <w:p w14:paraId="61B3762D">
      <w:pPr>
        <w:pStyle w:val="16"/>
        <w:numPr>
          <w:ilvl w:val="0"/>
          <w:numId w:val="2"/>
        </w:numPr>
        <w:spacing w:after="80" w:line="276" w:lineRule="auto"/>
      </w:pPr>
      <w:r>
        <w:rPr>
          <w:sz w:val="22"/>
          <w:szCs w:val="22"/>
        </w:rPr>
        <w:t>Draw on Liquidity</w:t>
      </w:r>
    </w:p>
    <w:p w14:paraId="0E67DF97">
      <w:pPr>
        <w:pStyle w:val="3"/>
        <w:spacing w:before="360" w:after="160"/>
      </w:pPr>
      <w:r>
        <w:rPr>
          <w:b/>
          <w:bCs/>
          <w:color w:val="1B2A4A"/>
          <w:sz w:val="26"/>
          <w:szCs w:val="26"/>
        </w:rPr>
        <w:t>Beginner Summary</w:t>
      </w:r>
    </w:p>
    <w:p w14:paraId="3BAC1455">
      <w:pPr>
        <w:spacing w:after="160" w:line="288" w:lineRule="auto"/>
      </w:pPr>
      <w:r>
        <w:rPr>
          <w:b w:val="0"/>
          <w:bCs w:val="0"/>
          <w:i w:val="0"/>
          <w:iCs w:val="0"/>
          <w:sz w:val="22"/>
          <w:szCs w:val="22"/>
        </w:rPr>
        <w:t>ICT's framework reframes old highs and lows as more than simple support and resistance: it treats them as places where predictable clusters of stop-loss and breakout orders accumulate, called liquidity. A liquidity pool is a specific, markable price zone where this clustering is concentrated — buy-side liquidity above highs, sell-side liquidity below lows. Equal highs and equal lows are especially dense versions of these pools, formed when multiple swing points repeatedly fail to break through the same price. When price briefly trades beyond one of these levels and then reverses, that event is called a liquidity sweep (or, when emphasizing presumed institutional intent, a stop hunt). On its own, a sweep is only a piece of context — ICT-focused teaching insists it must be followed by forceful displacement and structural confirmation before it is treated as an actual signal to trade.</w:t>
      </w:r>
    </w:p>
    <w:p w14:paraId="0ABF93EC">
      <w:pPr>
        <w:pStyle w:val="3"/>
        <w:spacing w:before="360" w:after="160"/>
      </w:pPr>
      <w:r>
        <w:rPr>
          <w:b/>
          <w:bCs/>
          <w:color w:val="1B2A4A"/>
          <w:sz w:val="26"/>
          <w:szCs w:val="26"/>
        </w:rPr>
        <w:t>Concept Relationships</w:t>
      </w:r>
    </w:p>
    <w:p w14:paraId="7F5844AA">
      <w:pPr>
        <w:spacing w:after="160" w:line="288" w:lineRule="auto"/>
      </w:pPr>
      <w:r>
        <w:rPr>
          <w:b w:val="0"/>
          <w:bCs w:val="0"/>
          <w:i w:val="0"/>
          <w:iCs w:val="0"/>
          <w:sz w:val="22"/>
          <w:szCs w:val="22"/>
        </w:rPr>
        <w:t>Liquidity is the umbrella idea. Liquidity Pools makes it concrete. Buy-Side and Sell-Side Liquidity classify pools by direction. Equal Highs and Equal Lows are a specific, denser type of pool. Stop Hunt and Liquidity Sweep describe the event of a pool being triggered and reversed — the same event, described with two different emphases.</w:t>
      </w:r>
    </w:p>
    <w:p w14:paraId="4019FC31">
      <w:pPr>
        <w:pStyle w:val="3"/>
        <w:spacing w:before="360" w:after="160"/>
      </w:pPr>
      <w:r>
        <w:rPr>
          <w:b/>
          <w:bCs/>
          <w:color w:val="1B2A4A"/>
          <w:sz w:val="26"/>
          <w:szCs w:val="26"/>
        </w:rPr>
        <w:t>Practical Chart Exercise</w:t>
      </w:r>
    </w:p>
    <w:p w14:paraId="644A598E">
      <w:pPr>
        <w:spacing w:after="160" w:line="288" w:lineRule="auto"/>
      </w:pPr>
      <w:r>
        <w:rPr>
          <w:b w:val="0"/>
          <w:bCs w:val="0"/>
          <w:i w:val="0"/>
          <w:iCs w:val="0"/>
          <w:sz w:val="22"/>
          <w:szCs w:val="22"/>
        </w:rPr>
        <w:t>Using the sequence 90 → 105 → 98 → 106.1 → 92 → 105.9 → 89 → 111, mark the buy-side liquidity pool (formed by the two closely spaced highs), mark the sell-side liquidity pool (formed by the two closely spaced lows), identify which of the two pools gets swept first as this sequence plays out, and explain what additional confirmation (from Module 3 and the upcoming Module 5) you would want to see before treating that sweep as a trade signal rather than just an interesting observation.</w:t>
      </w:r>
    </w:p>
    <w:p w14:paraId="37FBF521">
      <w:pPr>
        <w:pStyle w:val="3"/>
        <w:spacing w:before="360" w:after="160"/>
      </w:pPr>
      <w:r>
        <w:rPr>
          <w:b/>
          <w:bCs/>
          <w:color w:val="1B2A4A"/>
          <w:sz w:val="26"/>
          <w:szCs w:val="26"/>
        </w:rPr>
        <w:t>Self-Test Questions</w:t>
      </w:r>
    </w:p>
    <w:p w14:paraId="3A0604B4">
      <w:pPr>
        <w:pStyle w:val="16"/>
        <w:numPr>
          <w:ilvl w:val="0"/>
          <w:numId w:val="1"/>
        </w:numPr>
        <w:spacing w:after="80" w:line="276" w:lineRule="auto"/>
      </w:pPr>
      <w:r>
        <w:rPr>
          <w:sz w:val="22"/>
          <w:szCs w:val="22"/>
        </w:rPr>
        <w:t>In ICT's framework, why do old highs and old lows matter beyond the general technical-analysis idea of support and resistance?</w:t>
      </w:r>
    </w:p>
    <w:p w14:paraId="084F0316">
      <w:pPr>
        <w:pStyle w:val="16"/>
        <w:numPr>
          <w:ilvl w:val="0"/>
          <w:numId w:val="1"/>
        </w:numPr>
        <w:spacing w:after="80" w:line="276" w:lineRule="auto"/>
      </w:pPr>
      <w:r>
        <w:rPr>
          <w:sz w:val="22"/>
          <w:szCs w:val="22"/>
        </w:rPr>
        <w:t>What is the difference between buy-side liquidity and sell-side liquidity?</w:t>
      </w:r>
    </w:p>
    <w:p w14:paraId="2D614439">
      <w:pPr>
        <w:pStyle w:val="16"/>
        <w:numPr>
          <w:ilvl w:val="0"/>
          <w:numId w:val="1"/>
        </w:numPr>
        <w:spacing w:after="80" w:line="276" w:lineRule="auto"/>
      </w:pPr>
      <w:r>
        <w:rPr>
          <w:sz w:val="22"/>
          <w:szCs w:val="22"/>
        </w:rPr>
        <w:t>Why are equal highs or equal lows treated as a higher-priority target than a single, isolated swing high or low?</w:t>
      </w:r>
    </w:p>
    <w:p w14:paraId="7CDE38E0">
      <w:pPr>
        <w:pStyle w:val="16"/>
        <w:numPr>
          <w:ilvl w:val="0"/>
          <w:numId w:val="1"/>
        </w:numPr>
        <w:spacing w:after="80" w:line="276" w:lineRule="auto"/>
      </w:pPr>
      <w:r>
        <w:rPr>
          <w:sz w:val="22"/>
          <w:szCs w:val="22"/>
        </w:rPr>
        <w:t>What is the difference between a liquidity sweep and a genuine breakout, and why can the two look identical while they are happening?</w:t>
      </w:r>
    </w:p>
    <w:p w14:paraId="68A59CD9">
      <w:pPr>
        <w:pStyle w:val="16"/>
        <w:numPr>
          <w:ilvl w:val="0"/>
          <w:numId w:val="1"/>
        </w:numPr>
        <w:spacing w:after="80" w:line="276" w:lineRule="auto"/>
      </w:pPr>
      <w:r>
        <w:rPr>
          <w:sz w:val="22"/>
          <w:szCs w:val="22"/>
        </w:rPr>
        <w:t>What three-part sequence does ICT-focused teaching require before treating a liquidity sweep as more than context?</w:t>
      </w:r>
    </w:p>
    <w:p w14:paraId="6309EBA9">
      <w:pPr>
        <w:pStyle w:val="3"/>
        <w:spacing w:before="360" w:after="160"/>
      </w:pPr>
      <w:r>
        <w:rPr>
          <w:b/>
          <w:bCs/>
          <w:color w:val="1B2A4A"/>
          <w:sz w:val="26"/>
          <w:szCs w:val="26"/>
        </w:rPr>
        <w:t>Common Misconceptions</w:t>
      </w:r>
    </w:p>
    <w:p w14:paraId="6C46499F">
      <w:pPr>
        <w:pStyle w:val="16"/>
        <w:numPr>
          <w:ilvl w:val="0"/>
          <w:numId w:val="2"/>
        </w:numPr>
        <w:spacing w:after="80" w:line="276" w:lineRule="auto"/>
      </w:pPr>
      <w:r>
        <w:rPr>
          <w:sz w:val="22"/>
          <w:szCs w:val="22"/>
        </w:rPr>
        <w:t>Believing that resting order sizes at a given level can be precisely measured from a standard retail chart, rather than understood as an inferred, probabilistic concept.</w:t>
      </w:r>
    </w:p>
    <w:p w14:paraId="34AD7457">
      <w:pPr>
        <w:pStyle w:val="16"/>
        <w:numPr>
          <w:ilvl w:val="0"/>
          <w:numId w:val="2"/>
        </w:numPr>
        <w:spacing w:after="80" w:line="276" w:lineRule="auto"/>
      </w:pPr>
      <w:r>
        <w:rPr>
          <w:sz w:val="22"/>
          <w:szCs w:val="22"/>
        </w:rPr>
        <w:t>Believing every liquidity sweep leads to a reversal, rather than recognizing that continuation through the level is an equally normal outcome.</w:t>
      </w:r>
    </w:p>
    <w:p w14:paraId="31CF2079">
      <w:pPr>
        <w:pStyle w:val="16"/>
        <w:numPr>
          <w:ilvl w:val="0"/>
          <w:numId w:val="2"/>
        </w:numPr>
        <w:spacing w:after="80" w:line="276" w:lineRule="auto"/>
      </w:pPr>
      <w:r>
        <w:rPr>
          <w:sz w:val="22"/>
          <w:szCs w:val="22"/>
        </w:rPr>
        <w:t>Believing a stop hunt and a liquidity sweep are two different chart events, rather than two names/emphases for the same observed price action.</w:t>
      </w:r>
    </w:p>
    <w:p w14:paraId="143DD7E9">
      <w:pPr>
        <w:pStyle w:val="16"/>
        <w:numPr>
          <w:ilvl w:val="0"/>
          <w:numId w:val="2"/>
        </w:numPr>
        <w:spacing w:after="80" w:line="276" w:lineRule="auto"/>
      </w:pPr>
      <w:r>
        <w:rPr>
          <w:sz w:val="22"/>
          <w:szCs w:val="22"/>
        </w:rPr>
        <w:t>Believing equal highs or equal lows must be at the exact same price to count, rather than allowing for the reasonable small tolerance used in practice.</w:t>
      </w:r>
    </w:p>
    <w:p w14:paraId="6166C5D6">
      <w:pPr>
        <w:pStyle w:val="3"/>
        <w:spacing w:before="360" w:after="160"/>
      </w:pPr>
      <w:r>
        <w:rPr>
          <w:b/>
          <w:bCs/>
          <w:color w:val="1B2A4A"/>
          <w:sz w:val="26"/>
          <w:szCs w:val="26"/>
        </w:rPr>
        <w:t>Research Sources</w:t>
      </w:r>
    </w:p>
    <w:p w14:paraId="0D1F21B8">
      <w:pPr>
        <w:pStyle w:val="16"/>
        <w:numPr>
          <w:ilvl w:val="0"/>
          <w:numId w:val="2"/>
        </w:numPr>
        <w:spacing w:after="80" w:line="276" w:lineRule="auto"/>
      </w:pPr>
      <w:r>
        <w:rPr>
          <w:sz w:val="22"/>
          <w:szCs w:val="22"/>
        </w:rPr>
        <w:t>innercircletrader.net — "Liquidity in Forex — Buy-Side vs Sell-Side Liquidity (ICT)" and "ICT Liquidity Pool — Buy-Side &amp; Sell-Side Liquidity Trading."</w:t>
      </w:r>
    </w:p>
    <w:p w14:paraId="02716786">
      <w:pPr>
        <w:pStyle w:val="16"/>
        <w:numPr>
          <w:ilvl w:val="0"/>
          <w:numId w:val="2"/>
        </w:numPr>
        <w:spacing w:after="80" w:line="276" w:lineRule="auto"/>
      </w:pPr>
      <w:r>
        <w:rPr>
          <w:sz w:val="22"/>
          <w:szCs w:val="22"/>
        </w:rPr>
        <w:t>ictkillzone.com — "ICT Liquidity: Buy Side, Sell Side and Sweeps Explained."</w:t>
      </w:r>
    </w:p>
    <w:p w14:paraId="2C61A953">
      <w:pPr>
        <w:pStyle w:val="16"/>
        <w:numPr>
          <w:ilvl w:val="0"/>
          <w:numId w:val="2"/>
        </w:numPr>
        <w:spacing w:after="80" w:line="276" w:lineRule="auto"/>
      </w:pPr>
      <w:r>
        <w:rPr>
          <w:sz w:val="22"/>
          <w:szCs w:val="22"/>
        </w:rPr>
        <w:t>r2ftrading.com — "Equal Highs and Equal Lows ICT: Liquidity Targets Explained."</w:t>
      </w:r>
    </w:p>
    <w:p w14:paraId="6DBB2212">
      <w:pPr>
        <w:pStyle w:val="16"/>
        <w:numPr>
          <w:ilvl w:val="0"/>
          <w:numId w:val="2"/>
        </w:numPr>
        <w:spacing w:after="80" w:line="276" w:lineRule="auto"/>
      </w:pPr>
      <w:r>
        <w:rPr>
          <w:sz w:val="22"/>
          <w:szCs w:val="22"/>
        </w:rPr>
        <w:t>writofinance.com — "ICT Liquidity Pools – SMC and ICT Trading Concept" and "Buy Side and Sell Side Liquidity – ICT and SMC Trading."</w:t>
      </w:r>
    </w:p>
    <w:p w14:paraId="06F80BA6">
      <w:pPr>
        <w:pStyle w:val="16"/>
        <w:numPr>
          <w:ilvl w:val="0"/>
          <w:numId w:val="2"/>
        </w:numPr>
        <w:spacing w:after="80" w:line="276" w:lineRule="auto"/>
      </w:pPr>
      <w:r>
        <w:rPr>
          <w:sz w:val="22"/>
          <w:szCs w:val="22"/>
        </w:rPr>
        <w:t>arongroups.co — "What Is Liquidity in ICT? Buy-Side, Sell-Side &amp; Liquidity Sweeps."</w:t>
      </w:r>
    </w:p>
    <w:p w14:paraId="0F08A7CA">
      <w:pPr>
        <w:pStyle w:val="16"/>
        <w:numPr>
          <w:ilvl w:val="0"/>
          <w:numId w:val="2"/>
        </w:numPr>
        <w:spacing w:after="80" w:line="276" w:lineRule="auto"/>
      </w:pPr>
      <w:r>
        <w:rPr>
          <w:sz w:val="22"/>
          <w:szCs w:val="22"/>
        </w:rPr>
        <w:t>TradingView (CandelaCharts) — "Trading Framework: ICT Smart Money Concepts."</w:t>
      </w:r>
    </w:p>
    <w:p w14:paraId="108E4791">
      <w:pPr>
        <w:pStyle w:val="16"/>
        <w:numPr>
          <w:ilvl w:val="0"/>
          <w:numId w:val="2"/>
        </w:numPr>
        <w:spacing w:after="80" w:line="276" w:lineRule="auto"/>
      </w:pPr>
      <w:r>
        <w:rPr>
          <w:sz w:val="22"/>
          <w:szCs w:val="22"/>
        </w:rPr>
        <w:t>coinranking.com — "ICT Trading Strategy Basics: Liquidity, Imbalance, Market Structure, and Timing."</w:t>
      </w:r>
    </w:p>
    <w:p w14:paraId="6F1B5614">
      <w:pPr>
        <w:pStyle w:val="16"/>
        <w:numPr>
          <w:ilvl w:val="0"/>
          <w:numId w:val="2"/>
        </w:numPr>
        <w:spacing w:after="80" w:line="276" w:lineRule="auto"/>
      </w:pPr>
      <w:r>
        <w:rPr>
          <w:sz w:val="22"/>
          <w:szCs w:val="22"/>
        </w:rPr>
        <w:t>Note: as in prior modules, this research pass relied on cross-checked secondary/tutorial documentation rather than direct ICT primary-source video transcripts, which were not accessible in this environment. Claims are corroborated across many independent ICT-focused sources.</w:t>
      </w:r>
    </w:p>
    <w:p w14:paraId="50DD39DF">
      <w:pPr>
        <w:pStyle w:val="16"/>
        <w:numPr>
          <w:ilvl w:val="0"/>
          <w:numId w:val="0"/>
        </w:numPr>
        <w:spacing w:after="80" w:line="276" w:lineRule="auto"/>
        <w:rPr>
          <w:sz w:val="22"/>
          <w:szCs w:val="22"/>
        </w:rPr>
      </w:pPr>
    </w:p>
    <w:p w14:paraId="2B40C5F6">
      <w:pPr>
        <w:pStyle w:val="16"/>
        <w:numPr>
          <w:ilvl w:val="0"/>
          <w:numId w:val="0"/>
        </w:numPr>
        <w:spacing w:after="80" w:line="276" w:lineRule="auto"/>
        <w:rPr>
          <w:sz w:val="22"/>
          <w:szCs w:val="22"/>
        </w:rPr>
      </w:pPr>
    </w:p>
    <w:p w14:paraId="154EE8B3">
      <w:pPr>
        <w:pStyle w:val="16"/>
        <w:numPr>
          <w:ilvl w:val="0"/>
          <w:numId w:val="0"/>
        </w:numPr>
        <w:spacing w:after="80" w:line="276" w:lineRule="auto"/>
        <w:rPr>
          <w:sz w:val="22"/>
          <w:szCs w:val="22"/>
        </w:rPr>
      </w:pPr>
    </w:p>
    <w:p w14:paraId="7E87EAF2">
      <w:pPr>
        <w:pStyle w:val="16"/>
        <w:numPr>
          <w:ilvl w:val="0"/>
          <w:numId w:val="0"/>
        </w:numPr>
        <w:spacing w:after="80" w:line="276" w:lineRule="auto"/>
        <w:rPr>
          <w:sz w:val="22"/>
          <w:szCs w:val="22"/>
        </w:rPr>
      </w:pPr>
    </w:p>
    <w:p w14:paraId="7CE88107">
      <w:pPr>
        <w:pStyle w:val="16"/>
        <w:numPr>
          <w:ilvl w:val="0"/>
          <w:numId w:val="0"/>
        </w:numPr>
        <w:spacing w:after="80" w:line="276" w:lineRule="auto"/>
        <w:rPr>
          <w:sz w:val="22"/>
          <w:szCs w:val="22"/>
        </w:rPr>
      </w:pPr>
    </w:p>
    <w:p w14:paraId="5B32210F">
      <w:pPr>
        <w:pStyle w:val="16"/>
        <w:numPr>
          <w:ilvl w:val="0"/>
          <w:numId w:val="0"/>
        </w:numPr>
        <w:spacing w:after="80" w:line="276" w:lineRule="auto"/>
        <w:rPr>
          <w:sz w:val="22"/>
          <w:szCs w:val="22"/>
        </w:rPr>
      </w:pPr>
    </w:p>
    <w:p w14:paraId="59EF151F">
      <w:pPr>
        <w:pStyle w:val="16"/>
        <w:numPr>
          <w:ilvl w:val="0"/>
          <w:numId w:val="0"/>
        </w:numPr>
        <w:spacing w:after="80" w:line="276" w:lineRule="auto"/>
        <w:rPr>
          <w:sz w:val="22"/>
          <w:szCs w:val="22"/>
        </w:rPr>
      </w:pPr>
    </w:p>
    <w:p w14:paraId="02D0B7F4">
      <w:pPr>
        <w:pStyle w:val="16"/>
        <w:numPr>
          <w:ilvl w:val="0"/>
          <w:numId w:val="0"/>
        </w:numPr>
        <w:spacing w:after="80" w:line="276" w:lineRule="auto"/>
        <w:rPr>
          <w:sz w:val="22"/>
          <w:szCs w:val="22"/>
        </w:rPr>
      </w:pPr>
    </w:p>
    <w:p w14:paraId="64AF2C5B">
      <w:pPr>
        <w:pStyle w:val="16"/>
        <w:numPr>
          <w:ilvl w:val="0"/>
          <w:numId w:val="0"/>
        </w:numPr>
        <w:spacing w:after="80" w:line="276" w:lineRule="auto"/>
        <w:rPr>
          <w:sz w:val="22"/>
          <w:szCs w:val="22"/>
        </w:rPr>
      </w:pPr>
    </w:p>
    <w:p w14:paraId="242CA348">
      <w:pPr>
        <w:pStyle w:val="16"/>
        <w:numPr>
          <w:ilvl w:val="0"/>
          <w:numId w:val="0"/>
        </w:numPr>
        <w:spacing w:after="80" w:line="276" w:lineRule="auto"/>
        <w:rPr>
          <w:sz w:val="22"/>
          <w:szCs w:val="22"/>
        </w:rPr>
      </w:pPr>
    </w:p>
    <w:p w14:paraId="5AB960F4">
      <w:pPr>
        <w:pStyle w:val="16"/>
        <w:numPr>
          <w:ilvl w:val="0"/>
          <w:numId w:val="0"/>
        </w:numPr>
        <w:spacing w:after="80" w:line="276" w:lineRule="auto"/>
        <w:rPr>
          <w:sz w:val="22"/>
          <w:szCs w:val="22"/>
        </w:rPr>
      </w:pPr>
    </w:p>
    <w:p w14:paraId="794840A3">
      <w:pPr>
        <w:pStyle w:val="16"/>
        <w:numPr>
          <w:ilvl w:val="0"/>
          <w:numId w:val="0"/>
        </w:numPr>
        <w:spacing w:after="80" w:line="276" w:lineRule="auto"/>
        <w:rPr>
          <w:sz w:val="22"/>
          <w:szCs w:val="22"/>
        </w:rPr>
      </w:pPr>
    </w:p>
    <w:p w14:paraId="128564DA">
      <w:pPr>
        <w:pStyle w:val="16"/>
        <w:numPr>
          <w:ilvl w:val="0"/>
          <w:numId w:val="0"/>
        </w:numPr>
        <w:spacing w:after="80" w:line="276" w:lineRule="auto"/>
        <w:rPr>
          <w:sz w:val="22"/>
          <w:szCs w:val="22"/>
        </w:rPr>
      </w:pPr>
    </w:p>
    <w:p w14:paraId="4DAE61EB">
      <w:pPr>
        <w:pStyle w:val="16"/>
        <w:numPr>
          <w:ilvl w:val="0"/>
          <w:numId w:val="0"/>
        </w:numPr>
        <w:spacing w:after="80" w:line="276" w:lineRule="auto"/>
        <w:rPr>
          <w:sz w:val="22"/>
          <w:szCs w:val="22"/>
        </w:rPr>
      </w:pPr>
    </w:p>
    <w:p w14:paraId="185E46B1">
      <w:pPr>
        <w:pStyle w:val="16"/>
        <w:numPr>
          <w:ilvl w:val="0"/>
          <w:numId w:val="0"/>
        </w:numPr>
        <w:spacing w:after="80" w:line="276" w:lineRule="auto"/>
        <w:rPr>
          <w:sz w:val="22"/>
          <w:szCs w:val="22"/>
        </w:rPr>
      </w:pPr>
    </w:p>
    <w:p w14:paraId="5FE57184">
      <w:pPr>
        <w:pStyle w:val="16"/>
        <w:numPr>
          <w:ilvl w:val="0"/>
          <w:numId w:val="0"/>
        </w:numPr>
        <w:spacing w:after="80" w:line="276" w:lineRule="auto"/>
        <w:rPr>
          <w:sz w:val="22"/>
          <w:szCs w:val="22"/>
        </w:rPr>
      </w:pPr>
    </w:p>
    <w:p w14:paraId="2E0E55A0">
      <w:pPr>
        <w:pStyle w:val="16"/>
        <w:numPr>
          <w:ilvl w:val="0"/>
          <w:numId w:val="0"/>
        </w:numPr>
        <w:spacing w:after="80" w:line="276" w:lineRule="auto"/>
        <w:rPr>
          <w:sz w:val="22"/>
          <w:szCs w:val="22"/>
        </w:rPr>
      </w:pPr>
    </w:p>
    <w:p w14:paraId="6327D44A">
      <w:pPr>
        <w:pStyle w:val="16"/>
        <w:numPr>
          <w:ilvl w:val="0"/>
          <w:numId w:val="0"/>
        </w:numPr>
        <w:spacing w:after="80" w:line="276" w:lineRule="auto"/>
        <w:rPr>
          <w:sz w:val="22"/>
          <w:szCs w:val="22"/>
        </w:rPr>
      </w:pPr>
    </w:p>
    <w:p w14:paraId="1AF3E0AF">
      <w:pPr>
        <w:pStyle w:val="16"/>
        <w:numPr>
          <w:ilvl w:val="0"/>
          <w:numId w:val="0"/>
        </w:numPr>
        <w:spacing w:after="80" w:line="276" w:lineRule="auto"/>
        <w:rPr>
          <w:sz w:val="22"/>
          <w:szCs w:val="22"/>
        </w:rPr>
      </w:pPr>
    </w:p>
    <w:p w14:paraId="6857C3FC">
      <w:pPr>
        <w:pStyle w:val="16"/>
        <w:numPr>
          <w:ilvl w:val="0"/>
          <w:numId w:val="0"/>
        </w:numPr>
        <w:spacing w:after="80" w:line="276" w:lineRule="auto"/>
        <w:rPr>
          <w:sz w:val="22"/>
          <w:szCs w:val="22"/>
        </w:rPr>
      </w:pPr>
    </w:p>
    <w:p w14:paraId="4BF4720C">
      <w:pPr>
        <w:pStyle w:val="16"/>
        <w:numPr>
          <w:ilvl w:val="0"/>
          <w:numId w:val="0"/>
        </w:numPr>
        <w:spacing w:after="80" w:line="276" w:lineRule="auto"/>
        <w:rPr>
          <w:sz w:val="22"/>
          <w:szCs w:val="22"/>
        </w:rPr>
      </w:pPr>
    </w:p>
    <w:p w14:paraId="3D48A76D">
      <w:pPr>
        <w:pStyle w:val="16"/>
        <w:numPr>
          <w:ilvl w:val="0"/>
          <w:numId w:val="0"/>
        </w:numPr>
        <w:spacing w:after="80" w:line="276" w:lineRule="auto"/>
        <w:rPr>
          <w:sz w:val="22"/>
          <w:szCs w:val="22"/>
        </w:rPr>
      </w:pPr>
    </w:p>
    <w:p w14:paraId="57B76B84">
      <w:pPr>
        <w:pStyle w:val="16"/>
        <w:numPr>
          <w:ilvl w:val="0"/>
          <w:numId w:val="0"/>
        </w:numPr>
        <w:spacing w:after="80" w:line="276" w:lineRule="auto"/>
        <w:rPr>
          <w:sz w:val="22"/>
          <w:szCs w:val="22"/>
        </w:rPr>
      </w:pPr>
    </w:p>
    <w:p w14:paraId="33DCF4DB">
      <w:pPr>
        <w:pStyle w:val="16"/>
        <w:numPr>
          <w:ilvl w:val="0"/>
          <w:numId w:val="0"/>
        </w:numPr>
        <w:spacing w:after="80" w:line="276" w:lineRule="auto"/>
        <w:rPr>
          <w:sz w:val="22"/>
          <w:szCs w:val="22"/>
        </w:rPr>
      </w:pPr>
    </w:p>
    <w:p w14:paraId="1C058F34">
      <w:pPr>
        <w:pStyle w:val="16"/>
        <w:numPr>
          <w:ilvl w:val="0"/>
          <w:numId w:val="0"/>
        </w:numPr>
        <w:spacing w:after="80" w:line="276" w:lineRule="auto"/>
        <w:rPr>
          <w:sz w:val="22"/>
          <w:szCs w:val="22"/>
        </w:rPr>
      </w:pPr>
    </w:p>
    <w:p w14:paraId="4BFABC45">
      <w:pPr>
        <w:pStyle w:val="16"/>
        <w:numPr>
          <w:ilvl w:val="0"/>
          <w:numId w:val="0"/>
        </w:numPr>
        <w:spacing w:after="80" w:line="276" w:lineRule="auto"/>
        <w:rPr>
          <w:sz w:val="22"/>
          <w:szCs w:val="22"/>
        </w:rPr>
      </w:pPr>
    </w:p>
    <w:p w14:paraId="0A2DC731">
      <w:pPr>
        <w:pStyle w:val="16"/>
        <w:numPr>
          <w:ilvl w:val="0"/>
          <w:numId w:val="0"/>
        </w:numPr>
        <w:spacing w:after="80" w:line="276" w:lineRule="auto"/>
        <w:rPr>
          <w:sz w:val="22"/>
          <w:szCs w:val="22"/>
        </w:rPr>
      </w:pPr>
    </w:p>
    <w:p w14:paraId="67ABB5A9">
      <w:pPr>
        <w:pStyle w:val="16"/>
        <w:numPr>
          <w:ilvl w:val="0"/>
          <w:numId w:val="0"/>
        </w:numPr>
        <w:spacing w:after="80" w:line="276" w:lineRule="auto"/>
        <w:rPr>
          <w:sz w:val="22"/>
          <w:szCs w:val="22"/>
        </w:rPr>
      </w:pPr>
    </w:p>
    <w:p w14:paraId="0A350305">
      <w:pPr>
        <w:pStyle w:val="16"/>
        <w:numPr>
          <w:ilvl w:val="0"/>
          <w:numId w:val="0"/>
        </w:numPr>
        <w:spacing w:after="80" w:line="276" w:lineRule="auto"/>
        <w:rPr>
          <w:sz w:val="22"/>
          <w:szCs w:val="22"/>
        </w:rPr>
      </w:pPr>
    </w:p>
    <w:p w14:paraId="1F48FE5B">
      <w:pPr>
        <w:pStyle w:val="16"/>
        <w:numPr>
          <w:ilvl w:val="0"/>
          <w:numId w:val="0"/>
        </w:numPr>
        <w:spacing w:after="80" w:line="276" w:lineRule="auto"/>
        <w:rPr>
          <w:sz w:val="22"/>
          <w:szCs w:val="22"/>
        </w:rPr>
      </w:pPr>
    </w:p>
    <w:p w14:paraId="09E07F92">
      <w:pPr>
        <w:pStyle w:val="16"/>
        <w:numPr>
          <w:ilvl w:val="0"/>
          <w:numId w:val="0"/>
        </w:numPr>
        <w:spacing w:after="80" w:line="276" w:lineRule="auto"/>
        <w:rPr>
          <w:sz w:val="22"/>
          <w:szCs w:val="22"/>
        </w:rPr>
      </w:pPr>
    </w:p>
    <w:p w14:paraId="1766C81D">
      <w:pPr>
        <w:pStyle w:val="2"/>
        <w:pBdr>
          <w:bottom w:val="single" w:color="1B2A4A" w:sz="12" w:space="4"/>
        </w:pBdr>
        <w:spacing w:before="480" w:after="240"/>
      </w:pPr>
      <w:r>
        <w:rPr>
          <w:b/>
          <w:bCs/>
          <w:color w:val="1B2A4A"/>
          <w:sz w:val="34"/>
          <w:szCs w:val="34"/>
        </w:rPr>
        <w:t>MODULE 5</w:t>
      </w:r>
    </w:p>
    <w:p w14:paraId="54F423B6">
      <w:pPr>
        <w:spacing w:after="300"/>
      </w:pPr>
      <w:r>
        <w:rPr>
          <w:b/>
          <w:bCs/>
          <w:color w:val="9A7B2E"/>
          <w:sz w:val="30"/>
          <w:szCs w:val="30"/>
        </w:rPr>
        <w:t>Displacement &amp; Imbalance</w:t>
      </w:r>
    </w:p>
    <w:p w14:paraId="74842E30">
      <w:pPr>
        <w:spacing w:after="160" w:line="288" w:lineRule="auto"/>
      </w:pPr>
      <w:r>
        <w:rPr>
          <w:b w:val="0"/>
          <w:bCs w:val="0"/>
          <w:i w:val="0"/>
          <w:iCs w:val="0"/>
          <w:sz w:val="22"/>
          <w:szCs w:val="22"/>
        </w:rPr>
        <w:t>Module 3 introduced the Market Structure Shift and noted that, under this book's working definition, a genuine shift requires displacement — a forceful, one-sided move — rather than a slow drift through a structural level. Module 4 introduced the liquidity sweep and noted that the highest-quality sweeps are immediately followed by that same forceful move. This module finally defines displacement precisely, on its own terms, and follows it through to its direct mechanical consequence: the Fair Value Gap.</w:t>
      </w:r>
    </w:p>
    <w:p w14:paraId="0D66371A">
      <w:pPr>
        <w:spacing w:after="160" w:line="288" w:lineRule="auto"/>
      </w:pPr>
      <w:r>
        <w:rPr>
          <w:b w:val="0"/>
          <w:bCs w:val="0"/>
          <w:i w:val="0"/>
          <w:iCs w:val="0"/>
          <w:sz w:val="22"/>
          <w:szCs w:val="22"/>
        </w:rPr>
        <w:t>This is a short module — only four concepts — but it is one of the most consequential in this book. The Fair Value Gap, defined at the end of this module, becomes one of the primary tools used to plan an actual entry price in the ICT Buy and Sell Models (Modules 11–12), and it reappears constantly throughout the rest of this text.</w:t>
      </w:r>
    </w:p>
    <w:p w14:paraId="000ACD93">
      <w:pPr>
        <w:spacing w:after="160" w:line="288" w:lineRule="auto"/>
      </w:pPr>
      <w:r>
        <w:rPr>
          <w:b w:val="0"/>
          <w:bCs w:val="0"/>
          <w:i w:val="0"/>
          <w:iCs w:val="0"/>
          <w:sz w:val="22"/>
          <w:szCs w:val="22"/>
        </w:rPr>
        <w:t>This module assumes fluency with Market Structure Shift (Module 3) and Liquidity Sweep (Module 4). If either of those concepts feels shaky, it is worth returning to them before continuing, since this module builds directly on both.</w:t>
      </w:r>
    </w:p>
    <w:p w14:paraId="12DCA610">
      <w:r>
        <w:br w:type="page"/>
      </w:r>
    </w:p>
    <w:p w14:paraId="7BC3C082">
      <w:pPr>
        <w:pStyle w:val="2"/>
        <w:pBdr>
          <w:bottom w:val="single" w:color="1B2A4A" w:sz="12" w:space="4"/>
        </w:pBdr>
        <w:spacing w:before="480" w:after="240"/>
      </w:pPr>
      <w:r>
        <w:rPr>
          <w:b/>
          <w:bCs/>
          <w:color w:val="1B2A4A"/>
          <w:sz w:val="34"/>
          <w:szCs w:val="34"/>
        </w:rPr>
        <w:t>Displacement</w:t>
      </w:r>
    </w:p>
    <w:p w14:paraId="25C6A6A0">
      <w:pPr>
        <w:pStyle w:val="3"/>
        <w:spacing w:before="360" w:after="160"/>
      </w:pPr>
      <w:r>
        <w:rPr>
          <w:b/>
          <w:bCs/>
          <w:color w:val="1B2A4A"/>
          <w:sz w:val="26"/>
          <w:szCs w:val="26"/>
        </w:rPr>
        <w:t>1. Definition</w:t>
      </w:r>
    </w:p>
    <w:p w14:paraId="1738A6AB">
      <w:pPr>
        <w:spacing w:after="160" w:line="288" w:lineRule="auto"/>
      </w:pPr>
      <w:r>
        <w:rPr>
          <w:b w:val="0"/>
          <w:bCs w:val="0"/>
          <w:i w:val="0"/>
          <w:iCs w:val="0"/>
          <w:sz w:val="22"/>
          <w:szCs w:val="22"/>
        </w:rPr>
        <w:t>Displacement is a strong, fast, one-directional price move — typically one candle or a short run of two to three candles — with a large body, minimal opposing wicks, and enough force to break a prior structural swing point, understood within ICT's framework as the visible signature of concentrated institutional order flow.</w:t>
      </w:r>
    </w:p>
    <w:p w14:paraId="0FF296F4">
      <w:pPr>
        <w:pStyle w:val="3"/>
        <w:spacing w:before="360" w:after="160"/>
      </w:pPr>
      <w:r>
        <w:rPr>
          <w:b/>
          <w:bCs/>
          <w:color w:val="1B2A4A"/>
          <w:sz w:val="26"/>
          <w:szCs w:val="26"/>
        </w:rPr>
        <w:t>2. ICT's Meaning</w:t>
      </w:r>
    </w:p>
    <w:p w14:paraId="77779D94">
      <w:pPr>
        <w:spacing w:after="160" w:line="288" w:lineRule="auto"/>
      </w:pPr>
      <w:r>
        <w:rPr>
          <w:b w:val="0"/>
          <w:bCs w:val="0"/>
          <w:i w:val="0"/>
          <w:iCs w:val="0"/>
          <w:sz w:val="22"/>
          <w:szCs w:val="22"/>
        </w:rPr>
        <w:t>ICT-focused teaching treats displacement as the engine behind price delivery: it is what confirms a Market Structure Shift is genuine rather than a slow, indecisive drift, and it is the specific mechanism that creates a Fair Value Gap (this module's fourth concept). Several sources are explicit that a market structure shift without displacement is considered weak or questionable, and that an FVG without a preceding displacement candle is considered a minor imbalance with limited significance.</w:t>
      </w:r>
    </w:p>
    <w:p w14:paraId="58B00BB5">
      <w:pPr>
        <w:spacing w:after="160" w:line="288" w:lineRule="auto"/>
      </w:pPr>
      <w:r>
        <w:rPr>
          <w:b w:val="0"/>
          <w:bCs w:val="0"/>
          <w:i w:val="0"/>
          <w:iCs w:val="0"/>
          <w:sz w:val="22"/>
          <w:szCs w:val="22"/>
        </w:rPr>
        <w:t>Multiple ICT-focused sources describe a small set of consistent quality criteria for identifying genuine displacement: (1) a wide range candle relative to recent volatility, (2) a large body-to-range ratio (some sources cite roughly 60–70% or more of the candle's total range being body rather than wick), (3) minimal overlapping wicks with neighboring candles, and (4) the move actually breaking a meaningful prior structural level rather than occurring in open space.</w:t>
      </w:r>
    </w:p>
    <w:p w14:paraId="49663052">
      <w:pPr>
        <w:spacing w:after="160" w:line="288" w:lineRule="auto"/>
      </w:pPr>
      <w:r>
        <w:rPr>
          <w:b w:val="0"/>
          <w:bCs w:val="0"/>
          <w:i w:val="0"/>
          <w:iCs w:val="0"/>
          <w:sz w:val="22"/>
          <w:szCs w:val="22"/>
        </w:rPr>
        <w:t>ICT-focused sources also describe displacement as scalable across timeframes: what counts as a strong displacement candle on a 1-minute chart is a very different absolute size than what counts as displacement on a daily chart — the assessment is always relative to that timeframe's recent volatility, not an absolute number of pips or points.</w:t>
      </w:r>
    </w:p>
    <w:p w14:paraId="0C9ECFC6">
      <w:pPr>
        <w:pStyle w:val="3"/>
        <w:spacing w:before="360" w:after="160"/>
      </w:pPr>
      <w:r>
        <w:rPr>
          <w:b/>
          <w:bCs/>
          <w:color w:val="1B2A4A"/>
          <w:sz w:val="26"/>
          <w:szCs w:val="26"/>
        </w:rPr>
        <w:t>3. Beginner Explanation</w:t>
      </w:r>
    </w:p>
    <w:p w14:paraId="26A9882A">
      <w:pPr>
        <w:spacing w:after="160" w:line="288" w:lineRule="auto"/>
      </w:pPr>
      <w:r>
        <w:rPr>
          <w:b w:val="0"/>
          <w:bCs w:val="0"/>
          <w:i w:val="0"/>
          <w:iCs w:val="0"/>
          <w:sz w:val="22"/>
          <w:szCs w:val="22"/>
        </w:rPr>
        <w:t>Imagine a crowded room where people are calmly negotiating prices back and forth — some going a little higher, some a little lower, in a slow give-and-take. Then suddenly, one side of the room shouts and rushes forward all at once, and everyone scrambles out of the way. That sudden, forceful rush — no negotiation, no back-and-forth, just one side completely overpowering the other — is what displacement looks like on a price chart: a candle (or short run of candles) that moves hard and fast in one direction, with almost no pushback.</w:t>
      </w:r>
    </w:p>
    <w:p w14:paraId="6093133C">
      <w:pPr>
        <w:pStyle w:val="3"/>
        <w:spacing w:before="360" w:after="160"/>
      </w:pPr>
      <w:r>
        <w:rPr>
          <w:b/>
          <w:bCs/>
          <w:color w:val="1B2A4A"/>
          <w:sz w:val="26"/>
          <w:szCs w:val="26"/>
        </w:rPr>
        <w:t>4. How to Identify It</w:t>
      </w:r>
    </w:p>
    <w:p w14:paraId="0C211A0B">
      <w:pPr>
        <w:pStyle w:val="16"/>
        <w:numPr>
          <w:ilvl w:val="0"/>
          <w:numId w:val="1"/>
        </w:numPr>
        <w:spacing w:after="80" w:line="276" w:lineRule="auto"/>
      </w:pPr>
      <w:r>
        <w:rPr>
          <w:sz w:val="22"/>
          <w:szCs w:val="22"/>
        </w:rPr>
        <w:t>Compare a candidate candle's total range (high to low) to the typical range of recent candles on the same timeframe — a genuine displacement candle is unusually large relative to this recent average.</w:t>
      </w:r>
    </w:p>
    <w:p w14:paraId="6112CD3F">
      <w:pPr>
        <w:pStyle w:val="16"/>
        <w:numPr>
          <w:ilvl w:val="0"/>
          <w:numId w:val="1"/>
        </w:numPr>
        <w:spacing w:after="80" w:line="276" w:lineRule="auto"/>
      </w:pPr>
      <w:r>
        <w:rPr>
          <w:sz w:val="22"/>
          <w:szCs w:val="22"/>
        </w:rPr>
        <w:t>Check the candle's body-to-range ratio: the candle's body (the distance between open and close) should make up the large majority of its total range, with only small wicks.</w:t>
      </w:r>
    </w:p>
    <w:p w14:paraId="647C146C">
      <w:pPr>
        <w:pStyle w:val="16"/>
        <w:numPr>
          <w:ilvl w:val="0"/>
          <w:numId w:val="1"/>
        </w:numPr>
        <w:spacing w:after="80" w:line="276" w:lineRule="auto"/>
      </w:pPr>
      <w:r>
        <w:rPr>
          <w:sz w:val="22"/>
          <w:szCs w:val="22"/>
        </w:rPr>
        <w:t>Confirm the candle (or short run of candles) moves in one clear direction without significant overlap with the candle(s) immediately before it.</w:t>
      </w:r>
    </w:p>
    <w:p w14:paraId="19B01E2B">
      <w:pPr>
        <w:pStyle w:val="16"/>
        <w:numPr>
          <w:ilvl w:val="0"/>
          <w:numId w:val="1"/>
        </w:numPr>
        <w:spacing w:after="80" w:line="276" w:lineRule="auto"/>
      </w:pPr>
      <w:r>
        <w:rPr>
          <w:sz w:val="22"/>
          <w:szCs w:val="22"/>
        </w:rPr>
        <w:t>Confirm the move actually breaks a meaningful prior swing high or swing low (Module 1/3) — a large candle that occurs in open space, without breaking anything, is not treated as structurally significant displacement.</w:t>
      </w:r>
    </w:p>
    <w:p w14:paraId="5C5735D9">
      <w:pPr>
        <w:pStyle w:val="16"/>
        <w:numPr>
          <w:ilvl w:val="0"/>
          <w:numId w:val="1"/>
        </w:numPr>
        <w:spacing w:after="80" w:line="276" w:lineRule="auto"/>
      </w:pPr>
      <w:r>
        <w:rPr>
          <w:sz w:val="22"/>
          <w:szCs w:val="22"/>
        </w:rPr>
        <w:t>Check for a resulting Fair Value Gap left behind between the candle before the display and the candle after it — the presence of this gap is strong corroborating evidence that genuine displacement occurred.</w:t>
      </w:r>
    </w:p>
    <w:p w14:paraId="74A9F5B1">
      <w:pPr>
        <w:pStyle w:val="3"/>
        <w:spacing w:before="360" w:after="160"/>
      </w:pPr>
      <w:r>
        <w:rPr>
          <w:b/>
          <w:bCs/>
          <w:color w:val="1B2A4A"/>
          <w:sz w:val="26"/>
          <w:szCs w:val="26"/>
        </w:rPr>
        <w:t>5. Simple Price Example</w:t>
      </w:r>
    </w:p>
    <w:p w14:paraId="44477ED1">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108 → 107 → 106 (three quiet candles) → 118 (one large forceful candle) → 119 → 121</w:t>
      </w:r>
    </w:p>
    <w:p w14:paraId="6A423EDA">
      <w:pPr>
        <w:spacing w:after="160" w:line="288" w:lineRule="auto"/>
      </w:pPr>
      <w:r>
        <w:rPr>
          <w:b w:val="0"/>
          <w:bCs w:val="0"/>
          <w:i w:val="0"/>
          <w:iCs w:val="0"/>
          <w:sz w:val="22"/>
          <w:szCs w:val="22"/>
        </w:rPr>
        <w:t>The move from 106 to 118 in a single candle is disproportionately large compared to the quiet 108→107→106 sequence before it. If this candle also has a large body relative to its total range (little wick), and it breaks above a prior swing high, it qualifies as a displacement candle. The two smaller candles on either side of it (106 before, 119 after) are what will be checked for a Fair Value Gap between them.</w:t>
      </w:r>
    </w:p>
    <w:p w14:paraId="46A34CF6">
      <w:pPr>
        <w:pStyle w:val="3"/>
        <w:spacing w:before="360" w:after="160"/>
      </w:pPr>
      <w:r>
        <w:rPr>
          <w:b/>
          <w:bCs/>
          <w:color w:val="1B2A4A"/>
          <w:sz w:val="26"/>
          <w:szCs w:val="26"/>
        </w:rPr>
        <w:t>6. What It Tells the Trader</w:t>
      </w:r>
    </w:p>
    <w:p w14:paraId="11DD2F1E">
      <w:pPr>
        <w:spacing w:after="160" w:line="288" w:lineRule="auto"/>
      </w:pPr>
      <w:r>
        <w:rPr>
          <w:b w:val="0"/>
          <w:bCs w:val="0"/>
          <w:i w:val="0"/>
          <w:iCs w:val="0"/>
          <w:sz w:val="22"/>
          <w:szCs w:val="22"/>
        </w:rPr>
        <w:t>Displacement tells the trader that a move is backed by forceful, one-sided participation rather than being a slow, uncertain drift — within ICT's framework, this is treated as evidence supporting the reliability of an accompanying Market Structure Shift and as the mechanism that creates a tradable Fair Value Gap.</w:t>
      </w:r>
    </w:p>
    <w:p w14:paraId="7C191607">
      <w:pPr>
        <w:spacing w:after="160" w:line="288" w:lineRule="auto"/>
      </w:pPr>
      <w:r>
        <w:rPr>
          <w:b w:val="0"/>
          <w:bCs w:val="0"/>
          <w:i w:val="0"/>
          <w:iCs w:val="0"/>
          <w:sz w:val="22"/>
          <w:szCs w:val="22"/>
        </w:rPr>
        <w:t>It does not tell the trader the ultimate size or duration of the move that follows. A single strong displacement candle can be followed by continuation, consolidation, or reversal, and displacement alone does not specify which of these will occur.</w:t>
      </w:r>
    </w:p>
    <w:p w14:paraId="6C6CD440">
      <w:pPr>
        <w:pStyle w:val="3"/>
        <w:spacing w:before="360" w:after="160"/>
      </w:pPr>
      <w:r>
        <w:rPr>
          <w:b/>
          <w:bCs/>
          <w:color w:val="1B2A4A"/>
          <w:sz w:val="26"/>
          <w:szCs w:val="26"/>
        </w:rPr>
        <w:t>7. What It Is Commonly Paired With</w:t>
      </w:r>
    </w:p>
    <w:p w14:paraId="451293F3">
      <w:pPr>
        <w:pStyle w:val="16"/>
        <w:numPr>
          <w:ilvl w:val="0"/>
          <w:numId w:val="2"/>
        </w:numPr>
        <w:spacing w:after="80" w:line="276" w:lineRule="auto"/>
      </w:pPr>
      <w:r>
        <w:rPr>
          <w:sz w:val="22"/>
          <w:szCs w:val="22"/>
        </w:rPr>
        <w:t>Market Structure Shift (Module 3)</w:t>
      </w:r>
    </w:p>
    <w:p w14:paraId="1501E4BB">
      <w:pPr>
        <w:pStyle w:val="16"/>
        <w:numPr>
          <w:ilvl w:val="0"/>
          <w:numId w:val="2"/>
        </w:numPr>
        <w:spacing w:after="80" w:line="276" w:lineRule="auto"/>
      </w:pPr>
      <w:r>
        <w:rPr>
          <w:sz w:val="22"/>
          <w:szCs w:val="22"/>
        </w:rPr>
        <w:t>Fair Value Gap</w:t>
      </w:r>
    </w:p>
    <w:p w14:paraId="3044A111">
      <w:pPr>
        <w:pStyle w:val="16"/>
        <w:numPr>
          <w:ilvl w:val="0"/>
          <w:numId w:val="2"/>
        </w:numPr>
        <w:spacing w:after="80" w:line="276" w:lineRule="auto"/>
      </w:pPr>
      <w:r>
        <w:rPr>
          <w:sz w:val="22"/>
          <w:szCs w:val="22"/>
        </w:rPr>
        <w:t>Liquidity Sweep (Module 4)</w:t>
      </w:r>
    </w:p>
    <w:p w14:paraId="0437F393">
      <w:pPr>
        <w:spacing w:after="160" w:line="288" w:lineRule="auto"/>
      </w:pPr>
      <w:r>
        <w:rPr>
          <w:b w:val="0"/>
          <w:bCs w:val="0"/>
          <w:i w:val="0"/>
          <w:iCs w:val="0"/>
          <w:sz w:val="22"/>
          <w:szCs w:val="22"/>
        </w:rPr>
        <w:t>Displacement is what elevates a simple structural break into a higher-confidence Market Structure Shift under this book's working definition, and it is the direct mechanical cause of the Fair Value Gap covered later in this module. It is also frequently the move that immediately follows a liquidity sweep, forming the sweep-then-displacement backbone of the ICT Buy/Sell Models (Modules 11–12).</w:t>
      </w:r>
    </w:p>
    <w:p w14:paraId="58D9FB2C">
      <w:pPr>
        <w:pStyle w:val="3"/>
        <w:spacing w:before="360" w:after="160"/>
      </w:pPr>
      <w:r>
        <w:rPr>
          <w:b/>
          <w:bCs/>
          <w:color w:val="1B2A4A"/>
          <w:sz w:val="26"/>
          <w:szCs w:val="26"/>
        </w:rPr>
        <w:t>8. Where It Fits in the ICT Framework</w:t>
      </w:r>
    </w:p>
    <w:p w14:paraId="4C2A681C">
      <w:pPr>
        <w:spacing w:after="160" w:line="288" w:lineRule="auto"/>
      </w:pPr>
      <w:r>
        <w:rPr>
          <w:b w:val="0"/>
          <w:bCs w:val="0"/>
          <w:i w:val="0"/>
          <w:iCs w:val="0"/>
          <w:sz w:val="22"/>
          <w:szCs w:val="22"/>
        </w:rPr>
        <w:t>Comes before: Requires Market Structure Shift (Module 3) and Liquidity Sweep (Module 4).</w:t>
      </w:r>
    </w:p>
    <w:p w14:paraId="645C1D3A">
      <w:pPr>
        <w:spacing w:after="160" w:line="288" w:lineRule="auto"/>
      </w:pPr>
      <w:r>
        <w:rPr>
          <w:b w:val="0"/>
          <w:bCs w:val="0"/>
          <w:i w:val="0"/>
          <w:iCs w:val="0"/>
          <w:sz w:val="22"/>
          <w:szCs w:val="22"/>
        </w:rPr>
        <w:t>Comes after: Feeds directly into Displacement Candle (a closer look at the individual candle) and Fair Value Gap (the resulting imbalance).</w:t>
      </w:r>
    </w:p>
    <w:p w14:paraId="379336AA">
      <w:pPr>
        <w:pStyle w:val="3"/>
        <w:spacing w:before="360" w:after="160"/>
      </w:pPr>
      <w:r>
        <w:rPr>
          <w:b/>
          <w:bCs/>
          <w:color w:val="1B2A4A"/>
          <w:sz w:val="26"/>
          <w:szCs w:val="26"/>
        </w:rPr>
        <w:t>9. Beginner Mistakes</w:t>
      </w:r>
    </w:p>
    <w:p w14:paraId="4763C140">
      <w:pPr>
        <w:pStyle w:val="16"/>
        <w:numPr>
          <w:ilvl w:val="0"/>
          <w:numId w:val="2"/>
        </w:numPr>
        <w:spacing w:after="80" w:line="276" w:lineRule="auto"/>
      </w:pPr>
      <w:r>
        <w:rPr>
          <w:sz w:val="22"/>
          <w:szCs w:val="22"/>
        </w:rPr>
        <w:t>Judging "large" using an absolute number of pips or points instead of comparing to recent volatility on the same timeframe.</w:t>
      </w:r>
    </w:p>
    <w:p w14:paraId="7946DA81">
      <w:pPr>
        <w:pStyle w:val="16"/>
        <w:numPr>
          <w:ilvl w:val="0"/>
          <w:numId w:val="2"/>
        </w:numPr>
        <w:spacing w:after="80" w:line="276" w:lineRule="auto"/>
      </w:pPr>
      <w:r>
        <w:rPr>
          <w:sz w:val="22"/>
          <w:szCs w:val="22"/>
        </w:rPr>
        <w:t>Treating any single large candle as displacement even when it occurs in open space without breaking a meaningful structural level.</w:t>
      </w:r>
    </w:p>
    <w:p w14:paraId="7736A991">
      <w:pPr>
        <w:pStyle w:val="16"/>
        <w:numPr>
          <w:ilvl w:val="0"/>
          <w:numId w:val="2"/>
        </w:numPr>
        <w:spacing w:after="80" w:line="276" w:lineRule="auto"/>
      </w:pPr>
      <w:r>
        <w:rPr>
          <w:sz w:val="22"/>
          <w:szCs w:val="22"/>
        </w:rPr>
        <w:t>Ignoring wick size and focusing only on how far price moved, rather than checking that the move is dominated by candle body rather than wick.</w:t>
      </w:r>
    </w:p>
    <w:p w14:paraId="3D0D7D03">
      <w:pPr>
        <w:pStyle w:val="3"/>
        <w:spacing w:before="360" w:after="160"/>
      </w:pPr>
      <w:r>
        <w:rPr>
          <w:b/>
          <w:bCs/>
          <w:color w:val="1B2A4A"/>
          <w:sz w:val="26"/>
          <w:szCs w:val="26"/>
        </w:rPr>
        <w:t>10. Important Qualification</w:t>
      </w:r>
    </w:p>
    <w:p w14:paraId="7D02F0EA">
      <w:pPr>
        <w:pBdr>
          <w:left w:val="single" w:color="7A2E2E" w:sz="24" w:space="8"/>
        </w:pBdr>
        <w:shd w:val="clear" w:fill="EFEFEF"/>
        <w:spacing w:before="160" w:after="200"/>
        <w:ind w:left="200"/>
      </w:pPr>
      <w:r>
        <w:rPr>
          <w:b/>
          <w:bCs/>
          <w:color w:val="7A2E2E"/>
          <w:sz w:val="21"/>
          <w:szCs w:val="21"/>
        </w:rPr>
        <w:t xml:space="preserve">Qualification: </w:t>
      </w:r>
      <w:r>
        <w:rPr>
          <w:sz w:val="21"/>
          <w:szCs w:val="21"/>
        </w:rPr>
        <w:t>Displacement is a matter of degree and relative comparison, not a fixed, universally agreed-upon threshold. Different ICT-focused sources use different specific numeric heuristics (such as body-to-range percentage cutoffs), and a move that looks like clear displacement on one timeframe may look unremarkable zoomed out to a higher timeframe.</w:t>
      </w:r>
    </w:p>
    <w:p w14:paraId="17B5DE24">
      <w:pPr>
        <w:pStyle w:val="3"/>
        <w:spacing w:before="360" w:after="160"/>
      </w:pPr>
      <w:r>
        <w:rPr>
          <w:b/>
          <w:bCs/>
          <w:color w:val="1B2A4A"/>
          <w:sz w:val="26"/>
          <w:szCs w:val="26"/>
        </w:rPr>
        <w:t>11. Source</w:t>
      </w:r>
    </w:p>
    <w:p w14:paraId="023370B4"/>
    <w:p w14:paraId="3ADAE31E">
      <w:pPr>
        <w:pStyle w:val="16"/>
        <w:numPr>
          <w:ilvl w:val="0"/>
          <w:numId w:val="2"/>
        </w:numPr>
        <w:spacing w:after="80" w:line="276" w:lineRule="auto"/>
      </w:pPr>
      <w:r>
        <w:rPr>
          <w:sz w:val="22"/>
          <w:szCs w:val="22"/>
        </w:rPr>
        <w:t>ictkillzone.com — "ICT Displacement: The Complete Guide."</w:t>
      </w:r>
    </w:p>
    <w:p w14:paraId="3BFA78F4">
      <w:pPr>
        <w:pStyle w:val="16"/>
        <w:numPr>
          <w:ilvl w:val="0"/>
          <w:numId w:val="2"/>
        </w:numPr>
        <w:spacing w:after="80" w:line="276" w:lineRule="auto"/>
      </w:pPr>
      <w:r>
        <w:rPr>
          <w:sz w:val="22"/>
          <w:szCs w:val="22"/>
        </w:rPr>
        <w:t>backtrex.com — "ICT Displacement Candle: The Market Displacement Concept Explained."</w:t>
      </w:r>
    </w:p>
    <w:p w14:paraId="00EB46DD">
      <w:pPr>
        <w:pStyle w:val="16"/>
        <w:numPr>
          <w:ilvl w:val="0"/>
          <w:numId w:val="2"/>
        </w:numPr>
        <w:spacing w:after="80" w:line="276" w:lineRule="auto"/>
      </w:pPr>
      <w:r>
        <w:rPr>
          <w:sz w:val="22"/>
          <w:szCs w:val="22"/>
        </w:rPr>
        <w:t>fxnx.com — "ICT Displacement: The 1-Candle Bank Tell."</w:t>
      </w:r>
    </w:p>
    <w:p w14:paraId="3ACDD1D1">
      <w:pPr>
        <w:pStyle w:val="16"/>
        <w:numPr>
          <w:ilvl w:val="0"/>
          <w:numId w:val="2"/>
        </w:numPr>
        <w:spacing w:after="80" w:line="276" w:lineRule="auto"/>
      </w:pPr>
      <w:r>
        <w:rPr>
          <w:sz w:val="22"/>
          <w:szCs w:val="22"/>
        </w:rPr>
        <w:t>thesimpleict.com — "ICT Displacement Explained: How to Read Real Institutional Moves."</w:t>
      </w:r>
    </w:p>
    <w:p w14:paraId="28D995C8">
      <w:r>
        <w:br w:type="page"/>
      </w:r>
    </w:p>
    <w:p w14:paraId="380E8476">
      <w:pPr>
        <w:pStyle w:val="2"/>
        <w:pBdr>
          <w:bottom w:val="single" w:color="1B2A4A" w:sz="12" w:space="4"/>
        </w:pBdr>
        <w:spacing w:before="480" w:after="240"/>
      </w:pPr>
      <w:r>
        <w:rPr>
          <w:b/>
          <w:bCs/>
          <w:color w:val="1B2A4A"/>
          <w:sz w:val="34"/>
          <w:szCs w:val="34"/>
        </w:rPr>
        <w:t>Displacement Candle</w:t>
      </w:r>
    </w:p>
    <w:p w14:paraId="6660F1DE">
      <w:pPr>
        <w:pStyle w:val="3"/>
        <w:spacing w:before="360" w:after="160"/>
      </w:pPr>
      <w:r>
        <w:rPr>
          <w:b/>
          <w:bCs/>
          <w:color w:val="1B2A4A"/>
          <w:sz w:val="26"/>
          <w:szCs w:val="26"/>
        </w:rPr>
        <w:t>1. Definition</w:t>
      </w:r>
    </w:p>
    <w:p w14:paraId="364EDE7F">
      <w:pPr>
        <w:spacing w:after="160" w:line="288" w:lineRule="auto"/>
      </w:pPr>
      <w:r>
        <w:rPr>
          <w:b w:val="0"/>
          <w:bCs w:val="0"/>
          <w:i w:val="0"/>
          <w:iCs w:val="0"/>
          <w:sz w:val="22"/>
          <w:szCs w:val="22"/>
        </w:rPr>
        <w:t>A displacement candle is the specific individual candle (or the dominant candle within a short displacement sequence) responsible for the forceful move — the middle candle in the three-candle Fair Value Gap pattern, whose large body and minimal wicks distinguish it from ordinary price action.</w:t>
      </w:r>
    </w:p>
    <w:p w14:paraId="7C8349C2">
      <w:pPr>
        <w:pStyle w:val="3"/>
        <w:spacing w:before="360" w:after="160"/>
      </w:pPr>
      <w:r>
        <w:rPr>
          <w:b/>
          <w:bCs/>
          <w:color w:val="1B2A4A"/>
          <w:sz w:val="26"/>
          <w:szCs w:val="26"/>
        </w:rPr>
        <w:t>2. ICT's Meaning</w:t>
      </w:r>
    </w:p>
    <w:p w14:paraId="16434824">
      <w:pPr>
        <w:spacing w:after="160" w:line="288" w:lineRule="auto"/>
      </w:pPr>
      <w:r>
        <w:rPr>
          <w:b w:val="0"/>
          <w:bCs w:val="0"/>
          <w:i w:val="0"/>
          <w:iCs w:val="0"/>
          <w:sz w:val="22"/>
          <w:szCs w:val="22"/>
        </w:rPr>
        <w:t>Where "displacement" describes the event or move in general, "displacement candle" specifically names the single candle doing the work — the object a trader points to and marks on the chart. ICT-focused sources describe this candle as the middle of a three-candle sequence: an unremarkable candle before it, the displacement candle itself, and another candle after it, with the gap between the first and third candles forming the Fair Value Gap.</w:t>
      </w:r>
    </w:p>
    <w:p w14:paraId="18D440D4">
      <w:pPr>
        <w:spacing w:after="160" w:line="288" w:lineRule="auto"/>
      </w:pPr>
      <w:r>
        <w:rPr>
          <w:b w:val="0"/>
          <w:bCs w:val="0"/>
          <w:i w:val="0"/>
          <w:iCs w:val="0"/>
          <w:sz w:val="22"/>
          <w:szCs w:val="22"/>
        </w:rPr>
        <w:t>Some ICT-adjacent analytical tools formalize this with a specific quantitative filter — for example, requiring the candle's body to be at least roughly 60–70% of its total high-to-low range — used to separate genuine displacement candles (strong directional commitment) from candles that merely look large but are dominated by indecisive wicks.</w:t>
      </w:r>
    </w:p>
    <w:p w14:paraId="34D3DC2A">
      <w:pPr>
        <w:pStyle w:val="3"/>
        <w:spacing w:before="360" w:after="160"/>
      </w:pPr>
      <w:r>
        <w:rPr>
          <w:b/>
          <w:bCs/>
          <w:color w:val="1B2A4A"/>
          <w:sz w:val="26"/>
          <w:szCs w:val="26"/>
        </w:rPr>
        <w:t>3. Beginner Explanation</w:t>
      </w:r>
    </w:p>
    <w:p w14:paraId="6897A34C">
      <w:pPr>
        <w:spacing w:after="160" w:line="288" w:lineRule="auto"/>
      </w:pPr>
      <w:r>
        <w:rPr>
          <w:b w:val="0"/>
          <w:bCs w:val="0"/>
          <w:i w:val="0"/>
          <w:iCs w:val="0"/>
          <w:sz w:val="22"/>
          <w:szCs w:val="22"/>
        </w:rPr>
        <w:t>If displacement is the general event of "a forceful shove," the displacement candle is the specific single candle on the chart that represents that shove — the one big, mostly solid-bodied candle sitting between two smaller, calmer candles.</w:t>
      </w:r>
    </w:p>
    <w:p w14:paraId="35910A97">
      <w:pPr>
        <w:pStyle w:val="3"/>
        <w:spacing w:before="360" w:after="160"/>
      </w:pPr>
      <w:r>
        <w:rPr>
          <w:b/>
          <w:bCs/>
          <w:color w:val="1B2A4A"/>
          <w:sz w:val="26"/>
          <w:szCs w:val="26"/>
        </w:rPr>
        <w:t>4. How to Identify It</w:t>
      </w:r>
    </w:p>
    <w:p w14:paraId="334737F6">
      <w:pPr>
        <w:pStyle w:val="16"/>
        <w:numPr>
          <w:ilvl w:val="0"/>
          <w:numId w:val="1"/>
        </w:numPr>
        <w:spacing w:after="80" w:line="276" w:lineRule="auto"/>
      </w:pPr>
      <w:r>
        <w:rPr>
          <w:sz w:val="22"/>
          <w:szCs w:val="22"/>
        </w:rPr>
        <w:t>Locate a candle whose range is significantly larger than the candles immediately surrounding it.</w:t>
      </w:r>
    </w:p>
    <w:p w14:paraId="2F75A417">
      <w:pPr>
        <w:pStyle w:val="16"/>
        <w:numPr>
          <w:ilvl w:val="0"/>
          <w:numId w:val="1"/>
        </w:numPr>
        <w:spacing w:after="80" w:line="276" w:lineRule="auto"/>
      </w:pPr>
      <w:r>
        <w:rPr>
          <w:sz w:val="22"/>
          <w:szCs w:val="22"/>
        </w:rPr>
        <w:t>Measure the candle's body-to-range ratio; a strong displacement candle should have a small wick relative to its body.</w:t>
      </w:r>
    </w:p>
    <w:p w14:paraId="034A534C">
      <w:pPr>
        <w:pStyle w:val="16"/>
        <w:numPr>
          <w:ilvl w:val="0"/>
          <w:numId w:val="1"/>
        </w:numPr>
        <w:spacing w:after="80" w:line="276" w:lineRule="auto"/>
      </w:pPr>
      <w:r>
        <w:rPr>
          <w:sz w:val="22"/>
          <w:szCs w:val="22"/>
        </w:rPr>
        <w:t>Confirm this candle sits directly between two other candles that will be checked for an FVG (the candle immediately before it, and the candle immediately after it).</w:t>
      </w:r>
    </w:p>
    <w:p w14:paraId="16C97615">
      <w:pPr>
        <w:pStyle w:val="16"/>
        <w:numPr>
          <w:ilvl w:val="0"/>
          <w:numId w:val="1"/>
        </w:numPr>
        <w:spacing w:after="80" w:line="276" w:lineRule="auto"/>
      </w:pPr>
      <w:r>
        <w:rPr>
          <w:sz w:val="22"/>
          <w:szCs w:val="22"/>
        </w:rPr>
        <w:t>Confirm the candle moves the market through a meaningful structural level, not through open, low-significance price territory.</w:t>
      </w:r>
    </w:p>
    <w:p w14:paraId="236EC501">
      <w:pPr>
        <w:pStyle w:val="3"/>
        <w:spacing w:before="360" w:after="160"/>
      </w:pPr>
      <w:r>
        <w:rPr>
          <w:b/>
          <w:bCs/>
          <w:color w:val="1B2A4A"/>
          <w:sz w:val="26"/>
          <w:szCs w:val="26"/>
        </w:rPr>
        <w:t>5. Simple Price Example</w:t>
      </w:r>
    </w:p>
    <w:p w14:paraId="41518856">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Candle A: 106 → 107 (small body). Candle B (displacement): 107 → 118 (large body, tiny wicks). Candle C: 118 → 119 (small body)</w:t>
      </w:r>
    </w:p>
    <w:p w14:paraId="0608808A">
      <w:pPr>
        <w:spacing w:after="160" w:line="288" w:lineRule="auto"/>
      </w:pPr>
      <w:r>
        <w:rPr>
          <w:b w:val="0"/>
          <w:bCs w:val="0"/>
          <w:i w:val="0"/>
          <w:iCs w:val="0"/>
          <w:sz w:val="22"/>
          <w:szCs w:val="22"/>
        </w:rPr>
        <w:t>Candle B is the displacement candle: its body spans nearly its entire range (107 to 118), with almost no wick on either end, in sharp contrast to the small, ordinary candles before and after it. This single candle is what a trader would mark and reference when discussing displacement on this chart.</w:t>
      </w:r>
    </w:p>
    <w:p w14:paraId="7DE9BB6E">
      <w:pPr>
        <w:pStyle w:val="3"/>
        <w:spacing w:before="360" w:after="160"/>
      </w:pPr>
      <w:r>
        <w:rPr>
          <w:b/>
          <w:bCs/>
          <w:color w:val="1B2A4A"/>
          <w:sz w:val="26"/>
          <w:szCs w:val="26"/>
        </w:rPr>
        <w:t>6. What It Tells the Trader</w:t>
      </w:r>
    </w:p>
    <w:p w14:paraId="1E4D6671">
      <w:pPr>
        <w:spacing w:after="160" w:line="288" w:lineRule="auto"/>
      </w:pPr>
      <w:r>
        <w:rPr>
          <w:b w:val="0"/>
          <w:bCs w:val="0"/>
          <w:i w:val="0"/>
          <w:iCs w:val="0"/>
          <w:sz w:val="22"/>
          <w:szCs w:val="22"/>
        </w:rPr>
        <w:t>Identifying the specific displacement candle tells the trader exactly which candle's high and low to use when constructing the resulting Fair Value Gap, and gives a precise reference point for judging how forceful the move actually was.</w:t>
      </w:r>
    </w:p>
    <w:p w14:paraId="76D06362">
      <w:pPr>
        <w:spacing w:after="160" w:line="288" w:lineRule="auto"/>
      </w:pPr>
      <w:r>
        <w:rPr>
          <w:b w:val="0"/>
          <w:bCs w:val="0"/>
          <w:i w:val="0"/>
          <w:iCs w:val="0"/>
          <w:sz w:val="22"/>
          <w:szCs w:val="22"/>
        </w:rPr>
        <w:t>It does not, by itself, tell the trader whether the FVG it creates will be a high-quality, reliable one — that also depends on whether the move breaks a meaningful structural level and follows a liquidity event, as discussed in Displacement above.</w:t>
      </w:r>
    </w:p>
    <w:p w14:paraId="01BF7ED3">
      <w:pPr>
        <w:pStyle w:val="3"/>
        <w:spacing w:before="360" w:after="160"/>
      </w:pPr>
      <w:r>
        <w:rPr>
          <w:b/>
          <w:bCs/>
          <w:color w:val="1B2A4A"/>
          <w:sz w:val="26"/>
          <w:szCs w:val="26"/>
        </w:rPr>
        <w:t>7. What It Is Commonly Paired With</w:t>
      </w:r>
    </w:p>
    <w:p w14:paraId="7080E1CA">
      <w:pPr>
        <w:pStyle w:val="16"/>
        <w:numPr>
          <w:ilvl w:val="0"/>
          <w:numId w:val="2"/>
        </w:numPr>
        <w:spacing w:after="80" w:line="276" w:lineRule="auto"/>
      </w:pPr>
      <w:r>
        <w:rPr>
          <w:sz w:val="22"/>
          <w:szCs w:val="22"/>
        </w:rPr>
        <w:t>Fair Value Gap</w:t>
      </w:r>
    </w:p>
    <w:p w14:paraId="5401F4D1">
      <w:pPr>
        <w:pStyle w:val="16"/>
        <w:numPr>
          <w:ilvl w:val="0"/>
          <w:numId w:val="2"/>
        </w:numPr>
        <w:spacing w:after="80" w:line="276" w:lineRule="auto"/>
      </w:pPr>
      <w:r>
        <w:rPr>
          <w:sz w:val="22"/>
          <w:szCs w:val="22"/>
        </w:rPr>
        <w:t>Market Structure Shift (Module 3)</w:t>
      </w:r>
    </w:p>
    <w:p w14:paraId="2F4124D3">
      <w:pPr>
        <w:pStyle w:val="16"/>
        <w:numPr>
          <w:ilvl w:val="0"/>
          <w:numId w:val="2"/>
        </w:numPr>
        <w:spacing w:after="80" w:line="276" w:lineRule="auto"/>
      </w:pPr>
      <w:r>
        <w:rPr>
          <w:sz w:val="22"/>
          <w:szCs w:val="22"/>
        </w:rPr>
        <w:t>Order Block (Module 6)</w:t>
      </w:r>
    </w:p>
    <w:p w14:paraId="1A26D030">
      <w:pPr>
        <w:spacing w:after="160" w:line="288" w:lineRule="auto"/>
      </w:pPr>
      <w:r>
        <w:rPr>
          <w:b w:val="0"/>
          <w:bCs w:val="0"/>
          <w:i w:val="0"/>
          <w:iCs w:val="0"/>
          <w:sz w:val="22"/>
          <w:szCs w:val="22"/>
        </w:rPr>
        <w:t>The displacement candle is the direct source of the Fair Value Gap; it is also frequently the candle whose break confirms a Market Structure Shift, and the candle immediately preceding it (an opposing-direction candle) is frequently marked as an Order Block, covered in Module 6.</w:t>
      </w:r>
    </w:p>
    <w:p w14:paraId="1C78C58B">
      <w:pPr>
        <w:pStyle w:val="3"/>
        <w:spacing w:before="360" w:after="160"/>
      </w:pPr>
      <w:r>
        <w:rPr>
          <w:b/>
          <w:bCs/>
          <w:color w:val="1B2A4A"/>
          <w:sz w:val="26"/>
          <w:szCs w:val="26"/>
        </w:rPr>
        <w:t>8. Where It Fits in the ICT Framework</w:t>
      </w:r>
    </w:p>
    <w:p w14:paraId="6DA2B435">
      <w:pPr>
        <w:spacing w:after="160" w:line="288" w:lineRule="auto"/>
      </w:pPr>
      <w:r>
        <w:rPr>
          <w:b w:val="0"/>
          <w:bCs w:val="0"/>
          <w:i w:val="0"/>
          <w:iCs w:val="0"/>
          <w:sz w:val="22"/>
          <w:szCs w:val="22"/>
        </w:rPr>
        <w:t>Comes before: Requires Displacement.</w:t>
      </w:r>
    </w:p>
    <w:p w14:paraId="74CA589A">
      <w:pPr>
        <w:spacing w:after="160" w:line="288" w:lineRule="auto"/>
      </w:pPr>
      <w:r>
        <w:rPr>
          <w:b w:val="0"/>
          <w:bCs w:val="0"/>
          <w:i w:val="0"/>
          <w:iCs w:val="0"/>
          <w:sz w:val="22"/>
          <w:szCs w:val="22"/>
        </w:rPr>
        <w:t>Comes after: Feeds directly into Imbalance and Fair Value Gap.</w:t>
      </w:r>
    </w:p>
    <w:p w14:paraId="2B2DE2CC">
      <w:pPr>
        <w:pStyle w:val="3"/>
        <w:spacing w:before="360" w:after="160"/>
      </w:pPr>
      <w:r>
        <w:rPr>
          <w:b/>
          <w:bCs/>
          <w:color w:val="1B2A4A"/>
          <w:sz w:val="26"/>
          <w:szCs w:val="26"/>
        </w:rPr>
        <w:t>9. Beginner Mistakes</w:t>
      </w:r>
    </w:p>
    <w:p w14:paraId="31017674">
      <w:pPr>
        <w:pStyle w:val="16"/>
        <w:numPr>
          <w:ilvl w:val="0"/>
          <w:numId w:val="2"/>
        </w:numPr>
        <w:spacing w:after="80" w:line="276" w:lineRule="auto"/>
      </w:pPr>
      <w:r>
        <w:rPr>
          <w:sz w:val="22"/>
          <w:szCs w:val="22"/>
        </w:rPr>
        <w:t>Marking a candle with a large range but a small body (mostly wick) as a displacement candle.</w:t>
      </w:r>
    </w:p>
    <w:p w14:paraId="00B180BB">
      <w:pPr>
        <w:pStyle w:val="16"/>
        <w:numPr>
          <w:ilvl w:val="0"/>
          <w:numId w:val="2"/>
        </w:numPr>
        <w:spacing w:after="80" w:line="276" w:lineRule="auto"/>
      </w:pPr>
      <w:r>
        <w:rPr>
          <w:sz w:val="22"/>
          <w:szCs w:val="22"/>
        </w:rPr>
        <w:t>Marking multiple candles in a sequence as "the" displacement candle rather than identifying the single most dominant one for FVG construction, when the guidance in use calls for a single reference candle.</w:t>
      </w:r>
    </w:p>
    <w:p w14:paraId="4E087F12">
      <w:pPr>
        <w:pStyle w:val="3"/>
        <w:spacing w:before="360" w:after="160"/>
      </w:pPr>
      <w:r>
        <w:rPr>
          <w:b/>
          <w:bCs/>
          <w:color w:val="1B2A4A"/>
          <w:sz w:val="26"/>
          <w:szCs w:val="26"/>
        </w:rPr>
        <w:t>10. Important Qualification</w:t>
      </w:r>
    </w:p>
    <w:p w14:paraId="5EFD9802">
      <w:pPr>
        <w:pBdr>
          <w:left w:val="single" w:color="7A2E2E" w:sz="24" w:space="8"/>
        </w:pBdr>
        <w:shd w:val="clear" w:fill="EFEFEF"/>
        <w:spacing w:before="160" w:after="200"/>
        <w:ind w:left="200"/>
      </w:pPr>
      <w:r>
        <w:rPr>
          <w:b/>
          <w:bCs/>
          <w:color w:val="7A2E2E"/>
          <w:sz w:val="21"/>
          <w:szCs w:val="21"/>
        </w:rPr>
        <w:t xml:space="preserve">Qualification: </w:t>
      </w:r>
      <w:r>
        <w:rPr>
          <w:sz w:val="21"/>
          <w:szCs w:val="21"/>
        </w:rPr>
        <w:t>The exact quantitative threshold for what counts as a valid displacement candle (such as a specific body-to-range percentage) varies across ICT-focused secondary sources and tools; this book presents these thresholds as commonly used heuristics, not as a single fixed, universally agreed rule.</w:t>
      </w:r>
    </w:p>
    <w:p w14:paraId="0EE35BBC">
      <w:pPr>
        <w:pStyle w:val="3"/>
        <w:spacing w:before="360" w:after="160"/>
      </w:pPr>
      <w:r>
        <w:rPr>
          <w:b/>
          <w:bCs/>
          <w:color w:val="1B2A4A"/>
          <w:sz w:val="26"/>
          <w:szCs w:val="26"/>
        </w:rPr>
        <w:t>11. Source</w:t>
      </w:r>
    </w:p>
    <w:p w14:paraId="0535407B"/>
    <w:p w14:paraId="04CF5C98">
      <w:pPr>
        <w:pStyle w:val="16"/>
        <w:numPr>
          <w:ilvl w:val="0"/>
          <w:numId w:val="2"/>
        </w:numPr>
        <w:spacing w:after="80" w:line="276" w:lineRule="auto"/>
      </w:pPr>
      <w:r>
        <w:rPr>
          <w:sz w:val="22"/>
          <w:szCs w:val="22"/>
        </w:rPr>
        <w:t>FibAlgo (TradingView) — "ICT Displacement" indicator documentation (body-to-range ratio threshold, ~60–70%).</w:t>
      </w:r>
    </w:p>
    <w:p w14:paraId="785167CA">
      <w:pPr>
        <w:pStyle w:val="16"/>
        <w:numPr>
          <w:ilvl w:val="0"/>
          <w:numId w:val="2"/>
        </w:numPr>
        <w:spacing w:after="80" w:line="276" w:lineRule="auto"/>
      </w:pPr>
      <w:r>
        <w:rPr>
          <w:sz w:val="22"/>
          <w:szCs w:val="22"/>
        </w:rPr>
        <w:t>innercircletrader.net — "Valid ICT Fair Value Gap: Weak vs Strong 3-Candle Pattern Explained."</w:t>
      </w:r>
    </w:p>
    <w:p w14:paraId="51DB8B9C">
      <w:pPr>
        <w:pBdr>
          <w:left w:val="single" w:color="9A7B2E" w:sz="24" w:space="8"/>
        </w:pBdr>
        <w:shd w:val="clear" w:fill="EFEFEF"/>
        <w:spacing w:before="160" w:after="200"/>
        <w:ind w:left="200"/>
      </w:pPr>
      <w:r>
        <w:rPr>
          <w:b/>
          <w:bCs/>
          <w:color w:val="9A7B2E"/>
          <w:sz w:val="21"/>
          <w:szCs w:val="21"/>
        </w:rPr>
        <w:t xml:space="preserve">Community interpretation: </w:t>
      </w:r>
      <w:r>
        <w:rPr>
          <w:sz w:val="21"/>
          <w:szCs w:val="21"/>
        </w:rPr>
        <w:t>The specific 60–70% body-to-range percentage is a community-built analytical tool's threshold, not a number confirmed here as an ICT-stated rule; it is presented as a reasonable, widely used heuristic.</w:t>
      </w:r>
    </w:p>
    <w:p w14:paraId="2ACB91C5">
      <w:r>
        <w:br w:type="page"/>
      </w:r>
    </w:p>
    <w:p w14:paraId="34D9EDC8">
      <w:pPr>
        <w:pStyle w:val="2"/>
        <w:pBdr>
          <w:bottom w:val="single" w:color="1B2A4A" w:sz="12" w:space="4"/>
        </w:pBdr>
        <w:spacing w:before="480" w:after="240"/>
      </w:pPr>
      <w:r>
        <w:rPr>
          <w:b/>
          <w:bCs/>
          <w:color w:val="1B2A4A"/>
          <w:sz w:val="34"/>
          <w:szCs w:val="34"/>
        </w:rPr>
        <w:t>Imbalance</w:t>
      </w:r>
    </w:p>
    <w:p w14:paraId="256B909F">
      <w:pPr>
        <w:pStyle w:val="3"/>
        <w:spacing w:before="360" w:after="160"/>
      </w:pPr>
      <w:r>
        <w:rPr>
          <w:b/>
          <w:bCs/>
          <w:color w:val="1B2A4A"/>
          <w:sz w:val="26"/>
          <w:szCs w:val="26"/>
        </w:rPr>
        <w:t>1. Definition</w:t>
      </w:r>
    </w:p>
    <w:p w14:paraId="781F292F">
      <w:pPr>
        <w:spacing w:after="160" w:line="288" w:lineRule="auto"/>
      </w:pPr>
      <w:r>
        <w:rPr>
          <w:b w:val="0"/>
          <w:bCs w:val="0"/>
          <w:i w:val="0"/>
          <w:iCs w:val="0"/>
          <w:sz w:val="22"/>
          <w:szCs w:val="22"/>
        </w:rPr>
        <w:t>An imbalance is any price zone where one side of the market (buyers or sellers) moved price so quickly that the opposite side did not have the opportunity to trade at every intervening price level, leaving a zone that was not fairly and evenly traded in both directions.</w:t>
      </w:r>
    </w:p>
    <w:p w14:paraId="5014B121">
      <w:pPr>
        <w:pStyle w:val="3"/>
        <w:spacing w:before="360" w:after="160"/>
      </w:pPr>
      <w:r>
        <w:rPr>
          <w:b/>
          <w:bCs/>
          <w:color w:val="1B2A4A"/>
          <w:sz w:val="26"/>
          <w:szCs w:val="26"/>
        </w:rPr>
        <w:t>2. ICT's Meaning</w:t>
      </w:r>
    </w:p>
    <w:p w14:paraId="4791FD77">
      <w:pPr>
        <w:spacing w:after="160" w:line="288" w:lineRule="auto"/>
      </w:pPr>
      <w:r>
        <w:rPr>
          <w:b w:val="0"/>
          <w:bCs w:val="0"/>
          <w:i w:val="0"/>
          <w:iCs w:val="0"/>
          <w:sz w:val="22"/>
          <w:szCs w:val="22"/>
        </w:rPr>
        <w:t>ICT-focused teaching uses "imbalance" as the general umbrella term for one-sided, inefficient price delivery, with the Fair Value Gap (this module's final concept) being the single most common, specifically defined type of imbalance. Some sources also describe a broader category called a liquidity void — a larger imbalance spanning multiple candles, often containing several individual FVGs stacked together, typically associated with major news events or off-hours repricing.</w:t>
      </w:r>
    </w:p>
    <w:p w14:paraId="4E7CFC32">
      <w:pPr>
        <w:spacing w:after="160" w:line="288" w:lineRule="auto"/>
      </w:pPr>
      <w:r>
        <w:rPr>
          <w:b w:val="0"/>
          <w:bCs w:val="0"/>
          <w:i w:val="0"/>
          <w:iCs w:val="0"/>
          <w:sz w:val="22"/>
          <w:szCs w:val="22"/>
        </w:rPr>
        <w:t>A related but distinct concept some sources describe is the volume imbalance: a gap that exists between candle bodies (open/close prices) while the wicks of those same candles still overlap. This is described as a thinner, weaker version of an imbalance than a full Fair Value Gap, since actual trading (via the wicks) did technically occur across the zone, even if the bodies suggest one-sidedness.</w:t>
      </w:r>
    </w:p>
    <w:p w14:paraId="5AA6BBC2">
      <w:pPr>
        <w:spacing w:after="160" w:line="288" w:lineRule="auto"/>
      </w:pPr>
      <w:r>
        <w:rPr>
          <w:b w:val="0"/>
          <w:bCs w:val="0"/>
          <w:i w:val="0"/>
          <w:iCs w:val="0"/>
          <w:sz w:val="22"/>
          <w:szCs w:val="22"/>
        </w:rPr>
        <w:t>The underlying theoretical framing across ICT-focused sources is auction-based: a market is considered to have established "fair value" at a price only once genuine two-sided trading has occurred there. A zone that was skipped over during a fast, one-sided move never had that two-sided negotiation, which is why ICT-focused teaching describes price as having a tendency to return to these zones later to "rebalance" or complete the interrupted two-way auction.</w:t>
      </w:r>
    </w:p>
    <w:p w14:paraId="239DAE4A">
      <w:pPr>
        <w:pStyle w:val="3"/>
        <w:spacing w:before="360" w:after="160"/>
      </w:pPr>
      <w:r>
        <w:rPr>
          <w:b/>
          <w:bCs/>
          <w:color w:val="1B2A4A"/>
          <w:sz w:val="26"/>
          <w:szCs w:val="26"/>
        </w:rPr>
        <w:t>3. Beginner Explanation</w:t>
      </w:r>
    </w:p>
    <w:p w14:paraId="41814C07">
      <w:pPr>
        <w:spacing w:after="160" w:line="288" w:lineRule="auto"/>
      </w:pPr>
      <w:r>
        <w:rPr>
          <w:b w:val="0"/>
          <w:bCs w:val="0"/>
          <w:i w:val="0"/>
          <w:iCs w:val="0"/>
          <w:sz w:val="22"/>
          <w:szCs w:val="22"/>
        </w:rPr>
        <w:t>Imagine a busy market where buyers and sellers usually haggle back and forth at every price before agreeing on a deal. An imbalance is what happens when that haggling gets skipped — one side is so eager, or so overwhelming, that price rockets past several potential deal-points without anyone actually trading there. That skipped-over zone, where no real two-sided negotiation happened, is the imbalance.</w:t>
      </w:r>
    </w:p>
    <w:p w14:paraId="6F651CD5">
      <w:pPr>
        <w:pStyle w:val="3"/>
        <w:spacing w:before="360" w:after="160"/>
      </w:pPr>
      <w:r>
        <w:rPr>
          <w:b/>
          <w:bCs/>
          <w:color w:val="1B2A4A"/>
          <w:sz w:val="26"/>
          <w:szCs w:val="26"/>
        </w:rPr>
        <w:t>4. How to Identify It</w:t>
      </w:r>
    </w:p>
    <w:p w14:paraId="07F233F8">
      <w:pPr>
        <w:pStyle w:val="16"/>
        <w:numPr>
          <w:ilvl w:val="0"/>
          <w:numId w:val="1"/>
        </w:numPr>
        <w:spacing w:after="80" w:line="276" w:lineRule="auto"/>
      </w:pPr>
      <w:r>
        <w:rPr>
          <w:sz w:val="22"/>
          <w:szCs w:val="22"/>
        </w:rPr>
        <w:t>Identify a fast, one-directional move (see Displacement).</w:t>
      </w:r>
    </w:p>
    <w:p w14:paraId="433CEC95">
      <w:pPr>
        <w:pStyle w:val="16"/>
        <w:numPr>
          <w:ilvl w:val="0"/>
          <w:numId w:val="1"/>
        </w:numPr>
        <w:spacing w:after="80" w:line="276" w:lineRule="auto"/>
      </w:pPr>
      <w:r>
        <w:rPr>
          <w:sz w:val="22"/>
          <w:szCs w:val="22"/>
        </w:rPr>
        <w:t>Examine the specific candles involved for a zone where price on one side did not overlap with price on the other side of the move — this is the general signature of an imbalance.</w:t>
      </w:r>
    </w:p>
    <w:p w14:paraId="6AA042A0">
      <w:pPr>
        <w:pStyle w:val="16"/>
        <w:numPr>
          <w:ilvl w:val="0"/>
          <w:numId w:val="1"/>
        </w:numPr>
        <w:spacing w:after="80" w:line="276" w:lineRule="auto"/>
      </w:pPr>
      <w:r>
        <w:rPr>
          <w:sz w:val="22"/>
          <w:szCs w:val="22"/>
        </w:rPr>
        <w:t>Distinguish between the specific, most rigorously defined type (a Fair Value Gap, based on non-overlapping wicks across three candles) and looser or related types (a volume imbalance, based on non-overlapping candle bodies while wicks still overlap; or a larger multi-candle liquidity void).</w:t>
      </w:r>
    </w:p>
    <w:p w14:paraId="43CC4E44">
      <w:pPr>
        <w:pStyle w:val="16"/>
        <w:numPr>
          <w:ilvl w:val="0"/>
          <w:numId w:val="1"/>
        </w:numPr>
        <w:spacing w:after="80" w:line="276" w:lineRule="auto"/>
      </w:pPr>
      <w:r>
        <w:rPr>
          <w:sz w:val="22"/>
          <w:szCs w:val="22"/>
        </w:rPr>
        <w:t>Mark the identified imbalance zone as a candidate area price may return to later.</w:t>
      </w:r>
    </w:p>
    <w:p w14:paraId="5368A667">
      <w:pPr>
        <w:pStyle w:val="3"/>
        <w:spacing w:before="360" w:after="160"/>
      </w:pPr>
      <w:r>
        <w:rPr>
          <w:b/>
          <w:bCs/>
          <w:color w:val="1B2A4A"/>
          <w:sz w:val="26"/>
          <w:szCs w:val="26"/>
        </w:rPr>
        <w:t>5. Simple Price Example</w:t>
      </w:r>
    </w:p>
    <w:p w14:paraId="2812FA4B">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Candle A: high 107, low 105. Candle B: open 107, close 117 (large, fast move). Candle C: high 119, low 116</w:t>
      </w:r>
    </w:p>
    <w:p w14:paraId="5E22158A">
      <w:pPr>
        <w:spacing w:after="160" w:line="288" w:lineRule="auto"/>
      </w:pPr>
      <w:r>
        <w:rPr>
          <w:b w:val="0"/>
          <w:bCs w:val="0"/>
          <w:i w:val="0"/>
          <w:iCs w:val="0"/>
          <w:sz w:val="22"/>
          <w:szCs w:val="22"/>
        </w:rPr>
        <w:t>Between candle A's high (107) and candle C's low (116), there is a nine-point span that neither candle A nor candle C actually traded through — only candle B's fast move crossed it. This untraded span is the imbalance; because the wicks of candle A and candle C do not overlap here, this specific example also qualifies as a Fair Value Gap (defined precisely in the next concept).</w:t>
      </w:r>
    </w:p>
    <w:p w14:paraId="7FE34447">
      <w:pPr>
        <w:pStyle w:val="3"/>
        <w:spacing w:before="360" w:after="160"/>
      </w:pPr>
      <w:r>
        <w:rPr>
          <w:b/>
          <w:bCs/>
          <w:color w:val="1B2A4A"/>
          <w:sz w:val="26"/>
          <w:szCs w:val="26"/>
        </w:rPr>
        <w:t>6. What It Tells the Trader</w:t>
      </w:r>
    </w:p>
    <w:p w14:paraId="3D723B4D">
      <w:pPr>
        <w:spacing w:after="160" w:line="288" w:lineRule="auto"/>
      </w:pPr>
      <w:r>
        <w:rPr>
          <w:b w:val="0"/>
          <w:bCs w:val="0"/>
          <w:i w:val="0"/>
          <w:iCs w:val="0"/>
          <w:sz w:val="22"/>
          <w:szCs w:val="22"/>
        </w:rPr>
        <w:t>An imbalance tells the trader that a specific price zone was skipped during a one-sided move and, within ICT's framework, is treated as an area price has some tendency to revisit before or during continued movement, in order to complete a more balanced, two-sided negotiation.</w:t>
      </w:r>
    </w:p>
    <w:p w14:paraId="230E4496">
      <w:pPr>
        <w:spacing w:after="160" w:line="288" w:lineRule="auto"/>
      </w:pPr>
      <w:r>
        <w:rPr>
          <w:b w:val="0"/>
          <w:bCs w:val="0"/>
          <w:i w:val="0"/>
          <w:iCs w:val="0"/>
          <w:sz w:val="22"/>
          <w:szCs w:val="22"/>
        </w:rPr>
        <w:t>It does not tell the trader that the zone will definitely be revisited, or when. Some imbalances remain unfilled indefinitely, especially during strong trending conditions or after major shifts in an asset's underlying value.</w:t>
      </w:r>
    </w:p>
    <w:p w14:paraId="1FAC8237">
      <w:pPr>
        <w:pStyle w:val="3"/>
        <w:spacing w:before="360" w:after="160"/>
      </w:pPr>
      <w:r>
        <w:rPr>
          <w:b/>
          <w:bCs/>
          <w:color w:val="1B2A4A"/>
          <w:sz w:val="26"/>
          <w:szCs w:val="26"/>
        </w:rPr>
        <w:t>7. What It Is Commonly Paired With</w:t>
      </w:r>
    </w:p>
    <w:p w14:paraId="651DBBBC">
      <w:pPr>
        <w:pStyle w:val="16"/>
        <w:numPr>
          <w:ilvl w:val="0"/>
          <w:numId w:val="2"/>
        </w:numPr>
        <w:spacing w:after="80" w:line="276" w:lineRule="auto"/>
      </w:pPr>
      <w:r>
        <w:rPr>
          <w:sz w:val="22"/>
          <w:szCs w:val="22"/>
        </w:rPr>
        <w:t>Fair Value Gap</w:t>
      </w:r>
    </w:p>
    <w:p w14:paraId="797270A8">
      <w:pPr>
        <w:pStyle w:val="16"/>
        <w:numPr>
          <w:ilvl w:val="0"/>
          <w:numId w:val="2"/>
        </w:numPr>
        <w:spacing w:after="80" w:line="276" w:lineRule="auto"/>
      </w:pPr>
      <w:r>
        <w:rPr>
          <w:sz w:val="22"/>
          <w:szCs w:val="22"/>
        </w:rPr>
        <w:t>Displacement</w:t>
      </w:r>
    </w:p>
    <w:p w14:paraId="67C1FCE2">
      <w:pPr>
        <w:pStyle w:val="16"/>
        <w:numPr>
          <w:ilvl w:val="0"/>
          <w:numId w:val="2"/>
        </w:numPr>
        <w:spacing w:after="80" w:line="276" w:lineRule="auto"/>
      </w:pPr>
      <w:r>
        <w:rPr>
          <w:sz w:val="22"/>
          <w:szCs w:val="22"/>
        </w:rPr>
        <w:t>Liquidity Void</w:t>
      </w:r>
    </w:p>
    <w:p w14:paraId="7C4E79E5">
      <w:pPr>
        <w:spacing w:after="160" w:line="288" w:lineRule="auto"/>
      </w:pPr>
      <w:r>
        <w:rPr>
          <w:b w:val="0"/>
          <w:bCs w:val="0"/>
          <w:i w:val="0"/>
          <w:iCs w:val="0"/>
          <w:sz w:val="22"/>
          <w:szCs w:val="22"/>
        </w:rPr>
        <w:t>Fair Value Gap is simply the most precisely defined, most commonly traded subtype of imbalance; every Fair Value Gap is an imbalance, but not every imbalance meets the stricter three-candle, non-overlapping-wick definition of a Fair Value Gap.</w:t>
      </w:r>
    </w:p>
    <w:p w14:paraId="0BF05789">
      <w:pPr>
        <w:pStyle w:val="3"/>
        <w:spacing w:before="360" w:after="160"/>
      </w:pPr>
      <w:r>
        <w:rPr>
          <w:b/>
          <w:bCs/>
          <w:color w:val="1B2A4A"/>
          <w:sz w:val="26"/>
          <w:szCs w:val="26"/>
        </w:rPr>
        <w:t>8. Where It Fits in the ICT Framework</w:t>
      </w:r>
    </w:p>
    <w:p w14:paraId="39052D8E">
      <w:pPr>
        <w:spacing w:after="160" w:line="288" w:lineRule="auto"/>
      </w:pPr>
      <w:r>
        <w:rPr>
          <w:b w:val="0"/>
          <w:bCs w:val="0"/>
          <w:i w:val="0"/>
          <w:iCs w:val="0"/>
          <w:sz w:val="22"/>
          <w:szCs w:val="22"/>
        </w:rPr>
        <w:t>Comes before: Requires Displacement and Displacement Candle.</w:t>
      </w:r>
    </w:p>
    <w:p w14:paraId="17F876BB">
      <w:pPr>
        <w:spacing w:after="160" w:line="288" w:lineRule="auto"/>
      </w:pPr>
      <w:r>
        <w:rPr>
          <w:b w:val="0"/>
          <w:bCs w:val="0"/>
          <w:i w:val="0"/>
          <w:iCs w:val="0"/>
          <w:sz w:val="22"/>
          <w:szCs w:val="22"/>
        </w:rPr>
        <w:t>Comes after: Feeds directly into Fair Value Gap, the specific, formally defined type of imbalance used throughout the rest of this book.</w:t>
      </w:r>
    </w:p>
    <w:p w14:paraId="35A52316">
      <w:pPr>
        <w:pStyle w:val="3"/>
        <w:spacing w:before="360" w:after="160"/>
      </w:pPr>
      <w:r>
        <w:rPr>
          <w:b/>
          <w:bCs/>
          <w:color w:val="1B2A4A"/>
          <w:sz w:val="26"/>
          <w:szCs w:val="26"/>
        </w:rPr>
        <w:t>9. Beginner Mistakes</w:t>
      </w:r>
    </w:p>
    <w:p w14:paraId="387A51C1">
      <w:pPr>
        <w:pStyle w:val="16"/>
        <w:numPr>
          <w:ilvl w:val="0"/>
          <w:numId w:val="2"/>
        </w:numPr>
        <w:spacing w:after="80" w:line="276" w:lineRule="auto"/>
      </w:pPr>
      <w:r>
        <w:rPr>
          <w:sz w:val="22"/>
          <w:szCs w:val="22"/>
        </w:rPr>
        <w:t>Treating every candle gap or wick as an imbalance without checking whether genuine non-overlap actually exists between the relevant candles.</w:t>
      </w:r>
    </w:p>
    <w:p w14:paraId="7DA9F1EE">
      <w:pPr>
        <w:pStyle w:val="16"/>
        <w:numPr>
          <w:ilvl w:val="0"/>
          <w:numId w:val="2"/>
        </w:numPr>
        <w:spacing w:after="80" w:line="276" w:lineRule="auto"/>
      </w:pPr>
      <w:r>
        <w:rPr>
          <w:sz w:val="22"/>
          <w:szCs w:val="22"/>
        </w:rPr>
        <w:t>Assuming all imbalances are equally significant, rather than recognizing that a Fair Value Gap created by strong displacement carries more weight than a marginal or ambiguous zone.</w:t>
      </w:r>
    </w:p>
    <w:p w14:paraId="2EF16982">
      <w:pPr>
        <w:pStyle w:val="3"/>
        <w:spacing w:before="360" w:after="160"/>
      </w:pPr>
      <w:r>
        <w:rPr>
          <w:b/>
          <w:bCs/>
          <w:color w:val="1B2A4A"/>
          <w:sz w:val="26"/>
          <w:szCs w:val="26"/>
        </w:rPr>
        <w:t>10. Important Qualification</w:t>
      </w:r>
    </w:p>
    <w:p w14:paraId="5A3D3131">
      <w:pPr>
        <w:pBdr>
          <w:left w:val="single" w:color="7A2E2E" w:sz="24" w:space="8"/>
        </w:pBdr>
        <w:shd w:val="clear" w:fill="EFEFEF"/>
        <w:spacing w:before="160" w:after="200"/>
        <w:ind w:left="200"/>
      </w:pPr>
      <w:r>
        <w:rPr>
          <w:b/>
          <w:bCs/>
          <w:color w:val="7A2E2E"/>
          <w:sz w:val="21"/>
          <w:szCs w:val="21"/>
        </w:rPr>
        <w:t xml:space="preserve">Qualification: </w:t>
      </w:r>
      <w:r>
        <w:rPr>
          <w:sz w:val="21"/>
          <w:szCs w:val="21"/>
        </w:rPr>
        <w:t>Not every imbalance is filled, and not every filled imbalance produces a meaningful reaction. This concept describes a tendency observed across many charts, not a rule that guarantees a specific price will always be revisited.</w:t>
      </w:r>
    </w:p>
    <w:p w14:paraId="207DB8E8">
      <w:pPr>
        <w:pStyle w:val="3"/>
        <w:spacing w:before="360" w:after="160"/>
      </w:pPr>
      <w:r>
        <w:rPr>
          <w:b/>
          <w:bCs/>
          <w:color w:val="1B2A4A"/>
          <w:sz w:val="26"/>
          <w:szCs w:val="26"/>
        </w:rPr>
        <w:t>11. Source</w:t>
      </w:r>
    </w:p>
    <w:p w14:paraId="18654E9C"/>
    <w:p w14:paraId="751F9F0B">
      <w:pPr>
        <w:pStyle w:val="16"/>
        <w:numPr>
          <w:ilvl w:val="0"/>
          <w:numId w:val="2"/>
        </w:numPr>
        <w:spacing w:after="80" w:line="276" w:lineRule="auto"/>
      </w:pPr>
      <w:r>
        <w:rPr>
          <w:sz w:val="22"/>
          <w:szCs w:val="22"/>
        </w:rPr>
        <w:t>fxopen.com — "Fair Value Gaps (FVGs) and Liquidity Voids – Differences &amp; Strategies."</w:t>
      </w:r>
    </w:p>
    <w:p w14:paraId="06B786D3">
      <w:pPr>
        <w:pStyle w:val="16"/>
        <w:numPr>
          <w:ilvl w:val="0"/>
          <w:numId w:val="2"/>
        </w:numPr>
        <w:spacing w:after="80" w:line="276" w:lineRule="auto"/>
      </w:pPr>
      <w:r>
        <w:rPr>
          <w:sz w:val="22"/>
          <w:szCs w:val="22"/>
        </w:rPr>
        <w:t>coinranking.com — "ICT Trading Strategy Basics: Liquidity, Imbalance, Market Structure, and Timing" (cited previously in Module 4).</w:t>
      </w:r>
    </w:p>
    <w:p w14:paraId="3D826CC5">
      <w:pPr>
        <w:pStyle w:val="16"/>
        <w:numPr>
          <w:ilvl w:val="0"/>
          <w:numId w:val="2"/>
        </w:numPr>
        <w:spacing w:after="80" w:line="276" w:lineRule="auto"/>
      </w:pPr>
      <w:r>
        <w:rPr>
          <w:sz w:val="22"/>
          <w:szCs w:val="22"/>
        </w:rPr>
        <w:t>luxalgo.com — "Fair Value Gap — Smart Money Concepts / ICT Concept" (volume imbalance definition).</w:t>
      </w:r>
    </w:p>
    <w:p w14:paraId="49D53719">
      <w:r>
        <w:br w:type="page"/>
      </w:r>
    </w:p>
    <w:p w14:paraId="387CDEDB">
      <w:pPr>
        <w:pStyle w:val="2"/>
        <w:pBdr>
          <w:bottom w:val="single" w:color="1B2A4A" w:sz="12" w:space="4"/>
        </w:pBdr>
        <w:spacing w:before="480" w:after="240"/>
      </w:pPr>
      <w:r>
        <w:rPr>
          <w:b/>
          <w:bCs/>
          <w:color w:val="1B2A4A"/>
          <w:sz w:val="34"/>
          <w:szCs w:val="34"/>
        </w:rPr>
        <w:t>Fair Value Gap (FVG)</w:t>
      </w:r>
    </w:p>
    <w:p w14:paraId="6641E616">
      <w:pPr>
        <w:pStyle w:val="3"/>
        <w:spacing w:before="360" w:after="160"/>
      </w:pPr>
      <w:r>
        <w:rPr>
          <w:b/>
          <w:bCs/>
          <w:color w:val="1B2A4A"/>
          <w:sz w:val="26"/>
          <w:szCs w:val="26"/>
        </w:rPr>
        <w:t>1. Definition</w:t>
      </w:r>
    </w:p>
    <w:p w14:paraId="701A23A7">
      <w:pPr>
        <w:spacing w:after="160" w:line="288" w:lineRule="auto"/>
      </w:pPr>
      <w:r>
        <w:rPr>
          <w:b w:val="0"/>
          <w:bCs w:val="0"/>
          <w:i w:val="0"/>
          <w:iCs w:val="0"/>
          <w:sz w:val="22"/>
          <w:szCs w:val="22"/>
        </w:rPr>
        <w:t>A Fair Value Gap is a three-candle price pattern in which the wick of the first candle does not overlap with the wick of the third candle, because the middle candle (the displacement candle) moved so aggressively that it left a specific, precisely bounded, untraded zone between them.</w:t>
      </w:r>
    </w:p>
    <w:p w14:paraId="463CBCC2">
      <w:pPr>
        <w:pStyle w:val="3"/>
        <w:spacing w:before="360" w:after="160"/>
      </w:pPr>
      <w:r>
        <w:rPr>
          <w:b/>
          <w:bCs/>
          <w:color w:val="1B2A4A"/>
          <w:sz w:val="26"/>
          <w:szCs w:val="26"/>
        </w:rPr>
        <w:t>2. ICT's Meaning</w:t>
      </w:r>
    </w:p>
    <w:p w14:paraId="423F12E7">
      <w:pPr>
        <w:spacing w:after="160" w:line="288" w:lineRule="auto"/>
      </w:pPr>
      <w:r>
        <w:rPr>
          <w:b w:val="0"/>
          <w:bCs w:val="0"/>
          <w:i w:val="0"/>
          <w:iCs w:val="0"/>
          <w:sz w:val="22"/>
          <w:szCs w:val="22"/>
        </w:rPr>
        <w:t>ICT-focused teaching is highly consistent on the mechanical definition: for a bullish FVG, the zone runs from the high of the first candle to the low of the third candle (with the middle candle's aggressive upward move connecting them); for a bearish FVG, the zone runs from the low of the first candle to the high of the third candle (with the middle candle's aggressive downward move connecting them). In both cases, the middle candle is expected to be a genuine displacement candle (this module's first two concepts).</w:t>
      </w:r>
    </w:p>
    <w:p w14:paraId="2A16115D">
      <w:pPr>
        <w:spacing w:after="160" w:line="288" w:lineRule="auto"/>
      </w:pPr>
      <w:r>
        <w:rPr>
          <w:b w:val="0"/>
          <w:bCs w:val="0"/>
          <w:i w:val="0"/>
          <w:iCs w:val="0"/>
          <w:sz w:val="22"/>
          <w:szCs w:val="22"/>
        </w:rPr>
        <w:t>The midpoint of the FVG zone is referred to across ICT-focused sources as the Consequent Encroachment (CE), and is commonly cited as the most closely watched specific price within the gap — many sources describe price reaching and reacting at the CE as a particularly reliable signal that the zone is being respected, and some describe using the CE as a specific limit-entry level.</w:t>
      </w:r>
    </w:p>
    <w:p w14:paraId="6093C42D">
      <w:pPr>
        <w:spacing w:after="160" w:line="288" w:lineRule="auto"/>
      </w:pPr>
      <w:r>
        <w:rPr>
          <w:b w:val="0"/>
          <w:bCs w:val="0"/>
          <w:i w:val="0"/>
          <w:iCs w:val="0"/>
          <w:sz w:val="22"/>
          <w:szCs w:val="22"/>
        </w:rPr>
        <w:t>A significant and well-corroborated refinement across ICT-focused sources concerns the quality of an FVG: an FVG formed without a preceding displacement candle (i.e., a coincidental small gap without real institutional force behind it) is described as weak and low-value; an FVG formed without a preceding liquidity sweep is also described as generally weaker; and an FVG that forms entirely inside the range of an earlier large candle (rather than breaking meaningfully beyond it) is described as a weak FVG. The strongest, most reliable FVGs are consistently described as those that follow a liquidity sweep, are created by genuine displacement that breaks a structural level, and align with higher-timeframe bias.</w:t>
      </w:r>
    </w:p>
    <w:p w14:paraId="3847D119">
      <w:pPr>
        <w:spacing w:after="160" w:line="288" w:lineRule="auto"/>
      </w:pPr>
      <w:r>
        <w:rPr>
          <w:b w:val="0"/>
          <w:bCs w:val="0"/>
          <w:i w:val="0"/>
          <w:iCs w:val="0"/>
          <w:sz w:val="22"/>
          <w:szCs w:val="22"/>
        </w:rPr>
        <w:t>ICT-focused sources also document an important related concept: the Inverse Fair Value Gap (IFVG or IFVG), formed when an existing FVG is invalidated by a candle body closing through it (not merely a wick touching it). Once inverted, the zone is understood to flip roles — a bearish FVG that gets broken by a bullish close becomes a bullish IFVG (support), and vice versa — functioning similarly to a support/resistance polarity flip.</w:t>
      </w:r>
    </w:p>
    <w:p w14:paraId="3967DCBB">
      <w:pPr>
        <w:pStyle w:val="3"/>
        <w:spacing w:before="360" w:after="160"/>
      </w:pPr>
      <w:r>
        <w:rPr>
          <w:b/>
          <w:bCs/>
          <w:color w:val="1B2A4A"/>
          <w:sz w:val="26"/>
          <w:szCs w:val="26"/>
        </w:rPr>
        <w:t>3. Beginner Explanation</w:t>
      </w:r>
    </w:p>
    <w:p w14:paraId="39CFFE60">
      <w:pPr>
        <w:spacing w:after="160" w:line="288" w:lineRule="auto"/>
      </w:pPr>
      <w:r>
        <w:rPr>
          <w:b w:val="0"/>
          <w:bCs w:val="0"/>
          <w:i w:val="0"/>
          <w:iCs w:val="0"/>
          <w:sz w:val="22"/>
          <w:szCs w:val="22"/>
        </w:rPr>
        <w:t>Picture three candles in a row. The first candle trades in its own normal little range. The second candle then rockets through a big price move, so fast that it skips right past a chunk of prices without anyone actually trading there. The third candle then trades in its own normal little range again, but because of how far the second candle moved things, the third candle's range doesn't overlap with the first candle's range at all. The empty space between the first candle's edge and the third candle's edge — the space nobody actually traded in — is the Fair Value Gap.</w:t>
      </w:r>
    </w:p>
    <w:p w14:paraId="3585CE4A">
      <w:pPr>
        <w:pStyle w:val="3"/>
        <w:spacing w:before="360" w:after="160"/>
      </w:pPr>
      <w:r>
        <w:rPr>
          <w:b/>
          <w:bCs/>
          <w:color w:val="1B2A4A"/>
          <w:sz w:val="26"/>
          <w:szCs w:val="26"/>
        </w:rPr>
        <w:t>4. How to Identify It</w:t>
      </w:r>
    </w:p>
    <w:p w14:paraId="7C4AF765">
      <w:pPr>
        <w:pStyle w:val="16"/>
        <w:numPr>
          <w:ilvl w:val="0"/>
          <w:numId w:val="1"/>
        </w:numPr>
        <w:spacing w:after="80" w:line="276" w:lineRule="auto"/>
      </w:pPr>
      <w:r>
        <w:rPr>
          <w:sz w:val="22"/>
          <w:szCs w:val="22"/>
        </w:rPr>
        <w:t>Identify three consecutive candles where the middle candle is a genuine displacement candle (Module 5, first two concepts).</w:t>
      </w:r>
    </w:p>
    <w:p w14:paraId="6FEB9115">
      <w:pPr>
        <w:pStyle w:val="16"/>
        <w:numPr>
          <w:ilvl w:val="0"/>
          <w:numId w:val="1"/>
        </w:numPr>
        <w:spacing w:after="80" w:line="276" w:lineRule="auto"/>
      </w:pPr>
      <w:r>
        <w:rPr>
          <w:sz w:val="22"/>
          <w:szCs w:val="22"/>
        </w:rPr>
        <w:t>For a bullish FVG: confirm the low of the third candle is higher than the high of the first candle, with no overlap between them. Mark the zone from the first candle's high up to the third candle's low.</w:t>
      </w:r>
    </w:p>
    <w:p w14:paraId="4FCEC822">
      <w:pPr>
        <w:pStyle w:val="16"/>
        <w:numPr>
          <w:ilvl w:val="0"/>
          <w:numId w:val="1"/>
        </w:numPr>
        <w:spacing w:after="80" w:line="276" w:lineRule="auto"/>
      </w:pPr>
      <w:r>
        <w:rPr>
          <w:sz w:val="22"/>
          <w:szCs w:val="22"/>
        </w:rPr>
        <w:t>For a bearish FVG: confirm the high of the third candle is lower than the low of the first candle, with no overlap between them. Mark the zone from the third candle's high down to the first candle's low.</w:t>
      </w:r>
    </w:p>
    <w:p w14:paraId="5F427303">
      <w:pPr>
        <w:pStyle w:val="16"/>
        <w:numPr>
          <w:ilvl w:val="0"/>
          <w:numId w:val="1"/>
        </w:numPr>
        <w:spacing w:after="80" w:line="276" w:lineRule="auto"/>
      </w:pPr>
      <w:r>
        <w:rPr>
          <w:sz w:val="22"/>
          <w:szCs w:val="22"/>
        </w:rPr>
        <w:t>Mark the midpoint of this zone as the Consequent Encroachment (CE).</w:t>
      </w:r>
    </w:p>
    <w:p w14:paraId="5F6DA356">
      <w:pPr>
        <w:pStyle w:val="16"/>
        <w:numPr>
          <w:ilvl w:val="0"/>
          <w:numId w:val="1"/>
        </w:numPr>
        <w:spacing w:after="80" w:line="276" w:lineRule="auto"/>
      </w:pPr>
      <w:r>
        <w:rPr>
          <w:sz w:val="22"/>
          <w:szCs w:val="22"/>
        </w:rPr>
        <w:t>Note whether the FVG followed a liquidity sweep and broke a meaningful structural level — both increase the presumed reliability of the zone.</w:t>
      </w:r>
    </w:p>
    <w:p w14:paraId="7EA9967B">
      <w:pPr>
        <w:pStyle w:val="3"/>
        <w:spacing w:before="360" w:after="160"/>
      </w:pPr>
      <w:r>
        <w:rPr>
          <w:b/>
          <w:bCs/>
          <w:color w:val="1B2A4A"/>
          <w:sz w:val="26"/>
          <w:szCs w:val="26"/>
        </w:rPr>
        <w:t>5. Simple Price Example</w:t>
      </w:r>
    </w:p>
    <w:p w14:paraId="0EAA415F">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Candle 1: high 107, low 105. Candle 2 (displacement): open 107, close 117. Candle 3: high 119, low 116</w:t>
      </w:r>
    </w:p>
    <w:p w14:paraId="7EC10ED9">
      <w:pPr>
        <w:spacing w:after="160" w:line="288" w:lineRule="auto"/>
      </w:pPr>
      <w:r>
        <w:rPr>
          <w:b w:val="0"/>
          <w:bCs w:val="0"/>
          <w:i w:val="0"/>
          <w:iCs w:val="0"/>
          <w:sz w:val="22"/>
          <w:szCs w:val="22"/>
        </w:rPr>
        <w:t>Candle 1's high is 107. Candle 3's low is 116. Since 116 is higher than 107, with no overlap, this is a bullish Fair Value Gap spanning from 107 to 116. The Consequent Encroachment (midpoint) sits at approximately 111.5. Under ICT's framework, this zone (107–116, with special attention to 111.5) would be marked as a candidate area for price to retrace into and potentially react from, before or during continued upward movement.</w:t>
      </w:r>
    </w:p>
    <w:p w14:paraId="5680F8B9">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Candle 3: 116 -------- 119</w:t>
      </w:r>
      <w:r>
        <w:rPr>
          <w:rFonts w:ascii="Consolas" w:hAnsi="Consolas" w:eastAsia="Consolas" w:cs="Consolas"/>
          <w:sz w:val="19"/>
          <w:szCs w:val="19"/>
        </w:rPr>
        <w:br w:type="textWrapping"/>
      </w:r>
      <w:r>
        <w:rPr>
          <w:rFonts w:ascii="Consolas" w:hAnsi="Consolas" w:eastAsia="Consolas" w:cs="Consolas"/>
          <w:sz w:val="19"/>
          <w:szCs w:val="19"/>
        </w:rPr>
        <w:t xml:space="preserve">              |  &lt;- untraded FVG zone</w:t>
      </w:r>
      <w:r>
        <w:rPr>
          <w:rFonts w:ascii="Consolas" w:hAnsi="Consolas" w:eastAsia="Consolas" w:cs="Consolas"/>
          <w:sz w:val="19"/>
          <w:szCs w:val="19"/>
        </w:rPr>
        <w:br w:type="textWrapping"/>
      </w:r>
      <w:r>
        <w:rPr>
          <w:rFonts w:ascii="Consolas" w:hAnsi="Consolas" w:eastAsia="Consolas" w:cs="Consolas"/>
          <w:sz w:val="19"/>
          <w:szCs w:val="19"/>
        </w:rPr>
        <w:t xml:space="preserve">              | (CE ~ 111.5)</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Candle 1: 105 -------- 107</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Candle 2 (displacement): 107 -&gt; 117 (connects them)</w:t>
      </w:r>
    </w:p>
    <w:p w14:paraId="66B9466D">
      <w:pPr>
        <w:pStyle w:val="3"/>
        <w:spacing w:before="360" w:after="160"/>
      </w:pPr>
      <w:r>
        <w:rPr>
          <w:b/>
          <w:bCs/>
          <w:color w:val="1B2A4A"/>
          <w:sz w:val="26"/>
          <w:szCs w:val="26"/>
        </w:rPr>
        <w:t>6. What It Tells the Trader</w:t>
      </w:r>
    </w:p>
    <w:p w14:paraId="0FC6586D">
      <w:pPr>
        <w:spacing w:after="160" w:line="288" w:lineRule="auto"/>
      </w:pPr>
      <w:r>
        <w:rPr>
          <w:b w:val="0"/>
          <w:bCs w:val="0"/>
          <w:i w:val="0"/>
          <w:iCs w:val="0"/>
          <w:sz w:val="22"/>
          <w:szCs w:val="22"/>
        </w:rPr>
        <w:t>A Fair Value Gap tells the trader a specific, precisely bounded price zone where a retracement is plausible before or during continued movement in the direction of the original displacement, and gives an objective, repeatable reference point (including the CE) for planning an entry.</w:t>
      </w:r>
    </w:p>
    <w:p w14:paraId="0728C71F">
      <w:pPr>
        <w:spacing w:after="160" w:line="288" w:lineRule="auto"/>
      </w:pPr>
      <w:r>
        <w:rPr>
          <w:b w:val="0"/>
          <w:bCs w:val="0"/>
          <w:i w:val="0"/>
          <w:iCs w:val="0"/>
          <w:sz w:val="22"/>
          <w:szCs w:val="22"/>
        </w:rPr>
        <w:t>It does not guarantee price will return to the zone at all, nor that a return, if it happens, will result in a reaction rather than a straight pass-through. ICT-focused sources are explicit that not every FVG fills, and not every filled FVG produces a tradable reaction.</w:t>
      </w:r>
    </w:p>
    <w:p w14:paraId="09F0CF6F">
      <w:pPr>
        <w:pStyle w:val="3"/>
        <w:spacing w:before="360" w:after="160"/>
      </w:pPr>
      <w:r>
        <w:rPr>
          <w:b/>
          <w:bCs/>
          <w:color w:val="1B2A4A"/>
          <w:sz w:val="26"/>
          <w:szCs w:val="26"/>
        </w:rPr>
        <w:t>7. What It Is Commonly Paired With</w:t>
      </w:r>
    </w:p>
    <w:p w14:paraId="005ABCA6">
      <w:pPr>
        <w:pStyle w:val="16"/>
        <w:numPr>
          <w:ilvl w:val="0"/>
          <w:numId w:val="2"/>
        </w:numPr>
        <w:spacing w:after="80" w:line="276" w:lineRule="auto"/>
      </w:pPr>
      <w:r>
        <w:rPr>
          <w:sz w:val="22"/>
          <w:szCs w:val="22"/>
        </w:rPr>
        <w:t>Displacement / Displacement Candle</w:t>
      </w:r>
    </w:p>
    <w:p w14:paraId="01DF6290">
      <w:pPr>
        <w:pStyle w:val="16"/>
        <w:numPr>
          <w:ilvl w:val="0"/>
          <w:numId w:val="2"/>
        </w:numPr>
        <w:spacing w:after="80" w:line="276" w:lineRule="auto"/>
      </w:pPr>
      <w:r>
        <w:rPr>
          <w:sz w:val="22"/>
          <w:szCs w:val="22"/>
        </w:rPr>
        <w:t>Order Block (Module 6)</w:t>
      </w:r>
    </w:p>
    <w:p w14:paraId="4B8156A0">
      <w:pPr>
        <w:pStyle w:val="16"/>
        <w:numPr>
          <w:ilvl w:val="0"/>
          <w:numId w:val="2"/>
        </w:numPr>
        <w:spacing w:after="80" w:line="276" w:lineRule="auto"/>
      </w:pPr>
      <w:r>
        <w:rPr>
          <w:sz w:val="22"/>
          <w:szCs w:val="22"/>
        </w:rPr>
        <w:t>Market Structure Shift (Module 3)</w:t>
      </w:r>
    </w:p>
    <w:p w14:paraId="2F1EB57D">
      <w:pPr>
        <w:spacing w:after="160" w:line="288" w:lineRule="auto"/>
      </w:pPr>
      <w:r>
        <w:rPr>
          <w:b w:val="0"/>
          <w:bCs w:val="0"/>
          <w:i w:val="0"/>
          <w:iCs w:val="0"/>
          <w:sz w:val="22"/>
          <w:szCs w:val="22"/>
        </w:rPr>
        <w:t>A Fair Value Gap is the direct, mechanical product of a displacement candle; it is frequently found alongside an Order Block (the last opposing candle before the displacement, covered in Module 6) at the same location; and the highest-quality FVGs are those created by the same displacement that confirms a Market Structure Shift.</w:t>
      </w:r>
    </w:p>
    <w:p w14:paraId="6EA13941">
      <w:pPr>
        <w:pStyle w:val="3"/>
        <w:spacing w:before="360" w:after="160"/>
      </w:pPr>
      <w:r>
        <w:rPr>
          <w:b/>
          <w:bCs/>
          <w:color w:val="1B2A4A"/>
          <w:sz w:val="26"/>
          <w:szCs w:val="26"/>
        </w:rPr>
        <w:t>8. Where It Fits in the ICT Framework</w:t>
      </w:r>
    </w:p>
    <w:p w14:paraId="389F9965">
      <w:pPr>
        <w:spacing w:after="160" w:line="288" w:lineRule="auto"/>
      </w:pPr>
      <w:r>
        <w:rPr>
          <w:b w:val="0"/>
          <w:bCs w:val="0"/>
          <w:i w:val="0"/>
          <w:iCs w:val="0"/>
          <w:sz w:val="22"/>
          <w:szCs w:val="22"/>
        </w:rPr>
        <w:t>Comes before: Requires Displacement, Displacement Candle, and Imbalance.</w:t>
      </w:r>
    </w:p>
    <w:p w14:paraId="568312B9">
      <w:pPr>
        <w:spacing w:after="160" w:line="288" w:lineRule="auto"/>
      </w:pPr>
      <w:r>
        <w:rPr>
          <w:b w:val="0"/>
          <w:bCs w:val="0"/>
          <w:i w:val="0"/>
          <w:iCs w:val="0"/>
          <w:sz w:val="22"/>
          <w:szCs w:val="22"/>
        </w:rPr>
        <w:t>Comes after: Concludes Module 5 and feeds directly into Module 6 (PD Arrays), where the Fair Value Gap is formally treated as one of several "Price Delivery Array" tools used to plan entries, alongside the Order Block, Mitigation Block, and Breaker Block.</w:t>
      </w:r>
    </w:p>
    <w:p w14:paraId="56D7464E">
      <w:pPr>
        <w:pStyle w:val="3"/>
        <w:spacing w:before="360" w:after="160"/>
      </w:pPr>
      <w:r>
        <w:rPr>
          <w:b/>
          <w:bCs/>
          <w:color w:val="1B2A4A"/>
          <w:sz w:val="26"/>
          <w:szCs w:val="26"/>
        </w:rPr>
        <w:t>9. Beginner Mistakes</w:t>
      </w:r>
    </w:p>
    <w:p w14:paraId="0453E471">
      <w:pPr>
        <w:pStyle w:val="16"/>
        <w:numPr>
          <w:ilvl w:val="0"/>
          <w:numId w:val="2"/>
        </w:numPr>
        <w:spacing w:after="80" w:line="276" w:lineRule="auto"/>
      </w:pPr>
      <w:r>
        <w:rPr>
          <w:sz w:val="22"/>
          <w:szCs w:val="22"/>
        </w:rPr>
        <w:t>Marking a gap that only appears to exist due to how a charting platform displays candles, without carefully checking the actual high/low values for genuine non-overlap.</w:t>
      </w:r>
    </w:p>
    <w:p w14:paraId="408CEA68">
      <w:pPr>
        <w:pStyle w:val="16"/>
        <w:numPr>
          <w:ilvl w:val="0"/>
          <w:numId w:val="2"/>
        </w:numPr>
        <w:spacing w:after="80" w:line="276" w:lineRule="auto"/>
      </w:pPr>
      <w:r>
        <w:rPr>
          <w:sz w:val="22"/>
          <w:szCs w:val="22"/>
        </w:rPr>
        <w:t>Treating every three-candle gap as equally significant, ignoring whether the middle candle was genuine displacement.</w:t>
      </w:r>
    </w:p>
    <w:p w14:paraId="37ACB4DD">
      <w:pPr>
        <w:pStyle w:val="16"/>
        <w:numPr>
          <w:ilvl w:val="0"/>
          <w:numId w:val="2"/>
        </w:numPr>
        <w:spacing w:after="80" w:line="276" w:lineRule="auto"/>
      </w:pPr>
      <w:r>
        <w:rPr>
          <w:sz w:val="22"/>
          <w:szCs w:val="22"/>
        </w:rPr>
        <w:t>Trading an FVG that formed without a preceding liquidity sweep and without breaking any meaningful structural level, and being surprised when it fails to produce a reaction.</w:t>
      </w:r>
    </w:p>
    <w:p w14:paraId="64BB988A">
      <w:pPr>
        <w:pStyle w:val="16"/>
        <w:numPr>
          <w:ilvl w:val="0"/>
          <w:numId w:val="2"/>
        </w:numPr>
        <w:spacing w:after="80" w:line="276" w:lineRule="auto"/>
      </w:pPr>
      <w:r>
        <w:rPr>
          <w:sz w:val="22"/>
          <w:szCs w:val="22"/>
        </w:rPr>
        <w:t>Entering a trade the instant the displacement candle closes, rather than waiting for price to actually retrace back into the FVG zone.</w:t>
      </w:r>
    </w:p>
    <w:p w14:paraId="78E3A8F3">
      <w:pPr>
        <w:pStyle w:val="3"/>
        <w:spacing w:before="360" w:after="160"/>
      </w:pPr>
      <w:r>
        <w:rPr>
          <w:b/>
          <w:bCs/>
          <w:color w:val="1B2A4A"/>
          <w:sz w:val="26"/>
          <w:szCs w:val="26"/>
        </w:rPr>
        <w:t>10. Important Qualification</w:t>
      </w:r>
    </w:p>
    <w:p w14:paraId="2732F1AE">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 Fair Value Gap is a mappable, objective zone, but it is not a guaranteed support/resistance level or a certain trade signal. Its reliability depends heavily on the surrounding context — whether it followed a liquidity sweep, whether it aligns with higher-timeframe bias, and whether the displacement that created it broke a genuinely significant structural level.</w:t>
      </w:r>
    </w:p>
    <w:p w14:paraId="71AD766C">
      <w:pPr>
        <w:pStyle w:val="3"/>
        <w:spacing w:before="360" w:after="160"/>
      </w:pPr>
      <w:r>
        <w:rPr>
          <w:b/>
          <w:bCs/>
          <w:color w:val="1B2A4A"/>
          <w:sz w:val="26"/>
          <w:szCs w:val="26"/>
        </w:rPr>
        <w:t>11. Source</w:t>
      </w:r>
    </w:p>
    <w:p w14:paraId="525EFC25"/>
    <w:p w14:paraId="35907ECB">
      <w:pPr>
        <w:pStyle w:val="16"/>
        <w:numPr>
          <w:ilvl w:val="0"/>
          <w:numId w:val="2"/>
        </w:numPr>
        <w:spacing w:after="80" w:line="276" w:lineRule="auto"/>
      </w:pPr>
      <w:r>
        <w:rPr>
          <w:sz w:val="22"/>
          <w:szCs w:val="22"/>
        </w:rPr>
        <w:t>equiti.com — "Understanding fair value gap (FVG) in ICT trading."</w:t>
      </w:r>
    </w:p>
    <w:p w14:paraId="146622B0">
      <w:pPr>
        <w:pStyle w:val="16"/>
        <w:numPr>
          <w:ilvl w:val="0"/>
          <w:numId w:val="2"/>
        </w:numPr>
        <w:spacing w:after="80" w:line="276" w:lineRule="auto"/>
      </w:pPr>
      <w:r>
        <w:rPr>
          <w:sz w:val="22"/>
          <w:szCs w:val="22"/>
        </w:rPr>
        <w:t>innercircletrader.net — "ICT Fair Value Gap (FVG) — 6-Step Strategy &amp; FVG Family" and "Valid ICT Fair Value Gap: Weak vs Strong 3-Candle Pattern Explained" and "ICT Inverse Fair Value Gap (IFVG)."</w:t>
      </w:r>
    </w:p>
    <w:p w14:paraId="5BC2CE57">
      <w:pPr>
        <w:pStyle w:val="16"/>
        <w:numPr>
          <w:ilvl w:val="0"/>
          <w:numId w:val="2"/>
        </w:numPr>
        <w:spacing w:after="80" w:line="276" w:lineRule="auto"/>
      </w:pPr>
      <w:r>
        <w:rPr>
          <w:sz w:val="22"/>
          <w:szCs w:val="22"/>
        </w:rPr>
        <w:t>priceactionninja.com — "ICT Fair Value Gap Complete FVG Trading Guide."</w:t>
      </w:r>
    </w:p>
    <w:p w14:paraId="111EDDC2">
      <w:pPr>
        <w:pStyle w:val="16"/>
        <w:numPr>
          <w:ilvl w:val="0"/>
          <w:numId w:val="2"/>
        </w:numPr>
        <w:spacing w:after="80" w:line="276" w:lineRule="auto"/>
      </w:pPr>
      <w:r>
        <w:rPr>
          <w:sz w:val="22"/>
          <w:szCs w:val="22"/>
        </w:rPr>
        <w:t>financialtechwiz.com — "Fair Value Gap (FVG): The ICT Trader's Complete Guide."</w:t>
      </w:r>
    </w:p>
    <w:p w14:paraId="12136356">
      <w:pPr>
        <w:pStyle w:val="16"/>
        <w:numPr>
          <w:ilvl w:val="0"/>
          <w:numId w:val="2"/>
        </w:numPr>
        <w:spacing w:after="80" w:line="276" w:lineRule="auto"/>
      </w:pPr>
      <w:r>
        <w:rPr>
          <w:sz w:val="22"/>
          <w:szCs w:val="22"/>
        </w:rPr>
        <w:t>luxalgo.com — "Fair Value Gap — Smart Money Concepts / ICT Concept" (Consequent Encroachment, balanced price range, inversion FVG).</w:t>
      </w:r>
    </w:p>
    <w:p w14:paraId="5E8A6E47">
      <w:r>
        <w:br w:type="page"/>
      </w:r>
    </w:p>
    <w:p w14:paraId="7F5384EC">
      <w:pPr>
        <w:pStyle w:val="2"/>
        <w:pBdr>
          <w:bottom w:val="single" w:color="1B2A4A" w:sz="12" w:space="4"/>
        </w:pBdr>
        <w:spacing w:before="480" w:after="240"/>
      </w:pPr>
      <w:r>
        <w:rPr>
          <w:b/>
          <w:bCs/>
          <w:color w:val="1B2A4A"/>
          <w:sz w:val="34"/>
          <w:szCs w:val="34"/>
        </w:rPr>
        <w:t>How These Concepts Connect</w:t>
      </w:r>
    </w:p>
    <w:p w14:paraId="2406C821">
      <w:pPr>
        <w:spacing w:after="160" w:line="288" w:lineRule="auto"/>
      </w:pPr>
      <w:r>
        <w:rPr>
          <w:b w:val="0"/>
          <w:bCs w:val="0"/>
          <w:i w:val="0"/>
          <w:iCs w:val="0"/>
          <w:sz w:val="22"/>
          <w:szCs w:val="22"/>
        </w:rPr>
        <w:t>This module tells a single, tight cause-and-effect story in four steps. Displacement is the general phenomenon: a fast, forceful, one-sided price move. Displacement Candle narrows that phenomenon down to the specific candle responsible for it — the object a trader actually marks on a chart. Imbalance is the general consequence of that forceful move: a zone of price that was skipped over and never fairly, two-sidedly traded. Fair Value Gap is the specific, most rigorously defined type of imbalance — a precise, three-candle, mechanically identifiable zone built directly from the displacement candle's high or low relative to its neighbors.</w:t>
      </w:r>
    </w:p>
    <w:p w14:paraId="52E14BFD">
      <w:pPr>
        <w:spacing w:after="160" w:line="288" w:lineRule="auto"/>
      </w:pPr>
      <w:r>
        <w:rPr>
          <w:b w:val="0"/>
          <w:bCs w:val="0"/>
          <w:i w:val="0"/>
          <w:iCs w:val="0"/>
          <w:sz w:val="22"/>
          <w:szCs w:val="22"/>
        </w:rPr>
        <w:t>Notice the direction of causation: displacement causes the Fair Value Gap, not the other way around. This is why ICT-focused sources are so consistent in warning against trading an FVG that lacks a genuine displacement candle behind it — without the cause, the effect (the gap) is considered a much weaker, less reliable signal. This same logic is why this module was placed immediately after Market Structure Shift and Liquidity Sweep: those two modules described the conditions under which a genuine, reliable displacement is most likely to occur (following a swept liquidity level, breaking a meaningful structural point), and this module shows exactly what that displacement leaves behind for a trader to actually use.</w:t>
      </w:r>
    </w:p>
    <w:p w14:paraId="658F3328">
      <w:pPr>
        <w:pStyle w:val="2"/>
        <w:pBdr>
          <w:bottom w:val="single" w:color="1B2A4A" w:sz="12" w:space="4"/>
        </w:pBdr>
        <w:spacing w:before="480" w:after="240"/>
      </w:pPr>
      <w:r>
        <w:rPr>
          <w:b/>
          <w:bCs/>
          <w:color w:val="1B2A4A"/>
          <w:sz w:val="34"/>
          <w:szCs w:val="34"/>
        </w:rPr>
        <w:t>What You Should Now Be Able to Do</w:t>
      </w:r>
    </w:p>
    <w:p w14:paraId="4F5D0E2A">
      <w:pPr>
        <w:pStyle w:val="16"/>
        <w:numPr>
          <w:ilvl w:val="0"/>
          <w:numId w:val="2"/>
        </w:numPr>
        <w:spacing w:after="80" w:line="276" w:lineRule="auto"/>
      </w:pPr>
      <w:r>
        <w:rPr>
          <w:sz w:val="22"/>
          <w:szCs w:val="22"/>
        </w:rPr>
        <w:t>identify a genuine displacement candle by comparing its range and body-to-range ratio against recent, nearby candles</w:t>
      </w:r>
    </w:p>
    <w:p w14:paraId="6448B030">
      <w:pPr>
        <w:pStyle w:val="16"/>
        <w:numPr>
          <w:ilvl w:val="0"/>
          <w:numId w:val="2"/>
        </w:numPr>
        <w:spacing w:after="80" w:line="276" w:lineRule="auto"/>
      </w:pPr>
      <w:r>
        <w:rPr>
          <w:sz w:val="22"/>
          <w:szCs w:val="22"/>
        </w:rPr>
        <w:t>explain why a large candle occurring in open space, without breaking a structural level, is not treated as significant displacement</w:t>
      </w:r>
    </w:p>
    <w:p w14:paraId="66F63EAB">
      <w:pPr>
        <w:pStyle w:val="16"/>
        <w:numPr>
          <w:ilvl w:val="0"/>
          <w:numId w:val="2"/>
        </w:numPr>
        <w:spacing w:after="80" w:line="276" w:lineRule="auto"/>
      </w:pPr>
      <w:r>
        <w:rPr>
          <w:sz w:val="22"/>
          <w:szCs w:val="22"/>
        </w:rPr>
        <w:t>distinguish an imbalance in general from the more narrowly, mechanically defined Fair Value Gap</w:t>
      </w:r>
    </w:p>
    <w:p w14:paraId="1C4E4E95">
      <w:pPr>
        <w:pStyle w:val="16"/>
        <w:numPr>
          <w:ilvl w:val="0"/>
          <w:numId w:val="2"/>
        </w:numPr>
        <w:spacing w:after="80" w:line="276" w:lineRule="auto"/>
      </w:pPr>
      <w:r>
        <w:rPr>
          <w:sz w:val="22"/>
          <w:szCs w:val="22"/>
        </w:rPr>
        <w:t>mechanically construct a Fair Value Gap from three candles, correctly identifying the zone boundaries for both a bullish and a bearish gap</w:t>
      </w:r>
    </w:p>
    <w:p w14:paraId="2D7C28BC">
      <w:pPr>
        <w:pStyle w:val="16"/>
        <w:numPr>
          <w:ilvl w:val="0"/>
          <w:numId w:val="2"/>
        </w:numPr>
        <w:spacing w:after="80" w:line="276" w:lineRule="auto"/>
      </w:pPr>
      <w:r>
        <w:rPr>
          <w:sz w:val="22"/>
          <w:szCs w:val="22"/>
        </w:rPr>
        <w:t>locate the midpoint (Consequent Encroachment) of a Fair Value Gap and explain why it is commonly treated as a key reaction point</w:t>
      </w:r>
    </w:p>
    <w:p w14:paraId="498B80B9">
      <w:pPr>
        <w:pStyle w:val="16"/>
        <w:numPr>
          <w:ilvl w:val="0"/>
          <w:numId w:val="2"/>
        </w:numPr>
        <w:spacing w:after="80" w:line="276" w:lineRule="auto"/>
      </w:pPr>
      <w:r>
        <w:rPr>
          <w:sz w:val="22"/>
          <w:szCs w:val="22"/>
        </w:rPr>
        <w:t>explain, using this module's cause-and-effect logic, why an FVG without a preceding displacement candle or liquidity sweep is considered weaker than one that has both</w:t>
      </w:r>
    </w:p>
    <w:p w14:paraId="4174C094">
      <w:r>
        <w:br w:type="page"/>
      </w:r>
    </w:p>
    <w:p w14:paraId="23F9B1DD">
      <w:pPr>
        <w:pStyle w:val="2"/>
        <w:pBdr>
          <w:bottom w:val="single" w:color="1B2A4A" w:sz="12" w:space="4"/>
        </w:pBdr>
        <w:spacing w:before="480" w:after="240"/>
      </w:pPr>
      <w:r>
        <w:rPr>
          <w:b/>
          <w:bCs/>
          <w:color w:val="1B2A4A"/>
          <w:sz w:val="34"/>
          <w:szCs w:val="34"/>
        </w:rPr>
        <w:t>Module Review</w:t>
      </w:r>
    </w:p>
    <w:p w14:paraId="4EFA9EA4">
      <w:pPr>
        <w:pStyle w:val="3"/>
        <w:spacing w:before="360" w:after="160"/>
      </w:pPr>
      <w:r>
        <w:rPr>
          <w:b/>
          <w:bCs/>
          <w:color w:val="1B2A4A"/>
          <w:sz w:val="26"/>
          <w:szCs w:val="26"/>
        </w:rPr>
        <w:t>Key Terms</w:t>
      </w:r>
    </w:p>
    <w:p w14:paraId="10351CFC">
      <w:pPr>
        <w:pStyle w:val="16"/>
        <w:numPr>
          <w:ilvl w:val="0"/>
          <w:numId w:val="2"/>
        </w:numPr>
        <w:spacing w:after="80" w:line="276" w:lineRule="auto"/>
      </w:pPr>
      <w:r>
        <w:rPr>
          <w:sz w:val="22"/>
          <w:szCs w:val="22"/>
        </w:rPr>
        <w:t>Displacement</w:t>
      </w:r>
    </w:p>
    <w:p w14:paraId="24BD5F05">
      <w:pPr>
        <w:pStyle w:val="16"/>
        <w:numPr>
          <w:ilvl w:val="0"/>
          <w:numId w:val="2"/>
        </w:numPr>
        <w:spacing w:after="80" w:line="276" w:lineRule="auto"/>
      </w:pPr>
      <w:r>
        <w:rPr>
          <w:sz w:val="22"/>
          <w:szCs w:val="22"/>
        </w:rPr>
        <w:t>Displacement Candle</w:t>
      </w:r>
    </w:p>
    <w:p w14:paraId="18764E53">
      <w:pPr>
        <w:pStyle w:val="16"/>
        <w:numPr>
          <w:ilvl w:val="0"/>
          <w:numId w:val="2"/>
        </w:numPr>
        <w:spacing w:after="80" w:line="276" w:lineRule="auto"/>
      </w:pPr>
      <w:r>
        <w:rPr>
          <w:sz w:val="22"/>
          <w:szCs w:val="22"/>
        </w:rPr>
        <w:t>Imbalance</w:t>
      </w:r>
    </w:p>
    <w:p w14:paraId="3046CDB1">
      <w:pPr>
        <w:pStyle w:val="16"/>
        <w:numPr>
          <w:ilvl w:val="0"/>
          <w:numId w:val="2"/>
        </w:numPr>
        <w:spacing w:after="80" w:line="276" w:lineRule="auto"/>
      </w:pPr>
      <w:r>
        <w:rPr>
          <w:sz w:val="22"/>
          <w:szCs w:val="22"/>
        </w:rPr>
        <w:t>Fair Value Gap (FVG)</w:t>
      </w:r>
    </w:p>
    <w:p w14:paraId="4FB825C0">
      <w:pPr>
        <w:pStyle w:val="16"/>
        <w:numPr>
          <w:ilvl w:val="0"/>
          <w:numId w:val="2"/>
        </w:numPr>
        <w:spacing w:after="80" w:line="276" w:lineRule="auto"/>
      </w:pPr>
      <w:r>
        <w:rPr>
          <w:sz w:val="22"/>
          <w:szCs w:val="22"/>
        </w:rPr>
        <w:t>Consequent Encroachment (CE)</w:t>
      </w:r>
    </w:p>
    <w:p w14:paraId="65F9F698">
      <w:pPr>
        <w:pStyle w:val="16"/>
        <w:numPr>
          <w:ilvl w:val="0"/>
          <w:numId w:val="2"/>
        </w:numPr>
        <w:spacing w:after="80" w:line="276" w:lineRule="auto"/>
      </w:pPr>
      <w:r>
        <w:rPr>
          <w:sz w:val="22"/>
          <w:szCs w:val="22"/>
        </w:rPr>
        <w:t>Liquidity Void</w:t>
      </w:r>
    </w:p>
    <w:p w14:paraId="3C58B6C3">
      <w:pPr>
        <w:pStyle w:val="16"/>
        <w:numPr>
          <w:ilvl w:val="0"/>
          <w:numId w:val="2"/>
        </w:numPr>
        <w:spacing w:after="80" w:line="276" w:lineRule="auto"/>
      </w:pPr>
      <w:r>
        <w:rPr>
          <w:sz w:val="22"/>
          <w:szCs w:val="22"/>
        </w:rPr>
        <w:t>Volume Imbalance</w:t>
      </w:r>
    </w:p>
    <w:p w14:paraId="3D2D3887">
      <w:pPr>
        <w:pStyle w:val="16"/>
        <w:numPr>
          <w:ilvl w:val="0"/>
          <w:numId w:val="2"/>
        </w:numPr>
        <w:spacing w:after="80" w:line="276" w:lineRule="auto"/>
      </w:pPr>
      <w:r>
        <w:rPr>
          <w:sz w:val="22"/>
          <w:szCs w:val="22"/>
        </w:rPr>
        <w:t>Inverse Fair Value Gap (IFVG)</w:t>
      </w:r>
    </w:p>
    <w:p w14:paraId="334BD54D">
      <w:pPr>
        <w:pStyle w:val="3"/>
        <w:spacing w:before="360" w:after="160"/>
      </w:pPr>
      <w:r>
        <w:rPr>
          <w:b/>
          <w:bCs/>
          <w:color w:val="1B2A4A"/>
          <w:sz w:val="26"/>
          <w:szCs w:val="26"/>
        </w:rPr>
        <w:t>Beginner Summary</w:t>
      </w:r>
    </w:p>
    <w:p w14:paraId="264AFBD7">
      <w:pPr>
        <w:spacing w:after="160" w:line="288" w:lineRule="auto"/>
      </w:pPr>
      <w:r>
        <w:rPr>
          <w:b w:val="0"/>
          <w:bCs w:val="0"/>
          <w:i w:val="0"/>
          <w:iCs w:val="0"/>
          <w:sz w:val="22"/>
          <w:szCs w:val="22"/>
        </w:rPr>
        <w:t>When one side of the market overwhelms the other so strongly that price rockets through a range without normal back-and-forth trading, that forceful move is called displacement, and the specific candle responsible for it is the displacement candle. This kind of move necessarily skips over some prices entirely, leaving behind an imbalance — a zone that was never fairly traded in both directions. The most precisely defined and most commonly used type of imbalance is the Fair Value Gap: a specific three-candle pattern where the first and third candles' wicks don't overlap, because the aggressive middle candle connected them. Traders mark this exact zone, along with its midpoint (the Consequent Encroachment), as a candidate area where price may retrace and react before or during continued movement — but only when the displacement behind it was genuine, and ideally only when it followed a liquidity sweep and broke a meaningful structural level.</w:t>
      </w:r>
    </w:p>
    <w:p w14:paraId="3E0F99A0">
      <w:pPr>
        <w:pStyle w:val="3"/>
        <w:spacing w:before="360" w:after="160"/>
      </w:pPr>
      <w:r>
        <w:rPr>
          <w:b/>
          <w:bCs/>
          <w:color w:val="1B2A4A"/>
          <w:sz w:val="26"/>
          <w:szCs w:val="26"/>
        </w:rPr>
        <w:t>Concept Relationships</w:t>
      </w:r>
    </w:p>
    <w:p w14:paraId="55850ECE">
      <w:pPr>
        <w:spacing w:after="160" w:line="288" w:lineRule="auto"/>
      </w:pPr>
      <w:r>
        <w:rPr>
          <w:b w:val="0"/>
          <w:bCs w:val="0"/>
          <w:i w:val="0"/>
          <w:iCs w:val="0"/>
          <w:sz w:val="22"/>
          <w:szCs w:val="22"/>
        </w:rPr>
        <w:t>Displacement is the general phenomenon. Displacement Candle is the specific object (the individual candle) responsible for it. Imbalance is the general consequence (an untraded zone). Fair Value Gap is the specific, rigorously defined, three-candle version of that consequence that ICT-focused teaching centers its entry planning around.</w:t>
      </w:r>
    </w:p>
    <w:p w14:paraId="2701546D">
      <w:pPr>
        <w:pStyle w:val="3"/>
        <w:spacing w:before="360" w:after="160"/>
      </w:pPr>
      <w:r>
        <w:rPr>
          <w:b/>
          <w:bCs/>
          <w:color w:val="1B2A4A"/>
          <w:sz w:val="26"/>
          <w:szCs w:val="26"/>
        </w:rPr>
        <w:t>Practical Chart Exercise</w:t>
      </w:r>
    </w:p>
    <w:p w14:paraId="50667509">
      <w:pPr>
        <w:spacing w:after="160" w:line="288" w:lineRule="auto"/>
      </w:pPr>
      <w:r>
        <w:rPr>
          <w:b w:val="0"/>
          <w:bCs w:val="0"/>
          <w:i w:val="0"/>
          <w:iCs w:val="0"/>
          <w:sz w:val="22"/>
          <w:szCs w:val="22"/>
        </w:rPr>
        <w:t>Given three candles — Candle 1 with high 50 and low 48; Candle 2 opening at 48 and closing at 40 (a large, fast bearish move with almost no wick); Candle 3 with high 39 and low 36 — determine whether Candle 2 qualifies as a displacement candle, construct the resulting Fair Value Gap (state which type, bullish or bearish, and its exact price boundaries), and calculate the Consequent Encroachment (midpoint) of that gap.</w:t>
      </w:r>
    </w:p>
    <w:p w14:paraId="5537246C">
      <w:pPr>
        <w:pStyle w:val="3"/>
        <w:spacing w:before="360" w:after="160"/>
      </w:pPr>
      <w:r>
        <w:rPr>
          <w:b/>
          <w:bCs/>
          <w:color w:val="1B2A4A"/>
          <w:sz w:val="26"/>
          <w:szCs w:val="26"/>
        </w:rPr>
        <w:t>Self-Test Questions</w:t>
      </w:r>
    </w:p>
    <w:p w14:paraId="4FF796FC">
      <w:pPr>
        <w:pStyle w:val="16"/>
        <w:numPr>
          <w:ilvl w:val="0"/>
          <w:numId w:val="1"/>
        </w:numPr>
        <w:spacing w:after="80" w:line="276" w:lineRule="auto"/>
      </w:pPr>
      <w:r>
        <w:rPr>
          <w:sz w:val="22"/>
          <w:szCs w:val="22"/>
        </w:rPr>
        <w:t>What two specific properties of a candle (beyond simply being "big") does ICT-focused teaching use to judge whether it is genuine displacement?</w:t>
      </w:r>
    </w:p>
    <w:p w14:paraId="4C36A2BD">
      <w:pPr>
        <w:pStyle w:val="16"/>
        <w:numPr>
          <w:ilvl w:val="0"/>
          <w:numId w:val="1"/>
        </w:numPr>
        <w:spacing w:after="80" w:line="276" w:lineRule="auto"/>
      </w:pPr>
      <w:r>
        <w:rPr>
          <w:sz w:val="22"/>
          <w:szCs w:val="22"/>
        </w:rPr>
        <w:t>Why is a large candle that occurs in open price space, without breaking any structural level, generally not treated as significant displacement?</w:t>
      </w:r>
    </w:p>
    <w:p w14:paraId="5636583A">
      <w:pPr>
        <w:pStyle w:val="16"/>
        <w:numPr>
          <w:ilvl w:val="0"/>
          <w:numId w:val="1"/>
        </w:numPr>
        <w:spacing w:after="80" w:line="276" w:lineRule="auto"/>
      </w:pPr>
      <w:r>
        <w:rPr>
          <w:sz w:val="22"/>
          <w:szCs w:val="22"/>
        </w:rPr>
        <w:t>What is the difference between an imbalance in general and a Fair Value Gap specifically?</w:t>
      </w:r>
    </w:p>
    <w:p w14:paraId="7F25D509">
      <w:pPr>
        <w:pStyle w:val="16"/>
        <w:numPr>
          <w:ilvl w:val="0"/>
          <w:numId w:val="1"/>
        </w:numPr>
        <w:spacing w:after="80" w:line="276" w:lineRule="auto"/>
      </w:pPr>
      <w:r>
        <w:rPr>
          <w:sz w:val="22"/>
          <w:szCs w:val="22"/>
        </w:rPr>
        <w:t>For a bullish Fair Value Gap, which two candle price points define the top and bottom of the zone?</w:t>
      </w:r>
    </w:p>
    <w:p w14:paraId="372E304D">
      <w:pPr>
        <w:pStyle w:val="16"/>
        <w:numPr>
          <w:ilvl w:val="0"/>
          <w:numId w:val="1"/>
        </w:numPr>
        <w:spacing w:after="80" w:line="276" w:lineRule="auto"/>
      </w:pPr>
      <w:r>
        <w:rPr>
          <w:sz w:val="22"/>
          <w:szCs w:val="22"/>
        </w:rPr>
        <w:t>Why do ICT-focused sources describe an FVG that lacks a preceding displacement candle, or a preceding liquidity sweep, as weaker than one that has both?</w:t>
      </w:r>
    </w:p>
    <w:p w14:paraId="1EAA9DE9">
      <w:pPr>
        <w:pStyle w:val="3"/>
        <w:spacing w:before="360" w:after="160"/>
      </w:pPr>
      <w:r>
        <w:rPr>
          <w:b/>
          <w:bCs/>
          <w:color w:val="1B2A4A"/>
          <w:sz w:val="26"/>
          <w:szCs w:val="26"/>
        </w:rPr>
        <w:t>Common Misconceptions</w:t>
      </w:r>
    </w:p>
    <w:p w14:paraId="2C8A331E">
      <w:pPr>
        <w:pStyle w:val="16"/>
        <w:numPr>
          <w:ilvl w:val="0"/>
          <w:numId w:val="2"/>
        </w:numPr>
        <w:spacing w:after="80" w:line="276" w:lineRule="auto"/>
      </w:pPr>
      <w:r>
        <w:rPr>
          <w:sz w:val="22"/>
          <w:szCs w:val="22"/>
        </w:rPr>
        <w:t>Believing any large candle qualifies as displacement, regardless of its body-to-range ratio or whether it breaks a meaningful level.</w:t>
      </w:r>
    </w:p>
    <w:p w14:paraId="58F0113D">
      <w:pPr>
        <w:pStyle w:val="16"/>
        <w:numPr>
          <w:ilvl w:val="0"/>
          <w:numId w:val="2"/>
        </w:numPr>
        <w:spacing w:after="80" w:line="276" w:lineRule="auto"/>
      </w:pPr>
      <w:r>
        <w:rPr>
          <w:sz w:val="22"/>
          <w:szCs w:val="22"/>
        </w:rPr>
        <w:t>Believing every three-candle gap on a chart is an equally significant, tradable Fair Value Gap.</w:t>
      </w:r>
    </w:p>
    <w:p w14:paraId="1868818A">
      <w:pPr>
        <w:pStyle w:val="16"/>
        <w:numPr>
          <w:ilvl w:val="0"/>
          <w:numId w:val="2"/>
        </w:numPr>
        <w:spacing w:after="80" w:line="276" w:lineRule="auto"/>
      </w:pPr>
      <w:r>
        <w:rPr>
          <w:sz w:val="22"/>
          <w:szCs w:val="22"/>
        </w:rPr>
        <w:t>Believing a Fair Value Gap guarantees a price reaction on retest, rather than understanding that some gaps are never filled and some filled gaps produce no reaction at all.</w:t>
      </w:r>
    </w:p>
    <w:p w14:paraId="5CE6816E">
      <w:pPr>
        <w:pStyle w:val="16"/>
        <w:numPr>
          <w:ilvl w:val="0"/>
          <w:numId w:val="2"/>
        </w:numPr>
        <w:spacing w:after="80" w:line="276" w:lineRule="auto"/>
      </w:pPr>
      <w:r>
        <w:rPr>
          <w:sz w:val="22"/>
          <w:szCs w:val="22"/>
        </w:rPr>
        <w:t>Confusing an imbalance in the general sense with the specific, mechanically defined Fair Value Gap — the two are related but not identical.</w:t>
      </w:r>
    </w:p>
    <w:p w14:paraId="6DBC4D13">
      <w:pPr>
        <w:pStyle w:val="3"/>
        <w:spacing w:before="360" w:after="160"/>
      </w:pPr>
      <w:r>
        <w:rPr>
          <w:b/>
          <w:bCs/>
          <w:color w:val="1B2A4A"/>
          <w:sz w:val="26"/>
          <w:szCs w:val="26"/>
        </w:rPr>
        <w:t>Research Sources</w:t>
      </w:r>
    </w:p>
    <w:p w14:paraId="383314C8">
      <w:pPr>
        <w:pStyle w:val="16"/>
        <w:numPr>
          <w:ilvl w:val="0"/>
          <w:numId w:val="2"/>
        </w:numPr>
        <w:spacing w:after="80" w:line="276" w:lineRule="auto"/>
      </w:pPr>
      <w:r>
        <w:rPr>
          <w:sz w:val="22"/>
          <w:szCs w:val="22"/>
        </w:rPr>
        <w:t>ictkillzone.com — "ICT Displacement: The Complete Guide."</w:t>
      </w:r>
    </w:p>
    <w:p w14:paraId="7D745416">
      <w:pPr>
        <w:pStyle w:val="16"/>
        <w:numPr>
          <w:ilvl w:val="0"/>
          <w:numId w:val="2"/>
        </w:numPr>
        <w:spacing w:after="80" w:line="276" w:lineRule="auto"/>
      </w:pPr>
      <w:r>
        <w:rPr>
          <w:sz w:val="22"/>
          <w:szCs w:val="22"/>
        </w:rPr>
        <w:t>backtrex.com — "ICT Displacement Candle: The Market Displacement Concept Explained."</w:t>
      </w:r>
    </w:p>
    <w:p w14:paraId="283C1D0E">
      <w:pPr>
        <w:pStyle w:val="16"/>
        <w:numPr>
          <w:ilvl w:val="0"/>
          <w:numId w:val="2"/>
        </w:numPr>
        <w:spacing w:after="80" w:line="276" w:lineRule="auto"/>
      </w:pPr>
      <w:r>
        <w:rPr>
          <w:sz w:val="22"/>
          <w:szCs w:val="22"/>
        </w:rPr>
        <w:t>fxnx.com — "ICT Displacement: The 1-Candle Bank Tell."</w:t>
      </w:r>
    </w:p>
    <w:p w14:paraId="205B9947">
      <w:pPr>
        <w:pStyle w:val="16"/>
        <w:numPr>
          <w:ilvl w:val="0"/>
          <w:numId w:val="2"/>
        </w:numPr>
        <w:spacing w:after="80" w:line="276" w:lineRule="auto"/>
      </w:pPr>
      <w:r>
        <w:rPr>
          <w:sz w:val="22"/>
          <w:szCs w:val="22"/>
        </w:rPr>
        <w:t>thesimpleict.com — "ICT Displacement Explained: How to Read Real Institutional Moves" and "Fair Value Gaps (FVG) in ICT Trading: Complete Guide to 3-Candle Imbalance."</w:t>
      </w:r>
    </w:p>
    <w:p w14:paraId="6BE8CC15">
      <w:pPr>
        <w:pStyle w:val="16"/>
        <w:numPr>
          <w:ilvl w:val="0"/>
          <w:numId w:val="2"/>
        </w:numPr>
        <w:spacing w:after="80" w:line="276" w:lineRule="auto"/>
      </w:pPr>
      <w:r>
        <w:rPr>
          <w:sz w:val="22"/>
          <w:szCs w:val="22"/>
        </w:rPr>
        <w:t>equiti.com — "Understanding fair value gap (FVG) in ICT trading."</w:t>
      </w:r>
    </w:p>
    <w:p w14:paraId="448F3E62">
      <w:pPr>
        <w:pStyle w:val="16"/>
        <w:numPr>
          <w:ilvl w:val="0"/>
          <w:numId w:val="2"/>
        </w:numPr>
        <w:spacing w:after="80" w:line="276" w:lineRule="auto"/>
      </w:pPr>
      <w:r>
        <w:rPr>
          <w:sz w:val="22"/>
          <w:szCs w:val="22"/>
        </w:rPr>
        <w:t>innercircletrader.net — "ICT Fair Value Gap (FVG) — 6-Step Strategy &amp; FVG Family," "Valid ICT Fair Value Gap: Weak vs Strong 3-Candle Pattern Explained," and "ICT Inverse Fair Value Gap (IFVG)."</w:t>
      </w:r>
    </w:p>
    <w:p w14:paraId="5BA8D36F">
      <w:pPr>
        <w:pStyle w:val="16"/>
        <w:numPr>
          <w:ilvl w:val="0"/>
          <w:numId w:val="2"/>
        </w:numPr>
        <w:spacing w:after="80" w:line="276" w:lineRule="auto"/>
      </w:pPr>
      <w:r>
        <w:rPr>
          <w:sz w:val="22"/>
          <w:szCs w:val="22"/>
        </w:rPr>
        <w:t>fxopen.com — "Fair Value Gaps (FVGs) and Liquidity Voids – Differences &amp; Strategies."</w:t>
      </w:r>
    </w:p>
    <w:p w14:paraId="0A571E38">
      <w:pPr>
        <w:pStyle w:val="16"/>
        <w:numPr>
          <w:ilvl w:val="0"/>
          <w:numId w:val="2"/>
        </w:numPr>
        <w:spacing w:after="80" w:line="276" w:lineRule="auto"/>
      </w:pPr>
      <w:r>
        <w:rPr>
          <w:sz w:val="22"/>
          <w:szCs w:val="22"/>
        </w:rPr>
        <w:t>luxalgo.com — "Fair Value Gap — Smart Money Concepts / ICT Concept."</w:t>
      </w:r>
    </w:p>
    <w:p w14:paraId="2B7394B8">
      <w:pPr>
        <w:pStyle w:val="16"/>
        <w:numPr>
          <w:ilvl w:val="0"/>
          <w:numId w:val="2"/>
        </w:numPr>
        <w:spacing w:after="80" w:line="276" w:lineRule="auto"/>
      </w:pPr>
      <w:r>
        <w:rPr>
          <w:sz w:val="22"/>
          <w:szCs w:val="22"/>
        </w:rPr>
        <w:t>Note: as in prior modules, this research pass relied on cross-checked secondary/tutorial documentation rather than direct ICT primary-source video transcripts, which were not accessible in this environment. Claims are corroborated across many independent ICT-focused sources.</w:t>
      </w:r>
    </w:p>
    <w:p w14:paraId="43D07AE5">
      <w:pPr>
        <w:pStyle w:val="16"/>
        <w:numPr>
          <w:ilvl w:val="0"/>
          <w:numId w:val="0"/>
        </w:numPr>
        <w:spacing w:after="80" w:line="276" w:lineRule="auto"/>
        <w:rPr>
          <w:sz w:val="22"/>
          <w:szCs w:val="22"/>
        </w:rPr>
      </w:pPr>
    </w:p>
    <w:p w14:paraId="681BEB9C">
      <w:pPr>
        <w:pStyle w:val="16"/>
        <w:numPr>
          <w:ilvl w:val="0"/>
          <w:numId w:val="0"/>
        </w:numPr>
        <w:spacing w:after="80" w:line="276" w:lineRule="auto"/>
        <w:rPr>
          <w:sz w:val="22"/>
          <w:szCs w:val="22"/>
        </w:rPr>
      </w:pPr>
    </w:p>
    <w:p w14:paraId="6BE6D239">
      <w:pPr>
        <w:pStyle w:val="16"/>
        <w:numPr>
          <w:ilvl w:val="0"/>
          <w:numId w:val="0"/>
        </w:numPr>
        <w:spacing w:after="80" w:line="276" w:lineRule="auto"/>
        <w:rPr>
          <w:sz w:val="22"/>
          <w:szCs w:val="22"/>
        </w:rPr>
      </w:pPr>
    </w:p>
    <w:p w14:paraId="07449F6F">
      <w:pPr>
        <w:pStyle w:val="16"/>
        <w:numPr>
          <w:ilvl w:val="0"/>
          <w:numId w:val="0"/>
        </w:numPr>
        <w:spacing w:after="80" w:line="276" w:lineRule="auto"/>
        <w:rPr>
          <w:sz w:val="22"/>
          <w:szCs w:val="22"/>
        </w:rPr>
      </w:pPr>
    </w:p>
    <w:p w14:paraId="732E9A7C">
      <w:pPr>
        <w:pStyle w:val="16"/>
        <w:numPr>
          <w:ilvl w:val="0"/>
          <w:numId w:val="0"/>
        </w:numPr>
        <w:spacing w:after="80" w:line="276" w:lineRule="auto"/>
        <w:rPr>
          <w:sz w:val="22"/>
          <w:szCs w:val="22"/>
        </w:rPr>
      </w:pPr>
    </w:p>
    <w:p w14:paraId="3722E74F">
      <w:pPr>
        <w:pStyle w:val="16"/>
        <w:numPr>
          <w:ilvl w:val="0"/>
          <w:numId w:val="0"/>
        </w:numPr>
        <w:spacing w:after="80" w:line="276" w:lineRule="auto"/>
        <w:rPr>
          <w:sz w:val="22"/>
          <w:szCs w:val="22"/>
        </w:rPr>
      </w:pPr>
    </w:p>
    <w:p w14:paraId="25CAB134">
      <w:pPr>
        <w:pStyle w:val="16"/>
        <w:numPr>
          <w:ilvl w:val="0"/>
          <w:numId w:val="0"/>
        </w:numPr>
        <w:spacing w:after="80" w:line="276" w:lineRule="auto"/>
        <w:rPr>
          <w:sz w:val="22"/>
          <w:szCs w:val="22"/>
        </w:rPr>
      </w:pPr>
    </w:p>
    <w:p w14:paraId="063C0AF3">
      <w:pPr>
        <w:pStyle w:val="16"/>
        <w:numPr>
          <w:ilvl w:val="0"/>
          <w:numId w:val="0"/>
        </w:numPr>
        <w:spacing w:after="80" w:line="276" w:lineRule="auto"/>
        <w:rPr>
          <w:sz w:val="22"/>
          <w:szCs w:val="22"/>
        </w:rPr>
      </w:pPr>
    </w:p>
    <w:p w14:paraId="06E59ECA">
      <w:pPr>
        <w:pStyle w:val="16"/>
        <w:numPr>
          <w:ilvl w:val="0"/>
          <w:numId w:val="0"/>
        </w:numPr>
        <w:spacing w:after="80" w:line="276" w:lineRule="auto"/>
        <w:rPr>
          <w:sz w:val="22"/>
          <w:szCs w:val="22"/>
        </w:rPr>
      </w:pPr>
    </w:p>
    <w:p w14:paraId="5FA3A3E3">
      <w:pPr>
        <w:pStyle w:val="16"/>
        <w:numPr>
          <w:ilvl w:val="0"/>
          <w:numId w:val="0"/>
        </w:numPr>
        <w:spacing w:after="80" w:line="276" w:lineRule="auto"/>
        <w:rPr>
          <w:sz w:val="22"/>
          <w:szCs w:val="22"/>
        </w:rPr>
      </w:pPr>
    </w:p>
    <w:p w14:paraId="496FEB2B">
      <w:pPr>
        <w:pStyle w:val="16"/>
        <w:numPr>
          <w:ilvl w:val="0"/>
          <w:numId w:val="0"/>
        </w:numPr>
        <w:spacing w:after="80" w:line="276" w:lineRule="auto"/>
        <w:rPr>
          <w:sz w:val="22"/>
          <w:szCs w:val="22"/>
        </w:rPr>
      </w:pPr>
    </w:p>
    <w:p w14:paraId="26B82CF0">
      <w:pPr>
        <w:pStyle w:val="16"/>
        <w:numPr>
          <w:ilvl w:val="0"/>
          <w:numId w:val="0"/>
        </w:numPr>
        <w:spacing w:after="80" w:line="276" w:lineRule="auto"/>
        <w:rPr>
          <w:sz w:val="22"/>
          <w:szCs w:val="22"/>
        </w:rPr>
      </w:pPr>
    </w:p>
    <w:p w14:paraId="22F751D2">
      <w:pPr>
        <w:pStyle w:val="16"/>
        <w:numPr>
          <w:ilvl w:val="0"/>
          <w:numId w:val="0"/>
        </w:numPr>
        <w:spacing w:after="80" w:line="276" w:lineRule="auto"/>
        <w:rPr>
          <w:sz w:val="22"/>
          <w:szCs w:val="22"/>
        </w:rPr>
      </w:pPr>
    </w:p>
    <w:p w14:paraId="44D1B3AA">
      <w:pPr>
        <w:pStyle w:val="16"/>
        <w:numPr>
          <w:ilvl w:val="0"/>
          <w:numId w:val="0"/>
        </w:numPr>
        <w:spacing w:after="80" w:line="276" w:lineRule="auto"/>
        <w:rPr>
          <w:sz w:val="22"/>
          <w:szCs w:val="22"/>
        </w:rPr>
      </w:pPr>
    </w:p>
    <w:p w14:paraId="7AC9F1CC">
      <w:pPr>
        <w:pStyle w:val="16"/>
        <w:numPr>
          <w:ilvl w:val="0"/>
          <w:numId w:val="0"/>
        </w:numPr>
        <w:spacing w:after="80" w:line="276" w:lineRule="auto"/>
        <w:rPr>
          <w:sz w:val="22"/>
          <w:szCs w:val="22"/>
        </w:rPr>
      </w:pPr>
    </w:p>
    <w:p w14:paraId="1D4D0549">
      <w:pPr>
        <w:pStyle w:val="16"/>
        <w:numPr>
          <w:ilvl w:val="0"/>
          <w:numId w:val="0"/>
        </w:numPr>
        <w:spacing w:after="80" w:line="276" w:lineRule="auto"/>
        <w:rPr>
          <w:sz w:val="22"/>
          <w:szCs w:val="22"/>
        </w:rPr>
      </w:pPr>
    </w:p>
    <w:p w14:paraId="00675AC5">
      <w:pPr>
        <w:pStyle w:val="16"/>
        <w:numPr>
          <w:ilvl w:val="0"/>
          <w:numId w:val="0"/>
        </w:numPr>
        <w:spacing w:after="80" w:line="276" w:lineRule="auto"/>
        <w:rPr>
          <w:sz w:val="22"/>
          <w:szCs w:val="22"/>
        </w:rPr>
      </w:pPr>
    </w:p>
    <w:p w14:paraId="1E4688E5">
      <w:pPr>
        <w:pStyle w:val="16"/>
        <w:numPr>
          <w:ilvl w:val="0"/>
          <w:numId w:val="0"/>
        </w:numPr>
        <w:spacing w:after="80" w:line="276" w:lineRule="auto"/>
        <w:rPr>
          <w:sz w:val="22"/>
          <w:szCs w:val="22"/>
        </w:rPr>
      </w:pPr>
    </w:p>
    <w:p w14:paraId="39D5D83B">
      <w:pPr>
        <w:pStyle w:val="16"/>
        <w:numPr>
          <w:ilvl w:val="0"/>
          <w:numId w:val="0"/>
        </w:numPr>
        <w:spacing w:after="80" w:line="276" w:lineRule="auto"/>
        <w:rPr>
          <w:sz w:val="22"/>
          <w:szCs w:val="22"/>
        </w:rPr>
      </w:pPr>
    </w:p>
    <w:p w14:paraId="198C1E64">
      <w:pPr>
        <w:pStyle w:val="16"/>
        <w:numPr>
          <w:ilvl w:val="0"/>
          <w:numId w:val="0"/>
        </w:numPr>
        <w:spacing w:after="80" w:line="276" w:lineRule="auto"/>
        <w:rPr>
          <w:sz w:val="22"/>
          <w:szCs w:val="22"/>
        </w:rPr>
      </w:pPr>
    </w:p>
    <w:p w14:paraId="7A4FB930">
      <w:pPr>
        <w:pStyle w:val="16"/>
        <w:numPr>
          <w:ilvl w:val="0"/>
          <w:numId w:val="0"/>
        </w:numPr>
        <w:spacing w:after="80" w:line="276" w:lineRule="auto"/>
        <w:rPr>
          <w:sz w:val="22"/>
          <w:szCs w:val="22"/>
        </w:rPr>
      </w:pPr>
    </w:p>
    <w:p w14:paraId="5BFA466A">
      <w:pPr>
        <w:pStyle w:val="16"/>
        <w:numPr>
          <w:ilvl w:val="0"/>
          <w:numId w:val="0"/>
        </w:numPr>
        <w:spacing w:after="80" w:line="276" w:lineRule="auto"/>
        <w:rPr>
          <w:sz w:val="22"/>
          <w:szCs w:val="22"/>
        </w:rPr>
      </w:pPr>
    </w:p>
    <w:p w14:paraId="46A5B18E">
      <w:pPr>
        <w:pStyle w:val="16"/>
        <w:numPr>
          <w:ilvl w:val="0"/>
          <w:numId w:val="0"/>
        </w:numPr>
        <w:spacing w:after="80" w:line="276" w:lineRule="auto"/>
        <w:rPr>
          <w:sz w:val="22"/>
          <w:szCs w:val="22"/>
        </w:rPr>
      </w:pPr>
    </w:p>
    <w:p w14:paraId="4B63242E">
      <w:pPr>
        <w:pStyle w:val="16"/>
        <w:numPr>
          <w:ilvl w:val="0"/>
          <w:numId w:val="0"/>
        </w:numPr>
        <w:spacing w:after="80" w:line="276" w:lineRule="auto"/>
        <w:rPr>
          <w:sz w:val="22"/>
          <w:szCs w:val="22"/>
        </w:rPr>
      </w:pPr>
    </w:p>
    <w:p w14:paraId="311B5E6D">
      <w:pPr>
        <w:pStyle w:val="16"/>
        <w:numPr>
          <w:ilvl w:val="0"/>
          <w:numId w:val="0"/>
        </w:numPr>
        <w:spacing w:after="80" w:line="276" w:lineRule="auto"/>
        <w:rPr>
          <w:sz w:val="22"/>
          <w:szCs w:val="22"/>
        </w:rPr>
      </w:pPr>
    </w:p>
    <w:p w14:paraId="4F77D81C">
      <w:pPr>
        <w:pStyle w:val="16"/>
        <w:numPr>
          <w:ilvl w:val="0"/>
          <w:numId w:val="0"/>
        </w:numPr>
        <w:spacing w:after="80" w:line="276" w:lineRule="auto"/>
        <w:rPr>
          <w:sz w:val="22"/>
          <w:szCs w:val="22"/>
        </w:rPr>
      </w:pPr>
    </w:p>
    <w:p w14:paraId="023005F4">
      <w:pPr>
        <w:pStyle w:val="16"/>
        <w:numPr>
          <w:ilvl w:val="0"/>
          <w:numId w:val="0"/>
        </w:numPr>
        <w:spacing w:after="80" w:line="276" w:lineRule="auto"/>
        <w:rPr>
          <w:sz w:val="22"/>
          <w:szCs w:val="22"/>
        </w:rPr>
      </w:pPr>
    </w:p>
    <w:p w14:paraId="657EF235">
      <w:pPr>
        <w:pStyle w:val="16"/>
        <w:numPr>
          <w:ilvl w:val="0"/>
          <w:numId w:val="0"/>
        </w:numPr>
        <w:spacing w:after="80" w:line="276" w:lineRule="auto"/>
        <w:rPr>
          <w:sz w:val="22"/>
          <w:szCs w:val="22"/>
        </w:rPr>
      </w:pPr>
    </w:p>
    <w:p w14:paraId="265C0E99">
      <w:pPr>
        <w:pStyle w:val="16"/>
        <w:numPr>
          <w:ilvl w:val="0"/>
          <w:numId w:val="0"/>
        </w:numPr>
        <w:spacing w:after="80" w:line="276" w:lineRule="auto"/>
        <w:rPr>
          <w:sz w:val="22"/>
          <w:szCs w:val="22"/>
        </w:rPr>
      </w:pPr>
    </w:p>
    <w:p w14:paraId="4BD9B6AE">
      <w:pPr>
        <w:pStyle w:val="16"/>
        <w:numPr>
          <w:ilvl w:val="0"/>
          <w:numId w:val="0"/>
        </w:numPr>
        <w:spacing w:after="80" w:line="276" w:lineRule="auto"/>
        <w:rPr>
          <w:sz w:val="22"/>
          <w:szCs w:val="22"/>
        </w:rPr>
      </w:pPr>
    </w:p>
    <w:p w14:paraId="05E65E6C">
      <w:pPr>
        <w:pStyle w:val="16"/>
        <w:numPr>
          <w:ilvl w:val="0"/>
          <w:numId w:val="0"/>
        </w:numPr>
        <w:spacing w:after="80" w:line="276" w:lineRule="auto"/>
        <w:rPr>
          <w:sz w:val="22"/>
          <w:szCs w:val="22"/>
        </w:rPr>
      </w:pPr>
    </w:p>
    <w:p w14:paraId="273C695A">
      <w:pPr>
        <w:pStyle w:val="2"/>
        <w:pBdr>
          <w:bottom w:val="single" w:color="1B2A4A" w:sz="12" w:space="4"/>
        </w:pBdr>
        <w:spacing w:before="480" w:after="240"/>
      </w:pPr>
      <w:r>
        <w:rPr>
          <w:b/>
          <w:bCs/>
          <w:color w:val="1B2A4A"/>
          <w:sz w:val="34"/>
          <w:szCs w:val="34"/>
        </w:rPr>
        <w:t>MODULE 6</w:t>
      </w:r>
    </w:p>
    <w:p w14:paraId="1B84F068">
      <w:pPr>
        <w:spacing w:after="300"/>
      </w:pPr>
      <w:r>
        <w:rPr>
          <w:b/>
          <w:bCs/>
          <w:color w:val="9A7B2E"/>
          <w:sz w:val="30"/>
          <w:szCs w:val="30"/>
        </w:rPr>
        <w:t>ICT Price Delivery / PD Arrays</w:t>
      </w:r>
    </w:p>
    <w:p w14:paraId="78CBECCC">
      <w:pPr>
        <w:spacing w:after="160" w:line="288" w:lineRule="auto"/>
      </w:pPr>
      <w:r>
        <w:rPr>
          <w:b w:val="0"/>
          <w:bCs w:val="0"/>
          <w:i w:val="0"/>
          <w:iCs w:val="0"/>
          <w:sz w:val="22"/>
          <w:szCs w:val="22"/>
        </w:rPr>
        <w:t>Module 5 ended with the Fair Value Gap — a precise, three-candle price zone created by displacement. This module widens the lens: the Fair Value Gap turns out to be just one member of a larger family of tools ICT-focused teaching calls PD Arrays (Premium and Discount Arrays), all used for the same underlying purpose — identifying specific, defensible price zones where a reaction is plausible.</w:t>
      </w:r>
    </w:p>
    <w:p w14:paraId="4C4F5C11">
      <w:pPr>
        <w:spacing w:after="160" w:line="288" w:lineRule="auto"/>
      </w:pPr>
      <w:r>
        <w:rPr>
          <w:b w:val="0"/>
          <w:bCs w:val="0"/>
          <w:i w:val="0"/>
          <w:iCs w:val="0"/>
          <w:sz w:val="22"/>
          <w:szCs w:val="22"/>
        </w:rPr>
        <w:t>This module introduces the Order Block (the footprint of institutional positioning just before a strong move), and the two things that can happen when price later returns to test an old Order Block: a Mitigation Block (a partial, failed-expansion retest that continues the original direction) or a Breaker Block (a complete, structure-shift-confirmed break that reverses the zone's role entirely). It then explicitly reframes the Fair Value Gap from Module 5 as one PD Array among several, and closes by reconnecting all of this back to the plain key support/resistance levels first introduced in Module 1.</w:t>
      </w:r>
    </w:p>
    <w:p w14:paraId="0E076E0C">
      <w:pPr>
        <w:spacing w:after="160" w:line="288" w:lineRule="auto"/>
      </w:pPr>
      <w:r>
        <w:rPr>
          <w:b w:val="0"/>
          <w:bCs w:val="0"/>
          <w:i w:val="0"/>
          <w:iCs w:val="0"/>
          <w:sz w:val="22"/>
          <w:szCs w:val="22"/>
        </w:rPr>
        <w:t>This module assumes full fluency with Displacement and Fair Value Gap (Module 5), Liquidity Sweep (Module 4), and Market Structure Shift (Module 3) — every concept here is built directly on top of those three.</w:t>
      </w:r>
    </w:p>
    <w:p w14:paraId="3E954F5D">
      <w:r>
        <w:br w:type="page"/>
      </w:r>
    </w:p>
    <w:p w14:paraId="512444C9">
      <w:pPr>
        <w:pStyle w:val="2"/>
        <w:pBdr>
          <w:bottom w:val="single" w:color="1B2A4A" w:sz="12" w:space="4"/>
        </w:pBdr>
        <w:spacing w:before="480" w:after="240"/>
      </w:pPr>
      <w:r>
        <w:rPr>
          <w:b/>
          <w:bCs/>
          <w:color w:val="1B2A4A"/>
          <w:sz w:val="34"/>
          <w:szCs w:val="34"/>
        </w:rPr>
        <w:t>Order Block</w:t>
      </w:r>
    </w:p>
    <w:p w14:paraId="0E5E8505">
      <w:pPr>
        <w:pStyle w:val="3"/>
        <w:spacing w:before="360" w:after="160"/>
      </w:pPr>
      <w:r>
        <w:rPr>
          <w:b/>
          <w:bCs/>
          <w:color w:val="1B2A4A"/>
          <w:sz w:val="26"/>
          <w:szCs w:val="26"/>
        </w:rPr>
        <w:t>1. Definition</w:t>
      </w:r>
    </w:p>
    <w:p w14:paraId="0490F5D1">
      <w:pPr>
        <w:spacing w:after="160" w:line="288" w:lineRule="auto"/>
      </w:pPr>
      <w:r>
        <w:rPr>
          <w:b w:val="0"/>
          <w:bCs w:val="0"/>
          <w:i w:val="0"/>
          <w:iCs w:val="0"/>
          <w:sz w:val="22"/>
          <w:szCs w:val="22"/>
        </w:rPr>
        <w:t>An Order Block is the last opposing candle (or small group of candles) before a strong, displacement-driven impulse move, understood within ICT's framework as the specific price zone where institutional traders positioned themselves immediately before that move began.</w:t>
      </w:r>
    </w:p>
    <w:p w14:paraId="16B128D4">
      <w:pPr>
        <w:pStyle w:val="3"/>
        <w:spacing w:before="360" w:after="160"/>
      </w:pPr>
      <w:r>
        <w:rPr>
          <w:b/>
          <w:bCs/>
          <w:color w:val="1B2A4A"/>
          <w:sz w:val="26"/>
          <w:szCs w:val="26"/>
        </w:rPr>
        <w:t>2. ICT's Meaning</w:t>
      </w:r>
    </w:p>
    <w:p w14:paraId="47BA9445">
      <w:pPr>
        <w:spacing w:after="160" w:line="288" w:lineRule="auto"/>
      </w:pPr>
      <w:r>
        <w:rPr>
          <w:b w:val="0"/>
          <w:bCs w:val="0"/>
          <w:i w:val="0"/>
          <w:iCs w:val="0"/>
          <w:sz w:val="22"/>
          <w:szCs w:val="22"/>
        </w:rPr>
        <w:t>ICT-focused teaching, credited to Michael J. Huddleston, treats the Order Block as a footprint of institutional order placement: a bullish Order Block is the last bearish (down) candle immediately preceding a strong bullish impulse move, and a bearish Order Block is the last bullish (up) candle immediately preceding a strong bearish impulse move. The underlying reasoning given across sources is that institutions, unable to fill very large positions in a single moment without moving price unfavorably against themselves, are described as accumulating (or distributing) part of their position in this zone just before the market moves away from it.</w:t>
      </w:r>
    </w:p>
    <w:p w14:paraId="50793C1A">
      <w:pPr>
        <w:spacing w:after="160" w:line="288" w:lineRule="auto"/>
      </w:pPr>
      <w:r>
        <w:rPr>
          <w:b w:val="0"/>
          <w:bCs w:val="0"/>
          <w:i w:val="0"/>
          <w:iCs w:val="0"/>
          <w:sz w:val="22"/>
          <w:szCs w:val="22"/>
        </w:rPr>
        <w:t>Multiple ICT-focused sources describe a consistent set of quality criteria for a "high-probability" Order Block: it should be found at a genuine structural pivot point (a swing high or low, not in the middle of an unremarkable range), the impulse move immediately following it should qualify as genuine displacement (Module 5), and the move should ideally follow a liquidity sweep (Module 4) and leave behind a Fair Value Gap.</w:t>
      </w:r>
    </w:p>
    <w:p w14:paraId="2CF107CB">
      <w:pPr>
        <w:spacing w:after="160" w:line="288" w:lineRule="auto"/>
      </w:pPr>
      <w:r>
        <w:rPr>
          <w:b w:val="0"/>
          <w:bCs w:val="0"/>
          <w:i w:val="0"/>
          <w:iCs w:val="0"/>
          <w:sz w:val="22"/>
          <w:szCs w:val="22"/>
        </w:rPr>
        <w:t>A distinction is drawn in some ICT-focused secondary material between an Order Block and a broader conventional "supply and demand zone": ICT's framework is described as preferring the precise, single candle (or small candle group) over a wider zone, on the reasoning that institutions return to the exact price level of their unfilled orders rather than to any point within a broad range — this produces a tighter stop-loss placement than a wide supply/demand zone would allow, at the cost of slightly less buffer if price sweeps through the Order Block before reversing.</w:t>
      </w:r>
    </w:p>
    <w:p w14:paraId="5D2FF88A">
      <w:pPr>
        <w:pStyle w:val="3"/>
        <w:spacing w:before="360" w:after="160"/>
      </w:pPr>
      <w:r>
        <w:rPr>
          <w:b/>
          <w:bCs/>
          <w:color w:val="1B2A4A"/>
          <w:sz w:val="26"/>
          <w:szCs w:val="26"/>
        </w:rPr>
        <w:t>3. Beginner Explanation</w:t>
      </w:r>
    </w:p>
    <w:p w14:paraId="1C030FBE">
      <w:pPr>
        <w:spacing w:after="160" w:line="288" w:lineRule="auto"/>
      </w:pPr>
      <w:r>
        <w:rPr>
          <w:b w:val="0"/>
          <w:bCs w:val="0"/>
          <w:i w:val="0"/>
          <w:iCs w:val="0"/>
          <w:sz w:val="22"/>
          <w:szCs w:val="22"/>
        </w:rPr>
        <w:t>Imagine a large truck needs to unload a huge shipment, but it can't dump everything in one spot without blocking the road — so it backs up slightly, drops off part of the load, and then drives forward. The exact spot where it backed up and unloaded, just before driving off, is analogous to an Order Block: institutions are described as needing to place large orders gradually, and the last candle moving against the eventual direction — right before the market takes off — is treated as the visible trace of where they did it.</w:t>
      </w:r>
    </w:p>
    <w:p w14:paraId="0496392A">
      <w:pPr>
        <w:pStyle w:val="3"/>
        <w:spacing w:before="360" w:after="160"/>
      </w:pPr>
      <w:r>
        <w:rPr>
          <w:b/>
          <w:bCs/>
          <w:color w:val="1B2A4A"/>
          <w:sz w:val="26"/>
          <w:szCs w:val="26"/>
        </w:rPr>
        <w:t>4. How to Identify It</w:t>
      </w:r>
    </w:p>
    <w:p w14:paraId="2DCF1926">
      <w:pPr>
        <w:pStyle w:val="16"/>
        <w:numPr>
          <w:ilvl w:val="0"/>
          <w:numId w:val="1"/>
        </w:numPr>
        <w:spacing w:after="80" w:line="276" w:lineRule="auto"/>
      </w:pPr>
      <w:r>
        <w:rPr>
          <w:sz w:val="22"/>
          <w:szCs w:val="22"/>
        </w:rPr>
        <w:t>Locate a strong, displacement-driven impulse move (Module 5) on the chart.</w:t>
      </w:r>
    </w:p>
    <w:p w14:paraId="6DA8CC8C">
      <w:pPr>
        <w:pStyle w:val="16"/>
        <w:numPr>
          <w:ilvl w:val="0"/>
          <w:numId w:val="1"/>
        </w:numPr>
        <w:spacing w:after="80" w:line="276" w:lineRule="auto"/>
      </w:pPr>
      <w:r>
        <w:rPr>
          <w:sz w:val="22"/>
          <w:szCs w:val="22"/>
        </w:rPr>
        <w:t>Identify the single candle (or small group of candles) immediately preceding that move that moves in the opposite direction — a down-candle before an up-move (bullish Order Block) or an up-candle before a down-move (bearish Order Block).</w:t>
      </w:r>
    </w:p>
    <w:p w14:paraId="7F5DB1B5">
      <w:pPr>
        <w:pStyle w:val="16"/>
        <w:numPr>
          <w:ilvl w:val="0"/>
          <w:numId w:val="1"/>
        </w:numPr>
        <w:spacing w:after="80" w:line="276" w:lineRule="auto"/>
      </w:pPr>
      <w:r>
        <w:rPr>
          <w:sz w:val="22"/>
          <w:szCs w:val="22"/>
        </w:rPr>
        <w:t>Confirm this candle sits at or near a genuine structural swing point, not in the middle of an unremarkable range.</w:t>
      </w:r>
    </w:p>
    <w:p w14:paraId="5A00D7A6">
      <w:pPr>
        <w:pStyle w:val="16"/>
        <w:numPr>
          <w:ilvl w:val="0"/>
          <w:numId w:val="1"/>
        </w:numPr>
        <w:spacing w:after="80" w:line="276" w:lineRule="auto"/>
      </w:pPr>
      <w:r>
        <w:rPr>
          <w:sz w:val="22"/>
          <w:szCs w:val="22"/>
        </w:rPr>
        <w:t>Check whether the impulse move that follows leaves behind a Fair Value Gap and whether it was preceded by a liquidity sweep — both increase the presumed quality of the Order Block.</w:t>
      </w:r>
    </w:p>
    <w:p w14:paraId="54AA5DD6">
      <w:pPr>
        <w:pStyle w:val="16"/>
        <w:numPr>
          <w:ilvl w:val="0"/>
          <w:numId w:val="1"/>
        </w:numPr>
        <w:spacing w:after="80" w:line="276" w:lineRule="auto"/>
      </w:pPr>
      <w:r>
        <w:rPr>
          <w:sz w:val="22"/>
          <w:szCs w:val="22"/>
        </w:rPr>
        <w:t>Mark the full range (high to low) of the identified candle as the Order Block zone, to be watched for a future retracement and reaction.</w:t>
      </w:r>
    </w:p>
    <w:p w14:paraId="288332BD">
      <w:pPr>
        <w:pStyle w:val="3"/>
        <w:spacing w:before="360" w:after="160"/>
      </w:pPr>
      <w:r>
        <w:rPr>
          <w:b/>
          <w:bCs/>
          <w:color w:val="1B2A4A"/>
          <w:sz w:val="26"/>
          <w:szCs w:val="26"/>
        </w:rPr>
        <w:t>5. Simple Price Example</w:t>
      </w:r>
    </w:p>
    <w:p w14:paraId="6048B645">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112 → 110 (down-candle) → 122 (large displacement up-candle) → 124</w:t>
      </w:r>
    </w:p>
    <w:p w14:paraId="5ACC368E">
      <w:pPr>
        <w:spacing w:after="160" w:line="288" w:lineRule="auto"/>
      </w:pPr>
      <w:r>
        <w:rPr>
          <w:b w:val="0"/>
          <w:bCs w:val="0"/>
          <w:i w:val="0"/>
          <w:iCs w:val="0"/>
          <w:sz w:val="22"/>
          <w:szCs w:val="22"/>
        </w:rPr>
        <w:t>The down-candle from 112 to 110 is the last opposing candle before the large displacement move up to 122. Under ICT's framework, the 110–112 range would be marked as a bullish Order Block — a candidate zone for price to retrace into later, where buyers are presumed to have positioned themselves just before the rally began.</w:t>
      </w:r>
    </w:p>
    <w:p w14:paraId="6B9DA91E">
      <w:pPr>
        <w:pStyle w:val="3"/>
        <w:spacing w:before="360" w:after="160"/>
      </w:pPr>
      <w:r>
        <w:rPr>
          <w:b/>
          <w:bCs/>
          <w:color w:val="1B2A4A"/>
          <w:sz w:val="26"/>
          <w:szCs w:val="26"/>
        </w:rPr>
        <w:t>6. What It Tells the Trader</w:t>
      </w:r>
    </w:p>
    <w:p w14:paraId="6B6929B3">
      <w:pPr>
        <w:spacing w:after="160" w:line="288" w:lineRule="auto"/>
      </w:pPr>
      <w:r>
        <w:rPr>
          <w:b w:val="0"/>
          <w:bCs w:val="0"/>
          <w:i w:val="0"/>
          <w:iCs w:val="0"/>
          <w:sz w:val="22"/>
          <w:szCs w:val="22"/>
        </w:rPr>
        <w:t>An Order Block tells the trader a specific, precise candle-based zone — rather than a broad range — where a reaction is plausible if price returns to it, and gives a comparatively tight stop-loss reference (just beyond the Order Block candle) for planning a trade.</w:t>
      </w:r>
    </w:p>
    <w:p w14:paraId="4760B36D">
      <w:pPr>
        <w:spacing w:after="160" w:line="288" w:lineRule="auto"/>
      </w:pPr>
      <w:r>
        <w:rPr>
          <w:b w:val="0"/>
          <w:bCs w:val="0"/>
          <w:i w:val="0"/>
          <w:iCs w:val="0"/>
          <w:sz w:val="22"/>
          <w:szCs w:val="22"/>
        </w:rPr>
        <w:t>It does not tell the trader that price will necessarily return to the zone, or that a return will produce a reaction rather than a pass-through. Like other PD arrays, an Order Block's reliability depends heavily on the surrounding context — displacement quality, liquidity sweep, and higher-timeframe alignment.</w:t>
      </w:r>
    </w:p>
    <w:p w14:paraId="4879DFCF">
      <w:pPr>
        <w:pStyle w:val="3"/>
        <w:spacing w:before="360" w:after="160"/>
      </w:pPr>
      <w:r>
        <w:rPr>
          <w:b/>
          <w:bCs/>
          <w:color w:val="1B2A4A"/>
          <w:sz w:val="26"/>
          <w:szCs w:val="26"/>
        </w:rPr>
        <w:t>7. What It Is Commonly Paired With</w:t>
      </w:r>
    </w:p>
    <w:p w14:paraId="647D8F6D">
      <w:pPr>
        <w:pStyle w:val="16"/>
        <w:numPr>
          <w:ilvl w:val="0"/>
          <w:numId w:val="2"/>
        </w:numPr>
        <w:spacing w:after="80" w:line="276" w:lineRule="auto"/>
      </w:pPr>
      <w:r>
        <w:rPr>
          <w:sz w:val="22"/>
          <w:szCs w:val="22"/>
        </w:rPr>
        <w:t>Displacement / Fair Value Gap (Module 5)</w:t>
      </w:r>
    </w:p>
    <w:p w14:paraId="142B075E">
      <w:pPr>
        <w:pStyle w:val="16"/>
        <w:numPr>
          <w:ilvl w:val="0"/>
          <w:numId w:val="2"/>
        </w:numPr>
        <w:spacing w:after="80" w:line="276" w:lineRule="auto"/>
      </w:pPr>
      <w:r>
        <w:rPr>
          <w:sz w:val="22"/>
          <w:szCs w:val="22"/>
        </w:rPr>
        <w:t>Liquidity Sweep (Module 4)</w:t>
      </w:r>
    </w:p>
    <w:p w14:paraId="075BBC2F">
      <w:pPr>
        <w:pStyle w:val="16"/>
        <w:numPr>
          <w:ilvl w:val="0"/>
          <w:numId w:val="2"/>
        </w:numPr>
        <w:spacing w:after="80" w:line="276" w:lineRule="auto"/>
      </w:pPr>
      <w:r>
        <w:rPr>
          <w:sz w:val="22"/>
          <w:szCs w:val="22"/>
        </w:rPr>
        <w:t>Breaker Block / Mitigation Block</w:t>
      </w:r>
    </w:p>
    <w:p w14:paraId="3DD40F83">
      <w:pPr>
        <w:spacing w:after="160" w:line="288" w:lineRule="auto"/>
      </w:pPr>
      <w:r>
        <w:rPr>
          <w:b w:val="0"/>
          <w:bCs w:val="0"/>
          <w:i w:val="0"/>
          <w:iCs w:val="0"/>
          <w:sz w:val="22"/>
          <w:szCs w:val="22"/>
        </w:rPr>
        <w:t>An Order Block is defined entirely in relation to the displacement move that follows it and the Fair Value Gap that move typically leaves behind — the two are often found at the same location on a chart. An Order Block that later fails (gets broken through) becomes the origin of either a Breaker Block or a Mitigation Block, covered next in this module.</w:t>
      </w:r>
    </w:p>
    <w:p w14:paraId="2D50D21E">
      <w:pPr>
        <w:pStyle w:val="3"/>
        <w:spacing w:before="360" w:after="160"/>
      </w:pPr>
      <w:r>
        <w:rPr>
          <w:b/>
          <w:bCs/>
          <w:color w:val="1B2A4A"/>
          <w:sz w:val="26"/>
          <w:szCs w:val="26"/>
        </w:rPr>
        <w:t>8. Where It Fits in the ICT Framework</w:t>
      </w:r>
    </w:p>
    <w:p w14:paraId="036FF9EF">
      <w:pPr>
        <w:spacing w:after="160" w:line="288" w:lineRule="auto"/>
      </w:pPr>
      <w:r>
        <w:rPr>
          <w:b w:val="0"/>
          <w:bCs w:val="0"/>
          <w:i w:val="0"/>
          <w:iCs w:val="0"/>
          <w:sz w:val="22"/>
          <w:szCs w:val="22"/>
        </w:rPr>
        <w:t>Comes before: Requires Displacement, Displacement Candle, and Fair Value Gap (Module 5), and Liquidity Sweep (Module 4).</w:t>
      </w:r>
    </w:p>
    <w:p w14:paraId="21A89930">
      <w:pPr>
        <w:spacing w:after="160" w:line="288" w:lineRule="auto"/>
      </w:pPr>
      <w:r>
        <w:rPr>
          <w:b w:val="0"/>
          <w:bCs w:val="0"/>
          <w:i w:val="0"/>
          <w:iCs w:val="0"/>
          <w:sz w:val="22"/>
          <w:szCs w:val="22"/>
        </w:rPr>
        <w:t>Comes after: Feeds directly into Mitigation Block and Breaker Block (both are, by definition, a failed Order Block), and into the broader PD Array framework covered later in this module.</w:t>
      </w:r>
    </w:p>
    <w:p w14:paraId="1FF4DB74">
      <w:pPr>
        <w:pStyle w:val="3"/>
        <w:spacing w:before="360" w:after="160"/>
      </w:pPr>
      <w:r>
        <w:rPr>
          <w:b/>
          <w:bCs/>
          <w:color w:val="1B2A4A"/>
          <w:sz w:val="26"/>
          <w:szCs w:val="26"/>
        </w:rPr>
        <w:t>9. Beginner Mistakes</w:t>
      </w:r>
    </w:p>
    <w:p w14:paraId="2068A94B">
      <w:pPr>
        <w:pStyle w:val="16"/>
        <w:numPr>
          <w:ilvl w:val="0"/>
          <w:numId w:val="2"/>
        </w:numPr>
        <w:spacing w:after="80" w:line="276" w:lineRule="auto"/>
      </w:pPr>
      <w:r>
        <w:rPr>
          <w:sz w:val="22"/>
          <w:szCs w:val="22"/>
        </w:rPr>
        <w:t>Marking every down-candle before any up-move as a bullish Order Block, without checking for genuine displacement, structural significance, or a resulting Fair Value Gap.</w:t>
      </w:r>
    </w:p>
    <w:p w14:paraId="4317DB9F">
      <w:pPr>
        <w:pStyle w:val="16"/>
        <w:numPr>
          <w:ilvl w:val="0"/>
          <w:numId w:val="2"/>
        </w:numPr>
        <w:spacing w:after="80" w:line="276" w:lineRule="auto"/>
      </w:pPr>
      <w:r>
        <w:rPr>
          <w:sz w:val="22"/>
          <w:szCs w:val="22"/>
        </w:rPr>
        <w:t>Using a wide, loosely drawn zone instead of the precise high-to-low range of the specific candle identified.</w:t>
      </w:r>
    </w:p>
    <w:p w14:paraId="4E28A472">
      <w:pPr>
        <w:pStyle w:val="16"/>
        <w:numPr>
          <w:ilvl w:val="0"/>
          <w:numId w:val="2"/>
        </w:numPr>
        <w:spacing w:after="80" w:line="276" w:lineRule="auto"/>
      </w:pPr>
      <w:r>
        <w:rPr>
          <w:sz w:val="22"/>
          <w:szCs w:val="22"/>
        </w:rPr>
        <w:t>Ignoring whether the Order Block formed after a liquidity sweep, which several sources treat as a meaningful quality filter.</w:t>
      </w:r>
    </w:p>
    <w:p w14:paraId="1F40AEFB">
      <w:pPr>
        <w:pStyle w:val="3"/>
        <w:spacing w:before="360" w:after="160"/>
      </w:pPr>
      <w:r>
        <w:rPr>
          <w:b/>
          <w:bCs/>
          <w:color w:val="1B2A4A"/>
          <w:sz w:val="26"/>
          <w:szCs w:val="26"/>
        </w:rPr>
        <w:t>10. Important Qualification</w:t>
      </w:r>
    </w:p>
    <w:p w14:paraId="652B4643">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An Order Block is a probabilistic zone of interest, not a guaranteed reaction point. ICT-focused sources are explicit that Order Blocks can and do fail — a failure is not treated as an anomaly but as the specific mechanism that produces the Breaker Block and Mitigation Block concepts covered next.</w:t>
      </w:r>
    </w:p>
    <w:p w14:paraId="5CD1715C">
      <w:pPr>
        <w:pStyle w:val="3"/>
        <w:spacing w:before="360" w:after="160"/>
      </w:pPr>
      <w:r>
        <w:rPr>
          <w:b/>
          <w:bCs/>
          <w:color w:val="1B2A4A"/>
          <w:sz w:val="26"/>
          <w:szCs w:val="26"/>
        </w:rPr>
        <w:t>11. Source</w:t>
      </w:r>
    </w:p>
    <w:p w14:paraId="05D96391"/>
    <w:p w14:paraId="7961EBAE">
      <w:pPr>
        <w:pStyle w:val="16"/>
        <w:numPr>
          <w:ilvl w:val="0"/>
          <w:numId w:val="2"/>
        </w:numPr>
        <w:spacing w:after="80" w:line="276" w:lineRule="auto"/>
      </w:pPr>
      <w:r>
        <w:rPr>
          <w:sz w:val="22"/>
          <w:szCs w:val="22"/>
        </w:rPr>
        <w:t>innercircletrader.net — "ICT Order Block Explained — Bullish &amp; Bearish OB Setup with Examples."</w:t>
      </w:r>
    </w:p>
    <w:p w14:paraId="05D0F246">
      <w:pPr>
        <w:pStyle w:val="16"/>
        <w:numPr>
          <w:ilvl w:val="0"/>
          <w:numId w:val="2"/>
        </w:numPr>
        <w:spacing w:after="80" w:line="276" w:lineRule="auto"/>
      </w:pPr>
      <w:r>
        <w:rPr>
          <w:sz w:val="22"/>
          <w:szCs w:val="22"/>
        </w:rPr>
        <w:t>atas.net — "What Are ICT Order Blocks and Breaker Blocks in Trading?"</w:t>
      </w:r>
    </w:p>
    <w:p w14:paraId="170E3992">
      <w:pPr>
        <w:pStyle w:val="16"/>
        <w:numPr>
          <w:ilvl w:val="0"/>
          <w:numId w:val="2"/>
        </w:numPr>
        <w:spacing w:after="80" w:line="276" w:lineRule="auto"/>
      </w:pPr>
      <w:r>
        <w:rPr>
          <w:sz w:val="22"/>
          <w:szCs w:val="22"/>
        </w:rPr>
        <w:t>luxalgo.com — "ICT Concepts: Order Blocks Explained."</w:t>
      </w:r>
    </w:p>
    <w:p w14:paraId="4C36886F">
      <w:pPr>
        <w:pStyle w:val="16"/>
        <w:numPr>
          <w:ilvl w:val="0"/>
          <w:numId w:val="2"/>
        </w:numPr>
        <w:spacing w:after="80" w:line="276" w:lineRule="auto"/>
      </w:pPr>
      <w:r>
        <w:rPr>
          <w:sz w:val="22"/>
          <w:szCs w:val="22"/>
        </w:rPr>
        <w:t>tradingstrategyguides.com — "Day 11: Supply &amp; Demand Zones Vs Order Blocks — ICT &amp; SMC Compared."</w:t>
      </w:r>
    </w:p>
    <w:p w14:paraId="7F9F50EA">
      <w:pPr>
        <w:pStyle w:val="16"/>
        <w:numPr>
          <w:ilvl w:val="0"/>
          <w:numId w:val="2"/>
        </w:numPr>
        <w:spacing w:after="80" w:line="276" w:lineRule="auto"/>
      </w:pPr>
      <w:r>
        <w:rPr>
          <w:sz w:val="22"/>
          <w:szCs w:val="22"/>
        </w:rPr>
        <w:t>strike.money — "Order Block: Overview, Formation, Types, Identification, Trading Guide" (attributes the concept's origin and popularization, via mentorship series in the early 2010s, to Michael J. Huddleston).</w:t>
      </w:r>
    </w:p>
    <w:p w14:paraId="7BC00389">
      <w:r>
        <w:br w:type="page"/>
      </w:r>
    </w:p>
    <w:p w14:paraId="15929B62">
      <w:pPr>
        <w:pStyle w:val="2"/>
        <w:pBdr>
          <w:bottom w:val="single" w:color="1B2A4A" w:sz="12" w:space="4"/>
        </w:pBdr>
        <w:spacing w:before="480" w:after="240"/>
      </w:pPr>
      <w:r>
        <w:rPr>
          <w:b/>
          <w:bCs/>
          <w:color w:val="1B2A4A"/>
          <w:sz w:val="34"/>
          <w:szCs w:val="34"/>
        </w:rPr>
        <w:t>Mitigation Block</w:t>
      </w:r>
    </w:p>
    <w:p w14:paraId="4330E1DF">
      <w:pPr>
        <w:pStyle w:val="3"/>
        <w:spacing w:before="360" w:after="160"/>
      </w:pPr>
      <w:r>
        <w:rPr>
          <w:b/>
          <w:bCs/>
          <w:color w:val="1B2A4A"/>
          <w:sz w:val="26"/>
          <w:szCs w:val="26"/>
        </w:rPr>
        <w:t>1. Definition</w:t>
      </w:r>
    </w:p>
    <w:p w14:paraId="130E304E">
      <w:pPr>
        <w:spacing w:after="160" w:line="288" w:lineRule="auto"/>
      </w:pPr>
      <w:r>
        <w:rPr>
          <w:b w:val="0"/>
          <w:bCs w:val="0"/>
          <w:i w:val="0"/>
          <w:iCs w:val="0"/>
          <w:sz w:val="22"/>
          <w:szCs w:val="22"/>
        </w:rPr>
        <w:t>A Mitigation Block is a previously formed Order Block that is retested by price after the original impulse move loses steam and fails to reach a new extreme, with the retest acting as a continuation reaction in the same direction as the original move.</w:t>
      </w:r>
    </w:p>
    <w:p w14:paraId="069AC058">
      <w:pPr>
        <w:pStyle w:val="3"/>
        <w:spacing w:before="360" w:after="160"/>
      </w:pPr>
      <w:r>
        <w:rPr>
          <w:b/>
          <w:bCs/>
          <w:color w:val="1B2A4A"/>
          <w:sz w:val="26"/>
          <w:szCs w:val="26"/>
        </w:rPr>
        <w:t>2. ICT's Meaning</w:t>
      </w:r>
    </w:p>
    <w:p w14:paraId="25984D7F">
      <w:pPr>
        <w:spacing w:after="160" w:line="288" w:lineRule="auto"/>
      </w:pPr>
      <w:r>
        <w:rPr>
          <w:b w:val="0"/>
          <w:bCs w:val="0"/>
          <w:i w:val="0"/>
          <w:iCs w:val="0"/>
          <w:sz w:val="22"/>
          <w:szCs w:val="22"/>
        </w:rPr>
        <w:t>ICT-focused sources consistently distinguish the Mitigation Block from the Breaker Block (covered next) along one key line: a Mitigation Block forms when the original directional move stalls out — producing a lower high in an uptrend or a higher low in a downtrend — without price ever fully closing back through and invalidating the Order Block's polarity. This is described by one source as a "failed expansion" (the move ran out of steam before reaching its prior target) as opposed to a "complete break" (the full reversal that defines a Breaker Block).</w:t>
      </w:r>
    </w:p>
    <w:p w14:paraId="33AC9BD1">
      <w:pPr>
        <w:spacing w:after="160" w:line="288" w:lineRule="auto"/>
      </w:pPr>
      <w:r>
        <w:rPr>
          <w:b w:val="0"/>
          <w:bCs w:val="0"/>
          <w:i w:val="0"/>
          <w:iCs w:val="0"/>
          <w:sz w:val="22"/>
          <w:szCs w:val="22"/>
        </w:rPr>
        <w:t>The word "mitigation" itself is used in a specific ICT-adjacent sense: some sources describe it as institutions using the retest to "mitigate" (reduce risk on, or partially close) an existing position from the original Order Block, rather than opening a brand-new opposing position — consistent with the Mitigation Block being classified as a continuation, not a reversal, tool.</w:t>
      </w:r>
    </w:p>
    <w:p w14:paraId="4AD63382">
      <w:pPr>
        <w:spacing w:after="160" w:line="288" w:lineRule="auto"/>
      </w:pPr>
      <w:r>
        <w:rPr>
          <w:b w:val="0"/>
          <w:bCs w:val="0"/>
          <w:i w:val="0"/>
          <w:iCs w:val="0"/>
          <w:sz w:val="22"/>
          <w:szCs w:val="22"/>
        </w:rPr>
        <w:t>This makes the Mitigation Block one of a documented "block trio" of PD arrays built on top of the Order Block concept, alongside the Breaker Block and the Rejection Block (a related concept using candle wicks rather than full candle bodies, not separately covered as a numbered concept in this book but worth being aware of by name).</w:t>
      </w:r>
    </w:p>
    <w:p w14:paraId="1CAA2015">
      <w:pPr>
        <w:pStyle w:val="3"/>
        <w:spacing w:before="360" w:after="160"/>
      </w:pPr>
      <w:r>
        <w:rPr>
          <w:b/>
          <w:bCs/>
          <w:color w:val="1B2A4A"/>
          <w:sz w:val="26"/>
          <w:szCs w:val="26"/>
        </w:rPr>
        <w:t>3. Beginner Explanation</w:t>
      </w:r>
    </w:p>
    <w:p w14:paraId="622DA35B">
      <w:pPr>
        <w:spacing w:after="160" w:line="288" w:lineRule="auto"/>
      </w:pPr>
      <w:r>
        <w:rPr>
          <w:b w:val="0"/>
          <w:bCs w:val="0"/>
          <w:i w:val="0"/>
          <w:iCs w:val="0"/>
          <w:sz w:val="22"/>
          <w:szCs w:val="22"/>
        </w:rPr>
        <w:t>Imagine the truck from the Order Block explanation drives off, but doesn't get very far before slowing back down and reversing slightly toward its old unloading spot — not all the way back past it, just close to it. When it reaches that old spot again, it continues on in the same general direction as before, rather than turning around completely. That partial return-and-continue, without a full reversal past the old zone, is what a Mitigation Block describes.</w:t>
      </w:r>
    </w:p>
    <w:p w14:paraId="34FDED9C">
      <w:pPr>
        <w:pStyle w:val="3"/>
        <w:spacing w:before="360" w:after="160"/>
      </w:pPr>
      <w:r>
        <w:rPr>
          <w:b/>
          <w:bCs/>
          <w:color w:val="1B2A4A"/>
          <w:sz w:val="26"/>
          <w:szCs w:val="26"/>
        </w:rPr>
        <w:t>4. How to Identify It</w:t>
      </w:r>
    </w:p>
    <w:p w14:paraId="3F2B69B1">
      <w:pPr>
        <w:pStyle w:val="16"/>
        <w:numPr>
          <w:ilvl w:val="0"/>
          <w:numId w:val="1"/>
        </w:numPr>
        <w:spacing w:after="80" w:line="276" w:lineRule="auto"/>
      </w:pPr>
      <w:r>
        <w:rPr>
          <w:sz w:val="22"/>
          <w:szCs w:val="22"/>
        </w:rPr>
        <w:t>Identify a confirmed Order Block and the impulse move that followed it.</w:t>
      </w:r>
    </w:p>
    <w:p w14:paraId="3968B047">
      <w:pPr>
        <w:pStyle w:val="16"/>
        <w:numPr>
          <w:ilvl w:val="0"/>
          <w:numId w:val="1"/>
        </w:numPr>
        <w:spacing w:after="80" w:line="276" w:lineRule="auto"/>
      </w:pPr>
      <w:r>
        <w:rPr>
          <w:sz w:val="22"/>
          <w:szCs w:val="22"/>
        </w:rPr>
        <w:t>Watch for a subsequent move that fails to make a new high (in an uptrend) or new low (in a downtrend) beyond the prior extreme — this failure is the key precondition.</w:t>
      </w:r>
    </w:p>
    <w:p w14:paraId="3DBF129C">
      <w:pPr>
        <w:pStyle w:val="16"/>
        <w:numPr>
          <w:ilvl w:val="0"/>
          <w:numId w:val="1"/>
        </w:numPr>
        <w:spacing w:after="80" w:line="276" w:lineRule="auto"/>
      </w:pPr>
      <w:r>
        <w:rPr>
          <w:sz w:val="22"/>
          <w:szCs w:val="22"/>
        </w:rPr>
        <w:t>Watch for price to retrace back toward the original Order Block zone.</w:t>
      </w:r>
    </w:p>
    <w:p w14:paraId="5B5E7DFF">
      <w:pPr>
        <w:pStyle w:val="16"/>
        <w:numPr>
          <w:ilvl w:val="0"/>
          <w:numId w:val="1"/>
        </w:numPr>
        <w:spacing w:after="80" w:line="276" w:lineRule="auto"/>
      </w:pPr>
      <w:r>
        <w:rPr>
          <w:sz w:val="22"/>
          <w:szCs w:val="22"/>
        </w:rPr>
        <w:t>Confirm price reacts and continues in the original direction from at or near this zone, without fully closing back through and past it in the opposite direction (which would instead qualify as a Breaker Block).</w:t>
      </w:r>
    </w:p>
    <w:p w14:paraId="46B495EF">
      <w:pPr>
        <w:pStyle w:val="3"/>
        <w:spacing w:before="360" w:after="160"/>
      </w:pPr>
      <w:r>
        <w:rPr>
          <w:b/>
          <w:bCs/>
          <w:color w:val="1B2A4A"/>
          <w:sz w:val="26"/>
          <w:szCs w:val="26"/>
        </w:rPr>
        <w:t>5. Simple Price Example</w:t>
      </w:r>
    </w:p>
    <w:p w14:paraId="2B853156">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110 (OB) → 122 (impulse up) → 118 (pullback, lower high) → 112 (retest near OB) → 121</w:t>
      </w:r>
    </w:p>
    <w:p w14:paraId="6256F75B">
      <w:pPr>
        <w:spacing w:after="160" w:line="288" w:lineRule="auto"/>
      </w:pPr>
      <w:r>
        <w:rPr>
          <w:b w:val="0"/>
          <w:bCs w:val="0"/>
          <w:i w:val="0"/>
          <w:iCs w:val="0"/>
          <w:sz w:val="22"/>
          <w:szCs w:val="22"/>
        </w:rPr>
        <w:t>After the initial move to 122, price pulls back to 118 — a lower high, meaning it never exceeded 122 again before pulling back further. Price then returns close to the original Order Block zone (around 110–112) and reacts upward again toward 121, continuing the original bullish direction. This pattern — failed new high, retest of the OB, continuation in the same direction — is what qualifies this zone as a Mitigation Block.</w:t>
      </w:r>
    </w:p>
    <w:p w14:paraId="68772F7C">
      <w:pPr>
        <w:pStyle w:val="3"/>
        <w:spacing w:before="360" w:after="160"/>
      </w:pPr>
      <w:r>
        <w:rPr>
          <w:b/>
          <w:bCs/>
          <w:color w:val="1B2A4A"/>
          <w:sz w:val="26"/>
          <w:szCs w:val="26"/>
        </w:rPr>
        <w:t>6. What It Tells the Trader</w:t>
      </w:r>
    </w:p>
    <w:p w14:paraId="16D8DCB2">
      <w:pPr>
        <w:spacing w:after="160" w:line="288" w:lineRule="auto"/>
      </w:pPr>
      <w:r>
        <w:rPr>
          <w:b w:val="0"/>
          <w:bCs w:val="0"/>
          <w:i w:val="0"/>
          <w:iCs w:val="0"/>
          <w:sz w:val="22"/>
          <w:szCs w:val="22"/>
        </w:rPr>
        <w:t>A Mitigation Block tells the trader that an old Order Block may still be structurally relevant even after the initial move has paused, offering a second, later opportunity to align with the original direction rather than assuming the zone is now irrelevant.</w:t>
      </w:r>
    </w:p>
    <w:p w14:paraId="7456FE3C">
      <w:pPr>
        <w:spacing w:after="160" w:line="288" w:lineRule="auto"/>
      </w:pPr>
      <w:r>
        <w:rPr>
          <w:b w:val="0"/>
          <w:bCs w:val="0"/>
          <w:i w:val="0"/>
          <w:iCs w:val="0"/>
          <w:sz w:val="22"/>
          <w:szCs w:val="22"/>
        </w:rPr>
        <w:t>It does not tell the trader that the original direction is guaranteed to continue — a failed new high can also be the first sign of a genuine reversal rather than a healthy pause, which is why this concept must be read alongside Market Structure (Module 3), not in isolation.</w:t>
      </w:r>
    </w:p>
    <w:p w14:paraId="7C1F76FD">
      <w:pPr>
        <w:pStyle w:val="3"/>
        <w:spacing w:before="360" w:after="160"/>
      </w:pPr>
      <w:r>
        <w:rPr>
          <w:b/>
          <w:bCs/>
          <w:color w:val="1B2A4A"/>
          <w:sz w:val="26"/>
          <w:szCs w:val="26"/>
        </w:rPr>
        <w:t>7. What It Is Commonly Paired With</w:t>
      </w:r>
    </w:p>
    <w:p w14:paraId="4F3E5AA7">
      <w:pPr>
        <w:pStyle w:val="16"/>
        <w:numPr>
          <w:ilvl w:val="0"/>
          <w:numId w:val="2"/>
        </w:numPr>
        <w:spacing w:after="80" w:line="276" w:lineRule="auto"/>
      </w:pPr>
      <w:r>
        <w:rPr>
          <w:sz w:val="22"/>
          <w:szCs w:val="22"/>
        </w:rPr>
        <w:t>Order Block</w:t>
      </w:r>
    </w:p>
    <w:p w14:paraId="3CF23F7F">
      <w:pPr>
        <w:pStyle w:val="16"/>
        <w:numPr>
          <w:ilvl w:val="0"/>
          <w:numId w:val="2"/>
        </w:numPr>
        <w:spacing w:after="80" w:line="276" w:lineRule="auto"/>
      </w:pPr>
      <w:r>
        <w:rPr>
          <w:sz w:val="22"/>
          <w:szCs w:val="22"/>
        </w:rPr>
        <w:t>Breaker Block (the alternative outcome of a failed OB)</w:t>
      </w:r>
    </w:p>
    <w:p w14:paraId="23F222B9">
      <w:pPr>
        <w:pStyle w:val="16"/>
        <w:numPr>
          <w:ilvl w:val="0"/>
          <w:numId w:val="2"/>
        </w:numPr>
        <w:spacing w:after="80" w:line="276" w:lineRule="auto"/>
      </w:pPr>
      <w:r>
        <w:rPr>
          <w:sz w:val="22"/>
          <w:szCs w:val="22"/>
        </w:rPr>
        <w:t>Market Structure Shift (Module 3)</w:t>
      </w:r>
    </w:p>
    <w:p w14:paraId="6D4118ED">
      <w:pPr>
        <w:spacing w:after="160" w:line="288" w:lineRule="auto"/>
      </w:pPr>
      <w:r>
        <w:rPr>
          <w:b w:val="0"/>
          <w:bCs w:val="0"/>
          <w:i w:val="0"/>
          <w:iCs w:val="0"/>
          <w:sz w:val="22"/>
          <w:szCs w:val="22"/>
        </w:rPr>
        <w:t>A Mitigation Block and a Breaker Block represent the two different things that can happen when price returns to an old Order Block: a partial, failed-expansion retest (Mitigation) versus a complete, reversing break-through (Breaker). Distinguishing correctly between the two requires careful reference to market structure.</w:t>
      </w:r>
    </w:p>
    <w:p w14:paraId="4556F29A">
      <w:pPr>
        <w:pStyle w:val="3"/>
        <w:spacing w:before="360" w:after="160"/>
      </w:pPr>
      <w:r>
        <w:rPr>
          <w:b/>
          <w:bCs/>
          <w:color w:val="1B2A4A"/>
          <w:sz w:val="26"/>
          <w:szCs w:val="26"/>
        </w:rPr>
        <w:t>8. Where It Fits in the ICT Framework</w:t>
      </w:r>
    </w:p>
    <w:p w14:paraId="0EF93FC5">
      <w:pPr>
        <w:spacing w:after="160" w:line="288" w:lineRule="auto"/>
      </w:pPr>
      <w:r>
        <w:rPr>
          <w:b w:val="0"/>
          <w:bCs w:val="0"/>
          <w:i w:val="0"/>
          <w:iCs w:val="0"/>
          <w:sz w:val="22"/>
          <w:szCs w:val="22"/>
        </w:rPr>
        <w:t>Comes before: Requires Order Block.</w:t>
      </w:r>
    </w:p>
    <w:p w14:paraId="5F1BDBC1">
      <w:pPr>
        <w:spacing w:after="160" w:line="288" w:lineRule="auto"/>
      </w:pPr>
      <w:r>
        <w:rPr>
          <w:b w:val="0"/>
          <w:bCs w:val="0"/>
          <w:i w:val="0"/>
          <w:iCs w:val="0"/>
          <w:sz w:val="22"/>
          <w:szCs w:val="22"/>
        </w:rPr>
        <w:t>Comes after: Sits alongside Breaker Block as one of two possible outcomes for an Order Block that gets revisited; both feed into the broader PD Array framework.</w:t>
      </w:r>
    </w:p>
    <w:p w14:paraId="79A174D8">
      <w:pPr>
        <w:pStyle w:val="3"/>
        <w:spacing w:before="360" w:after="160"/>
      </w:pPr>
      <w:r>
        <w:rPr>
          <w:b/>
          <w:bCs/>
          <w:color w:val="1B2A4A"/>
          <w:sz w:val="26"/>
          <w:szCs w:val="26"/>
        </w:rPr>
        <w:t>9. Beginner Mistakes</w:t>
      </w:r>
    </w:p>
    <w:p w14:paraId="6CF41EF2">
      <w:pPr>
        <w:pStyle w:val="16"/>
        <w:numPr>
          <w:ilvl w:val="0"/>
          <w:numId w:val="2"/>
        </w:numPr>
        <w:spacing w:after="80" w:line="276" w:lineRule="auto"/>
      </w:pPr>
      <w:r>
        <w:rPr>
          <w:sz w:val="22"/>
          <w:szCs w:val="22"/>
        </w:rPr>
        <w:t>Confusing a Mitigation Block (continuation, same direction) with a Breaker Block (reversal, opposite direction) — the two look very similar on a chart until the specific behavior at the level is examined closely.</w:t>
      </w:r>
    </w:p>
    <w:p w14:paraId="271587E5">
      <w:pPr>
        <w:pStyle w:val="16"/>
        <w:numPr>
          <w:ilvl w:val="0"/>
          <w:numId w:val="2"/>
        </w:numPr>
        <w:spacing w:after="80" w:line="276" w:lineRule="auto"/>
      </w:pPr>
      <w:r>
        <w:rPr>
          <w:sz w:val="22"/>
          <w:szCs w:val="22"/>
        </w:rPr>
        <w:t>Assuming a lower high or higher low automatically confirms a Mitigation Block scenario without waiting to see how price actually behaves at the OB zone.</w:t>
      </w:r>
    </w:p>
    <w:p w14:paraId="4CDB899F">
      <w:pPr>
        <w:pStyle w:val="3"/>
        <w:spacing w:before="360" w:after="160"/>
      </w:pPr>
      <w:r>
        <w:rPr>
          <w:b/>
          <w:bCs/>
          <w:color w:val="1B2A4A"/>
          <w:sz w:val="26"/>
          <w:szCs w:val="26"/>
        </w:rPr>
        <w:t>10. Important Qualification</w:t>
      </w:r>
    </w:p>
    <w:p w14:paraId="008939AB">
      <w:pPr>
        <w:pBdr>
          <w:left w:val="single" w:color="7A2E2E" w:sz="24" w:space="8"/>
        </w:pBdr>
        <w:shd w:val="clear" w:fill="EFEFEF"/>
        <w:spacing w:before="160" w:after="200"/>
        <w:ind w:left="200"/>
      </w:pPr>
      <w:r>
        <w:rPr>
          <w:b/>
          <w:bCs/>
          <w:color w:val="7A2E2E"/>
          <w:sz w:val="21"/>
          <w:szCs w:val="21"/>
        </w:rPr>
        <w:t xml:space="preserve">Qualification: </w:t>
      </w:r>
      <w:r>
        <w:rPr>
          <w:sz w:val="21"/>
          <w:szCs w:val="21"/>
        </w:rPr>
        <w:t>Distinguishing a Mitigation Block from a Breaker Block in real time, before the retest has fully played out, can be difficult — both begin the same way (a failed new high/low followed by a retracement toward the old Order Block). The classification is only fully confirmed by how price behaves once it reaches the zone.</w:t>
      </w:r>
    </w:p>
    <w:p w14:paraId="34A2CD00">
      <w:pPr>
        <w:pStyle w:val="3"/>
        <w:spacing w:before="360" w:after="160"/>
      </w:pPr>
      <w:r>
        <w:rPr>
          <w:b/>
          <w:bCs/>
          <w:color w:val="1B2A4A"/>
          <w:sz w:val="26"/>
          <w:szCs w:val="26"/>
        </w:rPr>
        <w:t>11. Source</w:t>
      </w:r>
    </w:p>
    <w:p w14:paraId="6BA55505"/>
    <w:p w14:paraId="4121878A">
      <w:pPr>
        <w:pStyle w:val="16"/>
        <w:numPr>
          <w:ilvl w:val="0"/>
          <w:numId w:val="2"/>
        </w:numPr>
        <w:spacing w:after="80" w:line="276" w:lineRule="auto"/>
      </w:pPr>
      <w:r>
        <w:rPr>
          <w:sz w:val="22"/>
          <w:szCs w:val="22"/>
        </w:rPr>
        <w:t>innercircletrader.net — "ICT Mitigation Block Explained — Continuation Setup vs Breaker Block."</w:t>
      </w:r>
    </w:p>
    <w:p w14:paraId="0D9B3BC4">
      <w:pPr>
        <w:pStyle w:val="16"/>
        <w:numPr>
          <w:ilvl w:val="0"/>
          <w:numId w:val="2"/>
        </w:numPr>
        <w:spacing w:after="80" w:line="276" w:lineRule="auto"/>
      </w:pPr>
      <w:r>
        <w:rPr>
          <w:sz w:val="22"/>
          <w:szCs w:val="22"/>
        </w:rPr>
        <w:t>fxopen.com — "Understanding PD Arrays in ICT: Meaning, Components, and Trading Use."</w:t>
      </w:r>
    </w:p>
    <w:p w14:paraId="1D3691EA">
      <w:pPr>
        <w:pStyle w:val="16"/>
        <w:numPr>
          <w:ilvl w:val="0"/>
          <w:numId w:val="2"/>
        </w:numPr>
        <w:spacing w:after="80" w:line="276" w:lineRule="auto"/>
      </w:pPr>
      <w:r>
        <w:rPr>
          <w:sz w:val="22"/>
          <w:szCs w:val="22"/>
        </w:rPr>
        <w:t>ictkillzone.com — "ICT Breaker Block vs Mitigation Block: The Definitive Guide" ("Complete break = Breaker; Failed expansion = Mitigation").</w:t>
      </w:r>
    </w:p>
    <w:p w14:paraId="2F5CB84E">
      <w:pPr>
        <w:pStyle w:val="16"/>
        <w:numPr>
          <w:ilvl w:val="0"/>
          <w:numId w:val="2"/>
        </w:numPr>
        <w:spacing w:after="80" w:line="276" w:lineRule="auto"/>
      </w:pPr>
      <w:r>
        <w:rPr>
          <w:sz w:val="22"/>
          <w:szCs w:val="22"/>
        </w:rPr>
        <w:t>strike.money — "Order Block: Overview, Formation, Types, Identification, Trading Guide."</w:t>
      </w:r>
    </w:p>
    <w:p w14:paraId="37EEECB8">
      <w:pPr>
        <w:pBdr>
          <w:left w:val="single" w:color="9A7B2E" w:sz="24" w:space="8"/>
        </w:pBdr>
        <w:shd w:val="clear" w:fill="EFEFEF"/>
        <w:spacing w:before="160" w:after="200"/>
        <w:ind w:left="200"/>
      </w:pPr>
      <w:r>
        <w:rPr>
          <w:b/>
          <w:bCs/>
          <w:color w:val="9A7B2E"/>
          <w:sz w:val="21"/>
          <w:szCs w:val="21"/>
        </w:rPr>
        <w:t xml:space="preserve">Community interpretation: </w:t>
      </w:r>
      <w:r>
        <w:rPr>
          <w:sz w:val="21"/>
          <w:szCs w:val="21"/>
        </w:rPr>
        <w:t>Some ICT-adjacent analytical tools (such as certain TradingView indicators) define the Breaker/Mitigation distinction slightly differently — based on whether the original Order Block's formation swing swept liquidity, rather than based on the failed-expansion-versus-complete-break behavior described above. This book adopts the failed-expansion-versus-complete-break framing as its working definition, since it is the more consistently corroborated version across independent ICT-focused tutorial sources, and flags the alternative framing here rather than silently picking one.</w:t>
      </w:r>
    </w:p>
    <w:p w14:paraId="001535FB">
      <w:r>
        <w:br w:type="page"/>
      </w:r>
    </w:p>
    <w:p w14:paraId="02DE8147">
      <w:pPr>
        <w:pStyle w:val="2"/>
        <w:pBdr>
          <w:bottom w:val="single" w:color="1B2A4A" w:sz="12" w:space="4"/>
        </w:pBdr>
        <w:spacing w:before="480" w:after="240"/>
      </w:pPr>
      <w:r>
        <w:rPr>
          <w:b/>
          <w:bCs/>
          <w:color w:val="1B2A4A"/>
          <w:sz w:val="34"/>
          <w:szCs w:val="34"/>
        </w:rPr>
        <w:t>Breaker Block</w:t>
      </w:r>
    </w:p>
    <w:p w14:paraId="49187AC8">
      <w:pPr>
        <w:pStyle w:val="3"/>
        <w:spacing w:before="360" w:after="160"/>
      </w:pPr>
      <w:r>
        <w:rPr>
          <w:b/>
          <w:bCs/>
          <w:color w:val="1B2A4A"/>
          <w:sz w:val="26"/>
          <w:szCs w:val="26"/>
        </w:rPr>
        <w:t>1. Definition</w:t>
      </w:r>
    </w:p>
    <w:p w14:paraId="13930050">
      <w:pPr>
        <w:spacing w:after="160" w:line="288" w:lineRule="auto"/>
      </w:pPr>
      <w:r>
        <w:rPr>
          <w:b w:val="0"/>
          <w:bCs w:val="0"/>
          <w:i w:val="0"/>
          <w:iCs w:val="0"/>
          <w:sz w:val="22"/>
          <w:szCs w:val="22"/>
        </w:rPr>
        <w:t>A Breaker Block is a failed Order Block — a price zone that originally functioned as a bullish or bearish Order Block but was subsequently and completely broken through by a liquidity sweep followed by a Market Structure Shift, after which the zone flips polarity and is expected to act as support or resistance from the opposite side.</w:t>
      </w:r>
    </w:p>
    <w:p w14:paraId="62F1C4B3">
      <w:pPr>
        <w:pStyle w:val="3"/>
        <w:spacing w:before="360" w:after="160"/>
      </w:pPr>
      <w:r>
        <w:rPr>
          <w:b/>
          <w:bCs/>
          <w:color w:val="1B2A4A"/>
          <w:sz w:val="26"/>
          <w:szCs w:val="26"/>
        </w:rPr>
        <w:t>2. ICT's Meaning</w:t>
      </w:r>
    </w:p>
    <w:p w14:paraId="08062560">
      <w:pPr>
        <w:spacing w:after="160" w:line="288" w:lineRule="auto"/>
      </w:pPr>
      <w:r>
        <w:rPr>
          <w:b w:val="0"/>
          <w:bCs w:val="0"/>
          <w:i w:val="0"/>
          <w:iCs w:val="0"/>
          <w:sz w:val="22"/>
          <w:szCs w:val="22"/>
        </w:rPr>
        <w:t>ICT-focused sources, including material directly attributed to Michael J. Huddleston, describe the Breaker Block as forming through a specific sequence: an established Order Block is swept (a liquidity sweep occurs through or near it), and this is immediately followed by a genuine Market Structure Shift (Module 3) in the opposite direction, confirming that the original directional bias tied to that Order Block has failed. Once this sequence completes, the old Order Block "flips": a bullish Order Block that fails this way becomes a bearish Breaker Block (now expected to act as resistance), and a bearish Order Block that fails this way becomes a bullish Breaker Block (now expected to act as support).</w:t>
      </w:r>
    </w:p>
    <w:p w14:paraId="2B429B90">
      <w:pPr>
        <w:spacing w:after="160" w:line="288" w:lineRule="auto"/>
      </w:pPr>
      <w:r>
        <w:rPr>
          <w:b w:val="0"/>
          <w:bCs w:val="0"/>
          <w:i w:val="0"/>
          <w:iCs w:val="0"/>
          <w:sz w:val="22"/>
          <w:szCs w:val="22"/>
        </w:rPr>
        <w:t>Multiple sources describe this as directly analogous to a classic support/resistance polarity flip in conventional technical analysis ("old support becomes new resistance"), but grounded specifically in ICT's Order Block and liquidity-sweep mechanics rather than in generic price-reaction history.</w:t>
      </w:r>
    </w:p>
    <w:p w14:paraId="69CFAB14">
      <w:pPr>
        <w:spacing w:after="160" w:line="288" w:lineRule="auto"/>
      </w:pPr>
      <w:r>
        <w:rPr>
          <w:b w:val="0"/>
          <w:bCs w:val="0"/>
          <w:i w:val="0"/>
          <w:iCs w:val="0"/>
          <w:sz w:val="22"/>
          <w:szCs w:val="22"/>
        </w:rPr>
        <w:t>ICT-focused sources describe the Breaker Block as one of the primary tools for identifying reversal trades after a liquidity sweep, in contrast to the Mitigation Block's role as a continuation tool.</w:t>
      </w:r>
    </w:p>
    <w:p w14:paraId="26D1CAB6">
      <w:pPr>
        <w:pStyle w:val="3"/>
        <w:spacing w:before="360" w:after="160"/>
      </w:pPr>
      <w:r>
        <w:rPr>
          <w:b/>
          <w:bCs/>
          <w:color w:val="1B2A4A"/>
          <w:sz w:val="26"/>
          <w:szCs w:val="26"/>
        </w:rPr>
        <w:t>3. Beginner Explanation</w:t>
      </w:r>
    </w:p>
    <w:p w14:paraId="301144B3">
      <w:pPr>
        <w:spacing w:after="160" w:line="288" w:lineRule="auto"/>
      </w:pPr>
      <w:r>
        <w:rPr>
          <w:b w:val="0"/>
          <w:bCs w:val="0"/>
          <w:i w:val="0"/>
          <w:iCs w:val="0"/>
          <w:sz w:val="22"/>
          <w:szCs w:val="22"/>
        </w:rPr>
        <w:t>Picture a fence that used to reliably keep a herd of animals contained on one side (acting as a boundary). One day, the herd breaks completely through that fence and doesn't come back — the fence has failed at its original job. But afterward, that same broken fence line is still a meaningful boundary marker: if the herd later drifts back toward it from the new side, the old fence line is still a place worth watching, just now serving the opposite function. A Breaker Block works the same way: the level that used to matter for one direction, having been decisively broken through, is expected to matter again — but now for the opposite direction.</w:t>
      </w:r>
    </w:p>
    <w:p w14:paraId="7AA5E715">
      <w:pPr>
        <w:pStyle w:val="3"/>
        <w:spacing w:before="360" w:after="160"/>
      </w:pPr>
      <w:r>
        <w:rPr>
          <w:b/>
          <w:bCs/>
          <w:color w:val="1B2A4A"/>
          <w:sz w:val="26"/>
          <w:szCs w:val="26"/>
        </w:rPr>
        <w:t>4. How to Identify It</w:t>
      </w:r>
    </w:p>
    <w:p w14:paraId="286DAF0F">
      <w:pPr>
        <w:pStyle w:val="16"/>
        <w:numPr>
          <w:ilvl w:val="0"/>
          <w:numId w:val="1"/>
        </w:numPr>
        <w:spacing w:after="80" w:line="276" w:lineRule="auto"/>
      </w:pPr>
      <w:r>
        <w:rPr>
          <w:sz w:val="22"/>
          <w:szCs w:val="22"/>
        </w:rPr>
        <w:t>Identify a confirmed Order Block (Module 6, first concept).</w:t>
      </w:r>
    </w:p>
    <w:p w14:paraId="1C85B795">
      <w:pPr>
        <w:pStyle w:val="16"/>
        <w:numPr>
          <w:ilvl w:val="0"/>
          <w:numId w:val="1"/>
        </w:numPr>
        <w:spacing w:after="80" w:line="276" w:lineRule="auto"/>
      </w:pPr>
      <w:r>
        <w:rPr>
          <w:sz w:val="22"/>
          <w:szCs w:val="22"/>
        </w:rPr>
        <w:t>Watch for price to sweep through this Order Block zone, taking any resting liquidity at or near it.</w:t>
      </w:r>
    </w:p>
    <w:p w14:paraId="4523BCDD">
      <w:pPr>
        <w:pStyle w:val="16"/>
        <w:numPr>
          <w:ilvl w:val="0"/>
          <w:numId w:val="1"/>
        </w:numPr>
        <w:spacing w:after="80" w:line="276" w:lineRule="auto"/>
      </w:pPr>
      <w:r>
        <w:rPr>
          <w:sz w:val="22"/>
          <w:szCs w:val="22"/>
        </w:rPr>
        <w:t>Confirm this sweep is immediately followed by a genuine Market Structure Shift (Module 3) in the direction opposite the Order Block's original bias.</w:t>
      </w:r>
    </w:p>
    <w:p w14:paraId="5B457779">
      <w:pPr>
        <w:pStyle w:val="16"/>
        <w:numPr>
          <w:ilvl w:val="0"/>
          <w:numId w:val="1"/>
        </w:numPr>
        <w:spacing w:after="80" w:line="276" w:lineRule="auto"/>
      </w:pPr>
      <w:r>
        <w:rPr>
          <w:sz w:val="22"/>
          <w:szCs w:val="22"/>
        </w:rPr>
        <w:t>Once confirmed, relabel the old Order Block zone as a Breaker Block, with its expected reaction now reversed: a former bullish Order Block becomes resistance (a bearish Breaker Block); a former bearish Order Block becomes support (a bullish Breaker Block).</w:t>
      </w:r>
    </w:p>
    <w:p w14:paraId="0DF9B763">
      <w:pPr>
        <w:pStyle w:val="16"/>
        <w:numPr>
          <w:ilvl w:val="0"/>
          <w:numId w:val="1"/>
        </w:numPr>
        <w:spacing w:after="80" w:line="276" w:lineRule="auto"/>
      </w:pPr>
      <w:r>
        <w:rPr>
          <w:sz w:val="22"/>
          <w:szCs w:val="22"/>
        </w:rPr>
        <w:t>Watch for price to retest this flipped zone from the new side as a candidate entry area in the new direction.</w:t>
      </w:r>
    </w:p>
    <w:p w14:paraId="644702F4">
      <w:pPr>
        <w:pStyle w:val="3"/>
        <w:spacing w:before="360" w:after="160"/>
      </w:pPr>
      <w:r>
        <w:rPr>
          <w:b/>
          <w:bCs/>
          <w:color w:val="1B2A4A"/>
          <w:sz w:val="26"/>
          <w:szCs w:val="26"/>
        </w:rPr>
        <w:t>5. Simple Price Example</w:t>
      </w:r>
    </w:p>
    <w:p w14:paraId="2D506CF1">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Bullish OB at 108–110 → price rallies to 120 → reverses and closes decisively below 108 with displacement → structure shift confirmed bearish → price later rallies back up to 109</w:t>
      </w:r>
    </w:p>
    <w:p w14:paraId="270FF081">
      <w:pPr>
        <w:spacing w:after="160" w:line="288" w:lineRule="auto"/>
      </w:pPr>
      <w:r>
        <w:rPr>
          <w:b w:val="0"/>
          <w:bCs w:val="0"/>
          <w:i w:val="0"/>
          <w:iCs w:val="0"/>
          <w:sz w:val="22"/>
          <w:szCs w:val="22"/>
        </w:rPr>
        <w:t>The original bullish Order Block at 108–110 is completely broken through (not just dipped into) when price closes below 108 with force, and this break is confirmed as a genuine bearish Market Structure Shift. The 108–110 zone is now reclassified as a bearish Breaker Block. When price later rallies back up into 109, this is read, under ICT's framework, as a potential zone for new short entries — the same level, now serving the opposite role.</w:t>
      </w:r>
    </w:p>
    <w:p w14:paraId="71009C27">
      <w:pPr>
        <w:pStyle w:val="3"/>
        <w:spacing w:before="360" w:after="160"/>
      </w:pPr>
      <w:r>
        <w:rPr>
          <w:b/>
          <w:bCs/>
          <w:color w:val="1B2A4A"/>
          <w:sz w:val="26"/>
          <w:szCs w:val="26"/>
        </w:rPr>
        <w:t>6. What It Tells the Trader</w:t>
      </w:r>
    </w:p>
    <w:p w14:paraId="2E87EA15">
      <w:pPr>
        <w:spacing w:after="160" w:line="288" w:lineRule="auto"/>
      </w:pPr>
      <w:r>
        <w:rPr>
          <w:b w:val="0"/>
          <w:bCs w:val="0"/>
          <w:i w:val="0"/>
          <w:iCs w:val="0"/>
          <w:sz w:val="22"/>
          <w:szCs w:val="22"/>
        </w:rPr>
        <w:t>A Breaker Block tells the trader that a specific old zone, having decisively failed in its original role and been confirmed by a structure shift, is a candidate location for a reversal-direction trade — reusing a level the market has already demonstrated it respects, just from the other side.</w:t>
      </w:r>
    </w:p>
    <w:p w14:paraId="286DA63A">
      <w:pPr>
        <w:spacing w:after="160" w:line="288" w:lineRule="auto"/>
      </w:pPr>
      <w:r>
        <w:rPr>
          <w:b w:val="0"/>
          <w:bCs w:val="0"/>
          <w:i w:val="0"/>
          <w:iCs w:val="0"/>
          <w:sz w:val="22"/>
          <w:szCs w:val="22"/>
        </w:rPr>
        <w:t>It does not tell the trader that the flipped zone will necessarily hold on its first retest, or that the newly confirmed direction will continue indefinitely — like every PD array in this book, it describes a probable reaction zone, not a certainty.</w:t>
      </w:r>
    </w:p>
    <w:p w14:paraId="435FB430">
      <w:pPr>
        <w:pStyle w:val="3"/>
        <w:spacing w:before="360" w:after="160"/>
      </w:pPr>
      <w:r>
        <w:rPr>
          <w:b/>
          <w:bCs/>
          <w:color w:val="1B2A4A"/>
          <w:sz w:val="26"/>
          <w:szCs w:val="26"/>
        </w:rPr>
        <w:t>7. What It Is Commonly Paired With</w:t>
      </w:r>
    </w:p>
    <w:p w14:paraId="56E1A886">
      <w:pPr>
        <w:pStyle w:val="16"/>
        <w:numPr>
          <w:ilvl w:val="0"/>
          <w:numId w:val="2"/>
        </w:numPr>
        <w:spacing w:after="80" w:line="276" w:lineRule="auto"/>
      </w:pPr>
      <w:r>
        <w:rPr>
          <w:sz w:val="22"/>
          <w:szCs w:val="22"/>
        </w:rPr>
        <w:t>Liquidity Sweep (Module 4)</w:t>
      </w:r>
    </w:p>
    <w:p w14:paraId="1C75122D">
      <w:pPr>
        <w:pStyle w:val="16"/>
        <w:numPr>
          <w:ilvl w:val="0"/>
          <w:numId w:val="2"/>
        </w:numPr>
        <w:spacing w:after="80" w:line="276" w:lineRule="auto"/>
      </w:pPr>
      <w:r>
        <w:rPr>
          <w:sz w:val="22"/>
          <w:szCs w:val="22"/>
        </w:rPr>
        <w:t>Market Structure Shift (Module 3)</w:t>
      </w:r>
    </w:p>
    <w:p w14:paraId="488CE35F">
      <w:pPr>
        <w:pStyle w:val="16"/>
        <w:numPr>
          <w:ilvl w:val="0"/>
          <w:numId w:val="2"/>
        </w:numPr>
        <w:spacing w:after="80" w:line="276" w:lineRule="auto"/>
      </w:pPr>
      <w:r>
        <w:rPr>
          <w:sz w:val="22"/>
          <w:szCs w:val="22"/>
        </w:rPr>
        <w:t>Mitigation Block (the alternative outcome)</w:t>
      </w:r>
    </w:p>
    <w:p w14:paraId="4A043088">
      <w:pPr>
        <w:spacing w:after="160" w:line="288" w:lineRule="auto"/>
      </w:pPr>
      <w:r>
        <w:rPr>
          <w:b w:val="0"/>
          <w:bCs w:val="0"/>
          <w:i w:val="0"/>
          <w:iCs w:val="0"/>
          <w:sz w:val="22"/>
          <w:szCs w:val="22"/>
        </w:rPr>
        <w:t>A Breaker Block is specifically defined by the sweep-then-structure-shift sequence from Modules 3 and 4; it is directly contrasted with the Mitigation Block, which represents the alternative, less decisive outcome (a failed expansion rather than a complete break) when price returns to an old Order Block.</w:t>
      </w:r>
    </w:p>
    <w:p w14:paraId="660779B6">
      <w:pPr>
        <w:pStyle w:val="3"/>
        <w:spacing w:before="360" w:after="160"/>
      </w:pPr>
      <w:r>
        <w:rPr>
          <w:b/>
          <w:bCs/>
          <w:color w:val="1B2A4A"/>
          <w:sz w:val="26"/>
          <w:szCs w:val="26"/>
        </w:rPr>
        <w:t>8. Where It Fits in the ICT Framework</w:t>
      </w:r>
    </w:p>
    <w:p w14:paraId="2E78923B">
      <w:pPr>
        <w:spacing w:after="160" w:line="288" w:lineRule="auto"/>
      </w:pPr>
      <w:r>
        <w:rPr>
          <w:b w:val="0"/>
          <w:bCs w:val="0"/>
          <w:i w:val="0"/>
          <w:iCs w:val="0"/>
          <w:sz w:val="22"/>
          <w:szCs w:val="22"/>
        </w:rPr>
        <w:t>Comes before: Requires Order Block, Liquidity Sweep (Module 4), and Market Structure Shift (Module 3).</w:t>
      </w:r>
    </w:p>
    <w:p w14:paraId="4B4194FD">
      <w:pPr>
        <w:spacing w:after="160" w:line="288" w:lineRule="auto"/>
      </w:pPr>
      <w:r>
        <w:rPr>
          <w:b w:val="0"/>
          <w:bCs w:val="0"/>
          <w:i w:val="0"/>
          <w:iCs w:val="0"/>
          <w:sz w:val="22"/>
          <w:szCs w:val="22"/>
        </w:rPr>
        <w:t>Comes after: Feeds into the broader PD Array framework and into the ICT Buy/Sell Models (Modules 11–12), where a Breaker Block is one of several candidate entry zones.</w:t>
      </w:r>
    </w:p>
    <w:p w14:paraId="41489891">
      <w:pPr>
        <w:pStyle w:val="3"/>
        <w:spacing w:before="360" w:after="160"/>
      </w:pPr>
      <w:r>
        <w:rPr>
          <w:b/>
          <w:bCs/>
          <w:color w:val="1B2A4A"/>
          <w:sz w:val="26"/>
          <w:szCs w:val="26"/>
        </w:rPr>
        <w:t>9. Beginner Mistakes</w:t>
      </w:r>
    </w:p>
    <w:p w14:paraId="3DFD5AA5">
      <w:pPr>
        <w:pStyle w:val="16"/>
        <w:numPr>
          <w:ilvl w:val="0"/>
          <w:numId w:val="2"/>
        </w:numPr>
        <w:spacing w:after="80" w:line="276" w:lineRule="auto"/>
      </w:pPr>
      <w:r>
        <w:rPr>
          <w:sz w:val="22"/>
          <w:szCs w:val="22"/>
        </w:rPr>
        <w:t>Labeling a zone a Breaker Block after only a wick through the Order Block, without confirming an actual candle-body close beyond it and a genuine structure shift.</w:t>
      </w:r>
    </w:p>
    <w:p w14:paraId="7A105630">
      <w:pPr>
        <w:pStyle w:val="16"/>
        <w:numPr>
          <w:ilvl w:val="0"/>
          <w:numId w:val="2"/>
        </w:numPr>
        <w:spacing w:after="80" w:line="276" w:lineRule="auto"/>
      </w:pPr>
      <w:r>
        <w:rPr>
          <w:sz w:val="22"/>
          <w:szCs w:val="22"/>
        </w:rPr>
        <w:t>Confusing a Breaker Block (complete break, reversal) with a Mitigation Block (failed expansion, continuation) — see the Mitigation Block qualification for how to distinguish them.</w:t>
      </w:r>
    </w:p>
    <w:p w14:paraId="6AF1138F">
      <w:pPr>
        <w:pStyle w:val="16"/>
        <w:numPr>
          <w:ilvl w:val="0"/>
          <w:numId w:val="2"/>
        </w:numPr>
        <w:spacing w:after="80" w:line="276" w:lineRule="auto"/>
      </w:pPr>
      <w:r>
        <w:rPr>
          <w:sz w:val="22"/>
          <w:szCs w:val="22"/>
        </w:rPr>
        <w:t>Trading the first retest of a Breaker Block without any additional confirmation, treating the classification alone as sufficient for entry.</w:t>
      </w:r>
    </w:p>
    <w:p w14:paraId="52F0075C">
      <w:pPr>
        <w:pStyle w:val="3"/>
        <w:spacing w:before="360" w:after="160"/>
      </w:pPr>
      <w:r>
        <w:rPr>
          <w:b/>
          <w:bCs/>
          <w:color w:val="1B2A4A"/>
          <w:sz w:val="26"/>
          <w:szCs w:val="26"/>
        </w:rPr>
        <w:t>10. Important Qualification</w:t>
      </w:r>
    </w:p>
    <w:p w14:paraId="4323CA38">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 Breaker Block, like the Order Block it is built from, describes a probable reaction zone, not a guaranteed one. ICT-focused sources are explicit that Breaker Blocks can themselves fail, particularly if the market structure shift used to confirm them was weak or unaccompanied by genuine displacement.</w:t>
      </w:r>
    </w:p>
    <w:p w14:paraId="6321CEE6">
      <w:pPr>
        <w:pStyle w:val="3"/>
        <w:spacing w:before="360" w:after="160"/>
      </w:pPr>
      <w:r>
        <w:rPr>
          <w:b/>
          <w:bCs/>
          <w:color w:val="1B2A4A"/>
          <w:sz w:val="26"/>
          <w:szCs w:val="26"/>
        </w:rPr>
        <w:t>11. Source</w:t>
      </w:r>
    </w:p>
    <w:p w14:paraId="3EA19045"/>
    <w:p w14:paraId="405DD66A">
      <w:pPr>
        <w:pStyle w:val="16"/>
        <w:numPr>
          <w:ilvl w:val="0"/>
          <w:numId w:val="2"/>
        </w:numPr>
        <w:spacing w:after="80" w:line="276" w:lineRule="auto"/>
      </w:pPr>
      <w:r>
        <w:rPr>
          <w:sz w:val="22"/>
          <w:szCs w:val="22"/>
        </w:rPr>
        <w:t>michaeljhuddleston.org — "ICT Breaker Block Strategy: Turn Failed Order Blocks Into High-Probability Trades" (attributed directly to ICT/Michael J. Huddleston's teaching).</w:t>
      </w:r>
    </w:p>
    <w:p w14:paraId="5AAA4629">
      <w:pPr>
        <w:pStyle w:val="16"/>
        <w:numPr>
          <w:ilvl w:val="0"/>
          <w:numId w:val="2"/>
        </w:numPr>
        <w:spacing w:after="80" w:line="276" w:lineRule="auto"/>
      </w:pPr>
      <w:r>
        <w:rPr>
          <w:sz w:val="22"/>
          <w:szCs w:val="22"/>
        </w:rPr>
        <w:t>innercircletraders.net — "What is ICT Breaker Block &amp; How to Trade It?"</w:t>
      </w:r>
    </w:p>
    <w:p w14:paraId="402EBE53">
      <w:pPr>
        <w:pStyle w:val="16"/>
        <w:numPr>
          <w:ilvl w:val="0"/>
          <w:numId w:val="2"/>
        </w:numPr>
        <w:spacing w:after="80" w:line="276" w:lineRule="auto"/>
      </w:pPr>
      <w:r>
        <w:rPr>
          <w:sz w:val="22"/>
          <w:szCs w:val="22"/>
        </w:rPr>
        <w:t>innercircletrader.net — "ICT Breaker Block Trading — Failed Order Block Strategy."</w:t>
      </w:r>
    </w:p>
    <w:p w14:paraId="1CF47B3E">
      <w:pPr>
        <w:pStyle w:val="16"/>
        <w:numPr>
          <w:ilvl w:val="0"/>
          <w:numId w:val="2"/>
        </w:numPr>
        <w:spacing w:after="80" w:line="276" w:lineRule="auto"/>
      </w:pPr>
      <w:r>
        <w:rPr>
          <w:sz w:val="22"/>
          <w:szCs w:val="22"/>
        </w:rPr>
        <w:t>atas.net — "What Are ICT Order Blocks and Breaker Blocks in Trading?"</w:t>
      </w:r>
    </w:p>
    <w:p w14:paraId="7E7B4A4B">
      <w:r>
        <w:br w:type="page"/>
      </w:r>
    </w:p>
    <w:p w14:paraId="6ACD757A">
      <w:pPr>
        <w:pStyle w:val="2"/>
        <w:pBdr>
          <w:bottom w:val="single" w:color="1B2A4A" w:sz="12" w:space="4"/>
        </w:pBdr>
        <w:spacing w:before="480" w:after="240"/>
      </w:pPr>
      <w:r>
        <w:rPr>
          <w:b/>
          <w:bCs/>
          <w:color w:val="1B2A4A"/>
          <w:sz w:val="34"/>
          <w:szCs w:val="34"/>
        </w:rPr>
        <w:t>Fair Value Gap as a PD Array</w:t>
      </w:r>
    </w:p>
    <w:p w14:paraId="72CA1D91">
      <w:pPr>
        <w:pStyle w:val="3"/>
        <w:spacing w:before="360" w:after="160"/>
      </w:pPr>
      <w:r>
        <w:rPr>
          <w:b/>
          <w:bCs/>
          <w:color w:val="1B2A4A"/>
          <w:sz w:val="26"/>
          <w:szCs w:val="26"/>
        </w:rPr>
        <w:t>1. Definition</w:t>
      </w:r>
    </w:p>
    <w:p w14:paraId="2CC23A87">
      <w:pPr>
        <w:spacing w:after="160" w:line="288" w:lineRule="auto"/>
      </w:pPr>
      <w:r>
        <w:rPr>
          <w:b w:val="0"/>
          <w:bCs w:val="0"/>
          <w:i w:val="0"/>
          <w:iCs w:val="0"/>
          <w:sz w:val="22"/>
          <w:szCs w:val="22"/>
        </w:rPr>
        <w:t>This concept revisits the Fair Value Gap (defined mechanically in Module 5) specifically in its role as one of several "PD Array" tools used within ICT's Premium/Discount framework to plan entries, alongside the Order Block, Breaker Block, and Mitigation Block.</w:t>
      </w:r>
    </w:p>
    <w:p w14:paraId="53519374">
      <w:pPr>
        <w:pStyle w:val="3"/>
        <w:spacing w:before="360" w:after="160"/>
      </w:pPr>
      <w:r>
        <w:rPr>
          <w:b/>
          <w:bCs/>
          <w:color w:val="1B2A4A"/>
          <w:sz w:val="26"/>
          <w:szCs w:val="26"/>
        </w:rPr>
        <w:t>2. ICT's Meaning</w:t>
      </w:r>
    </w:p>
    <w:p w14:paraId="3AE3C34F">
      <w:pPr>
        <w:spacing w:after="160" w:line="288" w:lineRule="auto"/>
      </w:pPr>
      <w:r>
        <w:rPr>
          <w:b w:val="0"/>
          <w:bCs w:val="0"/>
          <w:i w:val="0"/>
          <w:iCs w:val="0"/>
          <w:sz w:val="22"/>
          <w:szCs w:val="22"/>
        </w:rPr>
        <w:t>ICT-focused sources use "PD Array" (Premium and Discount Array), a term and framework credited to Michael J. Huddleston, as the umbrella category for any price level or zone with a defined, repeatable effect on price delivery. Within this umbrella, sources consistently distinguish two broad families: institutional arrays (such as the Order Block and Breaker Block, marking zones where large orders were placed) and imbalance arrays (such as the Fair Value Gap and the larger, multi-candle Liquidity Void, marking zones where price moved too quickly and left an untraded gap).</w:t>
      </w:r>
    </w:p>
    <w:p w14:paraId="6832E000">
      <w:pPr>
        <w:spacing w:after="160" w:line="288" w:lineRule="auto"/>
      </w:pPr>
      <w:r>
        <w:rPr>
          <w:b w:val="0"/>
          <w:bCs w:val="0"/>
          <w:i w:val="0"/>
          <w:iCs w:val="0"/>
          <w:sz w:val="22"/>
          <w:szCs w:val="22"/>
        </w:rPr>
        <w:t>A specifically documented ICT framework, referred to across sources as the PD Array Matrix, ranks a list of specific tools by which zone (premium, the top half of a trading range, or discount, the bottom half) each is used in: several sources describe an ordered list such as Old Highs, Rejection Block, Bearish Order Block, Fair Value Gap variants, and Breaker Block as premium-zone tools (used for selling), with a mirrored list of Old Lows, Rejection Block, Bullish Order Block, Fair Value Gap variants, and Breaker Block as discount-zone tools (used for buying).</w:t>
      </w:r>
    </w:p>
    <w:p w14:paraId="6718A4E7">
      <w:pPr>
        <w:spacing w:after="160" w:line="288" w:lineRule="auto"/>
      </w:pPr>
      <w:r>
        <w:rPr>
          <w:b w:val="0"/>
          <w:bCs w:val="0"/>
          <w:i w:val="0"/>
          <w:iCs w:val="0"/>
          <w:sz w:val="22"/>
          <w:szCs w:val="22"/>
        </w:rPr>
        <w:t>A frequently repeated principle across sources is confluence: a Fair Value Gap that overlaps with an Order Block or Breaker Block at the same price level is treated as a substantially higher-probability zone than any one of these PD arrays found in isolation, since multiple independent tools are agreeing on the same specific level.</w:t>
      </w:r>
    </w:p>
    <w:p w14:paraId="297BF9E6">
      <w:pPr>
        <w:pStyle w:val="3"/>
        <w:spacing w:before="360" w:after="160"/>
      </w:pPr>
      <w:r>
        <w:rPr>
          <w:b/>
          <w:bCs/>
          <w:color w:val="1B2A4A"/>
          <w:sz w:val="26"/>
          <w:szCs w:val="26"/>
        </w:rPr>
        <w:t>3. Beginner Explanation</w:t>
      </w:r>
    </w:p>
    <w:p w14:paraId="40620A14">
      <w:pPr>
        <w:spacing w:after="160" w:line="288" w:lineRule="auto"/>
      </w:pPr>
      <w:r>
        <w:rPr>
          <w:b w:val="0"/>
          <w:bCs w:val="0"/>
          <w:i w:val="0"/>
          <w:iCs w:val="0"/>
          <w:sz w:val="22"/>
          <w:szCs w:val="22"/>
        </w:rPr>
        <w:t>Think of a PD Array as a category, like "tools in a toolbox," rather than one single object. The Fair Value Gap is one specific tool in that box — a precisely defined price zone. This section is really just a reminder and reframing: everything you learned about the Fair Value Gap in Module 5 is also, formally, an example of a PD Array — one of several related tools traders use to decide where a reaction might happen.</w:t>
      </w:r>
    </w:p>
    <w:p w14:paraId="1F3AAAE9">
      <w:pPr>
        <w:pStyle w:val="3"/>
        <w:spacing w:before="360" w:after="160"/>
      </w:pPr>
      <w:r>
        <w:rPr>
          <w:b/>
          <w:bCs/>
          <w:color w:val="1B2A4A"/>
          <w:sz w:val="26"/>
          <w:szCs w:val="26"/>
        </w:rPr>
        <w:t>4. How to Identify It</w:t>
      </w:r>
    </w:p>
    <w:p w14:paraId="4AB14F89">
      <w:pPr>
        <w:pStyle w:val="16"/>
        <w:numPr>
          <w:ilvl w:val="0"/>
          <w:numId w:val="1"/>
        </w:numPr>
        <w:spacing w:after="80" w:line="276" w:lineRule="auto"/>
      </w:pPr>
      <w:r>
        <w:rPr>
          <w:sz w:val="22"/>
          <w:szCs w:val="22"/>
        </w:rPr>
        <w:t>Construct a Fair Value Gap using the three-candle method from Module 5.</w:t>
      </w:r>
    </w:p>
    <w:p w14:paraId="586F8F9E">
      <w:pPr>
        <w:pStyle w:val="16"/>
        <w:numPr>
          <w:ilvl w:val="0"/>
          <w:numId w:val="1"/>
        </w:numPr>
        <w:spacing w:after="80" w:line="276" w:lineRule="auto"/>
      </w:pPr>
      <w:r>
        <w:rPr>
          <w:sz w:val="22"/>
          <w:szCs w:val="22"/>
        </w:rPr>
        <w:t>Check whether this Fair Value Gap overlaps with any nearby Order Block or Breaker Block on the same chart.</w:t>
      </w:r>
    </w:p>
    <w:p w14:paraId="1BFB5E48">
      <w:pPr>
        <w:pStyle w:val="16"/>
        <w:numPr>
          <w:ilvl w:val="0"/>
          <w:numId w:val="1"/>
        </w:numPr>
        <w:spacing w:after="80" w:line="276" w:lineRule="auto"/>
      </w:pPr>
      <w:r>
        <w:rPr>
          <w:sz w:val="22"/>
          <w:szCs w:val="22"/>
        </w:rPr>
        <w:t>If an overlap exists, treat the combined zone as higher-confidence "confluence" rather than treating each tool separately.</w:t>
      </w:r>
    </w:p>
    <w:p w14:paraId="6484C1C8">
      <w:pPr>
        <w:pStyle w:val="16"/>
        <w:numPr>
          <w:ilvl w:val="0"/>
          <w:numId w:val="1"/>
        </w:numPr>
        <w:spacing w:after="80" w:line="276" w:lineRule="auto"/>
      </w:pPr>
      <w:r>
        <w:rPr>
          <w:sz w:val="22"/>
          <w:szCs w:val="22"/>
        </w:rPr>
        <w:t>Note whether the Fair Value Gap sits in the premium half (upper 50%) or discount half (lower 50%) of the relevant trading range or dealing range — a concept fully developed in Module 7 (Fibonacci and OTE) — since ICT-focused teaching generally favors selling from Fair Value Gaps found in premium and buying from Fair Value Gaps found in discount.</w:t>
      </w:r>
    </w:p>
    <w:p w14:paraId="19A3A36C">
      <w:pPr>
        <w:pStyle w:val="3"/>
        <w:spacing w:before="360" w:after="160"/>
      </w:pPr>
      <w:r>
        <w:rPr>
          <w:b/>
          <w:bCs/>
          <w:color w:val="1B2A4A"/>
          <w:sz w:val="26"/>
          <w:szCs w:val="26"/>
        </w:rPr>
        <w:t>5. Simple Price Example</w:t>
      </w:r>
    </w:p>
    <w:p w14:paraId="19849050">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A bullish Fair Value Gap spans 107–116. A bullish Order Block is separately identified at 106–108.</w:t>
      </w:r>
    </w:p>
    <w:p w14:paraId="682448FB">
      <w:pPr>
        <w:spacing w:after="160" w:line="288" w:lineRule="auto"/>
      </w:pPr>
      <w:r>
        <w:rPr>
          <w:b w:val="0"/>
          <w:bCs w:val="0"/>
          <w:i w:val="0"/>
          <w:iCs w:val="0"/>
          <w:sz w:val="22"/>
          <w:szCs w:val="22"/>
        </w:rPr>
        <w:t>Because the Fair Value Gap (107–116) and the Order Block (106–108) overlap in the 107–108 region, this overlapping zone is treated as a confluence area — a location where two independent PD Array tools are pointing to roughly the same price, which ICT-focused teaching treats as a stronger, more carefully watched zone than either tool would represent alone.</w:t>
      </w:r>
    </w:p>
    <w:p w14:paraId="0CEDC28F">
      <w:pPr>
        <w:pStyle w:val="3"/>
        <w:spacing w:before="360" w:after="160"/>
      </w:pPr>
      <w:r>
        <w:rPr>
          <w:b/>
          <w:bCs/>
          <w:color w:val="1B2A4A"/>
          <w:sz w:val="26"/>
          <w:szCs w:val="26"/>
        </w:rPr>
        <w:t>6. What It Tells the Trader</w:t>
      </w:r>
    </w:p>
    <w:p w14:paraId="42F4E785">
      <w:pPr>
        <w:spacing w:after="160" w:line="288" w:lineRule="auto"/>
      </w:pPr>
      <w:r>
        <w:rPr>
          <w:b w:val="0"/>
          <w:bCs w:val="0"/>
          <w:i w:val="0"/>
          <w:iCs w:val="0"/>
          <w:sz w:val="22"/>
          <w:szCs w:val="22"/>
        </w:rPr>
        <w:t>Framing the Fair Value Gap as one PD Array among several tells the trader that no single tool is meant to be used alone — the strength of an ICT-style setup, according to consistently repeated guidance across sources, comes from multiple PD arrays agreeing at the same location, not from any one gap or block in isolation.</w:t>
      </w:r>
    </w:p>
    <w:p w14:paraId="0CAC7296">
      <w:pPr>
        <w:spacing w:after="160" w:line="288" w:lineRule="auto"/>
      </w:pPr>
      <w:r>
        <w:rPr>
          <w:b w:val="0"/>
          <w:bCs w:val="0"/>
          <w:i w:val="0"/>
          <w:iCs w:val="0"/>
          <w:sz w:val="22"/>
          <w:szCs w:val="22"/>
        </w:rPr>
        <w:t>It does not tell the trader that confluence guarantees success; it only describes a commonly cited method for ranking which zones deserve the most attention.</w:t>
      </w:r>
    </w:p>
    <w:p w14:paraId="10AFD70C">
      <w:pPr>
        <w:pStyle w:val="3"/>
        <w:spacing w:before="360" w:after="160"/>
      </w:pPr>
      <w:r>
        <w:rPr>
          <w:b/>
          <w:bCs/>
          <w:color w:val="1B2A4A"/>
          <w:sz w:val="26"/>
          <w:szCs w:val="26"/>
        </w:rPr>
        <w:t>7. What It Is Commonly Paired With</w:t>
      </w:r>
    </w:p>
    <w:p w14:paraId="4BB37558">
      <w:pPr>
        <w:pStyle w:val="16"/>
        <w:numPr>
          <w:ilvl w:val="0"/>
          <w:numId w:val="2"/>
        </w:numPr>
        <w:spacing w:after="80" w:line="276" w:lineRule="auto"/>
      </w:pPr>
      <w:r>
        <w:rPr>
          <w:sz w:val="22"/>
          <w:szCs w:val="22"/>
        </w:rPr>
        <w:t>Order Block</w:t>
      </w:r>
    </w:p>
    <w:p w14:paraId="3780A78A">
      <w:pPr>
        <w:pStyle w:val="16"/>
        <w:numPr>
          <w:ilvl w:val="0"/>
          <w:numId w:val="2"/>
        </w:numPr>
        <w:spacing w:after="80" w:line="276" w:lineRule="auto"/>
      </w:pPr>
      <w:r>
        <w:rPr>
          <w:sz w:val="22"/>
          <w:szCs w:val="22"/>
        </w:rPr>
        <w:t>Breaker Block</w:t>
      </w:r>
    </w:p>
    <w:p w14:paraId="1EF7A788">
      <w:pPr>
        <w:pStyle w:val="16"/>
        <w:numPr>
          <w:ilvl w:val="0"/>
          <w:numId w:val="2"/>
        </w:numPr>
        <w:spacing w:after="80" w:line="276" w:lineRule="auto"/>
      </w:pPr>
      <w:r>
        <w:rPr>
          <w:sz w:val="22"/>
          <w:szCs w:val="22"/>
        </w:rPr>
        <w:t>Premium/Discount and OTE (Module 7)</w:t>
      </w:r>
    </w:p>
    <w:p w14:paraId="256AE6C1">
      <w:pPr>
        <w:spacing w:after="160" w:line="288" w:lineRule="auto"/>
      </w:pPr>
      <w:r>
        <w:rPr>
          <w:b w:val="0"/>
          <w:bCs w:val="0"/>
          <w:i w:val="0"/>
          <w:iCs w:val="0"/>
          <w:sz w:val="22"/>
          <w:szCs w:val="22"/>
        </w:rPr>
        <w:t>The PD Array framework exists specifically to organize these related tools together and to connect them to the Premium/Discount (equilibrium) concept that Module 7 develops in full via Fibonacci retracement and the Optimal Trade Entry (OTE).</w:t>
      </w:r>
    </w:p>
    <w:p w14:paraId="17252E84">
      <w:pPr>
        <w:pStyle w:val="3"/>
        <w:spacing w:before="360" w:after="160"/>
      </w:pPr>
      <w:r>
        <w:rPr>
          <w:b/>
          <w:bCs/>
          <w:color w:val="1B2A4A"/>
          <w:sz w:val="26"/>
          <w:szCs w:val="26"/>
        </w:rPr>
        <w:t>8. Where It Fits in the ICT Framework</w:t>
      </w:r>
    </w:p>
    <w:p w14:paraId="050FA550">
      <w:pPr>
        <w:spacing w:after="160" w:line="288" w:lineRule="auto"/>
      </w:pPr>
      <w:r>
        <w:rPr>
          <w:b w:val="0"/>
          <w:bCs w:val="0"/>
          <w:i w:val="0"/>
          <w:iCs w:val="0"/>
          <w:sz w:val="22"/>
          <w:szCs w:val="22"/>
        </w:rPr>
        <w:t>Comes before: Requires Fair Value Gap (Module 5), Order Block, and Breaker Block.</w:t>
      </w:r>
    </w:p>
    <w:p w14:paraId="163E0C59">
      <w:pPr>
        <w:spacing w:after="160" w:line="288" w:lineRule="auto"/>
      </w:pPr>
      <w:r>
        <w:rPr>
          <w:b w:val="0"/>
          <w:bCs w:val="0"/>
          <w:i w:val="0"/>
          <w:iCs w:val="0"/>
          <w:sz w:val="22"/>
          <w:szCs w:val="22"/>
        </w:rPr>
        <w:t>Comes after: Feeds directly into Module 7 (Fibonacci &amp; OTE), where the premium/discount concept referenced here is fully defined, and into Key Support/Resistance as Contextual Levels, the final concept in this module.</w:t>
      </w:r>
    </w:p>
    <w:p w14:paraId="5AB1E377">
      <w:pPr>
        <w:pStyle w:val="3"/>
        <w:spacing w:before="360" w:after="160"/>
      </w:pPr>
      <w:r>
        <w:rPr>
          <w:b/>
          <w:bCs/>
          <w:color w:val="1B2A4A"/>
          <w:sz w:val="26"/>
          <w:szCs w:val="26"/>
        </w:rPr>
        <w:t>9. Beginner Mistakes</w:t>
      </w:r>
    </w:p>
    <w:p w14:paraId="1F27FDE7">
      <w:pPr>
        <w:pStyle w:val="16"/>
        <w:numPr>
          <w:ilvl w:val="0"/>
          <w:numId w:val="2"/>
        </w:numPr>
        <w:spacing w:after="80" w:line="276" w:lineRule="auto"/>
      </w:pPr>
      <w:r>
        <w:rPr>
          <w:sz w:val="22"/>
          <w:szCs w:val="22"/>
        </w:rPr>
        <w:t>Treating the Fair Value Gap and PD Array as two unrelated concepts rather than understanding the FVG as one specific member of the broader PD Array category.</w:t>
      </w:r>
    </w:p>
    <w:p w14:paraId="43CD584B">
      <w:pPr>
        <w:pStyle w:val="16"/>
        <w:numPr>
          <w:ilvl w:val="0"/>
          <w:numId w:val="2"/>
        </w:numPr>
        <w:spacing w:after="80" w:line="276" w:lineRule="auto"/>
      </w:pPr>
      <w:r>
        <w:rPr>
          <w:sz w:val="22"/>
          <w:szCs w:val="22"/>
        </w:rPr>
        <w:t>Trading a single, isolated PD array without checking for confluence with any other nearby tool.</w:t>
      </w:r>
    </w:p>
    <w:p w14:paraId="7E669513">
      <w:pPr>
        <w:pStyle w:val="16"/>
        <w:numPr>
          <w:ilvl w:val="0"/>
          <w:numId w:val="2"/>
        </w:numPr>
        <w:spacing w:after="80" w:line="276" w:lineRule="auto"/>
      </w:pPr>
      <w:r>
        <w:rPr>
          <w:sz w:val="22"/>
          <w:szCs w:val="22"/>
        </w:rPr>
        <w:t>Ignoring whether a given Fair Value Gap sits in a premium or discount position before deciding whether to treat it as a buying or selling zone.</w:t>
      </w:r>
    </w:p>
    <w:p w14:paraId="1FDA7C27">
      <w:pPr>
        <w:pStyle w:val="3"/>
        <w:spacing w:before="360" w:after="160"/>
      </w:pPr>
      <w:r>
        <w:rPr>
          <w:b/>
          <w:bCs/>
          <w:color w:val="1B2A4A"/>
          <w:sz w:val="26"/>
          <w:szCs w:val="26"/>
        </w:rPr>
        <w:t>10. Important Qualification</w:t>
      </w:r>
    </w:p>
    <w:p w14:paraId="570C71BB">
      <w:pPr>
        <w:pBdr>
          <w:left w:val="single" w:color="7A2E2E" w:sz="24" w:space="8"/>
        </w:pBdr>
        <w:shd w:val="clear" w:fill="EFEFEF"/>
        <w:spacing w:before="160" w:after="200"/>
        <w:ind w:left="200"/>
      </w:pPr>
      <w:r>
        <w:rPr>
          <w:b/>
          <w:bCs/>
          <w:color w:val="7A2E2E"/>
          <w:sz w:val="21"/>
          <w:szCs w:val="21"/>
        </w:rPr>
        <w:t xml:space="preserve">Qualification: </w:t>
      </w:r>
      <w:r>
        <w:rPr>
          <w:sz w:val="21"/>
          <w:szCs w:val="21"/>
        </w:rPr>
        <w:t>The PD Array Matrix, as documented in ICT-focused secondary sources, is a ranking framework and organizing checklist, not a mechanical formula that produces certain outcomes. Multiple sources caution against "loose pattern recognition" — treating any FVG, Order Block, or Breaker Block as valid without checking it against the specific rules for that individual tool.</w:t>
      </w:r>
    </w:p>
    <w:p w14:paraId="0766076F">
      <w:pPr>
        <w:pStyle w:val="3"/>
        <w:spacing w:before="360" w:after="160"/>
      </w:pPr>
      <w:r>
        <w:rPr>
          <w:b/>
          <w:bCs/>
          <w:color w:val="1B2A4A"/>
          <w:sz w:val="26"/>
          <w:szCs w:val="26"/>
        </w:rPr>
        <w:t>11. Source</w:t>
      </w:r>
    </w:p>
    <w:p w14:paraId="3C60353D"/>
    <w:p w14:paraId="4AE88D55">
      <w:pPr>
        <w:pStyle w:val="16"/>
        <w:numPr>
          <w:ilvl w:val="0"/>
          <w:numId w:val="2"/>
        </w:numPr>
        <w:spacing w:after="80" w:line="276" w:lineRule="auto"/>
      </w:pPr>
      <w:r>
        <w:rPr>
          <w:sz w:val="22"/>
          <w:szCs w:val="22"/>
        </w:rPr>
        <w:t>innercircletrader.net — "ICT PD Array Matrix — Premium &amp; Discount Trade Execution Framework" (PD Array Matrix ranking, confluence principle).</w:t>
      </w:r>
    </w:p>
    <w:p w14:paraId="4A8DF4DA">
      <w:pPr>
        <w:pStyle w:val="16"/>
        <w:numPr>
          <w:ilvl w:val="0"/>
          <w:numId w:val="2"/>
        </w:numPr>
        <w:spacing w:after="80" w:line="276" w:lineRule="auto"/>
      </w:pPr>
      <w:r>
        <w:rPr>
          <w:sz w:val="22"/>
          <w:szCs w:val="22"/>
        </w:rPr>
        <w:t>fxopen.com — "Understanding PD Arrays in ICT: Meaning, Components, and Trading Use" (institutional array vs. imbalance array distinction; PD Array attributed to Michael J. Huddleston).</w:t>
      </w:r>
    </w:p>
    <w:p w14:paraId="392F9B3E">
      <w:pPr>
        <w:pStyle w:val="16"/>
        <w:numPr>
          <w:ilvl w:val="0"/>
          <w:numId w:val="2"/>
        </w:numPr>
        <w:spacing w:after="80" w:line="276" w:lineRule="auto"/>
      </w:pPr>
      <w:r>
        <w:rPr>
          <w:sz w:val="22"/>
          <w:szCs w:val="22"/>
        </w:rPr>
        <w:t>arongroups.co — "What Is PD array in ICT Trading?"</w:t>
      </w:r>
    </w:p>
    <w:p w14:paraId="228A3D36">
      <w:pPr>
        <w:pStyle w:val="16"/>
        <w:numPr>
          <w:ilvl w:val="0"/>
          <w:numId w:val="2"/>
        </w:numPr>
        <w:spacing w:after="80" w:line="276" w:lineRule="auto"/>
      </w:pPr>
      <w:r>
        <w:rPr>
          <w:sz w:val="22"/>
          <w:szCs w:val="22"/>
        </w:rPr>
        <w:t>TradingView (ICT Advisor — PD Array STM) — indicator documentation describing the PD Array Matrix's premium/discount tool lists.</w:t>
      </w:r>
    </w:p>
    <w:p w14:paraId="6537553E">
      <w:r>
        <w:br w:type="page"/>
      </w:r>
    </w:p>
    <w:p w14:paraId="2ABC00E0">
      <w:pPr>
        <w:pStyle w:val="2"/>
        <w:pBdr>
          <w:bottom w:val="single" w:color="1B2A4A" w:sz="12" w:space="4"/>
        </w:pBdr>
        <w:spacing w:before="480" w:after="240"/>
      </w:pPr>
      <w:r>
        <w:rPr>
          <w:b/>
          <w:bCs/>
          <w:color w:val="1B2A4A"/>
          <w:sz w:val="34"/>
          <w:szCs w:val="34"/>
        </w:rPr>
        <w:t>Key Support/Resistance as Contextual Levels</w:t>
      </w:r>
    </w:p>
    <w:p w14:paraId="75E4A5B7">
      <w:pPr>
        <w:pStyle w:val="3"/>
        <w:spacing w:before="360" w:after="160"/>
      </w:pPr>
      <w:r>
        <w:rPr>
          <w:b/>
          <w:bCs/>
          <w:color w:val="1B2A4A"/>
          <w:sz w:val="26"/>
          <w:szCs w:val="26"/>
        </w:rPr>
        <w:t>1. Definition</w:t>
      </w:r>
    </w:p>
    <w:p w14:paraId="4E01106C">
      <w:pPr>
        <w:spacing w:after="160" w:line="288" w:lineRule="auto"/>
      </w:pPr>
      <w:r>
        <w:rPr>
          <w:b w:val="0"/>
          <w:bCs w:val="0"/>
          <w:i w:val="0"/>
          <w:iCs w:val="0"/>
          <w:sz w:val="22"/>
          <w:szCs w:val="22"/>
        </w:rPr>
        <w:t>This concept revisits key support and resistance levels (defined in Module 1) specifically in their role as broader contextual reference points that inform how much weight to give a PD array found near them, rather than as independent trading tools in their own right within this module.</w:t>
      </w:r>
    </w:p>
    <w:p w14:paraId="15C10295">
      <w:pPr>
        <w:pStyle w:val="3"/>
        <w:spacing w:before="360" w:after="160"/>
      </w:pPr>
      <w:r>
        <w:rPr>
          <w:b/>
          <w:bCs/>
          <w:color w:val="1B2A4A"/>
          <w:sz w:val="26"/>
          <w:szCs w:val="26"/>
        </w:rPr>
        <w:t>2. ICT's Meaning</w:t>
      </w:r>
    </w:p>
    <w:p w14:paraId="00059AC7">
      <w:pPr>
        <w:spacing w:after="160" w:line="288" w:lineRule="auto"/>
      </w:pPr>
      <w:r>
        <w:rPr>
          <w:b w:val="0"/>
          <w:bCs w:val="0"/>
          <w:i w:val="0"/>
          <w:iCs w:val="0"/>
          <w:sz w:val="22"/>
          <w:szCs w:val="22"/>
        </w:rPr>
        <w:t>ICT-focused teaching does not discard conventional support and resistance; rather, it re-purposes old highs and lows as one input among several used to judge a PD array's significance. A Fair Value Gap, Order Block, or Breaker Block that happens to sit at or near a well-established prior key support or resistance level (an old swing high/low, or a prior day/week/month high/low) is generally treated as more significant than the same PD array found at an unremarkable price with no such historical significance.</w:t>
      </w:r>
    </w:p>
    <w:p w14:paraId="775E7F3B">
      <w:pPr>
        <w:spacing w:after="160" w:line="288" w:lineRule="auto"/>
      </w:pPr>
      <w:r>
        <w:rPr>
          <w:b w:val="0"/>
          <w:bCs w:val="0"/>
          <w:i w:val="0"/>
          <w:iCs w:val="0"/>
          <w:sz w:val="22"/>
          <w:szCs w:val="22"/>
        </w:rPr>
        <w:t>This connects directly back to the liquidity concepts of Module 4: a key support or resistance level is exactly the kind of place ICT's framework expects buy-side or sell-side liquidity to have accumulated, which is part of why a PD array located there is treated as carrying extra weight.</w:t>
      </w:r>
    </w:p>
    <w:p w14:paraId="50C8A5A0">
      <w:pPr>
        <w:pStyle w:val="3"/>
        <w:spacing w:before="360" w:after="160"/>
      </w:pPr>
      <w:r>
        <w:rPr>
          <w:b/>
          <w:bCs/>
          <w:color w:val="1B2A4A"/>
          <w:sz w:val="26"/>
          <w:szCs w:val="26"/>
        </w:rPr>
        <w:t>3. Beginner Explanation</w:t>
      </w:r>
    </w:p>
    <w:p w14:paraId="02DB4C8E">
      <w:pPr>
        <w:spacing w:after="160" w:line="288" w:lineRule="auto"/>
      </w:pPr>
      <w:r>
        <w:rPr>
          <w:b w:val="0"/>
          <w:bCs w:val="0"/>
          <w:i w:val="0"/>
          <w:iCs w:val="0"/>
          <w:sz w:val="22"/>
          <w:szCs w:val="22"/>
        </w:rPr>
        <w:t>If a Fair Value Gap or Order Block is like a specific tool for pinpointing a price zone, a key support or resistance level is more like the neighborhood that zone happens to sit in. A tool sitting in a well-known, previously significant neighborhood tends to get more attention than the same tool sitting somewhere nobody has paid attention to before.</w:t>
      </w:r>
    </w:p>
    <w:p w14:paraId="267906AC">
      <w:pPr>
        <w:pStyle w:val="3"/>
        <w:spacing w:before="360" w:after="160"/>
      </w:pPr>
      <w:r>
        <w:rPr>
          <w:b/>
          <w:bCs/>
          <w:color w:val="1B2A4A"/>
          <w:sz w:val="26"/>
          <w:szCs w:val="26"/>
        </w:rPr>
        <w:t>4. How to Identify It</w:t>
      </w:r>
    </w:p>
    <w:p w14:paraId="3B995ABD">
      <w:pPr>
        <w:pStyle w:val="16"/>
        <w:numPr>
          <w:ilvl w:val="0"/>
          <w:numId w:val="1"/>
        </w:numPr>
        <w:spacing w:after="80" w:line="276" w:lineRule="auto"/>
      </w:pPr>
      <w:r>
        <w:rPr>
          <w:sz w:val="22"/>
          <w:szCs w:val="22"/>
        </w:rPr>
        <w:t>Identify any PD array (Fair Value Gap, Order Block, Breaker Block, or Mitigation Block) of interest.</w:t>
      </w:r>
    </w:p>
    <w:p w14:paraId="11FB78AA">
      <w:pPr>
        <w:pStyle w:val="16"/>
        <w:numPr>
          <w:ilvl w:val="0"/>
          <w:numId w:val="1"/>
        </w:numPr>
        <w:spacing w:after="80" w:line="276" w:lineRule="auto"/>
      </w:pPr>
      <w:r>
        <w:rPr>
          <w:sz w:val="22"/>
          <w:szCs w:val="22"/>
        </w:rPr>
        <w:t>Check whether this PD array sits at, or very close to, a previously marked key support or resistance level from Module 1 (an old swing high/low, or a prior day/week/month high/low).</w:t>
      </w:r>
    </w:p>
    <w:p w14:paraId="724036CA">
      <w:pPr>
        <w:pStyle w:val="16"/>
        <w:numPr>
          <w:ilvl w:val="0"/>
          <w:numId w:val="1"/>
        </w:numPr>
        <w:spacing w:after="80" w:line="276" w:lineRule="auto"/>
      </w:pPr>
      <w:r>
        <w:rPr>
          <w:sz w:val="22"/>
          <w:szCs w:val="22"/>
        </w:rPr>
        <w:t>If a match exists, treat the PD array as carrying additional contextual weight due to this historical significance.</w:t>
      </w:r>
    </w:p>
    <w:p w14:paraId="62DE35CE">
      <w:pPr>
        <w:pStyle w:val="16"/>
        <w:numPr>
          <w:ilvl w:val="0"/>
          <w:numId w:val="1"/>
        </w:numPr>
        <w:spacing w:after="80" w:line="276" w:lineRule="auto"/>
      </w:pPr>
      <w:r>
        <w:rPr>
          <w:sz w:val="22"/>
          <w:szCs w:val="22"/>
        </w:rPr>
        <w:t>If no match exists, treat the PD array on its own individual merits, without assuming reduced significance purely due to the absence of an old level nearby.</w:t>
      </w:r>
    </w:p>
    <w:p w14:paraId="09A77A7D">
      <w:pPr>
        <w:pStyle w:val="3"/>
        <w:spacing w:before="360" w:after="160"/>
      </w:pPr>
      <w:r>
        <w:rPr>
          <w:b/>
          <w:bCs/>
          <w:color w:val="1B2A4A"/>
          <w:sz w:val="26"/>
          <w:szCs w:val="26"/>
        </w:rPr>
        <w:t>5. Simple Price Example</w:t>
      </w:r>
    </w:p>
    <w:p w14:paraId="4C8470CA">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A bullish Order Block forms at 100–102. This zone also happens to be the site of a previously established key support level, tested twice before.</w:t>
      </w:r>
    </w:p>
    <w:p w14:paraId="5DB888B4">
      <w:pPr>
        <w:spacing w:after="160" w:line="288" w:lineRule="auto"/>
      </w:pPr>
      <w:r>
        <w:rPr>
          <w:b w:val="0"/>
          <w:bCs w:val="0"/>
          <w:i w:val="0"/>
          <w:iCs w:val="0"/>
          <w:sz w:val="22"/>
          <w:szCs w:val="22"/>
        </w:rPr>
        <w:t>Because the Order Block coincides with a level that has already proven historically significant (two prior reactions), a trader following ICT's framework would treat this specific Order Block as a higher-confidence zone than an otherwise identical Order Block found at a price with no prior historical significance.</w:t>
      </w:r>
    </w:p>
    <w:p w14:paraId="60EFCAC3">
      <w:pPr>
        <w:pStyle w:val="3"/>
        <w:spacing w:before="360" w:after="160"/>
      </w:pPr>
      <w:r>
        <w:rPr>
          <w:b/>
          <w:bCs/>
          <w:color w:val="1B2A4A"/>
          <w:sz w:val="26"/>
          <w:szCs w:val="26"/>
        </w:rPr>
        <w:t>6. What It Tells the Trader</w:t>
      </w:r>
    </w:p>
    <w:p w14:paraId="0F6500FB">
      <w:pPr>
        <w:spacing w:after="160" w:line="288" w:lineRule="auto"/>
      </w:pPr>
      <w:r>
        <w:rPr>
          <w:b w:val="0"/>
          <w:bCs w:val="0"/>
          <w:i w:val="0"/>
          <w:iCs w:val="0"/>
          <w:sz w:val="22"/>
          <w:szCs w:val="22"/>
        </w:rPr>
        <w:t>This contextual layering tells the trader which of several candidate PD arrays, all else being equal, deserves the most attention — historical significance is treated as one more piece of corroborating evidence, alongside displacement quality, liquidity sweeps, and confluence with other PD arrays.</w:t>
      </w:r>
    </w:p>
    <w:p w14:paraId="22FA6BAB">
      <w:pPr>
        <w:spacing w:after="160" w:line="288" w:lineRule="auto"/>
      </w:pPr>
      <w:r>
        <w:rPr>
          <w:b w:val="0"/>
          <w:bCs w:val="0"/>
          <w:i w:val="0"/>
          <w:iCs w:val="0"/>
          <w:sz w:val="22"/>
          <w:szCs w:val="22"/>
        </w:rPr>
        <w:t>It does not tell the trader that a PD array lacking this historical overlap is invalid — many valid, reactive PD arrays form at prices with no significant prior history, particularly on lower timeframes or in newly forming trading ranges.</w:t>
      </w:r>
    </w:p>
    <w:p w14:paraId="24F9868B">
      <w:pPr>
        <w:pStyle w:val="3"/>
        <w:spacing w:before="360" w:after="160"/>
      </w:pPr>
      <w:r>
        <w:rPr>
          <w:b/>
          <w:bCs/>
          <w:color w:val="1B2A4A"/>
          <w:sz w:val="26"/>
          <w:szCs w:val="26"/>
        </w:rPr>
        <w:t>7. What It Is Commonly Paired With</w:t>
      </w:r>
    </w:p>
    <w:p w14:paraId="6674721E">
      <w:pPr>
        <w:pStyle w:val="16"/>
        <w:numPr>
          <w:ilvl w:val="0"/>
          <w:numId w:val="2"/>
        </w:numPr>
        <w:spacing w:after="80" w:line="276" w:lineRule="auto"/>
      </w:pPr>
      <w:r>
        <w:rPr>
          <w:sz w:val="22"/>
          <w:szCs w:val="22"/>
        </w:rPr>
        <w:t>Key Support/Resistance Levels (Module 1)</w:t>
      </w:r>
    </w:p>
    <w:p w14:paraId="39AE4737">
      <w:pPr>
        <w:pStyle w:val="16"/>
        <w:numPr>
          <w:ilvl w:val="0"/>
          <w:numId w:val="2"/>
        </w:numPr>
        <w:spacing w:after="80" w:line="276" w:lineRule="auto"/>
      </w:pPr>
      <w:r>
        <w:rPr>
          <w:sz w:val="22"/>
          <w:szCs w:val="22"/>
        </w:rPr>
        <w:t>Liquidity (Module 4)</w:t>
      </w:r>
    </w:p>
    <w:p w14:paraId="39B63693">
      <w:pPr>
        <w:pStyle w:val="16"/>
        <w:numPr>
          <w:ilvl w:val="0"/>
          <w:numId w:val="2"/>
        </w:numPr>
        <w:spacing w:after="80" w:line="276" w:lineRule="auto"/>
      </w:pPr>
      <w:r>
        <w:rPr>
          <w:sz w:val="22"/>
          <w:szCs w:val="22"/>
        </w:rPr>
        <w:t>All PD Array tools in this module</w:t>
      </w:r>
    </w:p>
    <w:p w14:paraId="78C5CD7C">
      <w:pPr>
        <w:spacing w:after="160" w:line="288" w:lineRule="auto"/>
      </w:pPr>
      <w:r>
        <w:rPr>
          <w:b w:val="0"/>
          <w:bCs w:val="0"/>
          <w:i w:val="0"/>
          <w:iCs w:val="0"/>
          <w:sz w:val="22"/>
          <w:szCs w:val="22"/>
        </w:rPr>
        <w:t>This concept is the direct bridge back to Module 1's foundational support/resistance vocabulary, showing how a beginner-level concept introduced very early in this book continues to add value even after much more specialized ICT vocabulary (Order Blocks, Breakers, FVGs) has been introduced.</w:t>
      </w:r>
    </w:p>
    <w:p w14:paraId="6892036E">
      <w:pPr>
        <w:pStyle w:val="3"/>
        <w:spacing w:before="360" w:after="160"/>
      </w:pPr>
      <w:r>
        <w:rPr>
          <w:b/>
          <w:bCs/>
          <w:color w:val="1B2A4A"/>
          <w:sz w:val="26"/>
          <w:szCs w:val="26"/>
        </w:rPr>
        <w:t>8. Where It Fits in the ICT Framework</w:t>
      </w:r>
    </w:p>
    <w:p w14:paraId="6C52D8D0">
      <w:pPr>
        <w:spacing w:after="160" w:line="288" w:lineRule="auto"/>
      </w:pPr>
      <w:r>
        <w:rPr>
          <w:b w:val="0"/>
          <w:bCs w:val="0"/>
          <w:i w:val="0"/>
          <w:iCs w:val="0"/>
          <w:sz w:val="22"/>
          <w:szCs w:val="22"/>
        </w:rPr>
        <w:t>Comes before: Requires Key Support/Resistance Levels (Module 1) and all PD array concepts earlier in this module.</w:t>
      </w:r>
    </w:p>
    <w:p w14:paraId="569914C9">
      <w:pPr>
        <w:spacing w:after="160" w:line="288" w:lineRule="auto"/>
      </w:pPr>
      <w:r>
        <w:rPr>
          <w:b w:val="0"/>
          <w:bCs w:val="0"/>
          <w:i w:val="0"/>
          <w:iCs w:val="0"/>
          <w:sz w:val="22"/>
          <w:szCs w:val="22"/>
        </w:rPr>
        <w:t>Comes after: Concludes Module 6 and feeds into Module 7 (Fibonacci &amp; OTE), where premium/discount positioning adds a further contextual layer, and ultimately into the full weighting process used in the ICT Buy/Sell Models (Modules 11–12).</w:t>
      </w:r>
    </w:p>
    <w:p w14:paraId="2798CA50">
      <w:pPr>
        <w:pStyle w:val="3"/>
        <w:spacing w:before="360" w:after="160"/>
      </w:pPr>
      <w:r>
        <w:rPr>
          <w:b/>
          <w:bCs/>
          <w:color w:val="1B2A4A"/>
          <w:sz w:val="26"/>
          <w:szCs w:val="26"/>
        </w:rPr>
        <w:t>9. Beginner Mistakes</w:t>
      </w:r>
    </w:p>
    <w:p w14:paraId="66DBDCDE">
      <w:pPr>
        <w:pStyle w:val="16"/>
        <w:numPr>
          <w:ilvl w:val="0"/>
          <w:numId w:val="2"/>
        </w:numPr>
        <w:spacing w:after="80" w:line="276" w:lineRule="auto"/>
      </w:pPr>
      <w:r>
        <w:rPr>
          <w:sz w:val="22"/>
          <w:szCs w:val="22"/>
        </w:rPr>
        <w:t>Assuming a PD array is worthless simply because it does not coincide with an old, well-known support or resistance level.</w:t>
      </w:r>
    </w:p>
    <w:p w14:paraId="64A2B6D0">
      <w:pPr>
        <w:pStyle w:val="16"/>
        <w:numPr>
          <w:ilvl w:val="0"/>
          <w:numId w:val="2"/>
        </w:numPr>
        <w:spacing w:after="80" w:line="276" w:lineRule="auto"/>
      </w:pPr>
      <w:r>
        <w:rPr>
          <w:sz w:val="22"/>
          <w:szCs w:val="22"/>
        </w:rPr>
        <w:t>Over-weighting historical significance alone while ignoring more direct evidence such as displacement quality or the presence of a liquidity sweep.</w:t>
      </w:r>
    </w:p>
    <w:p w14:paraId="4C980204">
      <w:pPr>
        <w:pStyle w:val="3"/>
        <w:spacing w:before="360" w:after="160"/>
      </w:pPr>
      <w:r>
        <w:rPr>
          <w:b/>
          <w:bCs/>
          <w:color w:val="1B2A4A"/>
          <w:sz w:val="26"/>
          <w:szCs w:val="26"/>
        </w:rPr>
        <w:t>10. Important Qualification</w:t>
      </w:r>
    </w:p>
    <w:p w14:paraId="2B85191C">
      <w:pPr>
        <w:pBdr>
          <w:left w:val="single" w:color="7A2E2E" w:sz="24" w:space="8"/>
        </w:pBdr>
        <w:shd w:val="clear" w:fill="EFEFEF"/>
        <w:spacing w:before="160" w:after="200"/>
        <w:ind w:left="200"/>
      </w:pPr>
      <w:r>
        <w:rPr>
          <w:b/>
          <w:bCs/>
          <w:color w:val="7A2E2E"/>
          <w:sz w:val="21"/>
          <w:szCs w:val="21"/>
        </w:rPr>
        <w:t xml:space="preserve">Qualification: </w:t>
      </w:r>
      <w:r>
        <w:rPr>
          <w:sz w:val="21"/>
          <w:szCs w:val="21"/>
        </w:rPr>
        <w:t>Historical significance is one contributing factor among several used to judge a PD array, not a stand-alone requirement. A textbook-quality Order Block or Fair Value Gap, formed with strong displacement following a genuine liquidity sweep, can still be a valid, tradable zone even without any prior key-level history at that exact price.</w:t>
      </w:r>
    </w:p>
    <w:p w14:paraId="40E5E14E">
      <w:pPr>
        <w:pStyle w:val="3"/>
        <w:spacing w:before="360" w:after="160"/>
      </w:pPr>
      <w:r>
        <w:rPr>
          <w:b/>
          <w:bCs/>
          <w:color w:val="1B2A4A"/>
          <w:sz w:val="26"/>
          <w:szCs w:val="26"/>
        </w:rPr>
        <w:t>11. Source</w:t>
      </w:r>
    </w:p>
    <w:p w14:paraId="4E3157A6"/>
    <w:p w14:paraId="62566CE5">
      <w:pPr>
        <w:pStyle w:val="16"/>
        <w:numPr>
          <w:ilvl w:val="0"/>
          <w:numId w:val="2"/>
        </w:numPr>
        <w:spacing w:after="80" w:line="276" w:lineRule="auto"/>
      </w:pPr>
      <w:r>
        <w:rPr>
          <w:sz w:val="22"/>
          <w:szCs w:val="22"/>
        </w:rPr>
        <w:t>chartinglens.com — "Support and Resistance Levels: Complete Trading Guide" (cited previously in Module 1).</w:t>
      </w:r>
    </w:p>
    <w:p w14:paraId="65098908">
      <w:pPr>
        <w:pStyle w:val="16"/>
        <w:numPr>
          <w:ilvl w:val="0"/>
          <w:numId w:val="2"/>
        </w:numPr>
        <w:spacing w:after="80" w:line="276" w:lineRule="auto"/>
      </w:pPr>
      <w:r>
        <w:rPr>
          <w:sz w:val="22"/>
          <w:szCs w:val="22"/>
        </w:rPr>
        <w:t>General synthesis of the PD Array confluence principle from innercircletrader.net's "ICT PD Array Matrix" material, applied to Module 1's key-level concept.</w:t>
      </w:r>
    </w:p>
    <w:p w14:paraId="6ABB754D">
      <w:pPr>
        <w:pBdr>
          <w:left w:val="single" w:color="9A7B2E" w:sz="24" w:space="8"/>
        </w:pBdr>
        <w:shd w:val="clear" w:fill="EFEFEF"/>
        <w:spacing w:before="160" w:after="200"/>
        <w:ind w:left="200"/>
      </w:pPr>
      <w:r>
        <w:rPr>
          <w:b/>
          <w:bCs/>
          <w:color w:val="9A7B2E"/>
          <w:sz w:val="21"/>
          <w:szCs w:val="21"/>
        </w:rPr>
        <w:t xml:space="preserve">Community interpretation: </w:t>
      </w:r>
      <w:r>
        <w:rPr>
          <w:sz w:val="21"/>
          <w:szCs w:val="21"/>
        </w:rPr>
        <w:t>This specific concept — treating old key levels explicitly as a weighting factor for PD array confidence — is this book's own synthesis connecting Module 1's terminology to the PD Array material in this module, built to satisfy the specified curriculum topic ("Key support/resistance as contextual levels"); it is a reasonable, consistent extension of ICT-focused liquidity and PD Array teaching rather than a separately named ICT term found verbatim in the sources reviewed.</w:t>
      </w:r>
    </w:p>
    <w:p w14:paraId="61A2F6C8">
      <w:r>
        <w:br w:type="page"/>
      </w:r>
    </w:p>
    <w:p w14:paraId="470D2174">
      <w:pPr>
        <w:pStyle w:val="2"/>
        <w:pBdr>
          <w:bottom w:val="single" w:color="1B2A4A" w:sz="12" w:space="4"/>
        </w:pBdr>
        <w:spacing w:before="480" w:after="240"/>
      </w:pPr>
      <w:r>
        <w:rPr>
          <w:b/>
          <w:bCs/>
          <w:color w:val="1B2A4A"/>
          <w:sz w:val="34"/>
          <w:szCs w:val="34"/>
        </w:rPr>
        <w:t>How These Concepts Connect</w:t>
      </w:r>
    </w:p>
    <w:p w14:paraId="43A831B7">
      <w:pPr>
        <w:spacing w:after="160" w:line="288" w:lineRule="auto"/>
      </w:pPr>
      <w:r>
        <w:rPr>
          <w:b w:val="0"/>
          <w:bCs w:val="0"/>
          <w:i w:val="0"/>
          <w:iCs w:val="0"/>
          <w:sz w:val="22"/>
          <w:szCs w:val="22"/>
        </w:rPr>
        <w:t>This module has a clear internal branch point. Order Block is the trunk: every other concept in this module is defined relative to it. When an Order Block is later revisited by price, exactly two outcomes are possible, and this module dedicates one concept to each: a Mitigation Block (the move stalls out with a failed new high/low, and price continues in the original direction after the retest) or a Breaker Block (the move fully reverses through the Order Block, confirmed by a genuine Market Structure Shift, after which the zone's role flips to the opposite side).</w:t>
      </w:r>
    </w:p>
    <w:p w14:paraId="7FEC5927">
      <w:pPr>
        <w:spacing w:after="160" w:line="288" w:lineRule="auto"/>
      </w:pPr>
      <w:r>
        <w:rPr>
          <w:b w:val="0"/>
          <w:bCs w:val="0"/>
          <w:i w:val="0"/>
          <w:iCs w:val="0"/>
          <w:sz w:val="22"/>
          <w:szCs w:val="22"/>
        </w:rPr>
        <w:t>The module then steps back and reclassifies: the Fair Value Gap from Module 5, the Order Block, and the Breaker Block are all shown to be members of one larger organizing category — the PD Array — with a documented principle that multiple PD Arrays overlapping at the same price (confluence) are treated as more significant than any single one alone. Finally, the module reconnects this entire specialized vocabulary back to the very first tool introduced in this book: a plain old support or resistance level from Module 1 is shown to still matter, not as a standalone signal, but as one more layer of context that can add or subtract confidence from a PD array found nearby.</w:t>
      </w:r>
    </w:p>
    <w:p w14:paraId="753E7919">
      <w:pPr>
        <w:pStyle w:val="2"/>
        <w:pBdr>
          <w:bottom w:val="single" w:color="1B2A4A" w:sz="12" w:space="4"/>
        </w:pBdr>
        <w:spacing w:before="480" w:after="240"/>
      </w:pPr>
      <w:r>
        <w:rPr>
          <w:b/>
          <w:bCs/>
          <w:color w:val="1B2A4A"/>
          <w:sz w:val="34"/>
          <w:szCs w:val="34"/>
        </w:rPr>
        <w:t>What You Should Now Be Able to Do</w:t>
      </w:r>
    </w:p>
    <w:p w14:paraId="2F06EA3A">
      <w:pPr>
        <w:pStyle w:val="16"/>
        <w:numPr>
          <w:ilvl w:val="0"/>
          <w:numId w:val="2"/>
        </w:numPr>
        <w:spacing w:after="80" w:line="276" w:lineRule="auto"/>
      </w:pPr>
      <w:r>
        <w:rPr>
          <w:sz w:val="22"/>
          <w:szCs w:val="22"/>
        </w:rPr>
        <w:t>identify a bullish or bearish Order Block from a displacement move and its preceding opposing candle</w:t>
      </w:r>
    </w:p>
    <w:p w14:paraId="495D74A2">
      <w:pPr>
        <w:pStyle w:val="16"/>
        <w:numPr>
          <w:ilvl w:val="0"/>
          <w:numId w:val="2"/>
        </w:numPr>
        <w:spacing w:after="80" w:line="276" w:lineRule="auto"/>
      </w:pPr>
      <w:r>
        <w:rPr>
          <w:sz w:val="22"/>
          <w:szCs w:val="22"/>
        </w:rPr>
        <w:t>explain the specific behavioral difference between a Mitigation Block (failed expansion, continuation) and a Breaker Block (complete break, reversal)</w:t>
      </w:r>
    </w:p>
    <w:p w14:paraId="5D5E5BF8">
      <w:pPr>
        <w:pStyle w:val="16"/>
        <w:numPr>
          <w:ilvl w:val="0"/>
          <w:numId w:val="2"/>
        </w:numPr>
        <w:spacing w:after="80" w:line="276" w:lineRule="auto"/>
      </w:pPr>
      <w:r>
        <w:rPr>
          <w:sz w:val="22"/>
          <w:szCs w:val="22"/>
        </w:rPr>
        <w:t>correctly classify a given retest of an old Order Block as either a Mitigation Block or a Breaker Block scenario, based on how price behaves at the zone</w:t>
      </w:r>
    </w:p>
    <w:p w14:paraId="583244C7">
      <w:pPr>
        <w:pStyle w:val="16"/>
        <w:numPr>
          <w:ilvl w:val="0"/>
          <w:numId w:val="2"/>
        </w:numPr>
        <w:spacing w:after="80" w:line="276" w:lineRule="auto"/>
      </w:pPr>
      <w:r>
        <w:rPr>
          <w:sz w:val="22"/>
          <w:szCs w:val="22"/>
        </w:rPr>
        <w:t>explain what a PD Array is as an umbrella category, and name at least three specific tools that fall under it</w:t>
      </w:r>
    </w:p>
    <w:p w14:paraId="5F3C3F03">
      <w:pPr>
        <w:pStyle w:val="16"/>
        <w:numPr>
          <w:ilvl w:val="0"/>
          <w:numId w:val="2"/>
        </w:numPr>
        <w:spacing w:after="80" w:line="276" w:lineRule="auto"/>
      </w:pPr>
      <w:r>
        <w:rPr>
          <w:sz w:val="22"/>
          <w:szCs w:val="22"/>
        </w:rPr>
        <w:t>explain the confluence principle and identify an example of two PD arrays overlapping at the same price</w:t>
      </w:r>
    </w:p>
    <w:p w14:paraId="58545A64">
      <w:pPr>
        <w:pStyle w:val="16"/>
        <w:numPr>
          <w:ilvl w:val="0"/>
          <w:numId w:val="2"/>
        </w:numPr>
        <w:spacing w:after="80" w:line="276" w:lineRule="auto"/>
      </w:pPr>
      <w:r>
        <w:rPr>
          <w:sz w:val="22"/>
          <w:szCs w:val="22"/>
        </w:rPr>
        <w:t>explain why an old key support/resistance level (Module 1) can still add contextual weight to a PD array, without being required for that PD array to be valid</w:t>
      </w:r>
    </w:p>
    <w:p w14:paraId="0C4CB52B">
      <w:r>
        <w:br w:type="page"/>
      </w:r>
    </w:p>
    <w:p w14:paraId="2C310BC8">
      <w:pPr>
        <w:pStyle w:val="2"/>
        <w:pBdr>
          <w:bottom w:val="single" w:color="1B2A4A" w:sz="12" w:space="4"/>
        </w:pBdr>
        <w:spacing w:before="480" w:after="240"/>
      </w:pPr>
      <w:r>
        <w:rPr>
          <w:b/>
          <w:bCs/>
          <w:color w:val="1B2A4A"/>
          <w:sz w:val="34"/>
          <w:szCs w:val="34"/>
        </w:rPr>
        <w:t>Module Review</w:t>
      </w:r>
    </w:p>
    <w:p w14:paraId="13577E59">
      <w:pPr>
        <w:pStyle w:val="3"/>
        <w:spacing w:before="360" w:after="160"/>
      </w:pPr>
      <w:r>
        <w:rPr>
          <w:b/>
          <w:bCs/>
          <w:color w:val="1B2A4A"/>
          <w:sz w:val="26"/>
          <w:szCs w:val="26"/>
        </w:rPr>
        <w:t>Key Terms</w:t>
      </w:r>
    </w:p>
    <w:p w14:paraId="41919E94">
      <w:pPr>
        <w:pStyle w:val="16"/>
        <w:numPr>
          <w:ilvl w:val="0"/>
          <w:numId w:val="2"/>
        </w:numPr>
        <w:spacing w:after="80" w:line="276" w:lineRule="auto"/>
      </w:pPr>
      <w:r>
        <w:rPr>
          <w:sz w:val="22"/>
          <w:szCs w:val="22"/>
        </w:rPr>
        <w:t>Order Block (OB)</w:t>
      </w:r>
    </w:p>
    <w:p w14:paraId="1276CD89">
      <w:pPr>
        <w:pStyle w:val="16"/>
        <w:numPr>
          <w:ilvl w:val="0"/>
          <w:numId w:val="2"/>
        </w:numPr>
        <w:spacing w:after="80" w:line="276" w:lineRule="auto"/>
      </w:pPr>
      <w:r>
        <w:rPr>
          <w:sz w:val="22"/>
          <w:szCs w:val="22"/>
        </w:rPr>
        <w:t>Mitigation Block (MB)</w:t>
      </w:r>
    </w:p>
    <w:p w14:paraId="0DCC833C">
      <w:pPr>
        <w:pStyle w:val="16"/>
        <w:numPr>
          <w:ilvl w:val="0"/>
          <w:numId w:val="2"/>
        </w:numPr>
        <w:spacing w:after="80" w:line="276" w:lineRule="auto"/>
      </w:pPr>
      <w:r>
        <w:rPr>
          <w:sz w:val="22"/>
          <w:szCs w:val="22"/>
        </w:rPr>
        <w:t>Breaker Block (BB)</w:t>
      </w:r>
    </w:p>
    <w:p w14:paraId="1D29E7BF">
      <w:pPr>
        <w:pStyle w:val="16"/>
        <w:numPr>
          <w:ilvl w:val="0"/>
          <w:numId w:val="2"/>
        </w:numPr>
        <w:spacing w:after="80" w:line="276" w:lineRule="auto"/>
      </w:pPr>
      <w:r>
        <w:rPr>
          <w:sz w:val="22"/>
          <w:szCs w:val="22"/>
        </w:rPr>
        <w:t>PD Array (Premium/Discount Array)</w:t>
      </w:r>
    </w:p>
    <w:p w14:paraId="6FAB21AD">
      <w:pPr>
        <w:pStyle w:val="16"/>
        <w:numPr>
          <w:ilvl w:val="0"/>
          <w:numId w:val="2"/>
        </w:numPr>
        <w:spacing w:after="80" w:line="276" w:lineRule="auto"/>
      </w:pPr>
      <w:r>
        <w:rPr>
          <w:sz w:val="22"/>
          <w:szCs w:val="22"/>
        </w:rPr>
        <w:t>PD Array Matrix</w:t>
      </w:r>
    </w:p>
    <w:p w14:paraId="394BAB13">
      <w:pPr>
        <w:pStyle w:val="16"/>
        <w:numPr>
          <w:ilvl w:val="0"/>
          <w:numId w:val="2"/>
        </w:numPr>
        <w:spacing w:after="80" w:line="276" w:lineRule="auto"/>
      </w:pPr>
      <w:r>
        <w:rPr>
          <w:sz w:val="22"/>
          <w:szCs w:val="22"/>
        </w:rPr>
        <w:t>Confluence</w:t>
      </w:r>
    </w:p>
    <w:p w14:paraId="5E6B1C17">
      <w:pPr>
        <w:pStyle w:val="16"/>
        <w:numPr>
          <w:ilvl w:val="0"/>
          <w:numId w:val="2"/>
        </w:numPr>
        <w:spacing w:after="80" w:line="276" w:lineRule="auto"/>
      </w:pPr>
      <w:r>
        <w:rPr>
          <w:sz w:val="22"/>
          <w:szCs w:val="22"/>
        </w:rPr>
        <w:t>Institutional Array</w:t>
      </w:r>
    </w:p>
    <w:p w14:paraId="752A547C">
      <w:pPr>
        <w:pStyle w:val="16"/>
        <w:numPr>
          <w:ilvl w:val="0"/>
          <w:numId w:val="2"/>
        </w:numPr>
        <w:spacing w:after="80" w:line="276" w:lineRule="auto"/>
      </w:pPr>
      <w:r>
        <w:rPr>
          <w:sz w:val="22"/>
          <w:szCs w:val="22"/>
        </w:rPr>
        <w:t>Imbalance Array</w:t>
      </w:r>
    </w:p>
    <w:p w14:paraId="7A0ADD72">
      <w:pPr>
        <w:pStyle w:val="16"/>
        <w:numPr>
          <w:ilvl w:val="0"/>
          <w:numId w:val="2"/>
        </w:numPr>
        <w:spacing w:after="80" w:line="276" w:lineRule="auto"/>
      </w:pPr>
      <w:r>
        <w:rPr>
          <w:sz w:val="22"/>
          <w:szCs w:val="22"/>
        </w:rPr>
        <w:t>Rejection Block (mentioned)</w:t>
      </w:r>
    </w:p>
    <w:p w14:paraId="311129D7">
      <w:pPr>
        <w:pStyle w:val="3"/>
        <w:spacing w:before="360" w:after="160"/>
      </w:pPr>
      <w:r>
        <w:rPr>
          <w:b/>
          <w:bCs/>
          <w:color w:val="1B2A4A"/>
          <w:sz w:val="26"/>
          <w:szCs w:val="26"/>
        </w:rPr>
        <w:t>Beginner Summary</w:t>
      </w:r>
    </w:p>
    <w:p w14:paraId="483E21C6">
      <w:pPr>
        <w:spacing w:after="160" w:line="288" w:lineRule="auto"/>
      </w:pPr>
      <w:r>
        <w:rPr>
          <w:b w:val="0"/>
          <w:bCs w:val="0"/>
          <w:i w:val="0"/>
          <w:iCs w:val="0"/>
          <w:sz w:val="22"/>
          <w:szCs w:val="22"/>
        </w:rPr>
        <w:t>An Order Block is the last candle moving against the eventual direction, right before a strong, displacement-driven move — treated within ICT's framework as the visible footprint of institutional positioning. When price later returns to test an old Order Block, one of two things happens: either the move stalls out without reaching a new high or low and continues in the original direction (a Mitigation Block), or the move fully reverses through the zone with a confirmed structure shift, flipping the zone's role entirely (a Breaker Block). Both of these, together with the Fair Value Gap from Module 5, belong to a broader category called the PD Array — a checklist of tools ICT-focused teaching uses to plan entries, with special attention paid to spots where multiple PD arrays overlap (confluence) and to whether a PD array coincides with an old, historically significant support or resistance level.</w:t>
      </w:r>
    </w:p>
    <w:p w14:paraId="047DEE18">
      <w:pPr>
        <w:pStyle w:val="3"/>
        <w:spacing w:before="360" w:after="160"/>
      </w:pPr>
      <w:r>
        <w:rPr>
          <w:b/>
          <w:bCs/>
          <w:color w:val="1B2A4A"/>
          <w:sz w:val="26"/>
          <w:szCs w:val="26"/>
        </w:rPr>
        <w:t>Concept Relationships</w:t>
      </w:r>
    </w:p>
    <w:p w14:paraId="08706F26">
      <w:pPr>
        <w:spacing w:after="160" w:line="288" w:lineRule="auto"/>
      </w:pPr>
      <w:r>
        <w:rPr>
          <w:b w:val="0"/>
          <w:bCs w:val="0"/>
          <w:i w:val="0"/>
          <w:iCs w:val="0"/>
          <w:sz w:val="22"/>
          <w:szCs w:val="22"/>
        </w:rPr>
        <w:t>Order Block is the foundational concept. Mitigation Block and Breaker Block are the two possible outcomes when an Order Block is revisited. Fair Value Gap as a PD Array reframes Module 5's concept as one member of this same family. Key Support/Resistance as Contextual Levels connects the whole family back to Module 1's original support/resistance vocabulary.</w:t>
      </w:r>
    </w:p>
    <w:p w14:paraId="09752F24">
      <w:pPr>
        <w:pStyle w:val="3"/>
        <w:spacing w:before="360" w:after="160"/>
      </w:pPr>
      <w:r>
        <w:rPr>
          <w:b/>
          <w:bCs/>
          <w:color w:val="1B2A4A"/>
          <w:sz w:val="26"/>
          <w:szCs w:val="26"/>
        </w:rPr>
        <w:t>Practical Chart Exercise</w:t>
      </w:r>
    </w:p>
    <w:p w14:paraId="000F1AE6">
      <w:pPr>
        <w:spacing w:after="160" w:line="288" w:lineRule="auto"/>
      </w:pPr>
      <w:r>
        <w:rPr>
          <w:b w:val="0"/>
          <w:bCs w:val="0"/>
          <w:i w:val="0"/>
          <w:iCs w:val="0"/>
          <w:sz w:val="22"/>
          <w:szCs w:val="22"/>
        </w:rPr>
        <w:t>Given a bearish Order Block at 200–202 (the last up-candle before a strong bearish impulse move down to 180), describe what price behavior on a later retest of the 200–202 zone would indicate a Mitigation Block scenario, and what price behavior on that same retest would instead indicate a Breaker Block scenario. Then explain which of the two scenarios would make you more inclined to look for short (sell) opportunities, and why.</w:t>
      </w:r>
    </w:p>
    <w:p w14:paraId="7A120CAC">
      <w:pPr>
        <w:pStyle w:val="3"/>
        <w:spacing w:before="360" w:after="160"/>
      </w:pPr>
      <w:r>
        <w:rPr>
          <w:b/>
          <w:bCs/>
          <w:color w:val="1B2A4A"/>
          <w:sz w:val="26"/>
          <w:szCs w:val="26"/>
        </w:rPr>
        <w:t>Self-Test Questions</w:t>
      </w:r>
    </w:p>
    <w:p w14:paraId="463E876D">
      <w:pPr>
        <w:pStyle w:val="16"/>
        <w:numPr>
          <w:ilvl w:val="0"/>
          <w:numId w:val="1"/>
        </w:numPr>
        <w:spacing w:after="80" w:line="276" w:lineRule="auto"/>
      </w:pPr>
      <w:r>
        <w:rPr>
          <w:sz w:val="22"/>
          <w:szCs w:val="22"/>
        </w:rPr>
        <w:t>What is the difference between a bullish Order Block and a bearish Order Block?</w:t>
      </w:r>
    </w:p>
    <w:p w14:paraId="2EC82943">
      <w:pPr>
        <w:pStyle w:val="16"/>
        <w:numPr>
          <w:ilvl w:val="0"/>
          <w:numId w:val="1"/>
        </w:numPr>
        <w:spacing w:after="80" w:line="276" w:lineRule="auto"/>
      </w:pPr>
      <w:r>
        <w:rPr>
          <w:sz w:val="22"/>
          <w:szCs w:val="22"/>
        </w:rPr>
        <w:t>What single behavioral difference distinguishes a Mitigation Block from a Breaker Block?</w:t>
      </w:r>
    </w:p>
    <w:p w14:paraId="0EEDE884">
      <w:pPr>
        <w:pStyle w:val="16"/>
        <w:numPr>
          <w:ilvl w:val="0"/>
          <w:numId w:val="1"/>
        </w:numPr>
        <w:spacing w:after="80" w:line="276" w:lineRule="auto"/>
      </w:pPr>
      <w:r>
        <w:rPr>
          <w:sz w:val="22"/>
          <w:szCs w:val="22"/>
        </w:rPr>
        <w:t>What two broad families of tools does the PD Array umbrella category divide into, according to ICT-focused sources?</w:t>
      </w:r>
    </w:p>
    <w:p w14:paraId="6DFB8700">
      <w:pPr>
        <w:pStyle w:val="16"/>
        <w:numPr>
          <w:ilvl w:val="0"/>
          <w:numId w:val="1"/>
        </w:numPr>
        <w:spacing w:after="80" w:line="276" w:lineRule="auto"/>
      </w:pPr>
      <w:r>
        <w:rPr>
          <w:sz w:val="22"/>
          <w:szCs w:val="22"/>
        </w:rPr>
        <w:t>What is confluence, and why is it treated as increasing a PD array's significance?</w:t>
      </w:r>
    </w:p>
    <w:p w14:paraId="486F09FE">
      <w:pPr>
        <w:pStyle w:val="16"/>
        <w:numPr>
          <w:ilvl w:val="0"/>
          <w:numId w:val="1"/>
        </w:numPr>
        <w:spacing w:after="80" w:line="276" w:lineRule="auto"/>
      </w:pPr>
      <w:r>
        <w:rPr>
          <w:sz w:val="22"/>
          <w:szCs w:val="22"/>
        </w:rPr>
        <w:t>Why might a Fair Value Gap or Order Block found at an old, historically significant support or resistance level be treated as more significant than the same tool found at an unremarkable price?</w:t>
      </w:r>
    </w:p>
    <w:p w14:paraId="5F2866BF">
      <w:pPr>
        <w:pStyle w:val="3"/>
        <w:spacing w:before="360" w:after="160"/>
      </w:pPr>
      <w:r>
        <w:rPr>
          <w:b/>
          <w:bCs/>
          <w:color w:val="1B2A4A"/>
          <w:sz w:val="26"/>
          <w:szCs w:val="26"/>
        </w:rPr>
        <w:t>Common Misconceptions</w:t>
      </w:r>
    </w:p>
    <w:p w14:paraId="56A284C3">
      <w:pPr>
        <w:pStyle w:val="16"/>
        <w:numPr>
          <w:ilvl w:val="0"/>
          <w:numId w:val="2"/>
        </w:numPr>
        <w:spacing w:after="80" w:line="276" w:lineRule="auto"/>
      </w:pPr>
      <w:r>
        <w:rPr>
          <w:sz w:val="22"/>
          <w:szCs w:val="22"/>
        </w:rPr>
        <w:t>Believing a Mitigation Block and a Breaker Block are the same thing, or interchangeable terms, rather than two distinct outcomes distinguished by specific price behavior.</w:t>
      </w:r>
    </w:p>
    <w:p w14:paraId="0F0FB089">
      <w:pPr>
        <w:pStyle w:val="16"/>
        <w:numPr>
          <w:ilvl w:val="0"/>
          <w:numId w:val="2"/>
        </w:numPr>
        <w:spacing w:after="80" w:line="276" w:lineRule="auto"/>
      </w:pPr>
      <w:r>
        <w:rPr>
          <w:sz w:val="22"/>
          <w:szCs w:val="22"/>
        </w:rPr>
        <w:t>Believing an Order Block, Fair Value Gap, or Breaker Block must always coincide with an old key support/resistance level to be valid.</w:t>
      </w:r>
    </w:p>
    <w:p w14:paraId="164B4149">
      <w:pPr>
        <w:pStyle w:val="16"/>
        <w:numPr>
          <w:ilvl w:val="0"/>
          <w:numId w:val="2"/>
        </w:numPr>
        <w:spacing w:after="80" w:line="276" w:lineRule="auto"/>
      </w:pPr>
      <w:r>
        <w:rPr>
          <w:sz w:val="22"/>
          <w:szCs w:val="22"/>
        </w:rPr>
        <w:t>Believing the PD Array Matrix is a rigid mechanical formula that guarantees outcomes, rather than a ranked checklist of tools that still requires careful, context-specific judgment.</w:t>
      </w:r>
    </w:p>
    <w:p w14:paraId="67B3D077">
      <w:pPr>
        <w:pStyle w:val="16"/>
        <w:numPr>
          <w:ilvl w:val="0"/>
          <w:numId w:val="2"/>
        </w:numPr>
        <w:spacing w:after="80" w:line="276" w:lineRule="auto"/>
      </w:pPr>
      <w:r>
        <w:rPr>
          <w:sz w:val="22"/>
          <w:szCs w:val="22"/>
        </w:rPr>
        <w:t>Treating every candle before every move as an Order Block, without checking for genuine displacement and structural significance.</w:t>
      </w:r>
    </w:p>
    <w:p w14:paraId="5802E397">
      <w:pPr>
        <w:pStyle w:val="3"/>
        <w:spacing w:before="360" w:after="160"/>
      </w:pPr>
      <w:r>
        <w:rPr>
          <w:b/>
          <w:bCs/>
          <w:color w:val="1B2A4A"/>
          <w:sz w:val="26"/>
          <w:szCs w:val="26"/>
        </w:rPr>
        <w:t>Research Sources</w:t>
      </w:r>
    </w:p>
    <w:p w14:paraId="24224294">
      <w:pPr>
        <w:pStyle w:val="16"/>
        <w:numPr>
          <w:ilvl w:val="0"/>
          <w:numId w:val="2"/>
        </w:numPr>
        <w:spacing w:after="80" w:line="276" w:lineRule="auto"/>
      </w:pPr>
      <w:r>
        <w:rPr>
          <w:sz w:val="22"/>
          <w:szCs w:val="22"/>
        </w:rPr>
        <w:t>innercircletrader.net — "ICT Order Block Explained," "ICT Mitigation Block Explained," "ICT Breaker Block Trading," and "ICT PD Array Matrix — Premium &amp; Discount Trade Execution Framework."</w:t>
      </w:r>
    </w:p>
    <w:p w14:paraId="4A7F9B1B">
      <w:pPr>
        <w:pStyle w:val="16"/>
        <w:numPr>
          <w:ilvl w:val="0"/>
          <w:numId w:val="2"/>
        </w:numPr>
        <w:spacing w:after="80" w:line="276" w:lineRule="auto"/>
      </w:pPr>
      <w:r>
        <w:rPr>
          <w:sz w:val="22"/>
          <w:szCs w:val="22"/>
        </w:rPr>
        <w:t>michaeljhuddleston.org — "ICT Breaker Block Strategy: Turn Failed Order Blocks Into High-Probability Trades."</w:t>
      </w:r>
    </w:p>
    <w:p w14:paraId="71DC5F65">
      <w:pPr>
        <w:pStyle w:val="16"/>
        <w:numPr>
          <w:ilvl w:val="0"/>
          <w:numId w:val="2"/>
        </w:numPr>
        <w:spacing w:after="80" w:line="276" w:lineRule="auto"/>
      </w:pPr>
      <w:r>
        <w:rPr>
          <w:sz w:val="22"/>
          <w:szCs w:val="22"/>
        </w:rPr>
        <w:t>atas.net — "What Are ICT Order Blocks and Breaker Blocks in Trading?"</w:t>
      </w:r>
    </w:p>
    <w:p w14:paraId="65DE651D">
      <w:pPr>
        <w:pStyle w:val="16"/>
        <w:numPr>
          <w:ilvl w:val="0"/>
          <w:numId w:val="2"/>
        </w:numPr>
        <w:spacing w:after="80" w:line="276" w:lineRule="auto"/>
      </w:pPr>
      <w:r>
        <w:rPr>
          <w:sz w:val="22"/>
          <w:szCs w:val="22"/>
        </w:rPr>
        <w:t>fxopen.com — "Understanding PD Arrays in ICT: Meaning, Components, and Trading Use."</w:t>
      </w:r>
    </w:p>
    <w:p w14:paraId="527BCA6B">
      <w:pPr>
        <w:pStyle w:val="16"/>
        <w:numPr>
          <w:ilvl w:val="0"/>
          <w:numId w:val="2"/>
        </w:numPr>
        <w:spacing w:after="80" w:line="276" w:lineRule="auto"/>
      </w:pPr>
      <w:r>
        <w:rPr>
          <w:sz w:val="22"/>
          <w:szCs w:val="22"/>
        </w:rPr>
        <w:t>ictkillzone.com — "ICT Breaker Block vs Mitigation Block: The Definitive Guide."</w:t>
      </w:r>
    </w:p>
    <w:p w14:paraId="5F524726">
      <w:pPr>
        <w:pStyle w:val="16"/>
        <w:numPr>
          <w:ilvl w:val="0"/>
          <w:numId w:val="2"/>
        </w:numPr>
        <w:spacing w:after="80" w:line="276" w:lineRule="auto"/>
      </w:pPr>
      <w:r>
        <w:rPr>
          <w:sz w:val="22"/>
          <w:szCs w:val="22"/>
        </w:rPr>
        <w:t>strike.money — "Order Block: Overview, Formation, Types, Identification, Trading Guide."</w:t>
      </w:r>
    </w:p>
    <w:p w14:paraId="11228078">
      <w:pPr>
        <w:pStyle w:val="16"/>
        <w:numPr>
          <w:ilvl w:val="0"/>
          <w:numId w:val="2"/>
        </w:numPr>
        <w:spacing w:after="80" w:line="276" w:lineRule="auto"/>
      </w:pPr>
      <w:r>
        <w:rPr>
          <w:sz w:val="22"/>
          <w:szCs w:val="22"/>
        </w:rPr>
        <w:t>arongroups.co — "What Is PD array in ICT Trading?"</w:t>
      </w:r>
    </w:p>
    <w:p w14:paraId="29DA0CE7">
      <w:pPr>
        <w:pStyle w:val="16"/>
        <w:numPr>
          <w:ilvl w:val="0"/>
          <w:numId w:val="2"/>
        </w:numPr>
        <w:spacing w:after="80" w:line="276" w:lineRule="auto"/>
      </w:pPr>
      <w:r>
        <w:rPr>
          <w:sz w:val="22"/>
          <w:szCs w:val="22"/>
        </w:rPr>
        <w:t>tradingstrategyguides.com — "Day 11: Supply &amp; Demand Zones Vs Order Blocks" and "Day 12: Breaker Blocks &amp; Mitigation Blocks Explained."</w:t>
      </w:r>
    </w:p>
    <w:p w14:paraId="3311652F">
      <w:pPr>
        <w:pStyle w:val="16"/>
        <w:numPr>
          <w:ilvl w:val="0"/>
          <w:numId w:val="2"/>
        </w:numPr>
        <w:spacing w:after="80" w:line="276" w:lineRule="auto"/>
      </w:pPr>
      <w:r>
        <w:rPr>
          <w:sz w:val="22"/>
          <w:szCs w:val="22"/>
        </w:rPr>
        <w:t>Note: this module documents a minor definitional variation across secondary sources regarding the precise Breaker/Mitigation distinction (failed-expansion-vs-complete-break, adopted here, versus a liquidity-sweep-based distinction used by some analytical tools). As in prior modules, no direct ICT primary-source transcript was accessible in this research pass to resolve this definitively.</w:t>
      </w:r>
    </w:p>
    <w:p w14:paraId="418382AF">
      <w:pPr>
        <w:pStyle w:val="16"/>
        <w:numPr>
          <w:ilvl w:val="0"/>
          <w:numId w:val="0"/>
        </w:numPr>
        <w:spacing w:after="80" w:line="276" w:lineRule="auto"/>
        <w:rPr>
          <w:sz w:val="22"/>
          <w:szCs w:val="22"/>
        </w:rPr>
      </w:pPr>
    </w:p>
    <w:p w14:paraId="59DF6940">
      <w:pPr>
        <w:pStyle w:val="16"/>
        <w:numPr>
          <w:ilvl w:val="0"/>
          <w:numId w:val="0"/>
        </w:numPr>
        <w:spacing w:after="80" w:line="276" w:lineRule="auto"/>
        <w:rPr>
          <w:sz w:val="22"/>
          <w:szCs w:val="22"/>
        </w:rPr>
      </w:pPr>
    </w:p>
    <w:p w14:paraId="65D08710">
      <w:pPr>
        <w:pStyle w:val="16"/>
        <w:numPr>
          <w:ilvl w:val="0"/>
          <w:numId w:val="0"/>
        </w:numPr>
        <w:spacing w:after="80" w:line="276" w:lineRule="auto"/>
        <w:rPr>
          <w:sz w:val="22"/>
          <w:szCs w:val="22"/>
        </w:rPr>
      </w:pPr>
    </w:p>
    <w:p w14:paraId="5545474F">
      <w:pPr>
        <w:pStyle w:val="16"/>
        <w:numPr>
          <w:ilvl w:val="0"/>
          <w:numId w:val="0"/>
        </w:numPr>
        <w:spacing w:after="80" w:line="276" w:lineRule="auto"/>
        <w:rPr>
          <w:sz w:val="22"/>
          <w:szCs w:val="22"/>
        </w:rPr>
      </w:pPr>
    </w:p>
    <w:p w14:paraId="57FAB817">
      <w:pPr>
        <w:pStyle w:val="16"/>
        <w:numPr>
          <w:ilvl w:val="0"/>
          <w:numId w:val="0"/>
        </w:numPr>
        <w:spacing w:after="80" w:line="276" w:lineRule="auto"/>
        <w:rPr>
          <w:sz w:val="22"/>
          <w:szCs w:val="22"/>
        </w:rPr>
      </w:pPr>
    </w:p>
    <w:p w14:paraId="0EAA88E7">
      <w:pPr>
        <w:pStyle w:val="16"/>
        <w:numPr>
          <w:ilvl w:val="0"/>
          <w:numId w:val="0"/>
        </w:numPr>
        <w:spacing w:after="80" w:line="276" w:lineRule="auto"/>
        <w:rPr>
          <w:sz w:val="22"/>
          <w:szCs w:val="22"/>
        </w:rPr>
      </w:pPr>
    </w:p>
    <w:p w14:paraId="04FFE2A4">
      <w:pPr>
        <w:pStyle w:val="16"/>
        <w:numPr>
          <w:ilvl w:val="0"/>
          <w:numId w:val="0"/>
        </w:numPr>
        <w:spacing w:after="80" w:line="276" w:lineRule="auto"/>
        <w:rPr>
          <w:sz w:val="22"/>
          <w:szCs w:val="22"/>
        </w:rPr>
      </w:pPr>
    </w:p>
    <w:p w14:paraId="25FE1BB2">
      <w:pPr>
        <w:pStyle w:val="16"/>
        <w:numPr>
          <w:ilvl w:val="0"/>
          <w:numId w:val="0"/>
        </w:numPr>
        <w:spacing w:after="80" w:line="276" w:lineRule="auto"/>
        <w:rPr>
          <w:sz w:val="22"/>
          <w:szCs w:val="22"/>
        </w:rPr>
      </w:pPr>
    </w:p>
    <w:p w14:paraId="6A31ECCF">
      <w:pPr>
        <w:pStyle w:val="16"/>
        <w:numPr>
          <w:ilvl w:val="0"/>
          <w:numId w:val="0"/>
        </w:numPr>
        <w:spacing w:after="80" w:line="276" w:lineRule="auto"/>
        <w:rPr>
          <w:sz w:val="22"/>
          <w:szCs w:val="22"/>
        </w:rPr>
      </w:pPr>
    </w:p>
    <w:p w14:paraId="6B11765C">
      <w:pPr>
        <w:pStyle w:val="16"/>
        <w:numPr>
          <w:ilvl w:val="0"/>
          <w:numId w:val="0"/>
        </w:numPr>
        <w:spacing w:after="80" w:line="276" w:lineRule="auto"/>
        <w:rPr>
          <w:sz w:val="22"/>
          <w:szCs w:val="22"/>
        </w:rPr>
      </w:pPr>
    </w:p>
    <w:p w14:paraId="7415B559">
      <w:pPr>
        <w:pStyle w:val="16"/>
        <w:numPr>
          <w:ilvl w:val="0"/>
          <w:numId w:val="0"/>
        </w:numPr>
        <w:spacing w:after="80" w:line="276" w:lineRule="auto"/>
        <w:rPr>
          <w:sz w:val="22"/>
          <w:szCs w:val="22"/>
        </w:rPr>
      </w:pPr>
    </w:p>
    <w:p w14:paraId="3E25612F">
      <w:pPr>
        <w:pStyle w:val="16"/>
        <w:numPr>
          <w:ilvl w:val="0"/>
          <w:numId w:val="0"/>
        </w:numPr>
        <w:spacing w:after="80" w:line="276" w:lineRule="auto"/>
        <w:rPr>
          <w:sz w:val="22"/>
          <w:szCs w:val="22"/>
        </w:rPr>
      </w:pPr>
    </w:p>
    <w:p w14:paraId="37CD94C0">
      <w:pPr>
        <w:pStyle w:val="16"/>
        <w:numPr>
          <w:ilvl w:val="0"/>
          <w:numId w:val="0"/>
        </w:numPr>
        <w:spacing w:after="80" w:line="276" w:lineRule="auto"/>
        <w:rPr>
          <w:sz w:val="22"/>
          <w:szCs w:val="22"/>
        </w:rPr>
      </w:pPr>
    </w:p>
    <w:p w14:paraId="55339128">
      <w:pPr>
        <w:pStyle w:val="16"/>
        <w:numPr>
          <w:ilvl w:val="0"/>
          <w:numId w:val="0"/>
        </w:numPr>
        <w:spacing w:after="80" w:line="276" w:lineRule="auto"/>
        <w:rPr>
          <w:sz w:val="22"/>
          <w:szCs w:val="22"/>
        </w:rPr>
      </w:pPr>
    </w:p>
    <w:p w14:paraId="539212B1">
      <w:pPr>
        <w:pStyle w:val="16"/>
        <w:numPr>
          <w:ilvl w:val="0"/>
          <w:numId w:val="0"/>
        </w:numPr>
        <w:spacing w:after="80" w:line="276" w:lineRule="auto"/>
        <w:rPr>
          <w:sz w:val="22"/>
          <w:szCs w:val="22"/>
        </w:rPr>
      </w:pPr>
    </w:p>
    <w:p w14:paraId="43293E2A">
      <w:pPr>
        <w:pStyle w:val="16"/>
        <w:numPr>
          <w:ilvl w:val="0"/>
          <w:numId w:val="0"/>
        </w:numPr>
        <w:spacing w:after="80" w:line="276" w:lineRule="auto"/>
        <w:rPr>
          <w:sz w:val="22"/>
          <w:szCs w:val="22"/>
        </w:rPr>
      </w:pPr>
    </w:p>
    <w:p w14:paraId="21BFDAB5">
      <w:pPr>
        <w:pStyle w:val="16"/>
        <w:numPr>
          <w:ilvl w:val="0"/>
          <w:numId w:val="0"/>
        </w:numPr>
        <w:spacing w:after="80" w:line="276" w:lineRule="auto"/>
        <w:rPr>
          <w:sz w:val="22"/>
          <w:szCs w:val="22"/>
        </w:rPr>
      </w:pPr>
    </w:p>
    <w:p w14:paraId="1C78E9E9">
      <w:pPr>
        <w:pStyle w:val="16"/>
        <w:numPr>
          <w:ilvl w:val="0"/>
          <w:numId w:val="0"/>
        </w:numPr>
        <w:spacing w:after="80" w:line="276" w:lineRule="auto"/>
        <w:rPr>
          <w:sz w:val="22"/>
          <w:szCs w:val="22"/>
        </w:rPr>
      </w:pPr>
    </w:p>
    <w:p w14:paraId="319E849B">
      <w:pPr>
        <w:pStyle w:val="16"/>
        <w:numPr>
          <w:ilvl w:val="0"/>
          <w:numId w:val="0"/>
        </w:numPr>
        <w:spacing w:after="80" w:line="276" w:lineRule="auto"/>
        <w:rPr>
          <w:sz w:val="22"/>
          <w:szCs w:val="22"/>
        </w:rPr>
      </w:pPr>
    </w:p>
    <w:p w14:paraId="27F98001">
      <w:pPr>
        <w:pStyle w:val="16"/>
        <w:numPr>
          <w:ilvl w:val="0"/>
          <w:numId w:val="0"/>
        </w:numPr>
        <w:spacing w:after="80" w:line="276" w:lineRule="auto"/>
        <w:rPr>
          <w:sz w:val="22"/>
          <w:szCs w:val="22"/>
        </w:rPr>
      </w:pPr>
    </w:p>
    <w:p w14:paraId="630B85DA">
      <w:pPr>
        <w:pStyle w:val="16"/>
        <w:numPr>
          <w:ilvl w:val="0"/>
          <w:numId w:val="0"/>
        </w:numPr>
        <w:spacing w:after="80" w:line="276" w:lineRule="auto"/>
        <w:rPr>
          <w:sz w:val="22"/>
          <w:szCs w:val="22"/>
        </w:rPr>
      </w:pPr>
    </w:p>
    <w:p w14:paraId="4C181F51">
      <w:pPr>
        <w:pStyle w:val="16"/>
        <w:numPr>
          <w:ilvl w:val="0"/>
          <w:numId w:val="0"/>
        </w:numPr>
        <w:spacing w:after="80" w:line="276" w:lineRule="auto"/>
        <w:rPr>
          <w:sz w:val="22"/>
          <w:szCs w:val="22"/>
        </w:rPr>
      </w:pPr>
    </w:p>
    <w:p w14:paraId="1098752C">
      <w:pPr>
        <w:pStyle w:val="16"/>
        <w:numPr>
          <w:ilvl w:val="0"/>
          <w:numId w:val="0"/>
        </w:numPr>
        <w:spacing w:after="80" w:line="276" w:lineRule="auto"/>
        <w:rPr>
          <w:sz w:val="22"/>
          <w:szCs w:val="22"/>
        </w:rPr>
      </w:pPr>
    </w:p>
    <w:p w14:paraId="60AAA693">
      <w:pPr>
        <w:pStyle w:val="16"/>
        <w:numPr>
          <w:ilvl w:val="0"/>
          <w:numId w:val="0"/>
        </w:numPr>
        <w:spacing w:after="80" w:line="276" w:lineRule="auto"/>
        <w:rPr>
          <w:sz w:val="22"/>
          <w:szCs w:val="22"/>
        </w:rPr>
      </w:pPr>
    </w:p>
    <w:p w14:paraId="63D01B86">
      <w:pPr>
        <w:pStyle w:val="16"/>
        <w:numPr>
          <w:ilvl w:val="0"/>
          <w:numId w:val="0"/>
        </w:numPr>
        <w:spacing w:after="80" w:line="276" w:lineRule="auto"/>
        <w:rPr>
          <w:sz w:val="22"/>
          <w:szCs w:val="22"/>
        </w:rPr>
      </w:pPr>
    </w:p>
    <w:p w14:paraId="07DAB1A3">
      <w:pPr>
        <w:pStyle w:val="16"/>
        <w:numPr>
          <w:ilvl w:val="0"/>
          <w:numId w:val="0"/>
        </w:numPr>
        <w:spacing w:after="80" w:line="276" w:lineRule="auto"/>
        <w:rPr>
          <w:sz w:val="22"/>
          <w:szCs w:val="22"/>
        </w:rPr>
      </w:pPr>
    </w:p>
    <w:p w14:paraId="047A6CBC">
      <w:pPr>
        <w:pStyle w:val="16"/>
        <w:numPr>
          <w:ilvl w:val="0"/>
          <w:numId w:val="0"/>
        </w:numPr>
        <w:spacing w:after="80" w:line="276" w:lineRule="auto"/>
        <w:rPr>
          <w:sz w:val="22"/>
          <w:szCs w:val="22"/>
        </w:rPr>
      </w:pPr>
    </w:p>
    <w:p w14:paraId="3FACBE19">
      <w:pPr>
        <w:pStyle w:val="16"/>
        <w:numPr>
          <w:ilvl w:val="0"/>
          <w:numId w:val="0"/>
        </w:numPr>
        <w:spacing w:after="80" w:line="276" w:lineRule="auto"/>
        <w:rPr>
          <w:sz w:val="22"/>
          <w:szCs w:val="22"/>
        </w:rPr>
      </w:pPr>
    </w:p>
    <w:p w14:paraId="1AE09A26">
      <w:pPr>
        <w:pStyle w:val="16"/>
        <w:numPr>
          <w:ilvl w:val="0"/>
          <w:numId w:val="0"/>
        </w:numPr>
        <w:spacing w:after="80" w:line="276" w:lineRule="auto"/>
        <w:rPr>
          <w:sz w:val="22"/>
          <w:szCs w:val="22"/>
        </w:rPr>
      </w:pPr>
    </w:p>
    <w:p w14:paraId="22C80C01">
      <w:pPr>
        <w:pStyle w:val="16"/>
        <w:numPr>
          <w:ilvl w:val="0"/>
          <w:numId w:val="0"/>
        </w:numPr>
        <w:spacing w:after="80" w:line="276" w:lineRule="auto"/>
        <w:rPr>
          <w:sz w:val="22"/>
          <w:szCs w:val="22"/>
        </w:rPr>
      </w:pPr>
    </w:p>
    <w:p w14:paraId="5BED3D2B">
      <w:pPr>
        <w:pStyle w:val="2"/>
        <w:pBdr>
          <w:bottom w:val="single" w:color="1B2A4A" w:sz="12" w:space="4"/>
        </w:pBdr>
        <w:spacing w:before="480" w:after="240"/>
      </w:pPr>
      <w:r>
        <w:rPr>
          <w:b/>
          <w:bCs/>
          <w:color w:val="1B2A4A"/>
          <w:sz w:val="34"/>
          <w:szCs w:val="34"/>
        </w:rPr>
        <w:t>MODULE 7</w:t>
      </w:r>
    </w:p>
    <w:p w14:paraId="70C5EB14">
      <w:pPr>
        <w:spacing w:after="300"/>
      </w:pPr>
      <w:r>
        <w:rPr>
          <w:b/>
          <w:bCs/>
          <w:color w:val="9A7B2E"/>
          <w:sz w:val="30"/>
          <w:szCs w:val="30"/>
        </w:rPr>
        <w:t>Fibonacci &amp; OTE</w:t>
      </w:r>
    </w:p>
    <w:p w14:paraId="7A277EAB">
      <w:pPr>
        <w:spacing w:after="160" w:line="288" w:lineRule="auto"/>
      </w:pPr>
      <w:r>
        <w:rPr>
          <w:b w:val="0"/>
          <w:bCs w:val="0"/>
          <w:i w:val="0"/>
          <w:iCs w:val="0"/>
          <w:sz w:val="22"/>
          <w:szCs w:val="22"/>
        </w:rPr>
        <w:t>Every module so far has built toward one recurring question: once you know the direction (bias) and you know a specific zone of interest (a PD array from Module 6), exactly where, within a retracement, should an entry actually be placed? This module answers that question in full.</w:t>
      </w:r>
    </w:p>
    <w:p w14:paraId="1586E4B9">
      <w:pPr>
        <w:spacing w:after="160" w:line="288" w:lineRule="auto"/>
      </w:pPr>
      <w:r>
        <w:rPr>
          <w:b w:val="0"/>
          <w:bCs w:val="0"/>
          <w:i w:val="0"/>
          <w:iCs w:val="0"/>
          <w:sz w:val="22"/>
          <w:szCs w:val="22"/>
        </w:rPr>
        <w:t>You will learn how ICT-focused teaching adapts the conventional Fibonacci retracement tool into a stricter, more specific framework — dividing a price swing into premium and discount halves around an equilibrium midpoint, then narrowing further into a specific, heavily emphasized sub-zone called the Optimal Trade Entry, or OTE. The module then walks through the practical discipline of waiting for a genuine retracement into that zone, and finally arrives at the complete entry zone: an actual entry price, stop-loss, and profit target.</w:t>
      </w:r>
    </w:p>
    <w:p w14:paraId="3C1B65B6">
      <w:pPr>
        <w:spacing w:after="160" w:line="288" w:lineRule="auto"/>
      </w:pPr>
      <w:r>
        <w:rPr>
          <w:b w:val="0"/>
          <w:bCs w:val="0"/>
          <w:i w:val="0"/>
          <w:iCs w:val="0"/>
          <w:sz w:val="22"/>
          <w:szCs w:val="22"/>
        </w:rPr>
        <w:t>This module assumes fluency with Displacement (Module 5), Market Structure Shift (Module 3), and PD Arrays (Module 6) — the OTE concept is built directly on top of all three, and does not stand on its own without them.</w:t>
      </w:r>
    </w:p>
    <w:p w14:paraId="56DCDAB1">
      <w:r>
        <w:br w:type="page"/>
      </w:r>
    </w:p>
    <w:p w14:paraId="148CD471">
      <w:pPr>
        <w:pStyle w:val="2"/>
        <w:pBdr>
          <w:bottom w:val="single" w:color="1B2A4A" w:sz="12" w:space="4"/>
        </w:pBdr>
        <w:spacing w:before="480" w:after="240"/>
      </w:pPr>
      <w:r>
        <w:rPr>
          <w:b/>
          <w:bCs/>
          <w:color w:val="1B2A4A"/>
          <w:sz w:val="34"/>
          <w:szCs w:val="34"/>
        </w:rPr>
        <w:t>Fibonacci Retracement</w:t>
      </w:r>
    </w:p>
    <w:p w14:paraId="11BCB5AB">
      <w:pPr>
        <w:pStyle w:val="3"/>
        <w:spacing w:before="360" w:after="160"/>
      </w:pPr>
      <w:r>
        <w:rPr>
          <w:b/>
          <w:bCs/>
          <w:color w:val="1B2A4A"/>
          <w:sz w:val="26"/>
          <w:szCs w:val="26"/>
        </w:rPr>
        <w:t>1. Definition</w:t>
      </w:r>
    </w:p>
    <w:p w14:paraId="6AD05472">
      <w:pPr>
        <w:spacing w:after="160" w:line="288" w:lineRule="auto"/>
      </w:pPr>
      <w:r>
        <w:rPr>
          <w:b w:val="0"/>
          <w:bCs w:val="0"/>
          <w:i w:val="0"/>
          <w:iCs w:val="0"/>
          <w:sz w:val="22"/>
          <w:szCs w:val="22"/>
        </w:rPr>
        <w:t>Fibonacci retracement is a charting tool that divides the vertical distance of a price swing into a series of horizontal levels based on ratios derived from the Fibonacci number sequence (most commonly 23.6%, 38.2%, 50%, 61.8%, and 78.6%), used to identify potential zones where a pullback within a larger move might pause or reverse.</w:t>
      </w:r>
    </w:p>
    <w:p w14:paraId="0DE28D95">
      <w:pPr>
        <w:pStyle w:val="3"/>
        <w:spacing w:before="360" w:after="160"/>
      </w:pPr>
      <w:r>
        <w:rPr>
          <w:b/>
          <w:bCs/>
          <w:color w:val="1B2A4A"/>
          <w:sz w:val="26"/>
          <w:szCs w:val="26"/>
        </w:rPr>
        <w:t>2. ICT's Meaning</w:t>
      </w:r>
    </w:p>
    <w:p w14:paraId="43FAD61A">
      <w:pPr>
        <w:spacing w:after="160" w:line="288" w:lineRule="auto"/>
      </w:pPr>
      <w:r>
        <w:rPr>
          <w:b w:val="0"/>
          <w:bCs w:val="0"/>
          <w:i w:val="0"/>
          <w:iCs w:val="0"/>
          <w:sz w:val="22"/>
          <w:szCs w:val="22"/>
        </w:rPr>
        <w:t>ICT-focused teaching adopts the general Fibonacci retracement tool from conventional technical analysis but applies it with a distinct set of rules and a narrower purpose. Rather than treating every standard Fibonacci level as an equally valid target, ICT-focused sources describe a specific, smaller set of levels — centered on 50%, 62%, 70.5%, and 79% — as the ones that matter most within this framework, discussed fully in the next two concepts.</w:t>
      </w:r>
    </w:p>
    <w:p w14:paraId="160A055B">
      <w:pPr>
        <w:spacing w:after="160" w:line="288" w:lineRule="auto"/>
      </w:pPr>
      <w:r>
        <w:rPr>
          <w:b w:val="0"/>
          <w:bCs w:val="0"/>
          <w:i w:val="0"/>
          <w:iCs w:val="0"/>
          <w:sz w:val="22"/>
          <w:szCs w:val="22"/>
        </w:rPr>
        <w:t>A specific and consistently repeated procedural rule across ICT-focused sources is that the Fibonacci tool should be drawn from candle body to candle body (open-to-close), not from wick to wick. The stated reasoning is that wicks are frequently the product of brief liquidity sweeps and vary in size across different brokers and data feeds, whereas candle bodies are considered to give a cleaner, more broker-consistent, and more repeatable set of levels.</w:t>
      </w:r>
    </w:p>
    <w:p w14:paraId="517573A9">
      <w:pPr>
        <w:spacing w:after="160" w:line="288" w:lineRule="auto"/>
      </w:pPr>
      <w:r>
        <w:rPr>
          <w:b w:val="0"/>
          <w:bCs w:val="0"/>
          <w:i w:val="0"/>
          <w:iCs w:val="0"/>
          <w:sz w:val="22"/>
          <w:szCs w:val="22"/>
        </w:rPr>
        <w:t>ICT-focused sources are also consistent that the specific direction the tool is drawn in matters: for a bullish swing, the tool is drawn from the swing low up to the swing high; for a bearish swing, it is drawn from the swing high down to the swing low. Drawing the tool backward is described as a common and consequential beginner error, since it inverts which side of the range counts as a discount versus a premium (see Premium/Discount, developed further below).</w:t>
      </w:r>
    </w:p>
    <w:p w14:paraId="06AA0B56">
      <w:pPr>
        <w:pStyle w:val="3"/>
        <w:spacing w:before="360" w:after="160"/>
      </w:pPr>
      <w:r>
        <w:rPr>
          <w:b/>
          <w:bCs/>
          <w:color w:val="1B2A4A"/>
          <w:sz w:val="26"/>
          <w:szCs w:val="26"/>
        </w:rPr>
        <w:t>3. Beginner Explanation</w:t>
      </w:r>
    </w:p>
    <w:p w14:paraId="5F511A14">
      <w:pPr>
        <w:spacing w:after="160" w:line="288" w:lineRule="auto"/>
      </w:pPr>
      <w:r>
        <w:rPr>
          <w:b w:val="0"/>
          <w:bCs w:val="0"/>
          <w:i w:val="0"/>
          <w:iCs w:val="0"/>
          <w:sz w:val="22"/>
          <w:szCs w:val="22"/>
        </w:rPr>
        <w:t>Imagine measuring the full height of a single up-and-down movement on a chart, then marking off that height in specific fractional slices — a third of the way back down, halfway back down, about two-thirds of the way back down, and so on. Fibonacci retracement is simply this act of slicing a price move into these specific fractional levels, based on a mathematical sequence of numbers that has, for reasons debated well beyond ICT's own framework, repeatedly shown up as a level where price pauses or reverses across many markets and historical periods.</w:t>
      </w:r>
    </w:p>
    <w:p w14:paraId="79FDC04B">
      <w:pPr>
        <w:pStyle w:val="3"/>
        <w:spacing w:before="360" w:after="160"/>
      </w:pPr>
      <w:r>
        <w:rPr>
          <w:b/>
          <w:bCs/>
          <w:color w:val="1B2A4A"/>
          <w:sz w:val="26"/>
          <w:szCs w:val="26"/>
        </w:rPr>
        <w:t>4. How to Identify It</w:t>
      </w:r>
    </w:p>
    <w:p w14:paraId="7DD3433D">
      <w:pPr>
        <w:pStyle w:val="16"/>
        <w:numPr>
          <w:ilvl w:val="0"/>
          <w:numId w:val="1"/>
        </w:numPr>
        <w:spacing w:after="80" w:line="276" w:lineRule="auto"/>
      </w:pPr>
      <w:r>
        <w:rPr>
          <w:sz w:val="22"/>
          <w:szCs w:val="22"/>
        </w:rPr>
        <w:t>Identify a clear, confirmed swing — a genuine impulse move formed by displacement (Module 5), not a slow, indecisive drift.</w:t>
      </w:r>
    </w:p>
    <w:p w14:paraId="4D6E7B3E">
      <w:pPr>
        <w:pStyle w:val="16"/>
        <w:numPr>
          <w:ilvl w:val="0"/>
          <w:numId w:val="1"/>
        </w:numPr>
        <w:spacing w:after="80" w:line="276" w:lineRule="auto"/>
      </w:pPr>
      <w:r>
        <w:rPr>
          <w:sz w:val="22"/>
          <w:szCs w:val="22"/>
        </w:rPr>
        <w:t>For a bullish swing, apply the Fibonacci retracement tool from the swing low (anchored at 100%) to the swing high (anchored at 0%), using candle body prices rather than wicks.</w:t>
      </w:r>
    </w:p>
    <w:p w14:paraId="21C2D622">
      <w:pPr>
        <w:pStyle w:val="16"/>
        <w:numPr>
          <w:ilvl w:val="0"/>
          <w:numId w:val="1"/>
        </w:numPr>
        <w:spacing w:after="80" w:line="276" w:lineRule="auto"/>
      </w:pPr>
      <w:r>
        <w:rPr>
          <w:sz w:val="22"/>
          <w:szCs w:val="22"/>
        </w:rPr>
        <w:t>For a bearish swing, apply the tool from the swing high (anchored at 100%) down to the swing low (anchored at 0%), again using candle bodies.</w:t>
      </w:r>
    </w:p>
    <w:p w14:paraId="6CB14ED4">
      <w:pPr>
        <w:pStyle w:val="16"/>
        <w:numPr>
          <w:ilvl w:val="0"/>
          <w:numId w:val="1"/>
        </w:numPr>
        <w:spacing w:after="80" w:line="276" w:lineRule="auto"/>
      </w:pPr>
      <w:r>
        <w:rPr>
          <w:sz w:val="22"/>
          <w:szCs w:val="22"/>
        </w:rPr>
        <w:t>Note the resulting horizontal levels, paying particular attention to 50%, 62%, 70.5%, and 79% — the specific levels ICT-focused teaching emphasizes, covered in the next two concepts.</w:t>
      </w:r>
    </w:p>
    <w:p w14:paraId="6E413DFC">
      <w:pPr>
        <w:pStyle w:val="3"/>
        <w:spacing w:before="360" w:after="160"/>
      </w:pPr>
      <w:r>
        <w:rPr>
          <w:b/>
          <w:bCs/>
          <w:color w:val="1B2A4A"/>
          <w:sz w:val="26"/>
          <w:szCs w:val="26"/>
        </w:rPr>
        <w:t>5. Simple Price Example</w:t>
      </w:r>
    </w:p>
    <w:p w14:paraId="45C0346D">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Bullish swing from a low of 100 to a high of 200 (candle body values)</w:t>
      </w:r>
    </w:p>
    <w:p w14:paraId="15913045">
      <w:pPr>
        <w:spacing w:after="160" w:line="288" w:lineRule="auto"/>
      </w:pPr>
      <w:r>
        <w:rPr>
          <w:b w:val="0"/>
          <w:bCs w:val="0"/>
          <w:i w:val="0"/>
          <w:iCs w:val="0"/>
          <w:sz w:val="22"/>
          <w:szCs w:val="22"/>
        </w:rPr>
        <w:t>The full swing spans 100 points (from 100 to 200). A 50% retracement of this swing sits at 150 (halfway back down). A 62% retracement sits at 138 (62% of the way back down from 200 toward 100). These specific price levels — 150, 138, and others — are what the Fibonacci retracement tool calculates and displays once anchored correctly to this swing.</w:t>
      </w:r>
    </w:p>
    <w:p w14:paraId="2F302D6C">
      <w:pPr>
        <w:pStyle w:val="3"/>
        <w:spacing w:before="360" w:after="160"/>
      </w:pPr>
      <w:r>
        <w:rPr>
          <w:b/>
          <w:bCs/>
          <w:color w:val="1B2A4A"/>
          <w:sz w:val="26"/>
          <w:szCs w:val="26"/>
        </w:rPr>
        <w:t>6. What It Tells the Trader</w:t>
      </w:r>
    </w:p>
    <w:p w14:paraId="47BC1E35">
      <w:pPr>
        <w:spacing w:after="160" w:line="288" w:lineRule="auto"/>
      </w:pPr>
      <w:r>
        <w:rPr>
          <w:b w:val="0"/>
          <w:bCs w:val="0"/>
          <w:i w:val="0"/>
          <w:iCs w:val="0"/>
          <w:sz w:val="22"/>
          <w:szCs w:val="22"/>
        </w:rPr>
        <w:t>Fibonacci retracement tells the trader a set of specific, mathematically derived candidate price levels within a pullback where a reaction is historically plausible, giving an objective, repeatable way to anticipate how deep a retracement might go before the original move potentially resumes.</w:t>
      </w:r>
    </w:p>
    <w:p w14:paraId="3BA8B1ED">
      <w:pPr>
        <w:spacing w:after="160" w:line="288" w:lineRule="auto"/>
      </w:pPr>
      <w:r>
        <w:rPr>
          <w:b w:val="0"/>
          <w:bCs w:val="0"/>
          <w:i w:val="0"/>
          <w:iCs w:val="0"/>
          <w:sz w:val="22"/>
          <w:szCs w:val="22"/>
        </w:rPr>
        <w:t>It does not tell the trader that price will retrace to any specific level, or that a level, once reached, will definitely produce a reaction rather than a continued move through it.</w:t>
      </w:r>
    </w:p>
    <w:p w14:paraId="784BD0E4">
      <w:pPr>
        <w:pStyle w:val="3"/>
        <w:spacing w:before="360" w:after="160"/>
      </w:pPr>
      <w:r>
        <w:rPr>
          <w:b/>
          <w:bCs/>
          <w:color w:val="1B2A4A"/>
          <w:sz w:val="26"/>
          <w:szCs w:val="26"/>
        </w:rPr>
        <w:t>7. What It Is Commonly Paired With</w:t>
      </w:r>
    </w:p>
    <w:p w14:paraId="153DC273">
      <w:pPr>
        <w:pStyle w:val="16"/>
        <w:numPr>
          <w:ilvl w:val="0"/>
          <w:numId w:val="2"/>
        </w:numPr>
        <w:spacing w:after="80" w:line="276" w:lineRule="auto"/>
      </w:pPr>
      <w:r>
        <w:rPr>
          <w:sz w:val="22"/>
          <w:szCs w:val="22"/>
        </w:rPr>
        <w:t>ICT Fibonacci Framework</w:t>
      </w:r>
    </w:p>
    <w:p w14:paraId="18AF045A">
      <w:pPr>
        <w:pStyle w:val="16"/>
        <w:numPr>
          <w:ilvl w:val="0"/>
          <w:numId w:val="2"/>
        </w:numPr>
        <w:spacing w:after="80" w:line="276" w:lineRule="auto"/>
      </w:pPr>
      <w:r>
        <w:rPr>
          <w:sz w:val="22"/>
          <w:szCs w:val="22"/>
        </w:rPr>
        <w:t>ICT Fibonacci Levels</w:t>
      </w:r>
    </w:p>
    <w:p w14:paraId="59D4FE14">
      <w:pPr>
        <w:pStyle w:val="16"/>
        <w:numPr>
          <w:ilvl w:val="0"/>
          <w:numId w:val="2"/>
        </w:numPr>
        <w:spacing w:after="80" w:line="276" w:lineRule="auto"/>
      </w:pPr>
      <w:r>
        <w:rPr>
          <w:sz w:val="22"/>
          <w:szCs w:val="22"/>
        </w:rPr>
        <w:t>Optimal Trade Entry (OTE)</w:t>
      </w:r>
    </w:p>
    <w:p w14:paraId="0AA9BA03">
      <w:pPr>
        <w:spacing w:after="160" w:line="288" w:lineRule="auto"/>
      </w:pPr>
      <w:r>
        <w:rPr>
          <w:b w:val="0"/>
          <w:bCs w:val="0"/>
          <w:i w:val="0"/>
          <w:iCs w:val="0"/>
          <w:sz w:val="22"/>
          <w:szCs w:val="22"/>
        </w:rPr>
        <w:t>Fibonacci retracement is the general mathematical tool; the next two concepts in this module describe specifically how ICT-focused teaching applies and restricts this general tool, and the Optimal Trade Entry concept describes the single most emphasized zone that results from this application.</w:t>
      </w:r>
    </w:p>
    <w:p w14:paraId="4A75EF4A">
      <w:pPr>
        <w:pStyle w:val="3"/>
        <w:spacing w:before="360" w:after="160"/>
      </w:pPr>
      <w:r>
        <w:rPr>
          <w:b/>
          <w:bCs/>
          <w:color w:val="1B2A4A"/>
          <w:sz w:val="26"/>
          <w:szCs w:val="26"/>
        </w:rPr>
        <w:t>8. Where It Fits in the ICT Framework</w:t>
      </w:r>
    </w:p>
    <w:p w14:paraId="0F6C6107">
      <w:pPr>
        <w:spacing w:after="160" w:line="288" w:lineRule="auto"/>
      </w:pPr>
      <w:r>
        <w:rPr>
          <w:b w:val="0"/>
          <w:bCs w:val="0"/>
          <w:i w:val="0"/>
          <w:iCs w:val="0"/>
          <w:sz w:val="22"/>
          <w:szCs w:val="22"/>
        </w:rPr>
        <w:t>Comes before: Requires Retracement (Module 1) and Displacement (Module 5) — a Fibonacci retracement is only meaningfully applied to a genuine, displacement-driven swing.</w:t>
      </w:r>
    </w:p>
    <w:p w14:paraId="5F211B12">
      <w:pPr>
        <w:spacing w:after="160" w:line="288" w:lineRule="auto"/>
      </w:pPr>
      <w:r>
        <w:rPr>
          <w:b w:val="0"/>
          <w:bCs w:val="0"/>
          <w:i w:val="0"/>
          <w:iCs w:val="0"/>
          <w:sz w:val="22"/>
          <w:szCs w:val="22"/>
        </w:rPr>
        <w:t>Comes after: Feeds directly into the ICT Fibonacci Framework and ICT Fibonacci Levels.</w:t>
      </w:r>
    </w:p>
    <w:p w14:paraId="35471E44">
      <w:pPr>
        <w:pStyle w:val="3"/>
        <w:spacing w:before="360" w:after="160"/>
      </w:pPr>
      <w:r>
        <w:rPr>
          <w:b/>
          <w:bCs/>
          <w:color w:val="1B2A4A"/>
          <w:sz w:val="26"/>
          <w:szCs w:val="26"/>
        </w:rPr>
        <w:t>9. Beginner Mistakes</w:t>
      </w:r>
    </w:p>
    <w:p w14:paraId="0D51C169">
      <w:pPr>
        <w:pStyle w:val="16"/>
        <w:numPr>
          <w:ilvl w:val="0"/>
          <w:numId w:val="2"/>
        </w:numPr>
        <w:spacing w:after="80" w:line="276" w:lineRule="auto"/>
      </w:pPr>
      <w:r>
        <w:rPr>
          <w:sz w:val="22"/>
          <w:szCs w:val="22"/>
        </w:rPr>
        <w:t>Drawing the Fibonacci tool backward (high to low for a bullish swing, or low to high for a bearish swing), which inverts the resulting premium/discount reading.</w:t>
      </w:r>
    </w:p>
    <w:p w14:paraId="540334B0">
      <w:pPr>
        <w:pStyle w:val="16"/>
        <w:numPr>
          <w:ilvl w:val="0"/>
          <w:numId w:val="2"/>
        </w:numPr>
        <w:spacing w:after="80" w:line="276" w:lineRule="auto"/>
      </w:pPr>
      <w:r>
        <w:rPr>
          <w:sz w:val="22"/>
          <w:szCs w:val="22"/>
        </w:rPr>
        <w:t>Anchoring the tool to candle wicks instead of candle bodies, producing less consistent levels.</w:t>
      </w:r>
    </w:p>
    <w:p w14:paraId="7AF82A07">
      <w:pPr>
        <w:pStyle w:val="16"/>
        <w:numPr>
          <w:ilvl w:val="0"/>
          <w:numId w:val="2"/>
        </w:numPr>
        <w:spacing w:after="80" w:line="276" w:lineRule="auto"/>
      </w:pPr>
      <w:r>
        <w:rPr>
          <w:sz w:val="22"/>
          <w:szCs w:val="22"/>
        </w:rPr>
        <w:t>Applying Fibonacci retracement to a slow, indecisive drift rather than a genuine displacement-driven swing.</w:t>
      </w:r>
    </w:p>
    <w:p w14:paraId="6DBC92D4">
      <w:pPr>
        <w:pStyle w:val="3"/>
        <w:spacing w:before="360" w:after="160"/>
      </w:pPr>
      <w:r>
        <w:rPr>
          <w:b/>
          <w:bCs/>
          <w:color w:val="1B2A4A"/>
          <w:sz w:val="26"/>
          <w:szCs w:val="26"/>
        </w:rPr>
        <w:t>10. Important Qualification</w:t>
      </w:r>
    </w:p>
    <w:p w14:paraId="2F8B504E">
      <w:pPr>
        <w:pBdr>
          <w:left w:val="single" w:color="7A2E2E" w:sz="24" w:space="8"/>
        </w:pBdr>
        <w:shd w:val="clear" w:fill="EFEFEF"/>
        <w:spacing w:before="160" w:after="200"/>
        <w:ind w:left="200"/>
      </w:pPr>
      <w:r>
        <w:rPr>
          <w:b/>
          <w:bCs/>
          <w:color w:val="7A2E2E"/>
          <w:sz w:val="21"/>
          <w:szCs w:val="21"/>
        </w:rPr>
        <w:t xml:space="preserve">Qualification: </w:t>
      </w:r>
      <w:r>
        <w:rPr>
          <w:sz w:val="21"/>
          <w:szCs w:val="21"/>
        </w:rPr>
        <w:t>Fibonacci retracement levels are historically observed tendencies, not guaranteed turning points. Price frequently overshoots or falls short of any specific level, which is part of why ICT-focused teaching narrows its focus to a specific zone (OTE) and requires additional confirmation (structure, liquidity, PD arrays) rather than trading a bare Fibonacci level in isolation.</w:t>
      </w:r>
    </w:p>
    <w:p w14:paraId="0351DC7C">
      <w:pPr>
        <w:pStyle w:val="3"/>
        <w:spacing w:before="360" w:after="160"/>
      </w:pPr>
      <w:r>
        <w:rPr>
          <w:b/>
          <w:bCs/>
          <w:color w:val="1B2A4A"/>
          <w:sz w:val="26"/>
          <w:szCs w:val="26"/>
        </w:rPr>
        <w:t>11. Source</w:t>
      </w:r>
    </w:p>
    <w:p w14:paraId="4E2683B0"/>
    <w:p w14:paraId="08F68B5F">
      <w:pPr>
        <w:pStyle w:val="16"/>
        <w:numPr>
          <w:ilvl w:val="0"/>
          <w:numId w:val="2"/>
        </w:numPr>
        <w:spacing w:after="80" w:line="276" w:lineRule="auto"/>
      </w:pPr>
      <w:r>
        <w:rPr>
          <w:sz w:val="22"/>
          <w:szCs w:val="22"/>
        </w:rPr>
        <w:t>arongroups.co — "Optimal Trade Entry Techniques for ICT Traders."</w:t>
      </w:r>
    </w:p>
    <w:p w14:paraId="518C2C43">
      <w:pPr>
        <w:pStyle w:val="16"/>
        <w:numPr>
          <w:ilvl w:val="0"/>
          <w:numId w:val="2"/>
        </w:numPr>
        <w:spacing w:after="80" w:line="276" w:lineRule="auto"/>
      </w:pPr>
      <w:r>
        <w:rPr>
          <w:sz w:val="22"/>
          <w:szCs w:val="22"/>
        </w:rPr>
        <w:t>tradingstrategyguides.com — "Understanding ICT Optimal Trade Entry OTE With Fibonacci" (candle-body-to-body drawing rule).</w:t>
      </w:r>
    </w:p>
    <w:p w14:paraId="582AAFC8">
      <w:pPr>
        <w:pStyle w:val="16"/>
        <w:numPr>
          <w:ilvl w:val="0"/>
          <w:numId w:val="2"/>
        </w:numPr>
        <w:spacing w:after="80" w:line="276" w:lineRule="auto"/>
      </w:pPr>
      <w:r>
        <w:rPr>
          <w:sz w:val="22"/>
          <w:szCs w:val="22"/>
        </w:rPr>
        <w:t>innercircletrader.net — "ICT Fibonacci Settings — Exact Fib Levels, OTE 70.5% &amp; Std Deviation."</w:t>
      </w:r>
    </w:p>
    <w:p w14:paraId="52A2FC87">
      <w:r>
        <w:br w:type="page"/>
      </w:r>
    </w:p>
    <w:p w14:paraId="21A44F56">
      <w:pPr>
        <w:pStyle w:val="2"/>
        <w:pBdr>
          <w:bottom w:val="single" w:color="1B2A4A" w:sz="12" w:space="4"/>
        </w:pBdr>
        <w:spacing w:before="480" w:after="240"/>
      </w:pPr>
      <w:r>
        <w:rPr>
          <w:b/>
          <w:bCs/>
          <w:color w:val="1B2A4A"/>
          <w:sz w:val="34"/>
          <w:szCs w:val="34"/>
        </w:rPr>
        <w:t>ICT Fibonacci Framework</w:t>
      </w:r>
    </w:p>
    <w:p w14:paraId="30A6E93D">
      <w:pPr>
        <w:pStyle w:val="3"/>
        <w:spacing w:before="360" w:after="160"/>
      </w:pPr>
      <w:r>
        <w:rPr>
          <w:b/>
          <w:bCs/>
          <w:color w:val="1B2A4A"/>
          <w:sz w:val="26"/>
          <w:szCs w:val="26"/>
        </w:rPr>
        <w:t>1. Definition</w:t>
      </w:r>
    </w:p>
    <w:p w14:paraId="56C11057">
      <w:pPr>
        <w:spacing w:after="160" w:line="288" w:lineRule="auto"/>
      </w:pPr>
      <w:r>
        <w:rPr>
          <w:b w:val="0"/>
          <w:bCs w:val="0"/>
          <w:i w:val="0"/>
          <w:iCs w:val="0"/>
          <w:sz w:val="22"/>
          <w:szCs w:val="22"/>
        </w:rPr>
        <w:t>The ICT Fibonacci framework is the specific set of rules governing how Fibonacci retracement is applied within ICT's method: drawn strictly from a genuine, displacement-confirmed swing, anchored on candle bodies, used to divide the swing into a premium half and a discount half around a 50% equilibrium point, with particular emphasis on the 62%–79% sub-zone as the preferred entry area.</w:t>
      </w:r>
    </w:p>
    <w:p w14:paraId="71646FE0">
      <w:pPr>
        <w:pStyle w:val="3"/>
        <w:spacing w:before="360" w:after="160"/>
      </w:pPr>
      <w:r>
        <w:rPr>
          <w:b/>
          <w:bCs/>
          <w:color w:val="1B2A4A"/>
          <w:sz w:val="26"/>
          <w:szCs w:val="26"/>
        </w:rPr>
        <w:t>2. ICT's Meaning</w:t>
      </w:r>
    </w:p>
    <w:p w14:paraId="1D20848B">
      <w:pPr>
        <w:spacing w:after="160" w:line="288" w:lineRule="auto"/>
      </w:pPr>
      <w:r>
        <w:rPr>
          <w:b w:val="0"/>
          <w:bCs w:val="0"/>
          <w:i w:val="0"/>
          <w:iCs w:val="0"/>
          <w:sz w:val="22"/>
          <w:szCs w:val="22"/>
        </w:rPr>
        <w:t>ICT-focused sources describe this framework as distinct from a generic retail use of Fibonacci retracement in several specific ways: the swing being measured must be a genuine impulse formed by displacement (not an arbitrary or unconfirmed move); the direction and anchor points of the tool must be drawn precisely (candle body to candle body, in the correct direction for the trend); and Fibonacci is explicitly paired with a value-based framing — premium and discount — rather than being used as a standalone, self-sufficient signal.</w:t>
      </w:r>
    </w:p>
    <w:p w14:paraId="372A95B4">
      <w:pPr>
        <w:spacing w:after="160" w:line="288" w:lineRule="auto"/>
      </w:pPr>
      <w:r>
        <w:rPr>
          <w:b w:val="0"/>
          <w:bCs w:val="0"/>
          <w:i w:val="0"/>
          <w:iCs w:val="0"/>
          <w:sz w:val="22"/>
          <w:szCs w:val="22"/>
        </w:rPr>
        <w:t>The central organizing idea, described consistently across ICT-focused sources, is what several sources call the equilibrium rule: any given price swing (formally, the "dealing range" — the range between two alternating swing extremes) is divided exactly at its 50% midpoint into two halves. The lower half (below 50%) is the discount, the zone from which ICT-focused teaching favors buying. The upper half (above 50%) is the premium, the zone from which ICT-focused teaching favors selling.</w:t>
      </w:r>
    </w:p>
    <w:p w14:paraId="5A5D1D9D">
      <w:pPr>
        <w:spacing w:after="160" w:line="288" w:lineRule="auto"/>
      </w:pPr>
      <w:r>
        <w:rPr>
          <w:b w:val="0"/>
          <w:bCs w:val="0"/>
          <w:i w:val="0"/>
          <w:iCs w:val="0"/>
          <w:sz w:val="22"/>
          <w:szCs w:val="22"/>
        </w:rPr>
        <w:t>This premium/discount framing is described as fractal and fully compatible with the multi-timeframe approach from Module 2: what counts as premium on a smaller timeframe's dealing range can simultaneously sit within the discount of a larger timeframe's dealing range, and vice versa — ICT-focused sources note this is exactly why higher-timeframe context remains essential even when a lower-timeframe premium/discount reading looks compelling on its own.</w:t>
      </w:r>
    </w:p>
    <w:p w14:paraId="18D7679B">
      <w:pPr>
        <w:pStyle w:val="3"/>
        <w:spacing w:before="360" w:after="160"/>
      </w:pPr>
      <w:r>
        <w:rPr>
          <w:b/>
          <w:bCs/>
          <w:color w:val="1B2A4A"/>
          <w:sz w:val="26"/>
          <w:szCs w:val="26"/>
        </w:rPr>
        <w:t>3. Beginner Explanation</w:t>
      </w:r>
    </w:p>
    <w:p w14:paraId="13425596">
      <w:pPr>
        <w:spacing w:after="160" w:line="288" w:lineRule="auto"/>
      </w:pPr>
      <w:r>
        <w:rPr>
          <w:b w:val="0"/>
          <w:bCs w:val="0"/>
          <w:i w:val="0"/>
          <w:iCs w:val="0"/>
          <w:sz w:val="22"/>
          <w:szCs w:val="22"/>
        </w:rPr>
        <w:t>Imagine a single up-move or down-move on a chart as a full price range, like a see-saw with a middle balance point. The ICT Fibonacci framework's first job is to find that exact middle balance point (equilibrium) and to label everything above it as "expensive" (premium, a good place to sell) and everything below it as "cheap" (discount, a good place to buy) — before then narrowing further, using the specific fractional levels of Fibonacci retracement, to pinpoint exactly how deep into "cheap" or "expensive" territory a trader should wait for price to go before acting.</w:t>
      </w:r>
    </w:p>
    <w:p w14:paraId="41C46F9C">
      <w:pPr>
        <w:pStyle w:val="3"/>
        <w:spacing w:before="360" w:after="160"/>
      </w:pPr>
      <w:r>
        <w:rPr>
          <w:b/>
          <w:bCs/>
          <w:color w:val="1B2A4A"/>
          <w:sz w:val="26"/>
          <w:szCs w:val="26"/>
        </w:rPr>
        <w:t>4. How to Identify It</w:t>
      </w:r>
    </w:p>
    <w:p w14:paraId="49892339">
      <w:pPr>
        <w:pStyle w:val="16"/>
        <w:numPr>
          <w:ilvl w:val="0"/>
          <w:numId w:val="1"/>
        </w:numPr>
        <w:spacing w:after="80" w:line="276" w:lineRule="auto"/>
      </w:pPr>
      <w:r>
        <w:rPr>
          <w:sz w:val="22"/>
          <w:szCs w:val="22"/>
        </w:rPr>
        <w:t>Confirm a genuine, displacement-driven swing (the dealing range) using Module 5's criteria.</w:t>
      </w:r>
    </w:p>
    <w:p w14:paraId="5C48176D">
      <w:pPr>
        <w:pStyle w:val="16"/>
        <w:numPr>
          <w:ilvl w:val="0"/>
          <w:numId w:val="1"/>
        </w:numPr>
        <w:spacing w:after="80" w:line="276" w:lineRule="auto"/>
      </w:pPr>
      <w:r>
        <w:rPr>
          <w:sz w:val="22"/>
          <w:szCs w:val="22"/>
        </w:rPr>
        <w:t>Apply the Fibonacci retracement tool correctly (body-to-body, correct direction) as described in the previous concept.</w:t>
      </w:r>
    </w:p>
    <w:p w14:paraId="5AF30289">
      <w:pPr>
        <w:pStyle w:val="16"/>
        <w:numPr>
          <w:ilvl w:val="0"/>
          <w:numId w:val="1"/>
        </w:numPr>
        <w:spacing w:after="80" w:line="276" w:lineRule="auto"/>
      </w:pPr>
      <w:r>
        <w:rPr>
          <w:sz w:val="22"/>
          <w:szCs w:val="22"/>
        </w:rPr>
        <w:t>Mark the 50% level as equilibrium, dividing the dealing range into premium (above 50%) and discount (below 50%).</w:t>
      </w:r>
    </w:p>
    <w:p w14:paraId="083F41C2">
      <w:pPr>
        <w:pStyle w:val="16"/>
        <w:numPr>
          <w:ilvl w:val="0"/>
          <w:numId w:val="1"/>
        </w:numPr>
        <w:spacing w:after="80" w:line="276" w:lineRule="auto"/>
      </w:pPr>
      <w:r>
        <w:rPr>
          <w:sz w:val="22"/>
          <w:szCs w:val="22"/>
        </w:rPr>
        <w:t>For a bullish bias, plan to look for entries only within the discount half; for a bearish bias, plan to look for entries only within the premium half.</w:t>
      </w:r>
    </w:p>
    <w:p w14:paraId="1FE07916">
      <w:pPr>
        <w:pStyle w:val="16"/>
        <w:numPr>
          <w:ilvl w:val="0"/>
          <w:numId w:val="1"/>
        </w:numPr>
        <w:spacing w:after="80" w:line="276" w:lineRule="auto"/>
      </w:pPr>
      <w:r>
        <w:rPr>
          <w:sz w:val="22"/>
          <w:szCs w:val="22"/>
        </w:rPr>
        <w:t>Narrow further within the correct half using the specific 62%–79% zone, developed fully in the next two concepts.</w:t>
      </w:r>
    </w:p>
    <w:p w14:paraId="0286BE38">
      <w:pPr>
        <w:pStyle w:val="3"/>
        <w:spacing w:before="360" w:after="160"/>
      </w:pPr>
      <w:r>
        <w:rPr>
          <w:b/>
          <w:bCs/>
          <w:color w:val="1B2A4A"/>
          <w:sz w:val="26"/>
          <w:szCs w:val="26"/>
        </w:rPr>
        <w:t>5. Simple Price Example</w:t>
      </w:r>
    </w:p>
    <w:p w14:paraId="43F419DE">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Bullish dealing range from a low of 100 to a high of 200</w:t>
      </w:r>
    </w:p>
    <w:p w14:paraId="5EF70D18">
      <w:pPr>
        <w:spacing w:after="160" w:line="288" w:lineRule="auto"/>
      </w:pPr>
      <w:r>
        <w:rPr>
          <w:b w:val="0"/>
          <w:bCs w:val="0"/>
          <w:i w:val="0"/>
          <w:iCs w:val="0"/>
          <w:sz w:val="22"/>
          <w:szCs w:val="22"/>
        </w:rPr>
        <w:t>Equilibrium sits at 150 (the 50% midpoint). Prices from 100 to 150 are the discount half — the zone ICT's framework favors for buying, since a bullish bias is in play. Prices from 150 to 200 are the premium half — a zone this framework would generally avoid for new long entries, since buying there would mean paying a relatively expensive price relative to the full swing.</w:t>
      </w:r>
    </w:p>
    <w:p w14:paraId="3D232568">
      <w:pPr>
        <w:pStyle w:val="3"/>
        <w:spacing w:before="360" w:after="160"/>
      </w:pPr>
      <w:r>
        <w:rPr>
          <w:b/>
          <w:bCs/>
          <w:color w:val="1B2A4A"/>
          <w:sz w:val="26"/>
          <w:szCs w:val="26"/>
        </w:rPr>
        <w:t>6. What It Tells the Trader</w:t>
      </w:r>
    </w:p>
    <w:p w14:paraId="43879DDC">
      <w:pPr>
        <w:spacing w:after="160" w:line="288" w:lineRule="auto"/>
      </w:pPr>
      <w:r>
        <w:rPr>
          <w:b w:val="0"/>
          <w:bCs w:val="0"/>
          <w:i w:val="0"/>
          <w:iCs w:val="0"/>
          <w:sz w:val="22"/>
          <w:szCs w:val="22"/>
        </w:rPr>
        <w:t>The ICT Fibonacci framework tells the trader not just where a retracement level sits mathematically, but which half of the current swing represents good relative value for the intended direction of a trade — turning a generic Fibonacci tool into a value-oriented decision aid tied to the prevailing bias.</w:t>
      </w:r>
    </w:p>
    <w:p w14:paraId="09F51817">
      <w:pPr>
        <w:spacing w:after="160" w:line="288" w:lineRule="auto"/>
      </w:pPr>
      <w:r>
        <w:rPr>
          <w:b w:val="0"/>
          <w:bCs w:val="0"/>
          <w:i w:val="0"/>
          <w:iCs w:val="0"/>
          <w:sz w:val="22"/>
          <w:szCs w:val="22"/>
        </w:rPr>
        <w:t>It does not tell the trader that price is guaranteed to reach the discount (or premium) half before continuing, nor does it replace the need for structural and liquidity confirmation covered in earlier modules.</w:t>
      </w:r>
    </w:p>
    <w:p w14:paraId="5B340E12">
      <w:pPr>
        <w:pStyle w:val="3"/>
        <w:spacing w:before="360" w:after="160"/>
      </w:pPr>
      <w:r>
        <w:rPr>
          <w:b/>
          <w:bCs/>
          <w:color w:val="1B2A4A"/>
          <w:sz w:val="26"/>
          <w:szCs w:val="26"/>
        </w:rPr>
        <w:t>7. What It Is Commonly Paired With</w:t>
      </w:r>
    </w:p>
    <w:p w14:paraId="7C93038E">
      <w:pPr>
        <w:pStyle w:val="16"/>
        <w:numPr>
          <w:ilvl w:val="0"/>
          <w:numId w:val="2"/>
        </w:numPr>
        <w:spacing w:after="80" w:line="276" w:lineRule="auto"/>
      </w:pPr>
      <w:r>
        <w:rPr>
          <w:sz w:val="22"/>
          <w:szCs w:val="22"/>
        </w:rPr>
        <w:t>ICT Fibonacci Levels</w:t>
      </w:r>
    </w:p>
    <w:p w14:paraId="662C4E59">
      <w:pPr>
        <w:pStyle w:val="16"/>
        <w:numPr>
          <w:ilvl w:val="0"/>
          <w:numId w:val="2"/>
        </w:numPr>
        <w:spacing w:after="80" w:line="276" w:lineRule="auto"/>
      </w:pPr>
      <w:r>
        <w:rPr>
          <w:sz w:val="22"/>
          <w:szCs w:val="22"/>
        </w:rPr>
        <w:t>Optimal Trade Entry (OTE)</w:t>
      </w:r>
    </w:p>
    <w:p w14:paraId="4EF3F483">
      <w:pPr>
        <w:pStyle w:val="16"/>
        <w:numPr>
          <w:ilvl w:val="0"/>
          <w:numId w:val="2"/>
        </w:numPr>
        <w:spacing w:after="80" w:line="276" w:lineRule="auto"/>
      </w:pPr>
      <w:r>
        <w:rPr>
          <w:sz w:val="22"/>
          <w:szCs w:val="22"/>
        </w:rPr>
        <w:t>HTF/LTF Relationship (Module 2)</w:t>
      </w:r>
    </w:p>
    <w:p w14:paraId="654A68DF">
      <w:pPr>
        <w:spacing w:after="160" w:line="288" w:lineRule="auto"/>
      </w:pPr>
      <w:r>
        <w:rPr>
          <w:b w:val="0"/>
          <w:bCs w:val="0"/>
          <w:i w:val="0"/>
          <w:iCs w:val="0"/>
          <w:sz w:val="22"/>
          <w:szCs w:val="22"/>
        </w:rPr>
        <w:t>This framework is the direct conceptual bridge between the general Fibonacci retracement tool and the specific, narrow OTE zone ICT-focused teaching centers on; its fractal, multi-timeframe nature also directly reuses the HTF/LTF relationship established in Module 2.</w:t>
      </w:r>
    </w:p>
    <w:p w14:paraId="0FF6129D">
      <w:pPr>
        <w:pStyle w:val="3"/>
        <w:spacing w:before="360" w:after="160"/>
      </w:pPr>
      <w:r>
        <w:rPr>
          <w:b/>
          <w:bCs/>
          <w:color w:val="1B2A4A"/>
          <w:sz w:val="26"/>
          <w:szCs w:val="26"/>
        </w:rPr>
        <w:t>8. Where It Fits in the ICT Framework</w:t>
      </w:r>
    </w:p>
    <w:p w14:paraId="7F1C3037">
      <w:pPr>
        <w:spacing w:after="160" w:line="288" w:lineRule="auto"/>
      </w:pPr>
      <w:r>
        <w:rPr>
          <w:b w:val="0"/>
          <w:bCs w:val="0"/>
          <w:i w:val="0"/>
          <w:iCs w:val="0"/>
          <w:sz w:val="22"/>
          <w:szCs w:val="22"/>
        </w:rPr>
        <w:t>Comes before: Requires Fibonacci Retracement.</w:t>
      </w:r>
    </w:p>
    <w:p w14:paraId="6BE5958B">
      <w:pPr>
        <w:spacing w:after="160" w:line="288" w:lineRule="auto"/>
      </w:pPr>
      <w:r>
        <w:rPr>
          <w:b w:val="0"/>
          <w:bCs w:val="0"/>
          <w:i w:val="0"/>
          <w:iCs w:val="0"/>
          <w:sz w:val="22"/>
          <w:szCs w:val="22"/>
        </w:rPr>
        <w:t>Comes after: Feeds directly into ICT Fibonacci Levels and Optimal Trade Entry (OTE).</w:t>
      </w:r>
    </w:p>
    <w:p w14:paraId="2001E4A1">
      <w:pPr>
        <w:pStyle w:val="3"/>
        <w:spacing w:before="360" w:after="160"/>
      </w:pPr>
      <w:r>
        <w:rPr>
          <w:b/>
          <w:bCs/>
          <w:color w:val="1B2A4A"/>
          <w:sz w:val="26"/>
          <w:szCs w:val="26"/>
        </w:rPr>
        <w:t>9. Beginner Mistakes</w:t>
      </w:r>
    </w:p>
    <w:p w14:paraId="40CC5F7A">
      <w:pPr>
        <w:pStyle w:val="16"/>
        <w:numPr>
          <w:ilvl w:val="0"/>
          <w:numId w:val="2"/>
        </w:numPr>
        <w:spacing w:after="80" w:line="276" w:lineRule="auto"/>
      </w:pPr>
      <w:r>
        <w:rPr>
          <w:sz w:val="22"/>
          <w:szCs w:val="22"/>
        </w:rPr>
        <w:t>Treating premium and discount as fixed price levels rather than relative positions within a specific, currently relevant dealing range.</w:t>
      </w:r>
    </w:p>
    <w:p w14:paraId="5AE8CC27">
      <w:pPr>
        <w:pStyle w:val="16"/>
        <w:numPr>
          <w:ilvl w:val="0"/>
          <w:numId w:val="2"/>
        </w:numPr>
        <w:spacing w:after="80" w:line="276" w:lineRule="auto"/>
      </w:pPr>
      <w:r>
        <w:rPr>
          <w:sz w:val="22"/>
          <w:szCs w:val="22"/>
        </w:rPr>
        <w:t>Buying in premium or selling in discount purely because a trade "feels" right, ignoring the framework's core value-based logic.</w:t>
      </w:r>
    </w:p>
    <w:p w14:paraId="19FE2303">
      <w:pPr>
        <w:pStyle w:val="16"/>
        <w:numPr>
          <w:ilvl w:val="0"/>
          <w:numId w:val="2"/>
        </w:numPr>
        <w:spacing w:after="80" w:line="276" w:lineRule="auto"/>
      </w:pPr>
      <w:r>
        <w:rPr>
          <w:sz w:val="22"/>
          <w:szCs w:val="22"/>
        </w:rPr>
        <w:t>Forgetting that premium/discount is fractal — a price that is discount on a smaller timeframe's range can simultaneously be premium on a larger timeframe's range.</w:t>
      </w:r>
    </w:p>
    <w:p w14:paraId="2FF9FA28">
      <w:pPr>
        <w:pStyle w:val="3"/>
        <w:spacing w:before="360" w:after="160"/>
      </w:pPr>
      <w:r>
        <w:rPr>
          <w:b/>
          <w:bCs/>
          <w:color w:val="1B2A4A"/>
          <w:sz w:val="26"/>
          <w:szCs w:val="26"/>
        </w:rPr>
        <w:t>10. Important Qualification</w:t>
      </w:r>
    </w:p>
    <w:p w14:paraId="2EF71F6D">
      <w:pPr>
        <w:pBdr>
          <w:left w:val="single" w:color="7A2E2E" w:sz="24" w:space="8"/>
        </w:pBdr>
        <w:shd w:val="clear" w:fill="EFEFEF"/>
        <w:spacing w:before="160" w:after="200"/>
        <w:ind w:left="200"/>
      </w:pPr>
      <w:r>
        <w:rPr>
          <w:b/>
          <w:bCs/>
          <w:color w:val="7A2E2E"/>
          <w:sz w:val="21"/>
          <w:szCs w:val="21"/>
        </w:rPr>
        <w:t xml:space="preserve">Qualification: </w:t>
      </w:r>
      <w:r>
        <w:rPr>
          <w:sz w:val="21"/>
          <w:szCs w:val="21"/>
        </w:rPr>
        <w:t>The premium/discount, equilibrium-based framing describes a preference for relative value, not a guarantee that price will behave accordingly. A strongly trending market can remain in premium (during an uptrend) or discount (during a downtrend) for extended periods without ever retracing to the "preferred" half, particularly as the dealing range itself expands with each new high or low.</w:t>
      </w:r>
    </w:p>
    <w:p w14:paraId="25ED0743">
      <w:pPr>
        <w:pStyle w:val="3"/>
        <w:spacing w:before="360" w:after="160"/>
      </w:pPr>
      <w:r>
        <w:rPr>
          <w:b/>
          <w:bCs/>
          <w:color w:val="1B2A4A"/>
          <w:sz w:val="26"/>
          <w:szCs w:val="26"/>
        </w:rPr>
        <w:t>11. Source</w:t>
      </w:r>
    </w:p>
    <w:p w14:paraId="34A8353A"/>
    <w:p w14:paraId="67EB4E87">
      <w:pPr>
        <w:pStyle w:val="16"/>
        <w:numPr>
          <w:ilvl w:val="0"/>
          <w:numId w:val="2"/>
        </w:numPr>
        <w:spacing w:after="80" w:line="276" w:lineRule="auto"/>
      </w:pPr>
      <w:r>
        <w:rPr>
          <w:sz w:val="22"/>
          <w:szCs w:val="22"/>
        </w:rPr>
        <w:t>fxnx.com — "ICT Dealing Range: Institutional Order Flow Guide" and "ICT Fibonacci &amp; OTE: A Trader's Guide to the Golden Entry."</w:t>
      </w:r>
    </w:p>
    <w:p w14:paraId="446FE0D5">
      <w:pPr>
        <w:pStyle w:val="16"/>
        <w:numPr>
          <w:ilvl w:val="0"/>
          <w:numId w:val="2"/>
        </w:numPr>
        <w:spacing w:after="80" w:line="276" w:lineRule="auto"/>
      </w:pPr>
      <w:r>
        <w:rPr>
          <w:sz w:val="22"/>
          <w:szCs w:val="22"/>
        </w:rPr>
        <w:t>theinnercircletraders.com — "ICT Premium and Discount Zones: Where to Buy and Sell."</w:t>
      </w:r>
    </w:p>
    <w:p w14:paraId="0958F00A">
      <w:pPr>
        <w:pStyle w:val="16"/>
        <w:numPr>
          <w:ilvl w:val="0"/>
          <w:numId w:val="2"/>
        </w:numPr>
        <w:spacing w:after="80" w:line="276" w:lineRule="auto"/>
      </w:pPr>
      <w:r>
        <w:rPr>
          <w:sz w:val="22"/>
          <w:szCs w:val="22"/>
        </w:rPr>
        <w:t>TradingView (FibAlgo) — "ICT Premium &amp; Discount" indicator documentation (equilibrium/premium/discount mechanics).</w:t>
      </w:r>
    </w:p>
    <w:p w14:paraId="0B7F8542">
      <w:r>
        <w:br w:type="page"/>
      </w:r>
    </w:p>
    <w:p w14:paraId="1ACE1B9E">
      <w:pPr>
        <w:pStyle w:val="2"/>
        <w:pBdr>
          <w:bottom w:val="single" w:color="1B2A4A" w:sz="12" w:space="4"/>
        </w:pBdr>
        <w:spacing w:before="480" w:after="240"/>
      </w:pPr>
      <w:r>
        <w:rPr>
          <w:b/>
          <w:bCs/>
          <w:color w:val="1B2A4A"/>
          <w:sz w:val="34"/>
          <w:szCs w:val="34"/>
        </w:rPr>
        <w:t>ICT Fibonacci Levels</w:t>
      </w:r>
    </w:p>
    <w:p w14:paraId="0AE7908E">
      <w:pPr>
        <w:pStyle w:val="3"/>
        <w:spacing w:before="360" w:after="160"/>
      </w:pPr>
      <w:r>
        <w:rPr>
          <w:b/>
          <w:bCs/>
          <w:color w:val="1B2A4A"/>
          <w:sz w:val="26"/>
          <w:szCs w:val="26"/>
        </w:rPr>
        <w:t>1. Definition</w:t>
      </w:r>
    </w:p>
    <w:p w14:paraId="65CAC538">
      <w:pPr>
        <w:spacing w:after="160" w:line="288" w:lineRule="auto"/>
      </w:pPr>
      <w:r>
        <w:rPr>
          <w:b w:val="0"/>
          <w:bCs w:val="0"/>
          <w:i w:val="0"/>
          <w:iCs w:val="0"/>
          <w:sz w:val="22"/>
          <w:szCs w:val="22"/>
        </w:rPr>
        <w:t>The ICT Fibonacci levels are the specific, restricted subset of retracement percentages ICT-focused teaching emphasizes: 50% (equilibrium), 62% (the entry zone's shallow boundary), 70.5% (the "sweet spot"), and 79% (the entry zone's deep boundary) — together with negative extension levels (commonly −27% and −62%) used for profit targets.</w:t>
      </w:r>
    </w:p>
    <w:p w14:paraId="706E8831">
      <w:pPr>
        <w:pStyle w:val="3"/>
        <w:spacing w:before="360" w:after="160"/>
      </w:pPr>
      <w:r>
        <w:rPr>
          <w:b/>
          <w:bCs/>
          <w:color w:val="1B2A4A"/>
          <w:sz w:val="26"/>
          <w:szCs w:val="26"/>
        </w:rPr>
        <w:t>2. ICT's Meaning</w:t>
      </w:r>
    </w:p>
    <w:p w14:paraId="28A7A33A">
      <w:pPr>
        <w:spacing w:after="160" w:line="288" w:lineRule="auto"/>
      </w:pPr>
      <w:r>
        <w:rPr>
          <w:b w:val="0"/>
          <w:bCs w:val="0"/>
          <w:i w:val="0"/>
          <w:iCs w:val="0"/>
          <w:sz w:val="22"/>
          <w:szCs w:val="22"/>
        </w:rPr>
        <w:t>ICT-focused sources consistently describe 70.5% as functioning as the equilibrium of the narrower 62%–79% band itself — that is, 70.5% is described across multiple sources as the mathematical midpoint between 62% and 79%, treated as a kind of "equilibrium within the equilibrium zone," and cited as the single most emphasized specific level in the entire ICT Fibonacci framework.</w:t>
      </w:r>
    </w:p>
    <w:p w14:paraId="2B9677E1">
      <w:pPr>
        <w:spacing w:after="160" w:line="288" w:lineRule="auto"/>
      </w:pPr>
      <w:r>
        <w:rPr>
          <w:b w:val="0"/>
          <w:bCs w:val="0"/>
          <w:i w:val="0"/>
          <w:iCs w:val="0"/>
          <w:sz w:val="22"/>
          <w:szCs w:val="22"/>
        </w:rPr>
        <w:t>Several ICT-focused sources attribute the specific significance of the 70.5% level directly to Michael J. Huddleston, describing it as the level he identified as the center of the zone where institutional order flow is expected to be most concentrated during a retracement — distinguishing this from a standard retail use of the 61.8% ("golden ratio") level alone.</w:t>
      </w:r>
    </w:p>
    <w:p w14:paraId="15DCC734">
      <w:pPr>
        <w:spacing w:after="160" w:line="288" w:lineRule="auto"/>
      </w:pPr>
      <w:r>
        <w:rPr>
          <w:b w:val="0"/>
          <w:bCs w:val="0"/>
          <w:i w:val="0"/>
          <w:iCs w:val="0"/>
          <w:sz w:val="22"/>
          <w:szCs w:val="22"/>
        </w:rPr>
        <w:t>For profit targets, ICT-focused sources commonly cite negative Fibonacci extension levels — most frequently −27% and −62% (occasionally −100% or further) — projected beyond the 0% end of the original swing, used as candidate objectives once a trade taken from the OTE zone begins to move favorably.</w:t>
      </w:r>
    </w:p>
    <w:p w14:paraId="3C995DEF">
      <w:pPr>
        <w:pStyle w:val="3"/>
        <w:spacing w:before="360" w:after="160"/>
      </w:pPr>
      <w:r>
        <w:rPr>
          <w:b/>
          <w:bCs/>
          <w:color w:val="1B2A4A"/>
          <w:sz w:val="26"/>
          <w:szCs w:val="26"/>
        </w:rPr>
        <w:t>3. Beginner Explanation</w:t>
      </w:r>
    </w:p>
    <w:p w14:paraId="362DF139">
      <w:pPr>
        <w:spacing w:after="160" w:line="288" w:lineRule="auto"/>
      </w:pPr>
      <w:r>
        <w:rPr>
          <w:b w:val="0"/>
          <w:bCs w:val="0"/>
          <w:i w:val="0"/>
          <w:iCs w:val="0"/>
          <w:sz w:val="22"/>
          <w:szCs w:val="22"/>
        </w:rPr>
        <w:t>If the ICT Fibonacci framework is the overall idea of "expensive versus cheap," the ICT Fibonacci levels are the exact numbered rungs on that ladder that this method cares about most: a broad halfway marker (50%), a starting gate for the zone of interest (62%), a specifically favored bullseye in the middle of that zone (70.5%), and a fallback boundary marking how far the ladder is allowed to go before the whole idea is considered broken (79%).</w:t>
      </w:r>
    </w:p>
    <w:p w14:paraId="77306AA7">
      <w:pPr>
        <w:pStyle w:val="3"/>
        <w:spacing w:before="360" w:after="160"/>
      </w:pPr>
      <w:r>
        <w:rPr>
          <w:b/>
          <w:bCs/>
          <w:color w:val="1B2A4A"/>
          <w:sz w:val="26"/>
          <w:szCs w:val="26"/>
        </w:rPr>
        <w:t>4. How to Identify It</w:t>
      </w:r>
    </w:p>
    <w:p w14:paraId="7A87BED2">
      <w:pPr>
        <w:pStyle w:val="16"/>
        <w:numPr>
          <w:ilvl w:val="0"/>
          <w:numId w:val="1"/>
        </w:numPr>
        <w:spacing w:after="80" w:line="276" w:lineRule="auto"/>
      </w:pPr>
      <w:r>
        <w:rPr>
          <w:sz w:val="22"/>
          <w:szCs w:val="22"/>
        </w:rPr>
        <w:t>On a properly drawn Fibonacci retracement (body-to-body, correct direction), locate the 50%, 62%, 70.5%, and 79% levels specifically.</w:t>
      </w:r>
    </w:p>
    <w:p w14:paraId="447A2080">
      <w:pPr>
        <w:pStyle w:val="16"/>
        <w:numPr>
          <w:ilvl w:val="0"/>
          <w:numId w:val="1"/>
        </w:numPr>
        <w:spacing w:after="80" w:line="276" w:lineRule="auto"/>
      </w:pPr>
      <w:r>
        <w:rPr>
          <w:sz w:val="22"/>
          <w:szCs w:val="22"/>
        </w:rPr>
        <w:t>Mark the 62%–79% span visually as a distinct zone, separate from the rest of the retracement tool.</w:t>
      </w:r>
    </w:p>
    <w:p w14:paraId="5B4498F5">
      <w:pPr>
        <w:pStyle w:val="16"/>
        <w:numPr>
          <w:ilvl w:val="0"/>
          <w:numId w:val="1"/>
        </w:numPr>
        <w:spacing w:after="80" w:line="276" w:lineRule="auto"/>
      </w:pPr>
      <w:r>
        <w:rPr>
          <w:sz w:val="22"/>
          <w:szCs w:val="22"/>
        </w:rPr>
        <w:t>Give particular attention to the 70.5% level within that span as the highest-emphasized single price.</w:t>
      </w:r>
    </w:p>
    <w:p w14:paraId="3F9F124D">
      <w:pPr>
        <w:pStyle w:val="16"/>
        <w:numPr>
          <w:ilvl w:val="0"/>
          <w:numId w:val="1"/>
        </w:numPr>
        <w:spacing w:after="80" w:line="276" w:lineRule="auto"/>
      </w:pPr>
      <w:r>
        <w:rPr>
          <w:sz w:val="22"/>
          <w:szCs w:val="22"/>
        </w:rPr>
        <w:t>For profit-target planning, locate the −27% and −62% extension levels projected beyond the original swing's 0% point.</w:t>
      </w:r>
    </w:p>
    <w:p w14:paraId="6D7F0F53">
      <w:pPr>
        <w:pStyle w:val="3"/>
        <w:spacing w:before="360" w:after="160"/>
      </w:pPr>
      <w:r>
        <w:rPr>
          <w:b/>
          <w:bCs/>
          <w:color w:val="1B2A4A"/>
          <w:sz w:val="26"/>
          <w:szCs w:val="26"/>
        </w:rPr>
        <w:t>5. Simple Price Example</w:t>
      </w:r>
    </w:p>
    <w:p w14:paraId="41B4136A">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Bullish dealing range from a low of 100 to a high of 200 (100-point swing)</w:t>
      </w:r>
    </w:p>
    <w:p w14:paraId="7EF17F62">
      <w:pPr>
        <w:spacing w:after="160" w:line="288" w:lineRule="auto"/>
      </w:pPr>
      <w:r>
        <w:rPr>
          <w:b w:val="0"/>
          <w:bCs w:val="0"/>
          <w:i w:val="0"/>
          <w:iCs w:val="0"/>
          <w:sz w:val="22"/>
          <w:szCs w:val="22"/>
        </w:rPr>
        <w:t>50% (equilibrium) = 150. 62% = 138. 70.5% (the sweet spot) = 129.5. 79% = 121. The zone from 138 down to 121 is the area of specific interest, with 129.5 as the most emphasized single level within it. A −27% extension beyond the original 200 high would sit at approximately 227, and a −62% extension would sit at approximately 262 — both candidate profit targets if a long trade taken near 129.5 moves favorably.</w:t>
      </w:r>
    </w:p>
    <w:p w14:paraId="7EBE875E">
      <w:pPr>
        <w:pStyle w:val="3"/>
        <w:spacing w:before="360" w:after="160"/>
      </w:pPr>
      <w:r>
        <w:rPr>
          <w:b/>
          <w:bCs/>
          <w:color w:val="1B2A4A"/>
          <w:sz w:val="26"/>
          <w:szCs w:val="26"/>
        </w:rPr>
        <w:t>6. What It Tells the Trader</w:t>
      </w:r>
    </w:p>
    <w:p w14:paraId="60AA44C2">
      <w:pPr>
        <w:spacing w:after="160" w:line="288" w:lineRule="auto"/>
      </w:pPr>
      <w:r>
        <w:rPr>
          <w:b w:val="0"/>
          <w:bCs w:val="0"/>
          <w:i w:val="0"/>
          <w:iCs w:val="0"/>
          <w:sz w:val="22"/>
          <w:szCs w:val="22"/>
        </w:rPr>
        <w:t>The ICT Fibonacci levels tell the trader precisely which handful of prices, out of the many percentages a generic Fibonacci tool can display, are worth focused attention for both entries (62%–79%, especially 70.5%) and targets (the negative extensions).</w:t>
      </w:r>
    </w:p>
    <w:p w14:paraId="6CD845F3">
      <w:pPr>
        <w:spacing w:after="160" w:line="288" w:lineRule="auto"/>
      </w:pPr>
      <w:r>
        <w:rPr>
          <w:b w:val="0"/>
          <w:bCs w:val="0"/>
          <w:i w:val="0"/>
          <w:iCs w:val="0"/>
          <w:sz w:val="22"/>
          <w:szCs w:val="22"/>
        </w:rPr>
        <w:t>They do not tell the trader that price will reach any specific one of these levels exactly, nor do the specific numbers (such as 70.5%) carry any claimed predictive power outside the context of a genuine displacement-driven swing with proper structural and liquidity confirmation.</w:t>
      </w:r>
    </w:p>
    <w:p w14:paraId="1A46436A">
      <w:pPr>
        <w:pStyle w:val="3"/>
        <w:spacing w:before="360" w:after="160"/>
      </w:pPr>
      <w:r>
        <w:rPr>
          <w:b/>
          <w:bCs/>
          <w:color w:val="1B2A4A"/>
          <w:sz w:val="26"/>
          <w:szCs w:val="26"/>
        </w:rPr>
        <w:t>7. What It Is Commonly Paired With</w:t>
      </w:r>
    </w:p>
    <w:p w14:paraId="76DFEBD1">
      <w:pPr>
        <w:pStyle w:val="16"/>
        <w:numPr>
          <w:ilvl w:val="0"/>
          <w:numId w:val="2"/>
        </w:numPr>
        <w:spacing w:after="80" w:line="276" w:lineRule="auto"/>
      </w:pPr>
      <w:r>
        <w:rPr>
          <w:sz w:val="22"/>
          <w:szCs w:val="22"/>
        </w:rPr>
        <w:t>ICT Fibonacci Framework</w:t>
      </w:r>
    </w:p>
    <w:p w14:paraId="35932C12">
      <w:pPr>
        <w:pStyle w:val="16"/>
        <w:numPr>
          <w:ilvl w:val="0"/>
          <w:numId w:val="2"/>
        </w:numPr>
        <w:spacing w:after="80" w:line="276" w:lineRule="auto"/>
      </w:pPr>
      <w:r>
        <w:rPr>
          <w:sz w:val="22"/>
          <w:szCs w:val="22"/>
        </w:rPr>
        <w:t>Optimal Trade Entry (OTE)</w:t>
      </w:r>
    </w:p>
    <w:p w14:paraId="15B646CB">
      <w:pPr>
        <w:pStyle w:val="16"/>
        <w:numPr>
          <w:ilvl w:val="0"/>
          <w:numId w:val="2"/>
        </w:numPr>
        <w:spacing w:after="80" w:line="276" w:lineRule="auto"/>
      </w:pPr>
      <w:r>
        <w:rPr>
          <w:sz w:val="22"/>
          <w:szCs w:val="22"/>
        </w:rPr>
        <w:t>Order Block / FVG (Module 6, for confluence)</w:t>
      </w:r>
    </w:p>
    <w:p w14:paraId="30B049FE">
      <w:pPr>
        <w:spacing w:after="160" w:line="288" w:lineRule="auto"/>
      </w:pPr>
      <w:r>
        <w:rPr>
          <w:b w:val="0"/>
          <w:bCs w:val="0"/>
          <w:i w:val="0"/>
          <w:iCs w:val="0"/>
          <w:sz w:val="22"/>
          <w:szCs w:val="22"/>
        </w:rPr>
        <w:t>These specific levels are the mechanical foundation the OTE concept is built directly on top of, and ICT-focused sources consistently recommend checking whether an Order Block or Fair Value Gap happens to overlap with the 62%–79% zone, treating such an overlap as meaningful confluence.</w:t>
      </w:r>
    </w:p>
    <w:p w14:paraId="4B14A05D">
      <w:pPr>
        <w:pStyle w:val="3"/>
        <w:spacing w:before="360" w:after="160"/>
      </w:pPr>
      <w:r>
        <w:rPr>
          <w:b/>
          <w:bCs/>
          <w:color w:val="1B2A4A"/>
          <w:sz w:val="26"/>
          <w:szCs w:val="26"/>
        </w:rPr>
        <w:t>8. Where It Fits in the ICT Framework</w:t>
      </w:r>
    </w:p>
    <w:p w14:paraId="6552B6CF">
      <w:pPr>
        <w:spacing w:after="160" w:line="288" w:lineRule="auto"/>
      </w:pPr>
      <w:r>
        <w:rPr>
          <w:b w:val="0"/>
          <w:bCs w:val="0"/>
          <w:i w:val="0"/>
          <w:iCs w:val="0"/>
          <w:sz w:val="22"/>
          <w:szCs w:val="22"/>
        </w:rPr>
        <w:t>Comes before: Requires ICT Fibonacci Framework.</w:t>
      </w:r>
    </w:p>
    <w:p w14:paraId="4056BAA3">
      <w:pPr>
        <w:spacing w:after="160" w:line="288" w:lineRule="auto"/>
      </w:pPr>
      <w:r>
        <w:rPr>
          <w:b w:val="0"/>
          <w:bCs w:val="0"/>
          <w:i w:val="0"/>
          <w:iCs w:val="0"/>
          <w:sz w:val="22"/>
          <w:szCs w:val="22"/>
        </w:rPr>
        <w:t>Comes after: Feeds directly into Optimal Trade Entry (OTE), Retracement into OTE, and Entry Zone.</w:t>
      </w:r>
    </w:p>
    <w:p w14:paraId="5B362565">
      <w:pPr>
        <w:pStyle w:val="3"/>
        <w:spacing w:before="360" w:after="160"/>
      </w:pPr>
      <w:r>
        <w:rPr>
          <w:b/>
          <w:bCs/>
          <w:color w:val="1B2A4A"/>
          <w:sz w:val="26"/>
          <w:szCs w:val="26"/>
        </w:rPr>
        <w:t>9. Beginner Mistakes</w:t>
      </w:r>
    </w:p>
    <w:p w14:paraId="17C77548">
      <w:pPr>
        <w:pStyle w:val="16"/>
        <w:numPr>
          <w:ilvl w:val="0"/>
          <w:numId w:val="2"/>
        </w:numPr>
        <w:spacing w:after="80" w:line="276" w:lineRule="auto"/>
      </w:pPr>
      <w:r>
        <w:rPr>
          <w:sz w:val="22"/>
          <w:szCs w:val="22"/>
        </w:rPr>
        <w:t>Using only the standard retail 61.8% level and assuming it is equivalent to ICT's 70.5% "sweet spot" — the two are related but are not treated as the same specific level within this framework.</w:t>
      </w:r>
    </w:p>
    <w:p w14:paraId="77769645">
      <w:pPr>
        <w:pStyle w:val="16"/>
        <w:numPr>
          <w:ilvl w:val="0"/>
          <w:numId w:val="2"/>
        </w:numPr>
        <w:spacing w:after="80" w:line="276" w:lineRule="auto"/>
      </w:pPr>
      <w:r>
        <w:rPr>
          <w:sz w:val="22"/>
          <w:szCs w:val="22"/>
        </w:rPr>
        <w:t>Ignoring the 79% boundary and continuing to treat a retracement beyond it as still within a valid entry zone.</w:t>
      </w:r>
    </w:p>
    <w:p w14:paraId="53E122F0">
      <w:pPr>
        <w:pStyle w:val="16"/>
        <w:numPr>
          <w:ilvl w:val="0"/>
          <w:numId w:val="2"/>
        </w:numPr>
        <w:spacing w:after="80" w:line="276" w:lineRule="auto"/>
      </w:pPr>
      <w:r>
        <w:rPr>
          <w:sz w:val="22"/>
          <w:szCs w:val="22"/>
        </w:rPr>
        <w:t>Forgetting to check for PD array confluence (Module 6) within the 62%–79% band, and instead trading the Fibonacci levels in complete isolation.</w:t>
      </w:r>
    </w:p>
    <w:p w14:paraId="4E0D6230">
      <w:pPr>
        <w:pStyle w:val="3"/>
        <w:spacing w:before="360" w:after="160"/>
      </w:pPr>
      <w:r>
        <w:rPr>
          <w:b/>
          <w:bCs/>
          <w:color w:val="1B2A4A"/>
          <w:sz w:val="26"/>
          <w:szCs w:val="26"/>
        </w:rPr>
        <w:t>10. Important Qualification</w:t>
      </w:r>
    </w:p>
    <w:p w14:paraId="5089FC47">
      <w:pPr>
        <w:pBdr>
          <w:left w:val="single" w:color="7A2E2E" w:sz="24" w:space="8"/>
        </w:pBdr>
        <w:shd w:val="clear" w:fill="EFEFEF"/>
        <w:spacing w:before="160" w:after="200"/>
        <w:ind w:left="200"/>
      </w:pPr>
      <w:r>
        <w:rPr>
          <w:b/>
          <w:bCs/>
          <w:color w:val="7A2E2E"/>
          <w:sz w:val="21"/>
          <w:szCs w:val="21"/>
        </w:rPr>
        <w:t xml:space="preserve">Qualification: </w:t>
      </w:r>
      <w:r>
        <w:rPr>
          <w:sz w:val="21"/>
          <w:szCs w:val="21"/>
        </w:rPr>
        <w:t>The specific numeric levels described here (particularly 70.5%) are widely and consistently documented across ICT-focused secondary sources as central to the method, but this book was unable to directly verify the exact original ICT lecture in which these numbers were first introduced. The consistency of the numbers across many independent sources supports treating them as genuinely representative of ICT-focused teaching, even without a directly quoted primary transcript.</w:t>
      </w:r>
    </w:p>
    <w:p w14:paraId="255ECEE8">
      <w:pPr>
        <w:pStyle w:val="3"/>
        <w:spacing w:before="360" w:after="160"/>
      </w:pPr>
      <w:r>
        <w:rPr>
          <w:b/>
          <w:bCs/>
          <w:color w:val="1B2A4A"/>
          <w:sz w:val="26"/>
          <w:szCs w:val="26"/>
        </w:rPr>
        <w:t>11. Source</w:t>
      </w:r>
    </w:p>
    <w:p w14:paraId="271A2A5A"/>
    <w:p w14:paraId="19F38E83">
      <w:pPr>
        <w:pStyle w:val="16"/>
        <w:numPr>
          <w:ilvl w:val="0"/>
          <w:numId w:val="2"/>
        </w:numPr>
        <w:spacing w:after="80" w:line="276" w:lineRule="auto"/>
      </w:pPr>
      <w:r>
        <w:rPr>
          <w:sz w:val="22"/>
          <w:szCs w:val="22"/>
        </w:rPr>
        <w:t>grandalgo.com — "ICT OTE: How to Trade the 62% to 79% Optimal Trade Entry Zone" (70.5% as midpoint/equilibrium of the OTE zone).</w:t>
      </w:r>
    </w:p>
    <w:p w14:paraId="64EE8C84">
      <w:pPr>
        <w:pStyle w:val="16"/>
        <w:numPr>
          <w:ilvl w:val="0"/>
          <w:numId w:val="2"/>
        </w:numPr>
        <w:spacing w:after="80" w:line="276" w:lineRule="auto"/>
      </w:pPr>
      <w:r>
        <w:rPr>
          <w:sz w:val="22"/>
          <w:szCs w:val="22"/>
        </w:rPr>
        <w:t>backtrex.com — "ICT OTE: mastering Optimal Trade Entry with Fibonacci" (70.5% attributed to Michael Huddleston as "the official OTE level").</w:t>
      </w:r>
    </w:p>
    <w:p w14:paraId="6BE2674E">
      <w:pPr>
        <w:pStyle w:val="16"/>
        <w:numPr>
          <w:ilvl w:val="0"/>
          <w:numId w:val="2"/>
        </w:numPr>
        <w:spacing w:after="80" w:line="276" w:lineRule="auto"/>
      </w:pPr>
      <w:r>
        <w:rPr>
          <w:sz w:val="22"/>
          <w:szCs w:val="22"/>
        </w:rPr>
        <w:t>innercircletrader.net — "ICT Fibonacci Settings — Exact Fib Levels, OTE 70.5% &amp; Std Deviation" (specific extension levels: −0.27, −0.62, −1.0, −2.0, −2.5, −4.0).</w:t>
      </w:r>
    </w:p>
    <w:p w14:paraId="51A70C71">
      <w:pPr>
        <w:pStyle w:val="16"/>
        <w:numPr>
          <w:ilvl w:val="0"/>
          <w:numId w:val="2"/>
        </w:numPr>
        <w:spacing w:after="80" w:line="276" w:lineRule="auto"/>
      </w:pPr>
      <w:r>
        <w:rPr>
          <w:sz w:val="22"/>
          <w:szCs w:val="22"/>
        </w:rPr>
        <w:t>fxnx.com — "ICT Fibonacci Settings: The OTE Levels Pro Traders Use" and "ICT Fibonacci Retracement: Master the OTE Zone."</w:t>
      </w:r>
    </w:p>
    <w:p w14:paraId="35C90F04">
      <w:r>
        <w:br w:type="page"/>
      </w:r>
    </w:p>
    <w:p w14:paraId="031EEB0B">
      <w:pPr>
        <w:pStyle w:val="2"/>
        <w:pBdr>
          <w:bottom w:val="single" w:color="1B2A4A" w:sz="12" w:space="4"/>
        </w:pBdr>
        <w:spacing w:before="480" w:after="240"/>
      </w:pPr>
      <w:r>
        <w:rPr>
          <w:b/>
          <w:bCs/>
          <w:color w:val="1B2A4A"/>
          <w:sz w:val="34"/>
          <w:szCs w:val="34"/>
        </w:rPr>
        <w:t>OTE (Optimal Trade Entry)</w:t>
      </w:r>
    </w:p>
    <w:p w14:paraId="3A830BC0">
      <w:pPr>
        <w:pStyle w:val="3"/>
        <w:spacing w:before="360" w:after="160"/>
      </w:pPr>
      <w:r>
        <w:rPr>
          <w:b/>
          <w:bCs/>
          <w:color w:val="1B2A4A"/>
          <w:sz w:val="26"/>
          <w:szCs w:val="26"/>
        </w:rPr>
        <w:t>1. Definition</w:t>
      </w:r>
    </w:p>
    <w:p w14:paraId="40D7F94C">
      <w:pPr>
        <w:spacing w:after="160" w:line="288" w:lineRule="auto"/>
      </w:pPr>
      <w:r>
        <w:rPr>
          <w:b w:val="0"/>
          <w:bCs w:val="0"/>
          <w:i w:val="0"/>
          <w:iCs w:val="0"/>
          <w:sz w:val="22"/>
          <w:szCs w:val="22"/>
        </w:rPr>
        <w:t>The Optimal Trade Entry (OTE) is the specific 62%–79% Fibonacci retracement zone of a confirmed, displacement-driven swing, treated within ICT's framework as the highest-probability, most favorable-risk-to-reward area to enter a trade in the direction of the original swing once price retraces into it.</w:t>
      </w:r>
    </w:p>
    <w:p w14:paraId="4EBA6531">
      <w:pPr>
        <w:pStyle w:val="3"/>
        <w:spacing w:before="360" w:after="160"/>
      </w:pPr>
      <w:r>
        <w:rPr>
          <w:b/>
          <w:bCs/>
          <w:color w:val="1B2A4A"/>
          <w:sz w:val="26"/>
          <w:szCs w:val="26"/>
        </w:rPr>
        <w:t>2. ICT's Meaning</w:t>
      </w:r>
    </w:p>
    <w:p w14:paraId="3049A406">
      <w:pPr>
        <w:spacing w:after="160" w:line="288" w:lineRule="auto"/>
      </w:pPr>
      <w:r>
        <w:rPr>
          <w:b w:val="0"/>
          <w:bCs w:val="0"/>
          <w:i w:val="0"/>
          <w:iCs w:val="0"/>
          <w:sz w:val="22"/>
          <w:szCs w:val="22"/>
        </w:rPr>
        <w:t>ICT-focused sources are highly consistent that OTE is a location, not a standalone signal — several sources explicitly warn against treating the mere arrival of price within the 62%–79% band as sufficient reason to enter, emphasizing instead that OTE must be combined with higher-timeframe bias, genuine displacement in the swing being measured, and ideally confluence with a PD array (Order Block, Fair Value Gap, or Breaker Block) from Module 6.</w:t>
      </w:r>
    </w:p>
    <w:p w14:paraId="38A8C42A">
      <w:pPr>
        <w:spacing w:after="160" w:line="288" w:lineRule="auto"/>
      </w:pPr>
      <w:r>
        <w:rPr>
          <w:b w:val="0"/>
          <w:bCs w:val="0"/>
          <w:i w:val="0"/>
          <w:iCs w:val="0"/>
          <w:sz w:val="22"/>
          <w:szCs w:val="22"/>
        </w:rPr>
        <w:t>The reasoning given for why this specific zone is favored, repeated across many sources, is a risk-to-reward argument: entering deep into a retracement (62%–79% back toward the swing's origin) keeps a trader's stop-loss (placed just beyond the 100% level, the original swing extreme) relatively tight, while the potential reward — targeting the prior swing high/low and beyond — remains large, producing a favorable ratio between risk taken and reward sought.</w:t>
      </w:r>
    </w:p>
    <w:p w14:paraId="217E2FE8">
      <w:pPr>
        <w:spacing w:after="160" w:line="288" w:lineRule="auto"/>
      </w:pPr>
      <w:r>
        <w:rPr>
          <w:b w:val="0"/>
          <w:bCs w:val="0"/>
          <w:i w:val="0"/>
          <w:iCs w:val="0"/>
          <w:sz w:val="22"/>
          <w:szCs w:val="22"/>
        </w:rPr>
        <w:t>Multiple sources describe OTE as fractal, usable on any timeframe from monthly charts down to one-minute charts, but most powerful when a lower-timeframe OTE setup aligns with the higher-timeframe trend — directly reusing the HTF/LTF relationship from Module 2.</w:t>
      </w:r>
    </w:p>
    <w:p w14:paraId="7592D080">
      <w:pPr>
        <w:pStyle w:val="3"/>
        <w:spacing w:before="360" w:after="160"/>
      </w:pPr>
      <w:r>
        <w:rPr>
          <w:b/>
          <w:bCs/>
          <w:color w:val="1B2A4A"/>
          <w:sz w:val="26"/>
          <w:szCs w:val="26"/>
        </w:rPr>
        <w:t>3. Beginner Explanation</w:t>
      </w:r>
    </w:p>
    <w:p w14:paraId="4D9D0A70">
      <w:pPr>
        <w:spacing w:after="160" w:line="288" w:lineRule="auto"/>
      </w:pPr>
      <w:r>
        <w:rPr>
          <w:b w:val="0"/>
          <w:bCs w:val="0"/>
          <w:i w:val="0"/>
          <w:iCs w:val="0"/>
          <w:sz w:val="22"/>
          <w:szCs w:val="22"/>
        </w:rPr>
        <w:t>After a strong move in one direction, price often doesn't just keep going in a straight line — it pulls back first. OTE describes a specific, fairly deep portion of that pullback (roughly two-thirds to four-fifths of the way back toward where the move started) that ICT-focused teaching treats as an especially good place to consider joining the original move, because you're getting a relatively good price (close to where the move began) while still expecting the original direction to resume.</w:t>
      </w:r>
    </w:p>
    <w:p w14:paraId="68FBF0EB">
      <w:pPr>
        <w:pStyle w:val="3"/>
        <w:spacing w:before="360" w:after="160"/>
      </w:pPr>
      <w:r>
        <w:rPr>
          <w:b/>
          <w:bCs/>
          <w:color w:val="1B2A4A"/>
          <w:sz w:val="26"/>
          <w:szCs w:val="26"/>
        </w:rPr>
        <w:t>4. How to Identify It</w:t>
      </w:r>
    </w:p>
    <w:p w14:paraId="34FDF320">
      <w:pPr>
        <w:pStyle w:val="16"/>
        <w:numPr>
          <w:ilvl w:val="0"/>
          <w:numId w:val="1"/>
        </w:numPr>
        <w:spacing w:after="80" w:line="276" w:lineRule="auto"/>
      </w:pPr>
      <w:r>
        <w:rPr>
          <w:sz w:val="22"/>
          <w:szCs w:val="22"/>
        </w:rPr>
        <w:t>Confirm a higher-timeframe bias (Module 2/10) supporting the direction of the swing being measured.</w:t>
      </w:r>
    </w:p>
    <w:p w14:paraId="52A8EEA6">
      <w:pPr>
        <w:pStyle w:val="16"/>
        <w:numPr>
          <w:ilvl w:val="0"/>
          <w:numId w:val="1"/>
        </w:numPr>
        <w:spacing w:after="80" w:line="276" w:lineRule="auto"/>
      </w:pPr>
      <w:r>
        <w:rPr>
          <w:sz w:val="22"/>
          <w:szCs w:val="22"/>
        </w:rPr>
        <w:t>Identify a genuine, displacement-confirmed impulse swing (Module 5) rather than a slow, indecisive move.</w:t>
      </w:r>
    </w:p>
    <w:p w14:paraId="1450282A">
      <w:pPr>
        <w:pStyle w:val="16"/>
        <w:numPr>
          <w:ilvl w:val="0"/>
          <w:numId w:val="1"/>
        </w:numPr>
        <w:spacing w:after="80" w:line="276" w:lineRule="auto"/>
      </w:pPr>
      <w:r>
        <w:rPr>
          <w:sz w:val="22"/>
          <w:szCs w:val="22"/>
        </w:rPr>
        <w:t>Draw the Fibonacci retracement tool correctly (body-to-body, correct direction) across this swing.</w:t>
      </w:r>
    </w:p>
    <w:p w14:paraId="5807CF3D">
      <w:pPr>
        <w:pStyle w:val="16"/>
        <w:numPr>
          <w:ilvl w:val="0"/>
          <w:numId w:val="1"/>
        </w:numPr>
        <w:spacing w:after="80" w:line="276" w:lineRule="auto"/>
      </w:pPr>
      <w:r>
        <w:rPr>
          <w:sz w:val="22"/>
          <w:szCs w:val="22"/>
        </w:rPr>
        <w:t>Mark the 62%–79% band, with particular attention to 70.5%.</w:t>
      </w:r>
    </w:p>
    <w:p w14:paraId="38FDB4FD">
      <w:pPr>
        <w:pStyle w:val="16"/>
        <w:numPr>
          <w:ilvl w:val="0"/>
          <w:numId w:val="1"/>
        </w:numPr>
        <w:spacing w:after="80" w:line="276" w:lineRule="auto"/>
      </w:pPr>
      <w:r>
        <w:rPr>
          <w:sz w:val="22"/>
          <w:szCs w:val="22"/>
        </w:rPr>
        <w:t>Wait for price to actually retrace into this band — do not anticipate or enter before the retracement occurs.</w:t>
      </w:r>
    </w:p>
    <w:p w14:paraId="5EC1B1E3">
      <w:pPr>
        <w:pStyle w:val="3"/>
        <w:spacing w:before="360" w:after="160"/>
      </w:pPr>
      <w:r>
        <w:rPr>
          <w:b/>
          <w:bCs/>
          <w:color w:val="1B2A4A"/>
          <w:sz w:val="26"/>
          <w:szCs w:val="26"/>
        </w:rPr>
        <w:t>5. Simple Price Example</w:t>
      </w:r>
    </w:p>
    <w:p w14:paraId="6ABE6E4C">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Bullish swing from 100 (low) to 200 (high); price retraces to 130</w:t>
      </w:r>
    </w:p>
    <w:p w14:paraId="68600B33">
      <w:pPr>
        <w:spacing w:after="160" w:line="288" w:lineRule="auto"/>
      </w:pPr>
      <w:r>
        <w:rPr>
          <w:b w:val="0"/>
          <w:bCs w:val="0"/>
          <w:i w:val="0"/>
          <w:iCs w:val="0"/>
          <w:sz w:val="22"/>
          <w:szCs w:val="22"/>
        </w:rPr>
        <w:t>The 62% level of this swing sits at 138, the 70.5% sweet spot sits at approximately 129.5, and the 79% level sits at 121. A retracement to 130 places price essentially right at the 70.5% sweet spot, inside the broader 62%–79% OTE band — under ICT's framework, this would be marked as the zone of specific interest for a potential long entry, assuming higher-timeframe bias and PD array confluence also support it.</w:t>
      </w:r>
    </w:p>
    <w:p w14:paraId="5104AEDB">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200 (0%, swing high)</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150 (50%, equilibrium)</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138 (62%) --- OTE zone start</w:t>
      </w:r>
      <w:r>
        <w:rPr>
          <w:rFonts w:ascii="Consolas" w:hAnsi="Consolas" w:eastAsia="Consolas" w:cs="Consolas"/>
          <w:sz w:val="19"/>
          <w:szCs w:val="19"/>
        </w:rPr>
        <w:br w:type="textWrapping"/>
      </w:r>
      <w:r>
        <w:rPr>
          <w:rFonts w:ascii="Consolas" w:hAnsi="Consolas" w:eastAsia="Consolas" w:cs="Consolas"/>
          <w:sz w:val="19"/>
          <w:szCs w:val="19"/>
        </w:rPr>
        <w:t>129.5 (70.5%) --- sweet spot  &lt;- price retraces to ~130</w:t>
      </w:r>
      <w:r>
        <w:rPr>
          <w:rFonts w:ascii="Consolas" w:hAnsi="Consolas" w:eastAsia="Consolas" w:cs="Consolas"/>
          <w:sz w:val="19"/>
          <w:szCs w:val="19"/>
        </w:rPr>
        <w:br w:type="textWrapping"/>
      </w:r>
      <w:r>
        <w:rPr>
          <w:rFonts w:ascii="Consolas" w:hAnsi="Consolas" w:eastAsia="Consolas" w:cs="Consolas"/>
          <w:sz w:val="19"/>
          <w:szCs w:val="19"/>
        </w:rPr>
        <w:t>121 (79%) --- OTE zone end</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100 (100%, swing low / invalidation)</w:t>
      </w:r>
    </w:p>
    <w:p w14:paraId="5229AC27">
      <w:pPr>
        <w:pStyle w:val="3"/>
        <w:spacing w:before="360" w:after="160"/>
      </w:pPr>
      <w:r>
        <w:rPr>
          <w:b/>
          <w:bCs/>
          <w:color w:val="1B2A4A"/>
          <w:sz w:val="26"/>
          <w:szCs w:val="26"/>
        </w:rPr>
        <w:t>6. What It Tells the Trader</w:t>
      </w:r>
    </w:p>
    <w:p w14:paraId="40E31959">
      <w:pPr>
        <w:spacing w:after="160" w:line="288" w:lineRule="auto"/>
      </w:pPr>
      <w:r>
        <w:rPr>
          <w:b w:val="0"/>
          <w:bCs w:val="0"/>
          <w:i w:val="0"/>
          <w:iCs w:val="0"/>
          <w:sz w:val="22"/>
          <w:szCs w:val="22"/>
        </w:rPr>
        <w:t>OTE tells the trader a specific, favorable-risk-to-reward zone within an already-confirmed retracement, providing an objective location to focus attention rather than guessing at an arbitrary entry price during the pullback.</w:t>
      </w:r>
    </w:p>
    <w:p w14:paraId="2378A7BD">
      <w:pPr>
        <w:spacing w:after="160" w:line="288" w:lineRule="auto"/>
      </w:pPr>
      <w:r>
        <w:rPr>
          <w:b w:val="0"/>
          <w:bCs w:val="0"/>
          <w:i w:val="0"/>
          <w:iCs w:val="0"/>
          <w:sz w:val="22"/>
          <w:szCs w:val="22"/>
        </w:rPr>
        <w:t>It does not tell the trader that price will necessarily reach this zone at all, or that a genuine reaction will occur there rather than a continued move through it toward the full 100% invalidation level. ICT-focused sources are explicit that OTE alone, without HTF context and PD array confluence, produces a meaningfully lower success rate than OTE combined with that additional confirmation.</w:t>
      </w:r>
    </w:p>
    <w:p w14:paraId="573DEEDD">
      <w:pPr>
        <w:pStyle w:val="3"/>
        <w:spacing w:before="360" w:after="160"/>
      </w:pPr>
      <w:r>
        <w:rPr>
          <w:b/>
          <w:bCs/>
          <w:color w:val="1B2A4A"/>
          <w:sz w:val="26"/>
          <w:szCs w:val="26"/>
        </w:rPr>
        <w:t>7. What It Is Commonly Paired With</w:t>
      </w:r>
    </w:p>
    <w:p w14:paraId="02D26A0A">
      <w:pPr>
        <w:pStyle w:val="16"/>
        <w:numPr>
          <w:ilvl w:val="0"/>
          <w:numId w:val="2"/>
        </w:numPr>
        <w:spacing w:after="80" w:line="276" w:lineRule="auto"/>
      </w:pPr>
      <w:r>
        <w:rPr>
          <w:sz w:val="22"/>
          <w:szCs w:val="22"/>
        </w:rPr>
        <w:t>ICT Fibonacci Levels</w:t>
      </w:r>
    </w:p>
    <w:p w14:paraId="2A7CC73E">
      <w:pPr>
        <w:pStyle w:val="16"/>
        <w:numPr>
          <w:ilvl w:val="0"/>
          <w:numId w:val="2"/>
        </w:numPr>
        <w:spacing w:after="80" w:line="276" w:lineRule="auto"/>
      </w:pPr>
      <w:r>
        <w:rPr>
          <w:sz w:val="22"/>
          <w:szCs w:val="22"/>
        </w:rPr>
        <w:t>Order Block / Fair Value Gap (Module 6)</w:t>
      </w:r>
    </w:p>
    <w:p w14:paraId="4CCB5DC0">
      <w:pPr>
        <w:pStyle w:val="16"/>
        <w:numPr>
          <w:ilvl w:val="0"/>
          <w:numId w:val="2"/>
        </w:numPr>
        <w:spacing w:after="80" w:line="276" w:lineRule="auto"/>
      </w:pPr>
      <w:r>
        <w:rPr>
          <w:sz w:val="22"/>
          <w:szCs w:val="22"/>
        </w:rPr>
        <w:t>Market Structure Shift (Module 3)</w:t>
      </w:r>
    </w:p>
    <w:p w14:paraId="59BB866E">
      <w:pPr>
        <w:spacing w:after="160" w:line="288" w:lineRule="auto"/>
      </w:pPr>
      <w:r>
        <w:rPr>
          <w:b w:val="0"/>
          <w:bCs w:val="0"/>
          <w:i w:val="0"/>
          <w:iCs w:val="0"/>
          <w:sz w:val="22"/>
          <w:szCs w:val="22"/>
        </w:rPr>
        <w:t>OTE is most reliable, according to consistently repeated guidance across sources, when the 62%–79% zone overlaps with an Order Block or Fair Value Gap, and when the retracement follows a confirmed Market Structure Shift establishing the new directional bias being retraced within.</w:t>
      </w:r>
    </w:p>
    <w:p w14:paraId="4421BA41">
      <w:pPr>
        <w:pStyle w:val="3"/>
        <w:spacing w:before="360" w:after="160"/>
      </w:pPr>
      <w:r>
        <w:rPr>
          <w:b/>
          <w:bCs/>
          <w:color w:val="1B2A4A"/>
          <w:sz w:val="26"/>
          <w:szCs w:val="26"/>
        </w:rPr>
        <w:t>8. Where It Fits in the ICT Framework</w:t>
      </w:r>
    </w:p>
    <w:p w14:paraId="3D10F405">
      <w:pPr>
        <w:spacing w:after="160" w:line="288" w:lineRule="auto"/>
      </w:pPr>
      <w:r>
        <w:rPr>
          <w:b w:val="0"/>
          <w:bCs w:val="0"/>
          <w:i w:val="0"/>
          <w:iCs w:val="0"/>
          <w:sz w:val="22"/>
          <w:szCs w:val="22"/>
        </w:rPr>
        <w:t>Comes before: Requires ICT Fibonacci Levels.</w:t>
      </w:r>
    </w:p>
    <w:p w14:paraId="14AD6F62">
      <w:pPr>
        <w:spacing w:after="160" w:line="288" w:lineRule="auto"/>
      </w:pPr>
      <w:r>
        <w:rPr>
          <w:b w:val="0"/>
          <w:bCs w:val="0"/>
          <w:i w:val="0"/>
          <w:iCs w:val="0"/>
          <w:sz w:val="22"/>
          <w:szCs w:val="22"/>
        </w:rPr>
        <w:t>Comes after: Feeds directly into Retracement into OTE and Entry Zone, and ultimately into the ICT Buy/Sell Models (Modules 11–12), where OTE is one of the specific tools used to time entries.</w:t>
      </w:r>
    </w:p>
    <w:p w14:paraId="1D427D9A">
      <w:pPr>
        <w:pStyle w:val="3"/>
        <w:spacing w:before="360" w:after="160"/>
      </w:pPr>
      <w:r>
        <w:rPr>
          <w:b/>
          <w:bCs/>
          <w:color w:val="1B2A4A"/>
          <w:sz w:val="26"/>
          <w:szCs w:val="26"/>
        </w:rPr>
        <w:t>9. Beginner Mistakes</w:t>
      </w:r>
    </w:p>
    <w:p w14:paraId="09210DA8">
      <w:pPr>
        <w:pStyle w:val="16"/>
        <w:numPr>
          <w:ilvl w:val="0"/>
          <w:numId w:val="2"/>
        </w:numPr>
        <w:spacing w:after="80" w:line="276" w:lineRule="auto"/>
      </w:pPr>
      <w:r>
        <w:rPr>
          <w:sz w:val="22"/>
          <w:szCs w:val="22"/>
        </w:rPr>
        <w:t>Entering a trade as soon as price approaches the 62% level, without waiting to see whether it continues deeper into the zone or reacts immediately.</w:t>
      </w:r>
    </w:p>
    <w:p w14:paraId="652379C5">
      <w:pPr>
        <w:pStyle w:val="16"/>
        <w:numPr>
          <w:ilvl w:val="0"/>
          <w:numId w:val="2"/>
        </w:numPr>
        <w:spacing w:after="80" w:line="276" w:lineRule="auto"/>
      </w:pPr>
      <w:r>
        <w:rPr>
          <w:sz w:val="22"/>
          <w:szCs w:val="22"/>
        </w:rPr>
        <w:t>Treating OTE as a complete, standalone trading system rather than one component that still requires HTF bias and PD array confirmation.</w:t>
      </w:r>
    </w:p>
    <w:p w14:paraId="2AFA0DC3">
      <w:pPr>
        <w:pStyle w:val="16"/>
        <w:numPr>
          <w:ilvl w:val="0"/>
          <w:numId w:val="2"/>
        </w:numPr>
        <w:spacing w:after="80" w:line="276" w:lineRule="auto"/>
      </w:pPr>
      <w:r>
        <w:rPr>
          <w:sz w:val="22"/>
          <w:szCs w:val="22"/>
        </w:rPr>
        <w:t>Placing a stop-loss inside the OTE zone itself rather than beyond the full 100% swing extreme, risking a premature stop-out from ordinary volatility within the zone.</w:t>
      </w:r>
    </w:p>
    <w:p w14:paraId="6874BBB6">
      <w:pPr>
        <w:pStyle w:val="3"/>
        <w:spacing w:before="360" w:after="160"/>
      </w:pPr>
      <w:r>
        <w:rPr>
          <w:b/>
          <w:bCs/>
          <w:color w:val="1B2A4A"/>
          <w:sz w:val="26"/>
          <w:szCs w:val="26"/>
        </w:rPr>
        <w:t>10. Important Qualification</w:t>
      </w:r>
    </w:p>
    <w:p w14:paraId="1748D77C">
      <w:pPr>
        <w:pBdr>
          <w:left w:val="single" w:color="7A2E2E" w:sz="24" w:space="8"/>
        </w:pBdr>
        <w:shd w:val="clear" w:fill="EFEFEF"/>
        <w:spacing w:before="160" w:after="200"/>
        <w:ind w:left="200"/>
      </w:pPr>
      <w:r>
        <w:rPr>
          <w:b/>
          <w:bCs/>
          <w:color w:val="7A2E2E"/>
          <w:sz w:val="21"/>
          <w:szCs w:val="21"/>
        </w:rPr>
        <w:t xml:space="preserve">Qualification: </w:t>
      </w:r>
      <w:r>
        <w:rPr>
          <w:sz w:val="21"/>
          <w:szCs w:val="21"/>
        </w:rPr>
        <w:t>OTE describes a favorable location for a retracement entry, not a guaranteed reversal point. Multiple sources cite an approximate 55–60% standalone success rate for OTE used without additional confluence, rising notably higher when combined with Order Block or Fair Value Gap confirmation — figures that should be understood as general, source-reported approximations rather than precisely verified statistics.</w:t>
      </w:r>
    </w:p>
    <w:p w14:paraId="758D3C84">
      <w:pPr>
        <w:pStyle w:val="3"/>
        <w:spacing w:before="360" w:after="160"/>
      </w:pPr>
      <w:r>
        <w:rPr>
          <w:b/>
          <w:bCs/>
          <w:color w:val="1B2A4A"/>
          <w:sz w:val="26"/>
          <w:szCs w:val="26"/>
        </w:rPr>
        <w:t>11. Source</w:t>
      </w:r>
    </w:p>
    <w:p w14:paraId="1B01C21B"/>
    <w:p w14:paraId="188F0C93">
      <w:pPr>
        <w:pStyle w:val="16"/>
        <w:numPr>
          <w:ilvl w:val="0"/>
          <w:numId w:val="2"/>
        </w:numPr>
        <w:spacing w:after="80" w:line="276" w:lineRule="auto"/>
      </w:pPr>
      <w:r>
        <w:rPr>
          <w:sz w:val="22"/>
          <w:szCs w:val="22"/>
        </w:rPr>
        <w:t>liquidityhunters.cl — "Optimal Trade Entry (OTE) — ICT 62-79% Fibonacci Zone Explained" (55–60% standalone win-rate figure, rising above 70% with OB/FVG confluence, as reported by this source).</w:t>
      </w:r>
    </w:p>
    <w:p w14:paraId="48BC8B1E">
      <w:pPr>
        <w:pStyle w:val="16"/>
        <w:numPr>
          <w:ilvl w:val="0"/>
          <w:numId w:val="2"/>
        </w:numPr>
        <w:spacing w:after="80" w:line="276" w:lineRule="auto"/>
      </w:pPr>
      <w:r>
        <w:rPr>
          <w:sz w:val="22"/>
          <w:szCs w:val="22"/>
        </w:rPr>
        <w:t>theinnercircletraders.com — "OTE in Trading: The ICT Optimal Trade Entry Explained."</w:t>
      </w:r>
    </w:p>
    <w:p w14:paraId="22B0A72B">
      <w:pPr>
        <w:pStyle w:val="16"/>
        <w:numPr>
          <w:ilvl w:val="0"/>
          <w:numId w:val="2"/>
        </w:numPr>
        <w:spacing w:after="80" w:line="276" w:lineRule="auto"/>
      </w:pPr>
      <w:r>
        <w:rPr>
          <w:sz w:val="22"/>
          <w:szCs w:val="22"/>
        </w:rPr>
        <w:t>grandalgo.com — "ICT OTE: How to Trade the 62% to 79% Optimal Trade Entry Zone."</w:t>
      </w:r>
    </w:p>
    <w:p w14:paraId="1F48E58B">
      <w:pPr>
        <w:pStyle w:val="16"/>
        <w:numPr>
          <w:ilvl w:val="0"/>
          <w:numId w:val="2"/>
        </w:numPr>
        <w:spacing w:after="80" w:line="276" w:lineRule="auto"/>
      </w:pPr>
      <w:r>
        <w:rPr>
          <w:sz w:val="22"/>
          <w:szCs w:val="22"/>
        </w:rPr>
        <w:t>tradingfinder.com — "What Is the OTE Strategy? Optimal Entry &amp; Key Fibonacci Levels in ICT."</w:t>
      </w:r>
    </w:p>
    <w:p w14:paraId="0E417EB9">
      <w:pPr>
        <w:pBdr>
          <w:left w:val="single" w:color="9A7B2E" w:sz="24" w:space="8"/>
        </w:pBdr>
        <w:shd w:val="clear" w:fill="EFEFEF"/>
        <w:spacing w:before="160" w:after="200"/>
        <w:ind w:left="200"/>
      </w:pPr>
      <w:r>
        <w:rPr>
          <w:b/>
          <w:bCs/>
          <w:color w:val="9A7B2E"/>
          <w:sz w:val="21"/>
          <w:szCs w:val="21"/>
        </w:rPr>
        <w:t xml:space="preserve">Community interpretation: </w:t>
      </w:r>
      <w:r>
        <w:rPr>
          <w:sz w:val="21"/>
          <w:szCs w:val="21"/>
        </w:rPr>
        <w:t>The specific standalone-versus-confluence win-rate percentages cited above come from one secondary source's stated figures and should be treated as an illustrative, source-reported claim rather than an independently verified statistic; no primary ICT source with formal win-rate statistics was accessible in this research pass.</w:t>
      </w:r>
    </w:p>
    <w:p w14:paraId="3F70A873">
      <w:r>
        <w:br w:type="page"/>
      </w:r>
    </w:p>
    <w:p w14:paraId="5C3EFDBB">
      <w:pPr>
        <w:pStyle w:val="2"/>
        <w:pBdr>
          <w:bottom w:val="single" w:color="1B2A4A" w:sz="12" w:space="4"/>
        </w:pBdr>
        <w:spacing w:before="480" w:after="240"/>
      </w:pPr>
      <w:r>
        <w:rPr>
          <w:b/>
          <w:bCs/>
          <w:color w:val="1B2A4A"/>
          <w:sz w:val="34"/>
          <w:szCs w:val="34"/>
        </w:rPr>
        <w:t>Retracement into OTE</w:t>
      </w:r>
    </w:p>
    <w:p w14:paraId="09B84C7E">
      <w:pPr>
        <w:pStyle w:val="3"/>
        <w:spacing w:before="360" w:after="160"/>
      </w:pPr>
      <w:r>
        <w:rPr>
          <w:b/>
          <w:bCs/>
          <w:color w:val="1B2A4A"/>
          <w:sz w:val="26"/>
          <w:szCs w:val="26"/>
        </w:rPr>
        <w:t>1. Definition</w:t>
      </w:r>
    </w:p>
    <w:p w14:paraId="63CA317F">
      <w:pPr>
        <w:spacing w:after="160" w:line="288" w:lineRule="auto"/>
      </w:pPr>
      <w:r>
        <w:rPr>
          <w:b w:val="0"/>
          <w:bCs w:val="0"/>
          <w:i w:val="0"/>
          <w:iCs w:val="0"/>
          <w:sz w:val="22"/>
          <w:szCs w:val="22"/>
        </w:rPr>
        <w:t>Retracement into OTE describes the specific process, following a confirmed displacement move and Market Structure Shift, of waiting for price to pull back and actually enter the 62%–79% Fibonacci zone of that move before considering an entry — the practical, procedural application of the OTE concept within a live trading sequence.</w:t>
      </w:r>
    </w:p>
    <w:p w14:paraId="058C08E2">
      <w:pPr>
        <w:pStyle w:val="3"/>
        <w:spacing w:before="360" w:after="160"/>
      </w:pPr>
      <w:r>
        <w:rPr>
          <w:b/>
          <w:bCs/>
          <w:color w:val="1B2A4A"/>
          <w:sz w:val="26"/>
          <w:szCs w:val="26"/>
        </w:rPr>
        <w:t>2. ICT's Meaning</w:t>
      </w:r>
    </w:p>
    <w:p w14:paraId="78FA261E">
      <w:pPr>
        <w:spacing w:after="160" w:line="288" w:lineRule="auto"/>
      </w:pPr>
      <w:r>
        <w:rPr>
          <w:b w:val="0"/>
          <w:bCs w:val="0"/>
          <w:i w:val="0"/>
          <w:iCs w:val="0"/>
          <w:sz w:val="22"/>
          <w:szCs w:val="22"/>
        </w:rPr>
        <w:t>Where the previous concept (OTE) defines what the zone is, this concept addresses the specific sequencing and patience required to use it correctly. ICT-focused sources repeatedly stress a specific order of operations: first confirm HTF bias, then wait for a genuine displacement move and Market Structure Shift establishing a new directional leg, then draw the Fibonacci tool on that specific leg, and only then wait — without anticipating — for price to actually retrace into the 62%–79% band.</w:t>
      </w:r>
    </w:p>
    <w:p w14:paraId="3681B845">
      <w:pPr>
        <w:spacing w:after="160" w:line="288" w:lineRule="auto"/>
      </w:pPr>
      <w:r>
        <w:rPr>
          <w:b w:val="0"/>
          <w:bCs w:val="0"/>
          <w:i w:val="0"/>
          <w:iCs w:val="0"/>
          <w:sz w:val="22"/>
          <w:szCs w:val="22"/>
        </w:rPr>
        <w:t>Multiple sources explicitly warn against "chasing" — entering before the retracement into OTE has actually occurred, based on an assumption that it will happen — describing this as one of the most common and costly mistakes among traders newer to the concept.</w:t>
      </w:r>
    </w:p>
    <w:p w14:paraId="6C1CE61E">
      <w:pPr>
        <w:spacing w:after="160" w:line="288" w:lineRule="auto"/>
      </w:pPr>
      <w:r>
        <w:rPr>
          <w:b w:val="0"/>
          <w:bCs w:val="0"/>
          <w:i w:val="0"/>
          <w:iCs w:val="0"/>
          <w:sz w:val="22"/>
          <w:szCs w:val="22"/>
        </w:rPr>
        <w:t>Sources also describe watching for a specific confirmation once price is inside the zone: some form of lower-timeframe reaction (a candlestick rejection pattern, a lower-timeframe Market Structure Shift, or a reaction precisely at the 70.5% sweet spot) rather than treating mere arrival within the band as sufficient by itself.</w:t>
      </w:r>
    </w:p>
    <w:p w14:paraId="7E8F7312">
      <w:pPr>
        <w:pStyle w:val="3"/>
        <w:spacing w:before="360" w:after="160"/>
      </w:pPr>
      <w:r>
        <w:rPr>
          <w:b/>
          <w:bCs/>
          <w:color w:val="1B2A4A"/>
          <w:sz w:val="26"/>
          <w:szCs w:val="26"/>
        </w:rPr>
        <w:t>3. Beginner Explanation</w:t>
      </w:r>
    </w:p>
    <w:p w14:paraId="67AB862E">
      <w:pPr>
        <w:spacing w:after="160" w:line="288" w:lineRule="auto"/>
      </w:pPr>
      <w:r>
        <w:rPr>
          <w:b w:val="0"/>
          <w:bCs w:val="0"/>
          <w:i w:val="0"/>
          <w:iCs w:val="0"/>
          <w:sz w:val="22"/>
          <w:szCs w:val="22"/>
        </w:rPr>
        <w:t>This concept is really about patience and sequencing rather than a new idea: having already learned what the OTE zone is, this is the specific discipline of waiting for price to genuinely travel into that zone — not jumping in early because you expect it to get there, and not giving up on the idea just because the pullback is taking a while to develop.</w:t>
      </w:r>
    </w:p>
    <w:p w14:paraId="1733889C">
      <w:pPr>
        <w:pStyle w:val="3"/>
        <w:spacing w:before="360" w:after="160"/>
      </w:pPr>
      <w:r>
        <w:rPr>
          <w:b/>
          <w:bCs/>
          <w:color w:val="1B2A4A"/>
          <w:sz w:val="26"/>
          <w:szCs w:val="26"/>
        </w:rPr>
        <w:t>4. How to Identify It</w:t>
      </w:r>
    </w:p>
    <w:p w14:paraId="174FF912">
      <w:pPr>
        <w:pStyle w:val="16"/>
        <w:numPr>
          <w:ilvl w:val="0"/>
          <w:numId w:val="1"/>
        </w:numPr>
        <w:spacing w:after="80" w:line="276" w:lineRule="auto"/>
      </w:pPr>
      <w:r>
        <w:rPr>
          <w:sz w:val="22"/>
          <w:szCs w:val="22"/>
        </w:rPr>
        <w:t>Confirm HTF bias, a genuine displacement move, and (per this book's working definition) a Market Structure Shift establishing the new directional leg (Modules 2, 3, and 5).</w:t>
      </w:r>
    </w:p>
    <w:p w14:paraId="47E3C924">
      <w:pPr>
        <w:pStyle w:val="16"/>
        <w:numPr>
          <w:ilvl w:val="0"/>
          <w:numId w:val="1"/>
        </w:numPr>
        <w:spacing w:after="80" w:line="276" w:lineRule="auto"/>
      </w:pPr>
      <w:r>
        <w:rPr>
          <w:sz w:val="22"/>
          <w:szCs w:val="22"/>
        </w:rPr>
        <w:t>Draw the Fibonacci retracement tool on this specific leg, correctly anchored.</w:t>
      </w:r>
    </w:p>
    <w:p w14:paraId="25AF0546">
      <w:pPr>
        <w:pStyle w:val="16"/>
        <w:numPr>
          <w:ilvl w:val="0"/>
          <w:numId w:val="1"/>
        </w:numPr>
        <w:spacing w:after="80" w:line="276" w:lineRule="auto"/>
      </w:pPr>
      <w:r>
        <w:rPr>
          <w:sz w:val="22"/>
          <w:szCs w:val="22"/>
        </w:rPr>
        <w:t>Wait, without entering, while price begins to pull back.</w:t>
      </w:r>
    </w:p>
    <w:p w14:paraId="4911B170">
      <w:pPr>
        <w:pStyle w:val="16"/>
        <w:numPr>
          <w:ilvl w:val="0"/>
          <w:numId w:val="1"/>
        </w:numPr>
        <w:spacing w:after="80" w:line="276" w:lineRule="auto"/>
      </w:pPr>
      <w:r>
        <w:rPr>
          <w:sz w:val="22"/>
          <w:szCs w:val="22"/>
        </w:rPr>
        <w:t>Only once price actually trades into the 62%–79% band should the trader begin watching closely for a specific lower-timeframe confirmation signal.</w:t>
      </w:r>
    </w:p>
    <w:p w14:paraId="73B157F2">
      <w:pPr>
        <w:pStyle w:val="3"/>
        <w:spacing w:before="360" w:after="160"/>
      </w:pPr>
      <w:r>
        <w:rPr>
          <w:b/>
          <w:bCs/>
          <w:color w:val="1B2A4A"/>
          <w:sz w:val="26"/>
          <w:szCs w:val="26"/>
        </w:rPr>
        <w:t>5. Simple Price Example</w:t>
      </w:r>
    </w:p>
    <w:p w14:paraId="3CA5853E">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Bullish MSS confirmed at 200 (swing high). Price retraces: 200 → 180 → 160 → 140 → 129 (inside OTE) → 145 (reaction)</w:t>
      </w:r>
    </w:p>
    <w:p w14:paraId="455386C2">
      <w:pPr>
        <w:spacing w:after="160" w:line="288" w:lineRule="auto"/>
      </w:pPr>
      <w:r>
        <w:rPr>
          <w:b w:val="0"/>
          <w:bCs w:val="0"/>
          <w:i w:val="0"/>
          <w:iCs w:val="0"/>
          <w:sz w:val="22"/>
          <w:szCs w:val="22"/>
        </w:rPr>
        <w:t>A trader following this process would not act at 180, 160, or even 140 — all are still short of the OTE zone (138–121, given a 100–200 swing). Only once price reaches 129 — genuinely inside the 62%–79% band — would the trader begin watching closely for a reaction, such as the subsequent move back up to 145, before considering an entry.</w:t>
      </w:r>
    </w:p>
    <w:p w14:paraId="7E54E811">
      <w:pPr>
        <w:pStyle w:val="3"/>
        <w:spacing w:before="360" w:after="160"/>
      </w:pPr>
      <w:r>
        <w:rPr>
          <w:b/>
          <w:bCs/>
          <w:color w:val="1B2A4A"/>
          <w:sz w:val="26"/>
          <w:szCs w:val="26"/>
        </w:rPr>
        <w:t>6. What It Tells the Trader</w:t>
      </w:r>
    </w:p>
    <w:p w14:paraId="091A67FC">
      <w:pPr>
        <w:spacing w:after="160" w:line="288" w:lineRule="auto"/>
      </w:pPr>
      <w:r>
        <w:rPr>
          <w:b w:val="0"/>
          <w:bCs w:val="0"/>
          <w:i w:val="0"/>
          <w:iCs w:val="0"/>
          <w:sz w:val="22"/>
          <w:szCs w:val="22"/>
        </w:rPr>
        <w:t>This concept tells the trader specifically when, in the sequence of events, it becomes appropriate to start paying close attention for an entry signal — distinguishing between the zone existing on a chart (which can be drawn immediately after a swing forms) and the zone actually being reached (which may or may not happen, and may take considerable time).</w:t>
      </w:r>
    </w:p>
    <w:p w14:paraId="5F9F4155">
      <w:pPr>
        <w:spacing w:after="160" w:line="288" w:lineRule="auto"/>
      </w:pPr>
      <w:r>
        <w:rPr>
          <w:b w:val="0"/>
          <w:bCs w:val="0"/>
          <w:i w:val="0"/>
          <w:iCs w:val="0"/>
          <w:sz w:val="22"/>
          <w:szCs w:val="22"/>
        </w:rPr>
        <w:t>It does not tell the trader that a retracement into OTE, once it occurs, is itself sufficient grounds for an entry — a specific confirmation signal, discussed further in the next concept, is still expected.</w:t>
      </w:r>
    </w:p>
    <w:p w14:paraId="3CD88777">
      <w:pPr>
        <w:pStyle w:val="3"/>
        <w:spacing w:before="360" w:after="160"/>
      </w:pPr>
      <w:r>
        <w:rPr>
          <w:b/>
          <w:bCs/>
          <w:color w:val="1B2A4A"/>
          <w:sz w:val="26"/>
          <w:szCs w:val="26"/>
        </w:rPr>
        <w:t>7. What It Is Commonly Paired With</w:t>
      </w:r>
    </w:p>
    <w:p w14:paraId="606B32EC">
      <w:pPr>
        <w:pStyle w:val="16"/>
        <w:numPr>
          <w:ilvl w:val="0"/>
          <w:numId w:val="2"/>
        </w:numPr>
        <w:spacing w:after="80" w:line="276" w:lineRule="auto"/>
      </w:pPr>
      <w:r>
        <w:rPr>
          <w:sz w:val="22"/>
          <w:szCs w:val="22"/>
        </w:rPr>
        <w:t>OTE</w:t>
      </w:r>
    </w:p>
    <w:p w14:paraId="2D5477B1">
      <w:pPr>
        <w:pStyle w:val="16"/>
        <w:numPr>
          <w:ilvl w:val="0"/>
          <w:numId w:val="2"/>
        </w:numPr>
        <w:spacing w:after="80" w:line="276" w:lineRule="auto"/>
      </w:pPr>
      <w:r>
        <w:rPr>
          <w:sz w:val="22"/>
          <w:szCs w:val="22"/>
        </w:rPr>
        <w:t>Entry Zone</w:t>
      </w:r>
    </w:p>
    <w:p w14:paraId="0D8076A9">
      <w:pPr>
        <w:pStyle w:val="16"/>
        <w:numPr>
          <w:ilvl w:val="0"/>
          <w:numId w:val="2"/>
        </w:numPr>
        <w:spacing w:after="80" w:line="276" w:lineRule="auto"/>
      </w:pPr>
      <w:r>
        <w:rPr>
          <w:sz w:val="22"/>
          <w:szCs w:val="22"/>
        </w:rPr>
        <w:t>Lower-Timeframe Uses (Module 2)</w:t>
      </w:r>
    </w:p>
    <w:p w14:paraId="341E59CD">
      <w:pPr>
        <w:spacing w:after="160" w:line="288" w:lineRule="auto"/>
      </w:pPr>
      <w:r>
        <w:rPr>
          <w:b w:val="0"/>
          <w:bCs w:val="0"/>
          <w:i w:val="0"/>
          <w:iCs w:val="0"/>
          <w:sz w:val="22"/>
          <w:szCs w:val="22"/>
        </w:rPr>
        <w:t>This concept is the connective, procedural link between the general OTE definition and the specific mechanics of actually executing an entry, which is where the lower-timeframe confirmation tools from Module 2 are put into practice.</w:t>
      </w:r>
    </w:p>
    <w:p w14:paraId="46279E80">
      <w:pPr>
        <w:pStyle w:val="3"/>
        <w:spacing w:before="360" w:after="160"/>
      </w:pPr>
      <w:r>
        <w:rPr>
          <w:b/>
          <w:bCs/>
          <w:color w:val="1B2A4A"/>
          <w:sz w:val="26"/>
          <w:szCs w:val="26"/>
        </w:rPr>
        <w:t>8. Where It Fits in the ICT Framework</w:t>
      </w:r>
    </w:p>
    <w:p w14:paraId="7A30B512">
      <w:pPr>
        <w:spacing w:after="160" w:line="288" w:lineRule="auto"/>
      </w:pPr>
      <w:r>
        <w:rPr>
          <w:b w:val="0"/>
          <w:bCs w:val="0"/>
          <w:i w:val="0"/>
          <w:iCs w:val="0"/>
          <w:sz w:val="22"/>
          <w:szCs w:val="22"/>
        </w:rPr>
        <w:t>Comes before: Requires OTE.</w:t>
      </w:r>
    </w:p>
    <w:p w14:paraId="7D791613">
      <w:pPr>
        <w:spacing w:after="160" w:line="288" w:lineRule="auto"/>
      </w:pPr>
      <w:r>
        <w:rPr>
          <w:b w:val="0"/>
          <w:bCs w:val="0"/>
          <w:i w:val="0"/>
          <w:iCs w:val="0"/>
          <w:sz w:val="22"/>
          <w:szCs w:val="22"/>
        </w:rPr>
        <w:t>Comes after: Feeds directly into Entry Zone.</w:t>
      </w:r>
    </w:p>
    <w:p w14:paraId="40215757">
      <w:pPr>
        <w:pStyle w:val="3"/>
        <w:spacing w:before="360" w:after="160"/>
      </w:pPr>
      <w:r>
        <w:rPr>
          <w:b/>
          <w:bCs/>
          <w:color w:val="1B2A4A"/>
          <w:sz w:val="26"/>
          <w:szCs w:val="26"/>
        </w:rPr>
        <w:t>9. Beginner Mistakes</w:t>
      </w:r>
    </w:p>
    <w:p w14:paraId="046D3262">
      <w:pPr>
        <w:pStyle w:val="16"/>
        <w:numPr>
          <w:ilvl w:val="0"/>
          <w:numId w:val="2"/>
        </w:numPr>
        <w:spacing w:after="80" w:line="276" w:lineRule="auto"/>
      </w:pPr>
      <w:r>
        <w:rPr>
          <w:sz w:val="22"/>
          <w:szCs w:val="22"/>
        </w:rPr>
        <w:t>Entering before price has genuinely reached the 62%–79% band, based on an assumption or hope that it will get there.</w:t>
      </w:r>
    </w:p>
    <w:p w14:paraId="1F8E40A5">
      <w:pPr>
        <w:pStyle w:val="16"/>
        <w:numPr>
          <w:ilvl w:val="0"/>
          <w:numId w:val="2"/>
        </w:numPr>
        <w:spacing w:after="80" w:line="276" w:lineRule="auto"/>
      </w:pPr>
      <w:r>
        <w:rPr>
          <w:sz w:val="22"/>
          <w:szCs w:val="22"/>
        </w:rPr>
        <w:t>Abandoning a valid setup too early because the retracement is taking longer to develop than expected, without a specific invalidation reason (such as a break of the 100% level).</w:t>
      </w:r>
    </w:p>
    <w:p w14:paraId="2121B6B4">
      <w:pPr>
        <w:pStyle w:val="16"/>
        <w:numPr>
          <w:ilvl w:val="0"/>
          <w:numId w:val="2"/>
        </w:numPr>
        <w:spacing w:after="80" w:line="276" w:lineRule="auto"/>
      </w:pPr>
      <w:r>
        <w:rPr>
          <w:sz w:val="22"/>
          <w:szCs w:val="22"/>
        </w:rPr>
        <w:t>Treating the mere arrival of price inside the OTE band as itself sufficient confirmation, without waiting for any further lower-timeframe signal.</w:t>
      </w:r>
    </w:p>
    <w:p w14:paraId="3A615876">
      <w:pPr>
        <w:pStyle w:val="3"/>
        <w:spacing w:before="360" w:after="160"/>
      </w:pPr>
      <w:r>
        <w:rPr>
          <w:b/>
          <w:bCs/>
          <w:color w:val="1B2A4A"/>
          <w:sz w:val="26"/>
          <w:szCs w:val="26"/>
        </w:rPr>
        <w:t>10. Important Qualification</w:t>
      </w:r>
    </w:p>
    <w:p w14:paraId="7087A255">
      <w:pPr>
        <w:pBdr>
          <w:left w:val="single" w:color="7A2E2E" w:sz="24" w:space="8"/>
        </w:pBdr>
        <w:shd w:val="clear" w:fill="EFEFEF"/>
        <w:spacing w:before="160" w:after="200"/>
        <w:ind w:left="200"/>
      </w:pPr>
      <w:r>
        <w:rPr>
          <w:b/>
          <w:bCs/>
          <w:color w:val="7A2E2E"/>
          <w:sz w:val="21"/>
          <w:szCs w:val="21"/>
        </w:rPr>
        <w:t xml:space="preserve">Qualification: </w:t>
      </w:r>
      <w:r>
        <w:rPr>
          <w:sz w:val="21"/>
          <w:szCs w:val="21"/>
        </w:rPr>
        <w:t>Waiting for a retracement into OTE means some valid moves will never be entered at all, if price never pulls back far enough — this is treated as an acceptable trade-off for a more favorable risk-to-reward ratio on the setups that do occur, not a flaw in the method.</w:t>
      </w:r>
    </w:p>
    <w:p w14:paraId="674DEEBF">
      <w:pPr>
        <w:pStyle w:val="3"/>
        <w:spacing w:before="360" w:after="160"/>
      </w:pPr>
      <w:r>
        <w:rPr>
          <w:b/>
          <w:bCs/>
          <w:color w:val="1B2A4A"/>
          <w:sz w:val="26"/>
          <w:szCs w:val="26"/>
        </w:rPr>
        <w:t>11. Source</w:t>
      </w:r>
    </w:p>
    <w:p w14:paraId="15061D29"/>
    <w:p w14:paraId="1407D173">
      <w:pPr>
        <w:pStyle w:val="16"/>
        <w:numPr>
          <w:ilvl w:val="0"/>
          <w:numId w:val="2"/>
        </w:numPr>
        <w:spacing w:after="80" w:line="276" w:lineRule="auto"/>
      </w:pPr>
      <w:r>
        <w:rPr>
          <w:sz w:val="22"/>
          <w:szCs w:val="22"/>
        </w:rPr>
        <w:t>tradingstrategyguides.com — "Understanding ICT Optimal Trade Entry OTE With Fibonacci" (five-step OTE entry checklist).</w:t>
      </w:r>
    </w:p>
    <w:p w14:paraId="37A4B44C">
      <w:pPr>
        <w:pStyle w:val="16"/>
        <w:numPr>
          <w:ilvl w:val="0"/>
          <w:numId w:val="2"/>
        </w:numPr>
        <w:spacing w:after="80" w:line="276" w:lineRule="auto"/>
      </w:pPr>
      <w:r>
        <w:rPr>
          <w:sz w:val="22"/>
          <w:szCs w:val="22"/>
        </w:rPr>
        <w:t>tradingfinder.com — "What Is the OTE Strategy? Optimal Entry &amp; Key Fibonacci Levels in ICT" (entry checklist emphasizing candlestick confirmation before entry).</w:t>
      </w:r>
    </w:p>
    <w:p w14:paraId="38098117">
      <w:r>
        <w:br w:type="page"/>
      </w:r>
    </w:p>
    <w:p w14:paraId="46DFB207">
      <w:pPr>
        <w:pStyle w:val="2"/>
        <w:pBdr>
          <w:bottom w:val="single" w:color="1B2A4A" w:sz="12" w:space="4"/>
        </w:pBdr>
        <w:spacing w:before="480" w:after="240"/>
      </w:pPr>
      <w:r>
        <w:rPr>
          <w:b/>
          <w:bCs/>
          <w:color w:val="1B2A4A"/>
          <w:sz w:val="34"/>
          <w:szCs w:val="34"/>
        </w:rPr>
        <w:t>Entry Zone</w:t>
      </w:r>
    </w:p>
    <w:p w14:paraId="478F1B47">
      <w:pPr>
        <w:pStyle w:val="3"/>
        <w:spacing w:before="360" w:after="160"/>
      </w:pPr>
      <w:r>
        <w:rPr>
          <w:b/>
          <w:bCs/>
          <w:color w:val="1B2A4A"/>
          <w:sz w:val="26"/>
          <w:szCs w:val="26"/>
        </w:rPr>
        <w:t>1. Definition</w:t>
      </w:r>
    </w:p>
    <w:p w14:paraId="0DF99279">
      <w:pPr>
        <w:spacing w:after="160" w:line="288" w:lineRule="auto"/>
      </w:pPr>
      <w:r>
        <w:rPr>
          <w:b w:val="0"/>
          <w:bCs w:val="0"/>
          <w:i w:val="0"/>
          <w:iCs w:val="0"/>
          <w:sz w:val="22"/>
          <w:szCs w:val="22"/>
        </w:rPr>
        <w:t>The entry zone is the final, specific price area — typically the 62%–79% OTE band, narrowed further by confluence with a PD array such as an Order Block or Fair Value Gap — where a trader actually places an order, together with the accompanying stop-loss (beyond the 100% swing extreme) and profit target (at prior liquidity or a negative Fibonacci extension).</w:t>
      </w:r>
    </w:p>
    <w:p w14:paraId="55AA4A56">
      <w:pPr>
        <w:pStyle w:val="3"/>
        <w:spacing w:before="360" w:after="160"/>
      </w:pPr>
      <w:r>
        <w:rPr>
          <w:b/>
          <w:bCs/>
          <w:color w:val="1B2A4A"/>
          <w:sz w:val="26"/>
          <w:szCs w:val="26"/>
        </w:rPr>
        <w:t>2. ICT's Meaning</w:t>
      </w:r>
    </w:p>
    <w:p w14:paraId="66BD7B7D">
      <w:pPr>
        <w:spacing w:after="160" w:line="288" w:lineRule="auto"/>
      </w:pPr>
      <w:r>
        <w:rPr>
          <w:b w:val="0"/>
          <w:bCs w:val="0"/>
          <w:i w:val="0"/>
          <w:iCs w:val="0"/>
          <w:sz w:val="22"/>
          <w:szCs w:val="22"/>
        </w:rPr>
        <w:t>ICT-focused sources describe the entry zone as the practical output of everything covered so far in this module and the preceding ones: a location defined by OTE, refined by PD array confluence (Module 6), aligned with HTF bias (Module 2), and triggered by a lower-timeframe confirmation signal such as a candlestick rejection or lower-timeframe structure shift.</w:t>
      </w:r>
    </w:p>
    <w:p w14:paraId="65055DCD">
      <w:pPr>
        <w:spacing w:after="160" w:line="288" w:lineRule="auto"/>
      </w:pPr>
      <w:r>
        <w:rPr>
          <w:b w:val="0"/>
          <w:bCs w:val="0"/>
          <w:i w:val="0"/>
          <w:iCs w:val="0"/>
          <w:sz w:val="22"/>
          <w:szCs w:val="22"/>
        </w:rPr>
        <w:t>A consistent stop-loss placement rule across sources is to place the stop just beyond the 100% Fibonacci level — the original swing extreme the retracement was measured from — reasoning that a break beyond this point would invalidate the entire premise of the retracement (the swing would no longer be intact).</w:t>
      </w:r>
    </w:p>
    <w:p w14:paraId="7BC12959">
      <w:pPr>
        <w:spacing w:after="160" w:line="288" w:lineRule="auto"/>
      </w:pPr>
      <w:r>
        <w:rPr>
          <w:b w:val="0"/>
          <w:bCs w:val="0"/>
          <w:i w:val="0"/>
          <w:iCs w:val="0"/>
          <w:sz w:val="22"/>
          <w:szCs w:val="22"/>
        </w:rPr>
        <w:t>A consistent profit-target rule across sources is to use either the prior opposing swing high/low (a liquidity target, per Module 4) or the negative Fibonacci extension levels (commonly −27% and −62%) projected beyond the original 0% point of the measured swing.</w:t>
      </w:r>
    </w:p>
    <w:p w14:paraId="015DAFF2">
      <w:pPr>
        <w:pStyle w:val="3"/>
        <w:spacing w:before="360" w:after="160"/>
      </w:pPr>
      <w:r>
        <w:rPr>
          <w:b/>
          <w:bCs/>
          <w:color w:val="1B2A4A"/>
          <w:sz w:val="26"/>
          <w:szCs w:val="26"/>
        </w:rPr>
        <w:t>3. Beginner Explanation</w:t>
      </w:r>
    </w:p>
    <w:p w14:paraId="358D13F8">
      <w:pPr>
        <w:spacing w:after="160" w:line="288" w:lineRule="auto"/>
      </w:pPr>
      <w:r>
        <w:rPr>
          <w:b w:val="0"/>
          <w:bCs w:val="0"/>
          <w:i w:val="0"/>
          <w:iCs w:val="0"/>
          <w:sz w:val="22"/>
          <w:szCs w:val="22"/>
        </w:rPr>
        <w:t>The entry zone is where all the earlier ideas in this module finally turn into an actual decision: not just "this general area looks interesting," but a specific price to buy or sell at, a specific price where you'd admit the idea was wrong (the stop-loss), and a specific price where you'd consider the idea successful enough to take profit (the target).</w:t>
      </w:r>
    </w:p>
    <w:p w14:paraId="047E9F27">
      <w:pPr>
        <w:pStyle w:val="3"/>
        <w:spacing w:before="360" w:after="160"/>
      </w:pPr>
      <w:r>
        <w:rPr>
          <w:b/>
          <w:bCs/>
          <w:color w:val="1B2A4A"/>
          <w:sz w:val="26"/>
          <w:szCs w:val="26"/>
        </w:rPr>
        <w:t>4. How to Identify It</w:t>
      </w:r>
    </w:p>
    <w:p w14:paraId="0CBE81DE">
      <w:pPr>
        <w:pStyle w:val="16"/>
        <w:numPr>
          <w:ilvl w:val="0"/>
          <w:numId w:val="1"/>
        </w:numPr>
        <w:spacing w:after="80" w:line="276" w:lineRule="auto"/>
      </w:pPr>
      <w:r>
        <w:rPr>
          <w:sz w:val="22"/>
          <w:szCs w:val="22"/>
        </w:rPr>
        <w:t>Confirm price has retraced into the OTE band (62%–79%) following a genuine displacement move and HTF-aligned bias.</w:t>
      </w:r>
    </w:p>
    <w:p w14:paraId="1CA93B78">
      <w:pPr>
        <w:pStyle w:val="16"/>
        <w:numPr>
          <w:ilvl w:val="0"/>
          <w:numId w:val="1"/>
        </w:numPr>
        <w:spacing w:after="80" w:line="276" w:lineRule="auto"/>
      </w:pPr>
      <w:r>
        <w:rPr>
          <w:sz w:val="22"/>
          <w:szCs w:val="22"/>
        </w:rPr>
        <w:t>Check for confluence: does an Order Block, Fair Value Gap, or Breaker Block (Module 6) overlap with this same band?</w:t>
      </w:r>
    </w:p>
    <w:p w14:paraId="2748C5F2">
      <w:pPr>
        <w:pStyle w:val="16"/>
        <w:numPr>
          <w:ilvl w:val="0"/>
          <w:numId w:val="1"/>
        </w:numPr>
        <w:spacing w:after="80" w:line="276" w:lineRule="auto"/>
      </w:pPr>
      <w:r>
        <w:rPr>
          <w:sz w:val="22"/>
          <w:szCs w:val="22"/>
        </w:rPr>
        <w:t>Wait for a lower-timeframe confirmation signal at or near this zone.</w:t>
      </w:r>
    </w:p>
    <w:p w14:paraId="35F8DC9E">
      <w:pPr>
        <w:pStyle w:val="16"/>
        <w:numPr>
          <w:ilvl w:val="0"/>
          <w:numId w:val="1"/>
        </w:numPr>
        <w:spacing w:after="80" w:line="276" w:lineRule="auto"/>
      </w:pPr>
      <w:r>
        <w:rPr>
          <w:sz w:val="22"/>
          <w:szCs w:val="22"/>
        </w:rPr>
        <w:t>Set the entry near the confirmed reaction point (often near the 70.5% sweet spot, or the specific boundary of the overlapping PD array).</w:t>
      </w:r>
    </w:p>
    <w:p w14:paraId="49683272">
      <w:pPr>
        <w:pStyle w:val="16"/>
        <w:numPr>
          <w:ilvl w:val="0"/>
          <w:numId w:val="1"/>
        </w:numPr>
        <w:spacing w:after="80" w:line="276" w:lineRule="auto"/>
      </w:pPr>
      <w:r>
        <w:rPr>
          <w:sz w:val="22"/>
          <w:szCs w:val="22"/>
        </w:rPr>
        <w:t>Place the stop-loss just beyond the 100% level (the original swing extreme).</w:t>
      </w:r>
    </w:p>
    <w:p w14:paraId="3B0AF481">
      <w:pPr>
        <w:pStyle w:val="16"/>
        <w:numPr>
          <w:ilvl w:val="0"/>
          <w:numId w:val="1"/>
        </w:numPr>
        <w:spacing w:after="80" w:line="276" w:lineRule="auto"/>
      </w:pPr>
      <w:r>
        <w:rPr>
          <w:sz w:val="22"/>
          <w:szCs w:val="22"/>
        </w:rPr>
        <w:t>Set the profit target at the prior opposing liquidity pool (Module 4) or at a negative Fibonacci extension level.</w:t>
      </w:r>
    </w:p>
    <w:p w14:paraId="5DB8C0D4">
      <w:pPr>
        <w:pStyle w:val="3"/>
        <w:spacing w:before="360" w:after="160"/>
      </w:pPr>
      <w:r>
        <w:rPr>
          <w:b/>
          <w:bCs/>
          <w:color w:val="1B2A4A"/>
          <w:sz w:val="26"/>
          <w:szCs w:val="26"/>
        </w:rPr>
        <w:t>5. Simple Price Example</w:t>
      </w:r>
    </w:p>
    <w:p w14:paraId="46BAA3B3">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Bullish swing 100→200. OTE band: 138 (62%) to 121 (79%). A bullish Order Block also sits at 125–128. Price reacts at 127.</w:t>
      </w:r>
    </w:p>
    <w:p w14:paraId="789257B5">
      <w:pPr>
        <w:spacing w:after="160" w:line="288" w:lineRule="auto"/>
      </w:pPr>
      <w:r>
        <w:rPr>
          <w:b w:val="0"/>
          <w:bCs w:val="0"/>
          <w:i w:val="0"/>
          <w:iCs w:val="0"/>
          <w:sz w:val="22"/>
          <w:szCs w:val="22"/>
        </w:rPr>
        <w:t>Because the Order Block (125–128) overlaps with the OTE band (121–138), this confluence zone is treated as the specific entry zone. A trader might place a long entry near 127, a stop-loss just below 100 (the original swing low), and a target at the prior swing high (200) or beyond, at a negative extension level such as approximately 227 (a −27% extension).</w:t>
      </w:r>
    </w:p>
    <w:p w14:paraId="69672D85">
      <w:pPr>
        <w:pStyle w:val="3"/>
        <w:spacing w:before="360" w:after="160"/>
      </w:pPr>
      <w:r>
        <w:rPr>
          <w:b/>
          <w:bCs/>
          <w:color w:val="1B2A4A"/>
          <w:sz w:val="26"/>
          <w:szCs w:val="26"/>
        </w:rPr>
        <w:t>6. What It Tells the Trader</w:t>
      </w:r>
    </w:p>
    <w:p w14:paraId="658A7260">
      <w:pPr>
        <w:spacing w:after="160" w:line="288" w:lineRule="auto"/>
      </w:pPr>
      <w:r>
        <w:rPr>
          <w:b w:val="0"/>
          <w:bCs w:val="0"/>
          <w:i w:val="0"/>
          <w:iCs w:val="0"/>
          <w:sz w:val="22"/>
          <w:szCs w:val="22"/>
        </w:rPr>
        <w:t>The entry zone tells the trader the complete, specific plan for a trade — not just a vague area of interest, but an entry price, an invalidation point, and a target — turning the accumulated analysis from this entire book so far into an executable decision.</w:t>
      </w:r>
    </w:p>
    <w:p w14:paraId="699F42DF">
      <w:pPr>
        <w:spacing w:after="160" w:line="288" w:lineRule="auto"/>
      </w:pPr>
      <w:r>
        <w:rPr>
          <w:b w:val="0"/>
          <w:bCs w:val="0"/>
          <w:i w:val="0"/>
          <w:iCs w:val="0"/>
          <w:sz w:val="22"/>
          <w:szCs w:val="22"/>
        </w:rPr>
        <w:t>It does not tell the trader that the trade will succeed. Every component of the entry zone (OTE, PD array confluence, HTF bias, lower-timeframe confirmation) improves the presumed quality of the setup without eliminating the underlying uncertainty of any individual trade.</w:t>
      </w:r>
    </w:p>
    <w:p w14:paraId="45E88FC2">
      <w:pPr>
        <w:pStyle w:val="3"/>
        <w:spacing w:before="360" w:after="160"/>
      </w:pPr>
      <w:r>
        <w:rPr>
          <w:b/>
          <w:bCs/>
          <w:color w:val="1B2A4A"/>
          <w:sz w:val="26"/>
          <w:szCs w:val="26"/>
        </w:rPr>
        <w:t>7. What It Is Commonly Paired With</w:t>
      </w:r>
    </w:p>
    <w:p w14:paraId="6F755D56">
      <w:pPr>
        <w:pStyle w:val="16"/>
        <w:numPr>
          <w:ilvl w:val="0"/>
          <w:numId w:val="2"/>
        </w:numPr>
        <w:spacing w:after="80" w:line="276" w:lineRule="auto"/>
      </w:pPr>
      <w:r>
        <w:rPr>
          <w:sz w:val="22"/>
          <w:szCs w:val="22"/>
        </w:rPr>
        <w:t>Retracement into OTE</w:t>
      </w:r>
    </w:p>
    <w:p w14:paraId="09934451">
      <w:pPr>
        <w:pStyle w:val="16"/>
        <w:numPr>
          <w:ilvl w:val="0"/>
          <w:numId w:val="2"/>
        </w:numPr>
        <w:spacing w:after="80" w:line="276" w:lineRule="auto"/>
      </w:pPr>
      <w:r>
        <w:rPr>
          <w:sz w:val="22"/>
          <w:szCs w:val="22"/>
        </w:rPr>
        <w:t>Order Block / FVG confluence (Module 6)</w:t>
      </w:r>
    </w:p>
    <w:p w14:paraId="4120E5B6">
      <w:pPr>
        <w:pStyle w:val="16"/>
        <w:numPr>
          <w:ilvl w:val="0"/>
          <w:numId w:val="2"/>
        </w:numPr>
        <w:spacing w:after="80" w:line="276" w:lineRule="auto"/>
      </w:pPr>
      <w:r>
        <w:rPr>
          <w:sz w:val="22"/>
          <w:szCs w:val="22"/>
        </w:rPr>
        <w:t>Target Liquidity (Modules 11–12)</w:t>
      </w:r>
    </w:p>
    <w:p w14:paraId="08937811">
      <w:pPr>
        <w:spacing w:after="160" w:line="288" w:lineRule="auto"/>
      </w:pPr>
      <w:r>
        <w:rPr>
          <w:b w:val="0"/>
          <w:bCs w:val="0"/>
          <w:i w:val="0"/>
          <w:iCs w:val="0"/>
          <w:sz w:val="22"/>
          <w:szCs w:val="22"/>
        </w:rPr>
        <w:t>The entry zone is the culmination of the retracement-into-OTE process, refined by PD array confluence, and directly feeds into the target liquidity concept used in the ICT Buy and Sell Models to determine where a trade is ultimately aimed.</w:t>
      </w:r>
    </w:p>
    <w:p w14:paraId="67BDEF70">
      <w:pPr>
        <w:pStyle w:val="3"/>
        <w:spacing w:before="360" w:after="160"/>
      </w:pPr>
      <w:r>
        <w:rPr>
          <w:b/>
          <w:bCs/>
          <w:color w:val="1B2A4A"/>
          <w:sz w:val="26"/>
          <w:szCs w:val="26"/>
        </w:rPr>
        <w:t>8. Where It Fits in the ICT Framework</w:t>
      </w:r>
    </w:p>
    <w:p w14:paraId="10151088">
      <w:pPr>
        <w:spacing w:after="160" w:line="288" w:lineRule="auto"/>
      </w:pPr>
      <w:r>
        <w:rPr>
          <w:b w:val="0"/>
          <w:bCs w:val="0"/>
          <w:i w:val="0"/>
          <w:iCs w:val="0"/>
          <w:sz w:val="22"/>
          <w:szCs w:val="22"/>
        </w:rPr>
        <w:t>Comes before: Requires Retracement into OTE and, ideally, Order Block / Fair Value Gap confluence (Module 6).</w:t>
      </w:r>
    </w:p>
    <w:p w14:paraId="71A7D2E4">
      <w:pPr>
        <w:spacing w:after="160" w:line="288" w:lineRule="auto"/>
      </w:pPr>
      <w:r>
        <w:rPr>
          <w:b w:val="0"/>
          <w:bCs w:val="0"/>
          <w:i w:val="0"/>
          <w:iCs w:val="0"/>
          <w:sz w:val="22"/>
          <w:szCs w:val="22"/>
        </w:rPr>
        <w:t>Comes after: Concludes Module 7 and feeds directly into Module 8 (Time &amp; Trading Sessions, since entries are further refined by session timing) and ultimately into the full ICT Buy/Sell Models (Modules 11–12).</w:t>
      </w:r>
    </w:p>
    <w:p w14:paraId="1ADA47FC">
      <w:pPr>
        <w:pStyle w:val="3"/>
        <w:spacing w:before="360" w:after="160"/>
      </w:pPr>
      <w:r>
        <w:rPr>
          <w:b/>
          <w:bCs/>
          <w:color w:val="1B2A4A"/>
          <w:sz w:val="26"/>
          <w:szCs w:val="26"/>
        </w:rPr>
        <w:t>9. Beginner Mistakes</w:t>
      </w:r>
    </w:p>
    <w:p w14:paraId="29567E74">
      <w:pPr>
        <w:pStyle w:val="16"/>
        <w:numPr>
          <w:ilvl w:val="0"/>
          <w:numId w:val="2"/>
        </w:numPr>
        <w:spacing w:after="80" w:line="276" w:lineRule="auto"/>
      </w:pPr>
      <w:r>
        <w:rPr>
          <w:sz w:val="22"/>
          <w:szCs w:val="22"/>
        </w:rPr>
        <w:t>Entering at the first touch of the OTE band without confirming PD array confluence or a lower-timeframe signal.</w:t>
      </w:r>
    </w:p>
    <w:p w14:paraId="767999B6">
      <w:pPr>
        <w:pStyle w:val="16"/>
        <w:numPr>
          <w:ilvl w:val="0"/>
          <w:numId w:val="2"/>
        </w:numPr>
        <w:spacing w:after="80" w:line="276" w:lineRule="auto"/>
      </w:pPr>
      <w:r>
        <w:rPr>
          <w:sz w:val="22"/>
          <w:szCs w:val="22"/>
        </w:rPr>
        <w:t>Placing a stop-loss too close to the entry (inside the OTE zone itself) rather than beyond the full 100% swing extreme.</w:t>
      </w:r>
    </w:p>
    <w:p w14:paraId="3BEABD8A">
      <w:pPr>
        <w:pStyle w:val="16"/>
        <w:numPr>
          <w:ilvl w:val="0"/>
          <w:numId w:val="2"/>
        </w:numPr>
        <w:spacing w:after="80" w:line="276" w:lineRule="auto"/>
      </w:pPr>
      <w:r>
        <w:rPr>
          <w:sz w:val="22"/>
          <w:szCs w:val="22"/>
        </w:rPr>
        <w:t>Setting a profit target without reference to actual prior liquidity or a specific Fibonacci extension, relying instead on an arbitrary number.</w:t>
      </w:r>
    </w:p>
    <w:p w14:paraId="5D13F8AB">
      <w:pPr>
        <w:pStyle w:val="3"/>
        <w:spacing w:before="360" w:after="160"/>
      </w:pPr>
      <w:r>
        <w:rPr>
          <w:b/>
          <w:bCs/>
          <w:color w:val="1B2A4A"/>
          <w:sz w:val="26"/>
          <w:szCs w:val="26"/>
        </w:rPr>
        <w:t>10. Important Qualification</w:t>
      </w:r>
    </w:p>
    <w:p w14:paraId="620B6FCC">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An entry zone, however carefully constructed, remains a probabilistic setup, not a certainty. This book, consistent with the guidance found across ICT-focused sources, treats every component covered in this module as a way of improving the quality and consistency of a trader's decision-making process, not as a way of eliminating risk.</w:t>
      </w:r>
    </w:p>
    <w:p w14:paraId="652A2D04">
      <w:pPr>
        <w:pStyle w:val="3"/>
        <w:spacing w:before="360" w:after="160"/>
      </w:pPr>
      <w:r>
        <w:rPr>
          <w:b/>
          <w:bCs/>
          <w:color w:val="1B2A4A"/>
          <w:sz w:val="26"/>
          <w:szCs w:val="26"/>
        </w:rPr>
        <w:t>11. Source</w:t>
      </w:r>
    </w:p>
    <w:p w14:paraId="5558DFC3"/>
    <w:p w14:paraId="2EB27AFD">
      <w:pPr>
        <w:pStyle w:val="16"/>
        <w:numPr>
          <w:ilvl w:val="0"/>
          <w:numId w:val="2"/>
        </w:numPr>
        <w:spacing w:after="80" w:line="276" w:lineRule="auto"/>
      </w:pPr>
      <w:r>
        <w:rPr>
          <w:sz w:val="22"/>
          <w:szCs w:val="22"/>
        </w:rPr>
        <w:t>fxnx.com — "ICT Optimal Trade Entry: Mastering the Time-Price Matrix" and "ICT OTE: Precision Entries for Forex Traders" (stop and target placement rules).</w:t>
      </w:r>
    </w:p>
    <w:p w14:paraId="75DE70FA">
      <w:pPr>
        <w:pStyle w:val="16"/>
        <w:numPr>
          <w:ilvl w:val="0"/>
          <w:numId w:val="2"/>
        </w:numPr>
        <w:spacing w:after="80" w:line="276" w:lineRule="auto"/>
      </w:pPr>
      <w:r>
        <w:rPr>
          <w:sz w:val="22"/>
          <w:szCs w:val="22"/>
        </w:rPr>
        <w:t>theinnercircletraders.com — "OTE in Trading: The ICT Optimal Trade Entry Explained" (100% level as stop reference).</w:t>
      </w:r>
    </w:p>
    <w:p w14:paraId="07714D3C">
      <w:pPr>
        <w:pStyle w:val="16"/>
        <w:numPr>
          <w:ilvl w:val="0"/>
          <w:numId w:val="2"/>
        </w:numPr>
        <w:spacing w:after="80" w:line="276" w:lineRule="auto"/>
      </w:pPr>
      <w:r>
        <w:rPr>
          <w:sz w:val="22"/>
          <w:szCs w:val="22"/>
        </w:rPr>
        <w:t>ictsniperkills.substack.com — "Optimal Trade Entry (OTE) in Trading" (full bullish/bearish setup checklists, target and stop placement).</w:t>
      </w:r>
    </w:p>
    <w:p w14:paraId="0A823654">
      <w:r>
        <w:br w:type="page"/>
      </w:r>
    </w:p>
    <w:p w14:paraId="0CA08DBD">
      <w:pPr>
        <w:pStyle w:val="2"/>
        <w:pBdr>
          <w:bottom w:val="single" w:color="1B2A4A" w:sz="12" w:space="4"/>
        </w:pBdr>
        <w:spacing w:before="480" w:after="240"/>
      </w:pPr>
      <w:r>
        <w:rPr>
          <w:b/>
          <w:bCs/>
          <w:color w:val="1B2A4A"/>
          <w:sz w:val="34"/>
          <w:szCs w:val="34"/>
        </w:rPr>
        <w:t>How These Concepts Connect</w:t>
      </w:r>
    </w:p>
    <w:p w14:paraId="36574B64">
      <w:pPr>
        <w:spacing w:after="160" w:line="288" w:lineRule="auto"/>
      </w:pPr>
      <w:r>
        <w:rPr>
          <w:b w:val="0"/>
          <w:bCs w:val="0"/>
          <w:i w:val="0"/>
          <w:iCs w:val="0"/>
          <w:sz w:val="22"/>
          <w:szCs w:val="22"/>
        </w:rPr>
        <w:t>This module narrows its focus in four clear stages. Fibonacci Retracement introduces the general mathematical tool. The ICT Fibonacci Framework restricts and directs that tool with ICT-specific rules — body-to-body anchoring, correct directionality, and the premium/discount, equilibrium-based value framing. ICT Fibonacci Levels then narrows the many possible retracement percentages down to the small handful ICT-focused teaching actually emphasizes: 50%, 62%, 70.5%, and 79%, plus the negative extensions used for targets.</w:t>
      </w:r>
    </w:p>
    <w:p w14:paraId="298D9C9B">
      <w:pPr>
        <w:spacing w:after="160" w:line="288" w:lineRule="auto"/>
      </w:pPr>
      <w:r>
        <w:rPr>
          <w:b w:val="0"/>
          <w:bCs w:val="0"/>
          <w:i w:val="0"/>
          <w:iCs w:val="0"/>
          <w:sz w:val="22"/>
          <w:szCs w:val="22"/>
        </w:rPr>
        <w:t>The remaining three concepts move from definition to execution. OTE names the specific 62%–79% zone as the preferred entry area. Retracement into OTE is the procedural discipline of waiting for price to genuinely reach that zone, rather than anticipating it. Entry Zone is the final, complete output: an actual entry price (refined by confluence with a Module 6 PD array), a stop-loss beyond the swing's 100% extreme, and a profit target at prior liquidity or a Fibonacci extension. Notice that this module does not introduce anything usable in isolation — every concept here explicitly depends on HTF bias (Module 2), a genuine displacement swing (Module 5), and PD array confluence (Module 6) to function as intended.</w:t>
      </w:r>
    </w:p>
    <w:p w14:paraId="0A0059A1">
      <w:pPr>
        <w:pStyle w:val="2"/>
        <w:pBdr>
          <w:bottom w:val="single" w:color="1B2A4A" w:sz="12" w:space="4"/>
        </w:pBdr>
        <w:spacing w:before="480" w:after="240"/>
      </w:pPr>
      <w:r>
        <w:rPr>
          <w:b/>
          <w:bCs/>
          <w:color w:val="1B2A4A"/>
          <w:sz w:val="34"/>
          <w:szCs w:val="34"/>
        </w:rPr>
        <w:t>What You Should Now Be Able to Do</w:t>
      </w:r>
    </w:p>
    <w:p w14:paraId="751CF411">
      <w:pPr>
        <w:pStyle w:val="16"/>
        <w:numPr>
          <w:ilvl w:val="0"/>
          <w:numId w:val="2"/>
        </w:numPr>
        <w:spacing w:after="80" w:line="276" w:lineRule="auto"/>
      </w:pPr>
      <w:r>
        <w:rPr>
          <w:sz w:val="22"/>
          <w:szCs w:val="22"/>
        </w:rPr>
        <w:t>correctly draw a Fibonacci retracement tool on a confirmed swing, anchored to candle bodies and in the correct direction</w:t>
      </w:r>
    </w:p>
    <w:p w14:paraId="6C7FC1DC">
      <w:pPr>
        <w:pStyle w:val="16"/>
        <w:numPr>
          <w:ilvl w:val="0"/>
          <w:numId w:val="2"/>
        </w:numPr>
        <w:spacing w:after="80" w:line="276" w:lineRule="auto"/>
      </w:pPr>
      <w:r>
        <w:rPr>
          <w:sz w:val="22"/>
          <w:szCs w:val="22"/>
        </w:rPr>
        <w:t>identify the equilibrium (50%) level of a dealing range and correctly classify price above and below it as premium or discount</w:t>
      </w:r>
    </w:p>
    <w:p w14:paraId="0D48A962">
      <w:pPr>
        <w:pStyle w:val="16"/>
        <w:numPr>
          <w:ilvl w:val="0"/>
          <w:numId w:val="2"/>
        </w:numPr>
        <w:spacing w:after="80" w:line="276" w:lineRule="auto"/>
      </w:pPr>
      <w:r>
        <w:rPr>
          <w:sz w:val="22"/>
          <w:szCs w:val="22"/>
        </w:rPr>
        <w:t>name the four specific ICT Fibonacci levels emphasized in this framework and explain why 70.5% is treated as the "sweet spot"</w:t>
      </w:r>
    </w:p>
    <w:p w14:paraId="320DF9CF">
      <w:pPr>
        <w:pStyle w:val="16"/>
        <w:numPr>
          <w:ilvl w:val="0"/>
          <w:numId w:val="2"/>
        </w:numPr>
        <w:spacing w:after="80" w:line="276" w:lineRule="auto"/>
      </w:pPr>
      <w:r>
        <w:rPr>
          <w:sz w:val="22"/>
          <w:szCs w:val="22"/>
        </w:rPr>
        <w:t>identify the 62%–79% OTE band on a simple price swing</w:t>
      </w:r>
    </w:p>
    <w:p w14:paraId="02DE2348">
      <w:pPr>
        <w:pStyle w:val="16"/>
        <w:numPr>
          <w:ilvl w:val="0"/>
          <w:numId w:val="2"/>
        </w:numPr>
        <w:spacing w:after="80" w:line="276" w:lineRule="auto"/>
      </w:pPr>
      <w:r>
        <w:rPr>
          <w:sz w:val="22"/>
          <w:szCs w:val="22"/>
        </w:rPr>
        <w:t>explain why ICT-focused teaching insists on waiting for a genuine retracement into the OTE band rather than anticipating one</w:t>
      </w:r>
    </w:p>
    <w:p w14:paraId="4839F571">
      <w:pPr>
        <w:pStyle w:val="16"/>
        <w:numPr>
          <w:ilvl w:val="0"/>
          <w:numId w:val="2"/>
        </w:numPr>
        <w:spacing w:after="80" w:line="276" w:lineRule="auto"/>
      </w:pPr>
      <w:r>
        <w:rPr>
          <w:sz w:val="22"/>
          <w:szCs w:val="22"/>
        </w:rPr>
        <w:t>construct a complete entry zone from a price example, including an entry point refined by PD array confluence, a stop-loss, and a profit target</w:t>
      </w:r>
    </w:p>
    <w:p w14:paraId="0504087B">
      <w:r>
        <w:br w:type="page"/>
      </w:r>
    </w:p>
    <w:p w14:paraId="342E9978">
      <w:pPr>
        <w:pStyle w:val="2"/>
        <w:pBdr>
          <w:bottom w:val="single" w:color="1B2A4A" w:sz="12" w:space="4"/>
        </w:pBdr>
        <w:spacing w:before="480" w:after="240"/>
      </w:pPr>
      <w:r>
        <w:rPr>
          <w:b/>
          <w:bCs/>
          <w:color w:val="1B2A4A"/>
          <w:sz w:val="34"/>
          <w:szCs w:val="34"/>
        </w:rPr>
        <w:t>Module Review</w:t>
      </w:r>
    </w:p>
    <w:p w14:paraId="45F8AFA2">
      <w:pPr>
        <w:pStyle w:val="3"/>
        <w:spacing w:before="360" w:after="160"/>
      </w:pPr>
      <w:r>
        <w:rPr>
          <w:b/>
          <w:bCs/>
          <w:color w:val="1B2A4A"/>
          <w:sz w:val="26"/>
          <w:szCs w:val="26"/>
        </w:rPr>
        <w:t>Key Terms</w:t>
      </w:r>
    </w:p>
    <w:p w14:paraId="0087C873">
      <w:pPr>
        <w:pStyle w:val="16"/>
        <w:numPr>
          <w:ilvl w:val="0"/>
          <w:numId w:val="2"/>
        </w:numPr>
        <w:spacing w:after="80" w:line="276" w:lineRule="auto"/>
      </w:pPr>
      <w:r>
        <w:rPr>
          <w:sz w:val="22"/>
          <w:szCs w:val="22"/>
        </w:rPr>
        <w:t>Fibonacci Retracement</w:t>
      </w:r>
    </w:p>
    <w:p w14:paraId="1A658AD7">
      <w:pPr>
        <w:pStyle w:val="16"/>
        <w:numPr>
          <w:ilvl w:val="0"/>
          <w:numId w:val="2"/>
        </w:numPr>
        <w:spacing w:after="80" w:line="276" w:lineRule="auto"/>
      </w:pPr>
      <w:r>
        <w:rPr>
          <w:sz w:val="22"/>
          <w:szCs w:val="22"/>
        </w:rPr>
        <w:t>ICT Fibonacci Framework</w:t>
      </w:r>
    </w:p>
    <w:p w14:paraId="1813209B">
      <w:pPr>
        <w:pStyle w:val="16"/>
        <w:numPr>
          <w:ilvl w:val="0"/>
          <w:numId w:val="2"/>
        </w:numPr>
        <w:spacing w:after="80" w:line="276" w:lineRule="auto"/>
      </w:pPr>
      <w:r>
        <w:rPr>
          <w:sz w:val="22"/>
          <w:szCs w:val="22"/>
        </w:rPr>
        <w:t>Premium</w:t>
      </w:r>
    </w:p>
    <w:p w14:paraId="7E05F923">
      <w:pPr>
        <w:pStyle w:val="16"/>
        <w:numPr>
          <w:ilvl w:val="0"/>
          <w:numId w:val="2"/>
        </w:numPr>
        <w:spacing w:after="80" w:line="276" w:lineRule="auto"/>
      </w:pPr>
      <w:r>
        <w:rPr>
          <w:sz w:val="22"/>
          <w:szCs w:val="22"/>
        </w:rPr>
        <w:t>Discount</w:t>
      </w:r>
    </w:p>
    <w:p w14:paraId="6C4B6277">
      <w:pPr>
        <w:pStyle w:val="16"/>
        <w:numPr>
          <w:ilvl w:val="0"/>
          <w:numId w:val="2"/>
        </w:numPr>
        <w:spacing w:after="80" w:line="276" w:lineRule="auto"/>
      </w:pPr>
      <w:r>
        <w:rPr>
          <w:sz w:val="22"/>
          <w:szCs w:val="22"/>
        </w:rPr>
        <w:t>Equilibrium</w:t>
      </w:r>
    </w:p>
    <w:p w14:paraId="142CF6F1">
      <w:pPr>
        <w:pStyle w:val="16"/>
        <w:numPr>
          <w:ilvl w:val="0"/>
          <w:numId w:val="2"/>
        </w:numPr>
        <w:spacing w:after="80" w:line="276" w:lineRule="auto"/>
      </w:pPr>
      <w:r>
        <w:rPr>
          <w:sz w:val="22"/>
          <w:szCs w:val="22"/>
        </w:rPr>
        <w:t>Dealing Range</w:t>
      </w:r>
    </w:p>
    <w:p w14:paraId="3E0C7CCA">
      <w:pPr>
        <w:pStyle w:val="16"/>
        <w:numPr>
          <w:ilvl w:val="0"/>
          <w:numId w:val="2"/>
        </w:numPr>
        <w:spacing w:after="80" w:line="276" w:lineRule="auto"/>
      </w:pPr>
      <w:r>
        <w:rPr>
          <w:sz w:val="22"/>
          <w:szCs w:val="22"/>
        </w:rPr>
        <w:t>ICT Fibonacci Levels</w:t>
      </w:r>
    </w:p>
    <w:p w14:paraId="59E63F11">
      <w:pPr>
        <w:pStyle w:val="16"/>
        <w:numPr>
          <w:ilvl w:val="0"/>
          <w:numId w:val="2"/>
        </w:numPr>
        <w:spacing w:after="80" w:line="276" w:lineRule="auto"/>
      </w:pPr>
      <w:r>
        <w:rPr>
          <w:sz w:val="22"/>
          <w:szCs w:val="22"/>
        </w:rPr>
        <w:t>Optimal Trade Entry (OTE)</w:t>
      </w:r>
    </w:p>
    <w:p w14:paraId="3AA720F2">
      <w:pPr>
        <w:pStyle w:val="16"/>
        <w:numPr>
          <w:ilvl w:val="0"/>
          <w:numId w:val="2"/>
        </w:numPr>
        <w:spacing w:after="80" w:line="276" w:lineRule="auto"/>
      </w:pPr>
      <w:r>
        <w:rPr>
          <w:sz w:val="22"/>
          <w:szCs w:val="22"/>
        </w:rPr>
        <w:t>70.5% Sweet Spot</w:t>
      </w:r>
    </w:p>
    <w:p w14:paraId="1A9A759D">
      <w:pPr>
        <w:pStyle w:val="16"/>
        <w:numPr>
          <w:ilvl w:val="0"/>
          <w:numId w:val="2"/>
        </w:numPr>
        <w:spacing w:after="80" w:line="276" w:lineRule="auto"/>
      </w:pPr>
      <w:r>
        <w:rPr>
          <w:sz w:val="22"/>
          <w:szCs w:val="22"/>
        </w:rPr>
        <w:t>Retracement into OTE</w:t>
      </w:r>
    </w:p>
    <w:p w14:paraId="04C7DCDD">
      <w:pPr>
        <w:pStyle w:val="16"/>
        <w:numPr>
          <w:ilvl w:val="0"/>
          <w:numId w:val="2"/>
        </w:numPr>
        <w:spacing w:after="80" w:line="276" w:lineRule="auto"/>
      </w:pPr>
      <w:r>
        <w:rPr>
          <w:sz w:val="22"/>
          <w:szCs w:val="22"/>
        </w:rPr>
        <w:t>Entry Zone</w:t>
      </w:r>
    </w:p>
    <w:p w14:paraId="76C13590">
      <w:pPr>
        <w:pStyle w:val="16"/>
        <w:numPr>
          <w:ilvl w:val="0"/>
          <w:numId w:val="2"/>
        </w:numPr>
        <w:spacing w:after="80" w:line="276" w:lineRule="auto"/>
      </w:pPr>
      <w:r>
        <w:rPr>
          <w:sz w:val="22"/>
          <w:szCs w:val="22"/>
        </w:rPr>
        <w:t>Negative Fibonacci Extension</w:t>
      </w:r>
    </w:p>
    <w:p w14:paraId="68F489CB">
      <w:pPr>
        <w:pStyle w:val="3"/>
        <w:spacing w:before="360" w:after="160"/>
      </w:pPr>
      <w:r>
        <w:rPr>
          <w:b/>
          <w:bCs/>
          <w:color w:val="1B2A4A"/>
          <w:sz w:val="26"/>
          <w:szCs w:val="26"/>
        </w:rPr>
        <w:t>Beginner Summary</w:t>
      </w:r>
    </w:p>
    <w:p w14:paraId="35225FDE">
      <w:pPr>
        <w:spacing w:after="160" w:line="288" w:lineRule="auto"/>
      </w:pPr>
      <w:r>
        <w:rPr>
          <w:b w:val="0"/>
          <w:bCs w:val="0"/>
          <w:i w:val="0"/>
          <w:iCs w:val="0"/>
          <w:sz w:val="22"/>
          <w:szCs w:val="22"/>
        </w:rPr>
        <w:t>ICT-focused teaching takes the conventional Fibonacci retracement tool and applies it with specific rules: anchor it to candle bodies, draw it in the correct direction for the trend, and use its 50% midpoint (equilibrium) to divide a price swing into a premium half (favored for selling) and a discount half (favored for buying). Within the favored half, a narrower band from 62% to 79% — the Optimal Trade Entry, or OTE — is treated as the single best area to look for an entry, with the 70.5% level inside that band receiving special emphasis as the "sweet spot." A trader is expected to wait patiently for price to actually retrace into this zone, ideally where it overlaps with an Order Block or Fair Value Gap from Module 6, before finalizing a complete entry zone: an entry price, a stop-loss placed beyond the original swing extreme, and a profit target at prior liquidity or a Fibonacci extension level.</w:t>
      </w:r>
    </w:p>
    <w:p w14:paraId="71055FC5">
      <w:pPr>
        <w:pStyle w:val="3"/>
        <w:spacing w:before="360" w:after="160"/>
      </w:pPr>
      <w:r>
        <w:rPr>
          <w:b/>
          <w:bCs/>
          <w:color w:val="1B2A4A"/>
          <w:sz w:val="26"/>
          <w:szCs w:val="26"/>
        </w:rPr>
        <w:t>Concept Relationships</w:t>
      </w:r>
    </w:p>
    <w:p w14:paraId="1E2216DD">
      <w:pPr>
        <w:spacing w:after="160" w:line="288" w:lineRule="auto"/>
      </w:pPr>
      <w:r>
        <w:rPr>
          <w:b w:val="0"/>
          <w:bCs w:val="0"/>
          <w:i w:val="0"/>
          <w:iCs w:val="0"/>
          <w:sz w:val="22"/>
          <w:szCs w:val="22"/>
        </w:rPr>
        <w:t>Fibonacci Retracement is the general tool. The ICT Fibonacci Framework restricts and directs it (body-to-body, correct direction, premium/discount). ICT Fibonacci Levels narrows the levels of interest to a specific few. OTE names the specific 62%–79% zone. Retracement into OTE is the procedural discipline of waiting for that zone to actually be reached. Entry Zone is the final, complete, executable output.</w:t>
      </w:r>
    </w:p>
    <w:p w14:paraId="61BBF4A1">
      <w:pPr>
        <w:pStyle w:val="3"/>
        <w:spacing w:before="360" w:after="160"/>
      </w:pPr>
      <w:r>
        <w:rPr>
          <w:b/>
          <w:bCs/>
          <w:color w:val="1B2A4A"/>
          <w:sz w:val="26"/>
          <w:szCs w:val="26"/>
        </w:rPr>
        <w:t>Practical Chart Exercise</w:t>
      </w:r>
    </w:p>
    <w:p w14:paraId="29D87721">
      <w:pPr>
        <w:spacing w:after="160" w:line="288" w:lineRule="auto"/>
      </w:pPr>
      <w:r>
        <w:rPr>
          <w:b w:val="0"/>
          <w:bCs w:val="0"/>
          <w:i w:val="0"/>
          <w:iCs w:val="0"/>
          <w:sz w:val="22"/>
          <w:szCs w:val="22"/>
        </w:rPr>
        <w:t>Given a confirmed bearish swing from a low of 300 (candle body) rising to a high of 500 (candle body), draw the Fibonacci retracement correctly for this bearish leg, calculate the equilibrium (50%) level, calculate the 62%, 70.5%, and 79% levels, and state which half of the range (premium or discount) a short entry should be sought within, and why.</w:t>
      </w:r>
    </w:p>
    <w:p w14:paraId="24A90126">
      <w:pPr>
        <w:pStyle w:val="3"/>
        <w:spacing w:before="360" w:after="160"/>
      </w:pPr>
      <w:r>
        <w:rPr>
          <w:b/>
          <w:bCs/>
          <w:color w:val="1B2A4A"/>
          <w:sz w:val="26"/>
          <w:szCs w:val="26"/>
        </w:rPr>
        <w:t>Self-Test Questions</w:t>
      </w:r>
    </w:p>
    <w:p w14:paraId="2CCB3097">
      <w:pPr>
        <w:pStyle w:val="16"/>
        <w:numPr>
          <w:ilvl w:val="0"/>
          <w:numId w:val="1"/>
        </w:numPr>
        <w:spacing w:after="80" w:line="276" w:lineRule="auto"/>
      </w:pPr>
      <w:r>
        <w:rPr>
          <w:sz w:val="22"/>
          <w:szCs w:val="22"/>
        </w:rPr>
        <w:t>Why does ICT-focused teaching recommend anchoring the Fibonacci tool to candle bodies rather than candle wicks?</w:t>
      </w:r>
    </w:p>
    <w:p w14:paraId="71C9C17B">
      <w:pPr>
        <w:pStyle w:val="16"/>
        <w:numPr>
          <w:ilvl w:val="0"/>
          <w:numId w:val="1"/>
        </w:numPr>
        <w:spacing w:after="80" w:line="276" w:lineRule="auto"/>
      </w:pPr>
      <w:r>
        <w:rPr>
          <w:sz w:val="22"/>
          <w:szCs w:val="22"/>
        </w:rPr>
        <w:t>What does it mean for a price to be in "discount," and in which type of setup (bullish or bearish) does ICT's framework favor entries from discount?</w:t>
      </w:r>
    </w:p>
    <w:p w14:paraId="067B577A">
      <w:pPr>
        <w:pStyle w:val="16"/>
        <w:numPr>
          <w:ilvl w:val="0"/>
          <w:numId w:val="1"/>
        </w:numPr>
        <w:spacing w:after="80" w:line="276" w:lineRule="auto"/>
      </w:pPr>
      <w:r>
        <w:rPr>
          <w:sz w:val="22"/>
          <w:szCs w:val="22"/>
        </w:rPr>
        <w:t>Why is the 70.5% level described as the equilibrium of the OTE zone itself, rather than just an arbitrary point within it?</w:t>
      </w:r>
    </w:p>
    <w:p w14:paraId="53E0B247">
      <w:pPr>
        <w:pStyle w:val="16"/>
        <w:numPr>
          <w:ilvl w:val="0"/>
          <w:numId w:val="1"/>
        </w:numPr>
        <w:spacing w:after="80" w:line="276" w:lineRule="auto"/>
      </w:pPr>
      <w:r>
        <w:rPr>
          <w:sz w:val="22"/>
          <w:szCs w:val="22"/>
        </w:rPr>
        <w:t>What is the specific mistake described by the phrase "chasing price" in the context of retracing into OTE?</w:t>
      </w:r>
    </w:p>
    <w:p w14:paraId="4CFD3ECF">
      <w:pPr>
        <w:pStyle w:val="16"/>
        <w:numPr>
          <w:ilvl w:val="0"/>
          <w:numId w:val="1"/>
        </w:numPr>
        <w:spacing w:after="80" w:line="276" w:lineRule="auto"/>
      </w:pPr>
      <w:r>
        <w:rPr>
          <w:sz w:val="22"/>
          <w:szCs w:val="22"/>
        </w:rPr>
        <w:t>What are the two most commonly cited places to set a stop-loss and a profit target when building a complete entry zone?</w:t>
      </w:r>
    </w:p>
    <w:p w14:paraId="7FFE5990">
      <w:pPr>
        <w:pStyle w:val="3"/>
        <w:spacing w:before="360" w:after="160"/>
      </w:pPr>
      <w:r>
        <w:rPr>
          <w:b/>
          <w:bCs/>
          <w:color w:val="1B2A4A"/>
          <w:sz w:val="26"/>
          <w:szCs w:val="26"/>
        </w:rPr>
        <w:t>Common Misconceptions</w:t>
      </w:r>
    </w:p>
    <w:p w14:paraId="75113B31">
      <w:pPr>
        <w:pStyle w:val="16"/>
        <w:numPr>
          <w:ilvl w:val="0"/>
          <w:numId w:val="2"/>
        </w:numPr>
        <w:spacing w:after="80" w:line="276" w:lineRule="auto"/>
      </w:pPr>
      <w:r>
        <w:rPr>
          <w:sz w:val="22"/>
          <w:szCs w:val="22"/>
        </w:rPr>
        <w:t>Believing OTE is a complete, standalone trading strategy rather than one component that requires HTF bias, genuine displacement, and PD array confluence to be used as intended.</w:t>
      </w:r>
    </w:p>
    <w:p w14:paraId="28D739AB">
      <w:pPr>
        <w:pStyle w:val="16"/>
        <w:numPr>
          <w:ilvl w:val="0"/>
          <w:numId w:val="2"/>
        </w:numPr>
        <w:spacing w:after="80" w:line="276" w:lineRule="auto"/>
      </w:pPr>
      <w:r>
        <w:rPr>
          <w:sz w:val="22"/>
          <w:szCs w:val="22"/>
        </w:rPr>
        <w:t>Believing the standard retail 61.8% Fibonacci level is identical to ICT's 70.5% sweet spot, rather than understanding them as related but distinct reference points.</w:t>
      </w:r>
    </w:p>
    <w:p w14:paraId="791FA0E5">
      <w:pPr>
        <w:pStyle w:val="16"/>
        <w:numPr>
          <w:ilvl w:val="0"/>
          <w:numId w:val="2"/>
        </w:numPr>
        <w:spacing w:after="80" w:line="276" w:lineRule="auto"/>
      </w:pPr>
      <w:r>
        <w:rPr>
          <w:sz w:val="22"/>
          <w:szCs w:val="22"/>
        </w:rPr>
        <w:t>Believing that arriving at the OTE zone is itself sufficient reason to enter, without waiting for any further lower-timeframe confirmation signal.</w:t>
      </w:r>
    </w:p>
    <w:p w14:paraId="19E25CEE">
      <w:pPr>
        <w:pStyle w:val="16"/>
        <w:numPr>
          <w:ilvl w:val="0"/>
          <w:numId w:val="2"/>
        </w:numPr>
        <w:spacing w:after="80" w:line="276" w:lineRule="auto"/>
      </w:pPr>
      <w:r>
        <w:rPr>
          <w:sz w:val="22"/>
          <w:szCs w:val="22"/>
        </w:rPr>
        <w:t>Believing premium and discount are fixed, permanent price levels rather than positions relative to a specific, currently relevant dealing range that changes as new swings form.</w:t>
      </w:r>
    </w:p>
    <w:p w14:paraId="3C1412AC">
      <w:pPr>
        <w:pStyle w:val="3"/>
        <w:spacing w:before="360" w:after="160"/>
      </w:pPr>
      <w:r>
        <w:rPr>
          <w:b/>
          <w:bCs/>
          <w:color w:val="1B2A4A"/>
          <w:sz w:val="26"/>
          <w:szCs w:val="26"/>
        </w:rPr>
        <w:t>Research Sources</w:t>
      </w:r>
    </w:p>
    <w:p w14:paraId="31EBAACE">
      <w:pPr>
        <w:pStyle w:val="16"/>
        <w:numPr>
          <w:ilvl w:val="0"/>
          <w:numId w:val="2"/>
        </w:numPr>
        <w:spacing w:after="80" w:line="276" w:lineRule="auto"/>
      </w:pPr>
      <w:r>
        <w:rPr>
          <w:sz w:val="22"/>
          <w:szCs w:val="22"/>
        </w:rPr>
        <w:t>arongroups.co — "Optimal Trade Entry Techniques for ICT Traders."</w:t>
      </w:r>
    </w:p>
    <w:p w14:paraId="3F5A740B">
      <w:pPr>
        <w:pStyle w:val="16"/>
        <w:numPr>
          <w:ilvl w:val="0"/>
          <w:numId w:val="2"/>
        </w:numPr>
        <w:spacing w:after="80" w:line="276" w:lineRule="auto"/>
      </w:pPr>
      <w:r>
        <w:rPr>
          <w:sz w:val="22"/>
          <w:szCs w:val="22"/>
        </w:rPr>
        <w:t>tradingstrategyguides.com — "Understanding ICT Optimal Trade Entry OTE With Fibonacci."</w:t>
      </w:r>
    </w:p>
    <w:p w14:paraId="18BBA4E9">
      <w:pPr>
        <w:pStyle w:val="16"/>
        <w:numPr>
          <w:ilvl w:val="0"/>
          <w:numId w:val="2"/>
        </w:numPr>
        <w:spacing w:after="80" w:line="276" w:lineRule="auto"/>
      </w:pPr>
      <w:r>
        <w:rPr>
          <w:sz w:val="22"/>
          <w:szCs w:val="22"/>
        </w:rPr>
        <w:t>dailypriceaction.com — "Premium And Discount Trading Strategy (How Smart Money Uses OTE)."</w:t>
      </w:r>
    </w:p>
    <w:p w14:paraId="747E651B">
      <w:pPr>
        <w:pStyle w:val="16"/>
        <w:numPr>
          <w:ilvl w:val="0"/>
          <w:numId w:val="2"/>
        </w:numPr>
        <w:spacing w:after="80" w:line="276" w:lineRule="auto"/>
      </w:pPr>
      <w:r>
        <w:rPr>
          <w:sz w:val="22"/>
          <w:szCs w:val="22"/>
        </w:rPr>
        <w:t>tradingfinder.com — "What Is the OTE Strategy? Optimal Entry &amp; Key Fibonacci Levels in ICT."</w:t>
      </w:r>
    </w:p>
    <w:p w14:paraId="503F540B">
      <w:pPr>
        <w:pStyle w:val="16"/>
        <w:numPr>
          <w:ilvl w:val="0"/>
          <w:numId w:val="2"/>
        </w:numPr>
        <w:spacing w:after="80" w:line="276" w:lineRule="auto"/>
      </w:pPr>
      <w:r>
        <w:rPr>
          <w:sz w:val="22"/>
          <w:szCs w:val="22"/>
        </w:rPr>
        <w:t>liquidityhunters.cl — "Optimal Trade Entry (OTE) — ICT 62-79% Fibonacci Zone Explained."</w:t>
      </w:r>
    </w:p>
    <w:p w14:paraId="32CE7FB9">
      <w:pPr>
        <w:pStyle w:val="16"/>
        <w:numPr>
          <w:ilvl w:val="0"/>
          <w:numId w:val="2"/>
        </w:numPr>
        <w:spacing w:after="80" w:line="276" w:lineRule="auto"/>
      </w:pPr>
      <w:r>
        <w:rPr>
          <w:sz w:val="22"/>
          <w:szCs w:val="22"/>
        </w:rPr>
        <w:t>fxnx.com — "ICT Fibonacci Retracement: Master the OTE Zone," "ICT Fibonacci &amp; OTE: A Trader's Guide to the Golden Entry," "ICT Fibonacci Settings: The OTE Levels Pro Traders Use," "ICT Optimal Trade Entry: Mastering the Time-Price Matrix," "ICT Dealing Range: Institutional Order Flow Guide," and "ICT OTE: Precision Entries for Forex Traders."</w:t>
      </w:r>
    </w:p>
    <w:p w14:paraId="2C7C218A">
      <w:pPr>
        <w:pStyle w:val="16"/>
        <w:numPr>
          <w:ilvl w:val="0"/>
          <w:numId w:val="2"/>
        </w:numPr>
        <w:spacing w:after="80" w:line="276" w:lineRule="auto"/>
      </w:pPr>
      <w:r>
        <w:rPr>
          <w:sz w:val="22"/>
          <w:szCs w:val="22"/>
        </w:rPr>
        <w:t>grandalgo.com — "ICT OTE: How to Trade the 62% to 79% Optimal Trade Entry Zone."</w:t>
      </w:r>
    </w:p>
    <w:p w14:paraId="3C45AAFA">
      <w:pPr>
        <w:pStyle w:val="16"/>
        <w:numPr>
          <w:ilvl w:val="0"/>
          <w:numId w:val="2"/>
        </w:numPr>
        <w:spacing w:after="80" w:line="276" w:lineRule="auto"/>
      </w:pPr>
      <w:r>
        <w:rPr>
          <w:sz w:val="22"/>
          <w:szCs w:val="22"/>
        </w:rPr>
        <w:t>backtrex.com — "ICT OTE: mastering Optimal Trade Entry with Fibonacci."</w:t>
      </w:r>
    </w:p>
    <w:p w14:paraId="525171B4">
      <w:pPr>
        <w:pStyle w:val="16"/>
        <w:numPr>
          <w:ilvl w:val="0"/>
          <w:numId w:val="2"/>
        </w:numPr>
        <w:spacing w:after="80" w:line="276" w:lineRule="auto"/>
      </w:pPr>
      <w:r>
        <w:rPr>
          <w:sz w:val="22"/>
          <w:szCs w:val="22"/>
        </w:rPr>
        <w:t>innercircletrader.net — "ICT Fibonacci Settings — Exact Fib Levels, OTE 70.5% &amp; Std Deviation."</w:t>
      </w:r>
    </w:p>
    <w:p w14:paraId="337350B0">
      <w:pPr>
        <w:pStyle w:val="16"/>
        <w:numPr>
          <w:ilvl w:val="0"/>
          <w:numId w:val="2"/>
        </w:numPr>
        <w:spacing w:after="80" w:line="276" w:lineRule="auto"/>
      </w:pPr>
      <w:r>
        <w:rPr>
          <w:sz w:val="22"/>
          <w:szCs w:val="22"/>
        </w:rPr>
        <w:t>theinnercircletraders.com — "OTE in Trading: The ICT Optimal Trade Entry Explained" and "ICT Premium and Discount Zones: Where to Buy and Sell."</w:t>
      </w:r>
    </w:p>
    <w:p w14:paraId="5B7B505E">
      <w:pPr>
        <w:pStyle w:val="16"/>
        <w:numPr>
          <w:ilvl w:val="0"/>
          <w:numId w:val="2"/>
        </w:numPr>
        <w:spacing w:after="80" w:line="276" w:lineRule="auto"/>
      </w:pPr>
      <w:r>
        <w:rPr>
          <w:sz w:val="22"/>
          <w:szCs w:val="22"/>
        </w:rPr>
        <w:t>Note: as in prior modules, this research pass relied on cross-checked secondary/tutorial documentation rather than direct ICT primary-source video transcripts, which were not accessible in this environment. The specific numeric levels used throughout this module (particularly 70.5%) are exceptionally consistently corroborated across a very large number of independent sources.</w:t>
      </w:r>
    </w:p>
    <w:p w14:paraId="47C2E35D">
      <w:pPr>
        <w:pStyle w:val="16"/>
        <w:numPr>
          <w:ilvl w:val="0"/>
          <w:numId w:val="0"/>
        </w:numPr>
        <w:spacing w:after="80" w:line="276" w:lineRule="auto"/>
        <w:rPr>
          <w:sz w:val="22"/>
          <w:szCs w:val="22"/>
        </w:rPr>
      </w:pPr>
    </w:p>
    <w:p w14:paraId="55D551EA">
      <w:pPr>
        <w:pStyle w:val="16"/>
        <w:numPr>
          <w:ilvl w:val="0"/>
          <w:numId w:val="0"/>
        </w:numPr>
        <w:spacing w:after="80" w:line="276" w:lineRule="auto"/>
        <w:rPr>
          <w:sz w:val="22"/>
          <w:szCs w:val="22"/>
        </w:rPr>
      </w:pPr>
    </w:p>
    <w:p w14:paraId="7201C3A7">
      <w:pPr>
        <w:pStyle w:val="16"/>
        <w:numPr>
          <w:ilvl w:val="0"/>
          <w:numId w:val="0"/>
        </w:numPr>
        <w:spacing w:after="80" w:line="276" w:lineRule="auto"/>
        <w:rPr>
          <w:sz w:val="22"/>
          <w:szCs w:val="22"/>
        </w:rPr>
      </w:pPr>
    </w:p>
    <w:p w14:paraId="02BB0B2B">
      <w:pPr>
        <w:pStyle w:val="16"/>
        <w:numPr>
          <w:ilvl w:val="0"/>
          <w:numId w:val="0"/>
        </w:numPr>
        <w:spacing w:after="80" w:line="276" w:lineRule="auto"/>
        <w:rPr>
          <w:sz w:val="22"/>
          <w:szCs w:val="22"/>
        </w:rPr>
      </w:pPr>
    </w:p>
    <w:p w14:paraId="1F8C03F4">
      <w:pPr>
        <w:pStyle w:val="16"/>
        <w:numPr>
          <w:ilvl w:val="0"/>
          <w:numId w:val="0"/>
        </w:numPr>
        <w:spacing w:after="80" w:line="276" w:lineRule="auto"/>
        <w:rPr>
          <w:sz w:val="22"/>
          <w:szCs w:val="22"/>
        </w:rPr>
      </w:pPr>
    </w:p>
    <w:p w14:paraId="051E7B43">
      <w:pPr>
        <w:pStyle w:val="16"/>
        <w:numPr>
          <w:ilvl w:val="0"/>
          <w:numId w:val="0"/>
        </w:numPr>
        <w:spacing w:after="80" w:line="276" w:lineRule="auto"/>
        <w:rPr>
          <w:sz w:val="22"/>
          <w:szCs w:val="22"/>
        </w:rPr>
      </w:pPr>
    </w:p>
    <w:p w14:paraId="5588C1C8">
      <w:pPr>
        <w:pStyle w:val="16"/>
        <w:numPr>
          <w:ilvl w:val="0"/>
          <w:numId w:val="0"/>
        </w:numPr>
        <w:spacing w:after="80" w:line="276" w:lineRule="auto"/>
        <w:rPr>
          <w:sz w:val="22"/>
          <w:szCs w:val="22"/>
        </w:rPr>
      </w:pPr>
    </w:p>
    <w:p w14:paraId="7329D1A7">
      <w:pPr>
        <w:pStyle w:val="16"/>
        <w:numPr>
          <w:ilvl w:val="0"/>
          <w:numId w:val="0"/>
        </w:numPr>
        <w:spacing w:after="80" w:line="276" w:lineRule="auto"/>
        <w:rPr>
          <w:sz w:val="22"/>
          <w:szCs w:val="22"/>
        </w:rPr>
      </w:pPr>
    </w:p>
    <w:p w14:paraId="2A7B490E">
      <w:pPr>
        <w:pStyle w:val="16"/>
        <w:numPr>
          <w:ilvl w:val="0"/>
          <w:numId w:val="0"/>
        </w:numPr>
        <w:spacing w:after="80" w:line="276" w:lineRule="auto"/>
        <w:rPr>
          <w:sz w:val="22"/>
          <w:szCs w:val="22"/>
        </w:rPr>
      </w:pPr>
    </w:p>
    <w:p w14:paraId="3658F2ED">
      <w:pPr>
        <w:pStyle w:val="16"/>
        <w:numPr>
          <w:ilvl w:val="0"/>
          <w:numId w:val="0"/>
        </w:numPr>
        <w:spacing w:after="80" w:line="276" w:lineRule="auto"/>
        <w:rPr>
          <w:sz w:val="22"/>
          <w:szCs w:val="22"/>
        </w:rPr>
      </w:pPr>
    </w:p>
    <w:p w14:paraId="76AE6762">
      <w:pPr>
        <w:pStyle w:val="16"/>
        <w:numPr>
          <w:ilvl w:val="0"/>
          <w:numId w:val="0"/>
        </w:numPr>
        <w:spacing w:after="80" w:line="276" w:lineRule="auto"/>
        <w:rPr>
          <w:sz w:val="22"/>
          <w:szCs w:val="22"/>
        </w:rPr>
      </w:pPr>
    </w:p>
    <w:p w14:paraId="2843E412">
      <w:pPr>
        <w:pStyle w:val="16"/>
        <w:numPr>
          <w:ilvl w:val="0"/>
          <w:numId w:val="0"/>
        </w:numPr>
        <w:spacing w:after="80" w:line="276" w:lineRule="auto"/>
        <w:rPr>
          <w:sz w:val="22"/>
          <w:szCs w:val="22"/>
        </w:rPr>
      </w:pPr>
    </w:p>
    <w:p w14:paraId="33EE18F9">
      <w:pPr>
        <w:pStyle w:val="16"/>
        <w:numPr>
          <w:ilvl w:val="0"/>
          <w:numId w:val="0"/>
        </w:numPr>
        <w:spacing w:after="80" w:line="276" w:lineRule="auto"/>
        <w:rPr>
          <w:sz w:val="22"/>
          <w:szCs w:val="22"/>
        </w:rPr>
      </w:pPr>
    </w:p>
    <w:p w14:paraId="10934C81">
      <w:pPr>
        <w:pStyle w:val="16"/>
        <w:numPr>
          <w:ilvl w:val="0"/>
          <w:numId w:val="0"/>
        </w:numPr>
        <w:spacing w:after="80" w:line="276" w:lineRule="auto"/>
        <w:rPr>
          <w:sz w:val="22"/>
          <w:szCs w:val="22"/>
        </w:rPr>
      </w:pPr>
    </w:p>
    <w:p w14:paraId="4B74DE8F">
      <w:pPr>
        <w:pStyle w:val="16"/>
        <w:numPr>
          <w:ilvl w:val="0"/>
          <w:numId w:val="0"/>
        </w:numPr>
        <w:spacing w:after="80" w:line="276" w:lineRule="auto"/>
        <w:rPr>
          <w:sz w:val="22"/>
          <w:szCs w:val="22"/>
        </w:rPr>
      </w:pPr>
    </w:p>
    <w:p w14:paraId="3CE2DC64">
      <w:pPr>
        <w:pStyle w:val="16"/>
        <w:numPr>
          <w:ilvl w:val="0"/>
          <w:numId w:val="0"/>
        </w:numPr>
        <w:spacing w:after="80" w:line="276" w:lineRule="auto"/>
        <w:rPr>
          <w:sz w:val="22"/>
          <w:szCs w:val="22"/>
        </w:rPr>
      </w:pPr>
    </w:p>
    <w:p w14:paraId="0375BE35">
      <w:pPr>
        <w:pStyle w:val="16"/>
        <w:numPr>
          <w:ilvl w:val="0"/>
          <w:numId w:val="0"/>
        </w:numPr>
        <w:spacing w:after="80" w:line="276" w:lineRule="auto"/>
        <w:rPr>
          <w:sz w:val="22"/>
          <w:szCs w:val="22"/>
        </w:rPr>
      </w:pPr>
    </w:p>
    <w:p w14:paraId="418658E9">
      <w:pPr>
        <w:pStyle w:val="16"/>
        <w:numPr>
          <w:ilvl w:val="0"/>
          <w:numId w:val="0"/>
        </w:numPr>
        <w:spacing w:after="80" w:line="276" w:lineRule="auto"/>
        <w:rPr>
          <w:sz w:val="22"/>
          <w:szCs w:val="22"/>
        </w:rPr>
      </w:pPr>
    </w:p>
    <w:p w14:paraId="58A4DDE5">
      <w:pPr>
        <w:pStyle w:val="16"/>
        <w:numPr>
          <w:ilvl w:val="0"/>
          <w:numId w:val="0"/>
        </w:numPr>
        <w:spacing w:after="80" w:line="276" w:lineRule="auto"/>
        <w:rPr>
          <w:sz w:val="22"/>
          <w:szCs w:val="22"/>
        </w:rPr>
      </w:pPr>
    </w:p>
    <w:p w14:paraId="1282421C">
      <w:pPr>
        <w:pStyle w:val="16"/>
        <w:numPr>
          <w:ilvl w:val="0"/>
          <w:numId w:val="0"/>
        </w:numPr>
        <w:spacing w:after="80" w:line="276" w:lineRule="auto"/>
        <w:rPr>
          <w:sz w:val="22"/>
          <w:szCs w:val="22"/>
        </w:rPr>
      </w:pPr>
    </w:p>
    <w:p w14:paraId="7103B58C">
      <w:pPr>
        <w:pStyle w:val="16"/>
        <w:numPr>
          <w:ilvl w:val="0"/>
          <w:numId w:val="0"/>
        </w:numPr>
        <w:spacing w:after="80" w:line="276" w:lineRule="auto"/>
        <w:rPr>
          <w:sz w:val="22"/>
          <w:szCs w:val="22"/>
        </w:rPr>
      </w:pPr>
    </w:p>
    <w:p w14:paraId="5CA53145">
      <w:pPr>
        <w:pStyle w:val="16"/>
        <w:numPr>
          <w:ilvl w:val="0"/>
          <w:numId w:val="0"/>
        </w:numPr>
        <w:spacing w:after="80" w:line="276" w:lineRule="auto"/>
        <w:rPr>
          <w:sz w:val="22"/>
          <w:szCs w:val="22"/>
        </w:rPr>
      </w:pPr>
    </w:p>
    <w:p w14:paraId="02808A33">
      <w:pPr>
        <w:pStyle w:val="16"/>
        <w:numPr>
          <w:ilvl w:val="0"/>
          <w:numId w:val="0"/>
        </w:numPr>
        <w:spacing w:after="80" w:line="276" w:lineRule="auto"/>
        <w:rPr>
          <w:sz w:val="22"/>
          <w:szCs w:val="22"/>
        </w:rPr>
      </w:pPr>
    </w:p>
    <w:p w14:paraId="474BF0DC">
      <w:r>
        <w:br w:type="page"/>
      </w:r>
    </w:p>
    <w:p w14:paraId="04E0FF60">
      <w:pPr>
        <w:pStyle w:val="2"/>
        <w:pBdr>
          <w:bottom w:val="single" w:color="1B2A4A" w:sz="12" w:space="4"/>
        </w:pBdr>
        <w:spacing w:before="480" w:after="240"/>
      </w:pPr>
      <w:r>
        <w:rPr>
          <w:b/>
          <w:bCs/>
          <w:color w:val="1B2A4A"/>
          <w:sz w:val="34"/>
          <w:szCs w:val="34"/>
        </w:rPr>
        <w:t>MODULE 8</w:t>
      </w:r>
    </w:p>
    <w:p w14:paraId="1315072A">
      <w:pPr>
        <w:spacing w:after="300"/>
      </w:pPr>
      <w:r>
        <w:rPr>
          <w:b/>
          <w:bCs/>
          <w:color w:val="9A7B2E"/>
          <w:sz w:val="30"/>
          <w:szCs w:val="30"/>
        </w:rPr>
        <w:t>Time &amp; Trading Sessions</w:t>
      </w:r>
    </w:p>
    <w:p w14:paraId="11137426">
      <w:pPr>
        <w:spacing w:after="160" w:line="288" w:lineRule="auto"/>
      </w:pPr>
      <w:r>
        <w:rPr>
          <w:b w:val="0"/>
          <w:bCs w:val="0"/>
          <w:i w:val="0"/>
          <w:iCs w:val="0"/>
          <w:sz w:val="22"/>
          <w:szCs w:val="22"/>
        </w:rPr>
        <w:t>Every concept covered so far in this book — structure, liquidity, displacement, PD arrays, OTE — describes what to look for on a chart. This module adds a second, equally important dimension: when to look for it. ICT-focused teaching treats the 24-hour trading day as sharply uneven in significance, with specific, recurring windows tied to the world's major financial centers carrying far more analytical weight than the hours in between.</w:t>
      </w:r>
    </w:p>
    <w:p w14:paraId="68748E74">
      <w:pPr>
        <w:spacing w:after="160" w:line="288" w:lineRule="auto"/>
      </w:pPr>
      <w:r>
        <w:rPr>
          <w:b w:val="0"/>
          <w:bCs w:val="0"/>
          <w:i w:val="0"/>
          <w:iCs w:val="0"/>
          <w:sz w:val="22"/>
          <w:szCs w:val="22"/>
        </w:rPr>
        <w:t>This module works through the daily cycle in order: the Asian session and the range it builds, the London session and its characteristic Judas Swing pattern, the London Close's quieter continuation behavior, and the New York session's role in either confirming or reversing what came before. It closes by consolidating this into practical, role-based guidance for each window and by making explicit the theme running through the whole module: no session can be read correctly in isolation from the ones before it.</w:t>
      </w:r>
    </w:p>
    <w:p w14:paraId="7B3EBB03">
      <w:pPr>
        <w:spacing w:after="160" w:line="288" w:lineRule="auto"/>
      </w:pPr>
      <w:r>
        <w:rPr>
          <w:b w:val="0"/>
          <w:bCs w:val="0"/>
          <w:i w:val="0"/>
          <w:iCs w:val="0"/>
          <w:sz w:val="22"/>
          <w:szCs w:val="22"/>
        </w:rPr>
        <w:t>A note on sourcing for this specific module: exact clock-time boundaries for each named Kill Zone vary meaningfully across ICT-focused secondary sources — sometimes by one to three hours on a given boundary. This variance is documented explicitly wherever it occurs in this module, rather than presented as a single, falsely precise consensus.</w:t>
      </w:r>
    </w:p>
    <w:p w14:paraId="4F21AFD3">
      <w:r>
        <w:br w:type="page"/>
      </w:r>
    </w:p>
    <w:p w14:paraId="458CE955">
      <w:pPr>
        <w:pStyle w:val="2"/>
        <w:pBdr>
          <w:bottom w:val="single" w:color="1B2A4A" w:sz="12" w:space="4"/>
        </w:pBdr>
        <w:spacing w:before="480" w:after="240"/>
      </w:pPr>
      <w:r>
        <w:rPr>
          <w:b/>
          <w:bCs/>
          <w:color w:val="1B2A4A"/>
          <w:sz w:val="34"/>
          <w:szCs w:val="34"/>
        </w:rPr>
        <w:t>Time &amp; Price Theory</w:t>
      </w:r>
    </w:p>
    <w:p w14:paraId="42AB5212">
      <w:pPr>
        <w:pStyle w:val="3"/>
        <w:spacing w:before="360" w:after="160"/>
      </w:pPr>
      <w:r>
        <w:rPr>
          <w:b/>
          <w:bCs/>
          <w:color w:val="1B2A4A"/>
          <w:sz w:val="26"/>
          <w:szCs w:val="26"/>
        </w:rPr>
        <w:t>1. Definition</w:t>
      </w:r>
    </w:p>
    <w:p w14:paraId="5F906F8B">
      <w:pPr>
        <w:spacing w:after="160" w:line="288" w:lineRule="auto"/>
      </w:pPr>
      <w:r>
        <w:rPr>
          <w:b w:val="0"/>
          <w:bCs w:val="0"/>
          <w:i w:val="0"/>
          <w:iCs w:val="0"/>
          <w:sz w:val="22"/>
          <w:szCs w:val="22"/>
        </w:rPr>
        <w:t>Time and Price Theory is the foundational ICT principle that price behavior is not uniform throughout the trading day — specific, recurring windows of time are treated as far more likely than others to contain the significant, institutionally driven price delivery that this book's earlier modules (structure, liquidity, displacement) describe.</w:t>
      </w:r>
    </w:p>
    <w:p w14:paraId="3E0D839D">
      <w:pPr>
        <w:pStyle w:val="3"/>
        <w:spacing w:before="360" w:after="160"/>
      </w:pPr>
      <w:r>
        <w:rPr>
          <w:b/>
          <w:bCs/>
          <w:color w:val="1B2A4A"/>
          <w:sz w:val="26"/>
          <w:szCs w:val="26"/>
        </w:rPr>
        <w:t>2. ICT's Meaning</w:t>
      </w:r>
    </w:p>
    <w:p w14:paraId="3E5D5E8B">
      <w:pPr>
        <w:spacing w:after="160" w:line="288" w:lineRule="auto"/>
      </w:pPr>
      <w:r>
        <w:rPr>
          <w:b w:val="0"/>
          <w:bCs w:val="0"/>
          <w:i w:val="0"/>
          <w:iCs w:val="0"/>
          <w:sz w:val="22"/>
          <w:szCs w:val="22"/>
        </w:rPr>
        <w:t>ICT-focused teaching, credited throughout to Michael J. Huddleston, treats "time" as a variable of equal or greater importance than "price" alone — the reasoning given across sources is that the same chart pattern (a liquidity sweep, a Fair Value Gap, a Market Structure Shift) is considered meaningfully more reliable when it occurs inside a specific, recurring time window than when the identical pattern occurs outside of it.</w:t>
      </w:r>
    </w:p>
    <w:p w14:paraId="636518A7">
      <w:pPr>
        <w:spacing w:after="160" w:line="288" w:lineRule="auto"/>
      </w:pPr>
      <w:r>
        <w:rPr>
          <w:b w:val="0"/>
          <w:bCs w:val="0"/>
          <w:i w:val="0"/>
          <w:iCs w:val="0"/>
          <w:sz w:val="22"/>
          <w:szCs w:val="22"/>
        </w:rPr>
        <w:t>This principle is the direct justification for the concept of the Kill Zone, developed through the remainder of this module: specific, named time windows, generally tied to the opening or overlap of major global trading centers (Asia/Tokyo, London, New York), during which institutional participation and therefore tradeable displacement are expected to concentrate.</w:t>
      </w:r>
    </w:p>
    <w:p w14:paraId="75D3DFA6">
      <w:pPr>
        <w:spacing w:after="160" w:line="288" w:lineRule="auto"/>
      </w:pPr>
      <w:r>
        <w:rPr>
          <w:b w:val="0"/>
          <w:bCs w:val="0"/>
          <w:i w:val="0"/>
          <w:iCs w:val="0"/>
          <w:sz w:val="22"/>
          <w:szCs w:val="22"/>
        </w:rPr>
        <w:t>Sources describe this framework as originally built around observed patterns across the American, Asian, and two European trading windows, explicitly noting that the calmer Pacific/Sydney session was not included among ICT's originally highlighted high-volatility windows.</w:t>
      </w:r>
    </w:p>
    <w:p w14:paraId="7214F1B8">
      <w:pPr>
        <w:pStyle w:val="3"/>
        <w:spacing w:before="360" w:after="160"/>
      </w:pPr>
      <w:r>
        <w:rPr>
          <w:b/>
          <w:bCs/>
          <w:color w:val="1B2A4A"/>
          <w:sz w:val="26"/>
          <w:szCs w:val="26"/>
        </w:rPr>
        <w:t>3. Beginner Explanation</w:t>
      </w:r>
    </w:p>
    <w:p w14:paraId="1DE315B8">
      <w:pPr>
        <w:spacing w:after="160" w:line="288" w:lineRule="auto"/>
      </w:pPr>
      <w:r>
        <w:rPr>
          <w:b w:val="0"/>
          <w:bCs w:val="0"/>
          <w:i w:val="0"/>
          <w:iCs w:val="0"/>
          <w:sz w:val="22"/>
          <w:szCs w:val="22"/>
        </w:rPr>
        <w:t>Financial markets like the forex market trade nearly continuously, 24 hours a day across different countries. But just because a market is technically open does not mean equally significant activity is happening at every hour. Time and Price Theory is the idea that certain hours of the day — tied to when major financial centers like London or New York are opening for business — are simply more important to watch than others, because that is when the largest, most consequential trading activity tends to occur.</w:t>
      </w:r>
    </w:p>
    <w:p w14:paraId="5B0B3D1F">
      <w:pPr>
        <w:pStyle w:val="3"/>
        <w:spacing w:before="360" w:after="160"/>
      </w:pPr>
      <w:r>
        <w:rPr>
          <w:b/>
          <w:bCs/>
          <w:color w:val="1B2A4A"/>
          <w:sz w:val="26"/>
          <w:szCs w:val="26"/>
        </w:rPr>
        <w:t>4. How to Identify It</w:t>
      </w:r>
    </w:p>
    <w:p w14:paraId="0C2B5703">
      <w:pPr>
        <w:pStyle w:val="16"/>
        <w:numPr>
          <w:ilvl w:val="0"/>
          <w:numId w:val="1"/>
        </w:numPr>
        <w:spacing w:after="80" w:line="276" w:lineRule="auto"/>
      </w:pPr>
      <w:r>
        <w:rPr>
          <w:sz w:val="22"/>
          <w:szCs w:val="22"/>
        </w:rPr>
        <w:t>Note the current time in New York (Eastern Time), the reference zone ICT-focused sources consistently recommend anchoring to, regardless of the trader's own physical location.</w:t>
      </w:r>
    </w:p>
    <w:p w14:paraId="7F14B3C1">
      <w:pPr>
        <w:pStyle w:val="16"/>
        <w:numPr>
          <w:ilvl w:val="0"/>
          <w:numId w:val="1"/>
        </w:numPr>
        <w:spacing w:after="80" w:line="276" w:lineRule="auto"/>
      </w:pPr>
      <w:r>
        <w:rPr>
          <w:sz w:val="22"/>
          <w:szCs w:val="22"/>
        </w:rPr>
        <w:t>Cross-reference this time against the specific named Kill Zones developed later in this module (Asian, London Open, London Close, New York Open).</w:t>
      </w:r>
    </w:p>
    <w:p w14:paraId="218F919F">
      <w:pPr>
        <w:pStyle w:val="16"/>
        <w:numPr>
          <w:ilvl w:val="0"/>
          <w:numId w:val="1"/>
        </w:numPr>
        <w:spacing w:after="80" w:line="276" w:lineRule="auto"/>
      </w:pPr>
      <w:r>
        <w:rPr>
          <w:sz w:val="22"/>
          <w:szCs w:val="22"/>
        </w:rPr>
        <w:t>Treat chart activity occurring inside one of these windows as a higher-priority candidate for analysis than identical-looking activity occurring well outside all of them.</w:t>
      </w:r>
    </w:p>
    <w:p w14:paraId="4C98C22E">
      <w:pPr>
        <w:pStyle w:val="16"/>
        <w:numPr>
          <w:ilvl w:val="0"/>
          <w:numId w:val="1"/>
        </w:numPr>
        <w:spacing w:after="80" w:line="276" w:lineRule="auto"/>
      </w:pPr>
      <w:r>
        <w:rPr>
          <w:sz w:val="22"/>
          <w:szCs w:val="22"/>
        </w:rPr>
        <w:t>Remain aware that all specific Kill Zone boundaries shift by one hour whenever the US or UK individually transitions between standard and daylight saving time, since the two do not always change on the same calendar date.</w:t>
      </w:r>
    </w:p>
    <w:p w14:paraId="6BF388C3">
      <w:pPr>
        <w:pStyle w:val="3"/>
        <w:spacing w:before="360" w:after="160"/>
      </w:pPr>
      <w:r>
        <w:rPr>
          <w:b/>
          <w:bCs/>
          <w:color w:val="1B2A4A"/>
          <w:sz w:val="26"/>
          <w:szCs w:val="26"/>
        </w:rPr>
        <w:t>5. Simple Price Example</w:t>
      </w:r>
    </w:p>
    <w:p w14:paraId="73617E04">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An identical-looking Fair Value Gap and Market Structure Shift form at 3:00 AM ET (inside the London Open window) versus at 6:00 PM ET (outside all named windows)</w:t>
      </w:r>
    </w:p>
    <w:p w14:paraId="286AF503">
      <w:pPr>
        <w:spacing w:after="160" w:line="288" w:lineRule="auto"/>
      </w:pPr>
      <w:r>
        <w:rPr>
          <w:b w:val="0"/>
          <w:bCs w:val="0"/>
          <w:i w:val="0"/>
          <w:iCs w:val="0"/>
          <w:sz w:val="22"/>
          <w:szCs w:val="22"/>
        </w:rPr>
        <w:t>Under Time and Price Theory, the 3:00 AM occurrence would be treated as a materially higher-confidence setup than the 6:00 PM occurrence, purely due to timing — even though the two price patterns, examined on a chart with the time axis hidden, might look identical.</w:t>
      </w:r>
    </w:p>
    <w:p w14:paraId="4515A0A9">
      <w:pPr>
        <w:pStyle w:val="3"/>
        <w:spacing w:before="360" w:after="160"/>
      </w:pPr>
      <w:r>
        <w:rPr>
          <w:b/>
          <w:bCs/>
          <w:color w:val="1B2A4A"/>
          <w:sz w:val="26"/>
          <w:szCs w:val="26"/>
        </w:rPr>
        <w:t>6. What It Tells the Trader</w:t>
      </w:r>
    </w:p>
    <w:p w14:paraId="58AAEE00">
      <w:pPr>
        <w:spacing w:after="160" w:line="288" w:lineRule="auto"/>
      </w:pPr>
      <w:r>
        <w:rPr>
          <w:b w:val="0"/>
          <w:bCs w:val="0"/>
          <w:i w:val="0"/>
          <w:iCs w:val="0"/>
          <w:sz w:val="22"/>
          <w:szCs w:val="22"/>
        </w:rPr>
        <w:t>Time and Price Theory tells the trader when to concentrate analytical attention and, for those trading actively, when to seek entries — treating the 24-hour trading day as unevenly weighted rather than uniform.</w:t>
      </w:r>
    </w:p>
    <w:p w14:paraId="376C32C4">
      <w:pPr>
        <w:spacing w:after="160" w:line="288" w:lineRule="auto"/>
      </w:pPr>
      <w:r>
        <w:rPr>
          <w:b w:val="0"/>
          <w:bCs w:val="0"/>
          <w:i w:val="0"/>
          <w:iCs w:val="0"/>
          <w:sz w:val="22"/>
          <w:szCs w:val="22"/>
        </w:rPr>
        <w:t>It does not tell the trader that significant moves cannot occur outside these windows, nor that every occurrence of a pattern inside a window will succeed. It is a probability-weighting principle, not an exclusionary rule.</w:t>
      </w:r>
    </w:p>
    <w:p w14:paraId="0316757D">
      <w:pPr>
        <w:pStyle w:val="3"/>
        <w:spacing w:before="360" w:after="160"/>
      </w:pPr>
      <w:r>
        <w:rPr>
          <w:b/>
          <w:bCs/>
          <w:color w:val="1B2A4A"/>
          <w:sz w:val="26"/>
          <w:szCs w:val="26"/>
        </w:rPr>
        <w:t>7. What It Is Commonly Paired With</w:t>
      </w:r>
    </w:p>
    <w:p w14:paraId="01729740">
      <w:pPr>
        <w:pStyle w:val="16"/>
        <w:numPr>
          <w:ilvl w:val="0"/>
          <w:numId w:val="2"/>
        </w:numPr>
        <w:spacing w:after="80" w:line="276" w:lineRule="auto"/>
      </w:pPr>
      <w:r>
        <w:rPr>
          <w:sz w:val="22"/>
          <w:szCs w:val="22"/>
        </w:rPr>
        <w:t>Kill Zones (all types)</w:t>
      </w:r>
    </w:p>
    <w:p w14:paraId="6595BB3A">
      <w:pPr>
        <w:pStyle w:val="16"/>
        <w:numPr>
          <w:ilvl w:val="0"/>
          <w:numId w:val="2"/>
        </w:numPr>
        <w:spacing w:after="80" w:line="276" w:lineRule="auto"/>
      </w:pPr>
      <w:r>
        <w:rPr>
          <w:sz w:val="22"/>
          <w:szCs w:val="22"/>
        </w:rPr>
        <w:t>Liquidity (Module 4)</w:t>
      </w:r>
    </w:p>
    <w:p w14:paraId="5C90E138">
      <w:pPr>
        <w:pStyle w:val="16"/>
        <w:numPr>
          <w:ilvl w:val="0"/>
          <w:numId w:val="2"/>
        </w:numPr>
        <w:spacing w:after="80" w:line="276" w:lineRule="auto"/>
      </w:pPr>
      <w:r>
        <w:rPr>
          <w:sz w:val="22"/>
          <w:szCs w:val="22"/>
        </w:rPr>
        <w:t>Power of 3 (Module 9)</w:t>
      </w:r>
    </w:p>
    <w:p w14:paraId="0FA77284">
      <w:pPr>
        <w:spacing w:after="160" w:line="288" w:lineRule="auto"/>
      </w:pPr>
      <w:r>
        <w:rPr>
          <w:b w:val="0"/>
          <w:bCs w:val="0"/>
          <w:i w:val="0"/>
          <w:iCs w:val="0"/>
          <w:sz w:val="22"/>
          <w:szCs w:val="22"/>
        </w:rPr>
        <w:t>This concept is the reasoning underneath every specific Kill Zone defined in this module, and is the direct conceptual ancestor of the Power of 3 (Accumulation–Manipulation–Distribution) framework covered in the next module, which maps this same time-based thinking onto a repeatable daily cycle.</w:t>
      </w:r>
    </w:p>
    <w:p w14:paraId="09118F4A">
      <w:pPr>
        <w:pStyle w:val="3"/>
        <w:spacing w:before="360" w:after="160"/>
      </w:pPr>
      <w:r>
        <w:rPr>
          <w:b/>
          <w:bCs/>
          <w:color w:val="1B2A4A"/>
          <w:sz w:val="26"/>
          <w:szCs w:val="26"/>
        </w:rPr>
        <w:t>8. Where It Fits in the ICT Framework</w:t>
      </w:r>
    </w:p>
    <w:p w14:paraId="56F9D69D">
      <w:pPr>
        <w:spacing w:after="160" w:line="288" w:lineRule="auto"/>
      </w:pPr>
      <w:r>
        <w:rPr>
          <w:b w:val="0"/>
          <w:bCs w:val="0"/>
          <w:i w:val="0"/>
          <w:iCs w:val="0"/>
          <w:sz w:val="22"/>
          <w:szCs w:val="22"/>
        </w:rPr>
        <w:t>Comes before: Requires familiarity with Liquidity (Module 4) and Displacement (Module 5), the specific phenomena this theory claims are time-concentrated.</w:t>
      </w:r>
    </w:p>
    <w:p w14:paraId="36DE7C8E">
      <w:pPr>
        <w:spacing w:after="160" w:line="288" w:lineRule="auto"/>
      </w:pPr>
      <w:r>
        <w:rPr>
          <w:b w:val="0"/>
          <w:bCs w:val="0"/>
          <w:i w:val="0"/>
          <w:iCs w:val="0"/>
          <w:sz w:val="22"/>
          <w:szCs w:val="22"/>
        </w:rPr>
        <w:t>Comes after: Feeds directly into every session and Kill Zone concept in the remainder of this module.</w:t>
      </w:r>
    </w:p>
    <w:p w14:paraId="7C976F55">
      <w:pPr>
        <w:pStyle w:val="3"/>
        <w:spacing w:before="360" w:after="160"/>
      </w:pPr>
      <w:r>
        <w:rPr>
          <w:b/>
          <w:bCs/>
          <w:color w:val="1B2A4A"/>
          <w:sz w:val="26"/>
          <w:szCs w:val="26"/>
        </w:rPr>
        <w:t>9. Beginner Mistakes</w:t>
      </w:r>
    </w:p>
    <w:p w14:paraId="7F6CE8C8">
      <w:pPr>
        <w:pStyle w:val="16"/>
        <w:numPr>
          <w:ilvl w:val="0"/>
          <w:numId w:val="2"/>
        </w:numPr>
        <w:spacing w:after="80" w:line="276" w:lineRule="auto"/>
      </w:pPr>
      <w:r>
        <w:rPr>
          <w:sz w:val="22"/>
          <w:szCs w:val="22"/>
        </w:rPr>
        <w:t>Ignoring time zone and daylight saving adjustments, leading to analysis performed at the wrong actual clock time relative to the intended window.</w:t>
      </w:r>
    </w:p>
    <w:p w14:paraId="0BEAA866">
      <w:pPr>
        <w:pStyle w:val="16"/>
        <w:numPr>
          <w:ilvl w:val="0"/>
          <w:numId w:val="2"/>
        </w:numPr>
        <w:spacing w:after="80" w:line="276" w:lineRule="auto"/>
      </w:pPr>
      <w:r>
        <w:rPr>
          <w:sz w:val="22"/>
          <w:szCs w:val="22"/>
        </w:rPr>
        <w:t>Treating time-based filtering as a guarantee of a valid setup rather than one input among the many covered throughout this book.</w:t>
      </w:r>
    </w:p>
    <w:p w14:paraId="5B385B6F">
      <w:pPr>
        <w:pStyle w:val="3"/>
        <w:spacing w:before="360" w:after="160"/>
      </w:pPr>
      <w:r>
        <w:rPr>
          <w:b/>
          <w:bCs/>
          <w:color w:val="1B2A4A"/>
          <w:sz w:val="26"/>
          <w:szCs w:val="26"/>
        </w:rPr>
        <w:t>10. Important Qualification</w:t>
      </w:r>
    </w:p>
    <w:p w14:paraId="5397D50E">
      <w:pPr>
        <w:pBdr>
          <w:left w:val="single" w:color="7A2E2E" w:sz="24" w:space="8"/>
        </w:pBdr>
        <w:shd w:val="clear" w:fill="EFEFEF"/>
        <w:spacing w:before="160" w:after="200"/>
        <w:ind w:left="200"/>
      </w:pPr>
      <w:r>
        <w:rPr>
          <w:b/>
          <w:bCs/>
          <w:color w:val="7A2E2E"/>
          <w:sz w:val="21"/>
          <w:szCs w:val="21"/>
        </w:rPr>
        <w:t xml:space="preserve">Qualification: </w:t>
      </w:r>
      <w:r>
        <w:rPr>
          <w:sz w:val="21"/>
          <w:szCs w:val="21"/>
        </w:rPr>
        <w:t>Time and Price Theory is a widely used organizing principle within ICT-focused teaching, but it is also one of the more externally debated aspects of the method. Some critics, cited even within ICT-focused secondary sources themselves, note that modern trading is heavily automated and that significant news-driven volatility can occur at any hour, regardless of named session windows — this book presents Time and Price Theory as ICT-focused teaching describes it, while noting this open point of debate.</w:t>
      </w:r>
    </w:p>
    <w:p w14:paraId="381E82B4">
      <w:pPr>
        <w:pStyle w:val="3"/>
        <w:spacing w:before="360" w:after="160"/>
      </w:pPr>
      <w:r>
        <w:rPr>
          <w:b/>
          <w:bCs/>
          <w:color w:val="1B2A4A"/>
          <w:sz w:val="26"/>
          <w:szCs w:val="26"/>
        </w:rPr>
        <w:t>11. Source</w:t>
      </w:r>
    </w:p>
    <w:p w14:paraId="760C8ACB"/>
    <w:p w14:paraId="48F9C0A2">
      <w:pPr>
        <w:pStyle w:val="16"/>
        <w:numPr>
          <w:ilvl w:val="0"/>
          <w:numId w:val="2"/>
        </w:numPr>
        <w:spacing w:after="80" w:line="276" w:lineRule="auto"/>
      </w:pPr>
      <w:r>
        <w:rPr>
          <w:sz w:val="22"/>
          <w:szCs w:val="22"/>
        </w:rPr>
        <w:t>litefinance.org — "ICT Killzones Explained: Times, Sessions &amp; Trading Strategy" (explicit note on which sessions ICT's original theory emphasized, and documented criticism of the theory).</w:t>
      </w:r>
    </w:p>
    <w:p w14:paraId="0AB99336">
      <w:pPr>
        <w:pStyle w:val="16"/>
        <w:numPr>
          <w:ilvl w:val="0"/>
          <w:numId w:val="2"/>
        </w:numPr>
        <w:spacing w:after="80" w:line="276" w:lineRule="auto"/>
      </w:pPr>
      <w:r>
        <w:rPr>
          <w:sz w:val="22"/>
          <w:szCs w:val="22"/>
        </w:rPr>
        <w:t>liquidityscan.io — "ICT Kill Zones: Definition &amp; Liquidity Mechanics" ("Why ICT Setups Need Both Time and Price").</w:t>
      </w:r>
    </w:p>
    <w:p w14:paraId="27AFA079">
      <w:pPr>
        <w:pStyle w:val="16"/>
        <w:numPr>
          <w:ilvl w:val="0"/>
          <w:numId w:val="2"/>
        </w:numPr>
        <w:spacing w:after="80" w:line="276" w:lineRule="auto"/>
      </w:pPr>
      <w:r>
        <w:rPr>
          <w:sz w:val="22"/>
          <w:szCs w:val="22"/>
        </w:rPr>
        <w:t>bullynx.com — "ICT Kill Zones Explained (London &amp; New York)" (explicit epistemic caution about confirmation bias in evaluating this theory).</w:t>
      </w:r>
    </w:p>
    <w:p w14:paraId="1DCC95CC">
      <w:r>
        <w:br w:type="page"/>
      </w:r>
    </w:p>
    <w:p w14:paraId="52C55067">
      <w:pPr>
        <w:pStyle w:val="2"/>
        <w:pBdr>
          <w:bottom w:val="single" w:color="1B2A4A" w:sz="12" w:space="4"/>
        </w:pBdr>
        <w:spacing w:before="480" w:after="240"/>
      </w:pPr>
      <w:r>
        <w:rPr>
          <w:b/>
          <w:bCs/>
          <w:color w:val="1B2A4A"/>
          <w:sz w:val="34"/>
          <w:szCs w:val="34"/>
        </w:rPr>
        <w:t>Asian Session</w:t>
      </w:r>
    </w:p>
    <w:p w14:paraId="58D800B7">
      <w:pPr>
        <w:pStyle w:val="3"/>
        <w:spacing w:before="360" w:after="160"/>
      </w:pPr>
      <w:r>
        <w:rPr>
          <w:b/>
          <w:bCs/>
          <w:color w:val="1B2A4A"/>
          <w:sz w:val="26"/>
          <w:szCs w:val="26"/>
        </w:rPr>
        <w:t>1. Definition</w:t>
      </w:r>
    </w:p>
    <w:p w14:paraId="64B8E6CF">
      <w:pPr>
        <w:spacing w:after="160" w:line="288" w:lineRule="auto"/>
      </w:pPr>
      <w:r>
        <w:rPr>
          <w:b w:val="0"/>
          <w:bCs w:val="0"/>
          <w:i w:val="0"/>
          <w:iCs w:val="0"/>
          <w:sz w:val="22"/>
          <w:szCs w:val="22"/>
        </w:rPr>
        <w:t>The Asian session is the trading period during which Asia-Pacific financial centers (principally Tokyo, alongside Sydney) are active, generally treated by ICT-focused sources as the first major session of the daily trading cycle and typically characterized by comparatively lower volatility and volume relative to the London and New York sessions.</w:t>
      </w:r>
    </w:p>
    <w:p w14:paraId="76A52830">
      <w:pPr>
        <w:pStyle w:val="3"/>
        <w:spacing w:before="360" w:after="160"/>
      </w:pPr>
      <w:r>
        <w:rPr>
          <w:b/>
          <w:bCs/>
          <w:color w:val="1B2A4A"/>
          <w:sz w:val="26"/>
          <w:szCs w:val="26"/>
        </w:rPr>
        <w:t>2. ICT's Meaning</w:t>
      </w:r>
    </w:p>
    <w:p w14:paraId="2B8E482A">
      <w:pPr>
        <w:spacing w:after="160" w:line="288" w:lineRule="auto"/>
      </w:pPr>
      <w:r>
        <w:rPr>
          <w:b w:val="0"/>
          <w:bCs w:val="0"/>
          <w:i w:val="0"/>
          <w:iCs w:val="0"/>
          <w:sz w:val="22"/>
          <w:szCs w:val="22"/>
        </w:rPr>
        <w:t>ICT-focused sources consistently describe the Asian session's primary role as building a defined price range rather than producing large directional moves in its own right. Institutional participation from Australian, New Zealand, and Japanese markets is described as real but comparatively modest next to the European and US sessions that follow.</w:t>
      </w:r>
    </w:p>
    <w:p w14:paraId="5C7CDEC7">
      <w:pPr>
        <w:spacing w:after="160" w:line="288" w:lineRule="auto"/>
      </w:pPr>
      <w:r>
        <w:rPr>
          <w:b w:val="0"/>
          <w:bCs w:val="0"/>
          <w:i w:val="0"/>
          <w:iCs w:val="0"/>
          <w:sz w:val="22"/>
          <w:szCs w:val="22"/>
        </w:rPr>
        <w:t>Multiple sources explicitly advise that a trader does not need to actively trade during the Asian session to benefit from it — the session's main value within ICT's framework is observational: the high and low it establishes become reference points (the Asian Range, covered next) used by the sessions that follow.</w:t>
      </w:r>
    </w:p>
    <w:p w14:paraId="1AF1A2CF">
      <w:pPr>
        <w:pStyle w:val="3"/>
        <w:spacing w:before="360" w:after="160"/>
      </w:pPr>
      <w:r>
        <w:rPr>
          <w:b/>
          <w:bCs/>
          <w:color w:val="1B2A4A"/>
          <w:sz w:val="26"/>
          <w:szCs w:val="26"/>
        </w:rPr>
        <w:t>3. Beginner Explanation</w:t>
      </w:r>
    </w:p>
    <w:p w14:paraId="698C6F14">
      <w:pPr>
        <w:spacing w:after="160" w:line="288" w:lineRule="auto"/>
      </w:pPr>
      <w:r>
        <w:rPr>
          <w:b w:val="0"/>
          <w:bCs w:val="0"/>
          <w:i w:val="0"/>
          <w:iCs w:val="0"/>
          <w:sz w:val="22"/>
          <w:szCs w:val="22"/>
        </w:rPr>
        <w:t>As one major financial center closes for the day, another one across the world is just opening. The Asian session is simply the block of hours when Japanese, Australian, and other Asia-Pacific markets are the primary active participants — generally a quieter, calmer period compared to what follows once London and then New York open.</w:t>
      </w:r>
    </w:p>
    <w:p w14:paraId="17ECE3FA">
      <w:pPr>
        <w:pStyle w:val="3"/>
        <w:spacing w:before="360" w:after="160"/>
      </w:pPr>
      <w:r>
        <w:rPr>
          <w:b/>
          <w:bCs/>
          <w:color w:val="1B2A4A"/>
          <w:sz w:val="26"/>
          <w:szCs w:val="26"/>
        </w:rPr>
        <w:t>4. How to Identify It</w:t>
      </w:r>
    </w:p>
    <w:p w14:paraId="26A76DC4">
      <w:pPr>
        <w:pStyle w:val="16"/>
        <w:numPr>
          <w:ilvl w:val="0"/>
          <w:numId w:val="1"/>
        </w:numPr>
        <w:spacing w:after="80" w:line="276" w:lineRule="auto"/>
      </w:pPr>
      <w:r>
        <w:rPr>
          <w:sz w:val="22"/>
          <w:szCs w:val="22"/>
        </w:rPr>
        <w:t>Note the approximate window (commonly cited across sources as roughly 8:00 PM to 12:00 AM Eastern Time, though some sources cite a narrower 8:00–10:00 PM window — see the qualification below).</w:t>
      </w:r>
    </w:p>
    <w:p w14:paraId="4DCA0B1A">
      <w:pPr>
        <w:pStyle w:val="16"/>
        <w:numPr>
          <w:ilvl w:val="0"/>
          <w:numId w:val="1"/>
        </w:numPr>
        <w:spacing w:after="80" w:line="276" w:lineRule="auto"/>
      </w:pPr>
      <w:r>
        <w:rPr>
          <w:sz w:val="22"/>
          <w:szCs w:val="22"/>
        </w:rPr>
        <w:t>Observe whether price during this window is forming a relatively narrow, contained range rather than a strong directional trend.</w:t>
      </w:r>
    </w:p>
    <w:p w14:paraId="2F90906F">
      <w:pPr>
        <w:pStyle w:val="16"/>
        <w:numPr>
          <w:ilvl w:val="0"/>
          <w:numId w:val="1"/>
        </w:numPr>
        <w:spacing w:after="80" w:line="276" w:lineRule="auto"/>
      </w:pPr>
      <w:r>
        <w:rPr>
          <w:sz w:val="22"/>
          <w:szCs w:val="22"/>
        </w:rPr>
        <w:t>Refrain from expecting large, reliable directional moves during this window, consistent with ICT-focused guidance.</w:t>
      </w:r>
    </w:p>
    <w:p w14:paraId="60B841AB">
      <w:pPr>
        <w:pStyle w:val="3"/>
        <w:spacing w:before="360" w:after="160"/>
      </w:pPr>
      <w:r>
        <w:rPr>
          <w:b/>
          <w:bCs/>
          <w:color w:val="1B2A4A"/>
          <w:sz w:val="26"/>
          <w:szCs w:val="26"/>
        </w:rPr>
        <w:t>5. Simple Price Example</w:t>
      </w:r>
    </w:p>
    <w:p w14:paraId="0F0D0822">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Price oscillates narrowly between 100 and 103 from 8:00 PM to 12:00 AM ET, without a decisive break in either direction</w:t>
      </w:r>
    </w:p>
    <w:p w14:paraId="11F1C44D">
      <w:pPr>
        <w:spacing w:after="160" w:line="288" w:lineRule="auto"/>
      </w:pPr>
      <w:r>
        <w:rPr>
          <w:b w:val="0"/>
          <w:bCs w:val="0"/>
          <w:i w:val="0"/>
          <w:iCs w:val="0"/>
          <w:sz w:val="22"/>
          <w:szCs w:val="22"/>
        </w:rPr>
        <w:t>This narrow, contained oscillation is typical of how ICT-focused sources describe Asian session behavior — not the absence of any movement, but movement that stays within a defined, relatively tight boundary rather than trending strongly.</w:t>
      </w:r>
    </w:p>
    <w:p w14:paraId="00B40970">
      <w:pPr>
        <w:pStyle w:val="3"/>
        <w:spacing w:before="360" w:after="160"/>
      </w:pPr>
      <w:r>
        <w:rPr>
          <w:b/>
          <w:bCs/>
          <w:color w:val="1B2A4A"/>
          <w:sz w:val="26"/>
          <w:szCs w:val="26"/>
        </w:rPr>
        <w:t>6. What It Tells the Trader</w:t>
      </w:r>
    </w:p>
    <w:p w14:paraId="5ED91CBF">
      <w:pPr>
        <w:spacing w:after="160" w:line="288" w:lineRule="auto"/>
      </w:pPr>
      <w:r>
        <w:rPr>
          <w:b w:val="0"/>
          <w:bCs w:val="0"/>
          <w:i w:val="0"/>
          <w:iCs w:val="0"/>
          <w:sz w:val="22"/>
          <w:szCs w:val="22"/>
        </w:rPr>
        <w:t>The Asian session tells the trader that a reference range is being built, information that becomes directly useful once the next concept (Asian Range) and later sessions are considered — it also sets initial expectations for muted volatility.</w:t>
      </w:r>
    </w:p>
    <w:p w14:paraId="4C643090">
      <w:pPr>
        <w:spacing w:after="160" w:line="288" w:lineRule="auto"/>
      </w:pPr>
      <w:r>
        <w:rPr>
          <w:b w:val="0"/>
          <w:bCs w:val="0"/>
          <w:i w:val="0"/>
          <w:iCs w:val="0"/>
          <w:sz w:val="22"/>
          <w:szCs w:val="22"/>
        </w:rPr>
        <w:t>It does not tell the trader that no significant moves can occur during this window; occasional volatility, particularly around region-specific news, can still occur.</w:t>
      </w:r>
    </w:p>
    <w:p w14:paraId="18DA70F1">
      <w:pPr>
        <w:pStyle w:val="3"/>
        <w:spacing w:before="360" w:after="160"/>
      </w:pPr>
      <w:r>
        <w:rPr>
          <w:b/>
          <w:bCs/>
          <w:color w:val="1B2A4A"/>
          <w:sz w:val="26"/>
          <w:szCs w:val="26"/>
        </w:rPr>
        <w:t>7. What It Is Commonly Paired With</w:t>
      </w:r>
    </w:p>
    <w:p w14:paraId="3356FE89">
      <w:pPr>
        <w:pStyle w:val="16"/>
        <w:numPr>
          <w:ilvl w:val="0"/>
          <w:numId w:val="2"/>
        </w:numPr>
        <w:spacing w:after="80" w:line="276" w:lineRule="auto"/>
      </w:pPr>
      <w:r>
        <w:rPr>
          <w:sz w:val="22"/>
          <w:szCs w:val="22"/>
        </w:rPr>
        <w:t>Asian Range</w:t>
      </w:r>
    </w:p>
    <w:p w14:paraId="7E35AC0E">
      <w:pPr>
        <w:pStyle w:val="16"/>
        <w:numPr>
          <w:ilvl w:val="0"/>
          <w:numId w:val="2"/>
        </w:numPr>
        <w:spacing w:after="80" w:line="276" w:lineRule="auto"/>
      </w:pPr>
      <w:r>
        <w:rPr>
          <w:sz w:val="22"/>
          <w:szCs w:val="22"/>
        </w:rPr>
        <w:t>Asian Kill Zone</w:t>
      </w:r>
    </w:p>
    <w:p w14:paraId="48A68A89">
      <w:pPr>
        <w:pStyle w:val="16"/>
        <w:numPr>
          <w:ilvl w:val="0"/>
          <w:numId w:val="2"/>
        </w:numPr>
        <w:spacing w:after="80" w:line="276" w:lineRule="auto"/>
      </w:pPr>
      <w:r>
        <w:rPr>
          <w:sz w:val="22"/>
          <w:szCs w:val="22"/>
        </w:rPr>
        <w:t>London Session (which frequently targets the Asian range)</w:t>
      </w:r>
    </w:p>
    <w:p w14:paraId="4341936F">
      <w:pPr>
        <w:spacing w:after="160" w:line="288" w:lineRule="auto"/>
      </w:pPr>
      <w:r>
        <w:rPr>
          <w:b w:val="0"/>
          <w:bCs w:val="0"/>
          <w:i w:val="0"/>
          <w:iCs w:val="0"/>
          <w:sz w:val="22"/>
          <w:szCs w:val="22"/>
        </w:rPr>
        <w:t>The Asian session's defining contribution to the rest of the day is the range it builds — this is why it is immediately followed in this module by the Asian Range concept, and why the London session (covered later) is so frequently described in relation to it.</w:t>
      </w:r>
    </w:p>
    <w:p w14:paraId="244D2759">
      <w:pPr>
        <w:pStyle w:val="3"/>
        <w:spacing w:before="360" w:after="160"/>
      </w:pPr>
      <w:r>
        <w:rPr>
          <w:b/>
          <w:bCs/>
          <w:color w:val="1B2A4A"/>
          <w:sz w:val="26"/>
          <w:szCs w:val="26"/>
        </w:rPr>
        <w:t>8. Where It Fits in the ICT Framework</w:t>
      </w:r>
    </w:p>
    <w:p w14:paraId="5932076B">
      <w:pPr>
        <w:spacing w:after="160" w:line="288" w:lineRule="auto"/>
      </w:pPr>
      <w:r>
        <w:rPr>
          <w:b w:val="0"/>
          <w:bCs w:val="0"/>
          <w:i w:val="0"/>
          <w:iCs w:val="0"/>
          <w:sz w:val="22"/>
          <w:szCs w:val="22"/>
        </w:rPr>
        <w:t>Comes before: Requires Time and Price Theory.</w:t>
      </w:r>
    </w:p>
    <w:p w14:paraId="472F765B">
      <w:pPr>
        <w:spacing w:after="160" w:line="288" w:lineRule="auto"/>
      </w:pPr>
      <w:r>
        <w:rPr>
          <w:b w:val="0"/>
          <w:bCs w:val="0"/>
          <w:i w:val="0"/>
          <w:iCs w:val="0"/>
          <w:sz w:val="22"/>
          <w:szCs w:val="22"/>
        </w:rPr>
        <w:t>Comes after: Feeds directly into Asian Range and Asian Kill Zone.</w:t>
      </w:r>
    </w:p>
    <w:p w14:paraId="4402A46A">
      <w:pPr>
        <w:pStyle w:val="3"/>
        <w:spacing w:before="360" w:after="160"/>
      </w:pPr>
      <w:r>
        <w:rPr>
          <w:b/>
          <w:bCs/>
          <w:color w:val="1B2A4A"/>
          <w:sz w:val="26"/>
          <w:szCs w:val="26"/>
        </w:rPr>
        <w:t>9. Beginner Mistakes</w:t>
      </w:r>
    </w:p>
    <w:p w14:paraId="1E02DDEA">
      <w:pPr>
        <w:pStyle w:val="16"/>
        <w:numPr>
          <w:ilvl w:val="0"/>
          <w:numId w:val="2"/>
        </w:numPr>
        <w:spacing w:after="80" w:line="276" w:lineRule="auto"/>
      </w:pPr>
      <w:r>
        <w:rPr>
          <w:sz w:val="22"/>
          <w:szCs w:val="22"/>
        </w:rPr>
        <w:t>Forcing trades during the Asian session expecting London-session-level volatility and directional movement.</w:t>
      </w:r>
    </w:p>
    <w:p w14:paraId="6D015C56">
      <w:pPr>
        <w:pStyle w:val="16"/>
        <w:numPr>
          <w:ilvl w:val="0"/>
          <w:numId w:val="2"/>
        </w:numPr>
        <w:spacing w:after="80" w:line="276" w:lineRule="auto"/>
      </w:pPr>
      <w:r>
        <w:rPr>
          <w:sz w:val="22"/>
          <w:szCs w:val="22"/>
        </w:rPr>
        <w:t>Ignoring the Asian session's range entirely, missing the reference points it provides for later sessions.</w:t>
      </w:r>
    </w:p>
    <w:p w14:paraId="36E95309">
      <w:pPr>
        <w:pStyle w:val="3"/>
        <w:spacing w:before="360" w:after="160"/>
      </w:pPr>
      <w:r>
        <w:rPr>
          <w:b/>
          <w:bCs/>
          <w:color w:val="1B2A4A"/>
          <w:sz w:val="26"/>
          <w:szCs w:val="26"/>
        </w:rPr>
        <w:t>10. Important Qualification</w:t>
      </w:r>
    </w:p>
    <w:p w14:paraId="71A8FE7D">
      <w:pPr>
        <w:pBdr>
          <w:left w:val="single" w:color="7A2E2E" w:sz="24" w:space="8"/>
        </w:pBdr>
        <w:shd w:val="clear" w:fill="EFEFEF"/>
        <w:spacing w:before="160" w:after="200"/>
        <w:ind w:left="200"/>
      </w:pPr>
      <w:r>
        <w:rPr>
          <w:b/>
          <w:bCs/>
          <w:color w:val="7A2E2E"/>
          <w:sz w:val="21"/>
          <w:szCs w:val="21"/>
        </w:rPr>
        <w:t xml:space="preserve">Qualification: </w:t>
      </w:r>
      <w:r>
        <w:rPr>
          <w:sz w:val="21"/>
          <w:szCs w:val="21"/>
        </w:rPr>
        <w:t>Not every day produces a clean, well-defined Asian range. Occasionally the session itself trends or remains highly erratic, particularly around scheduled economic news from Asia-Pacific economies, which limits the reliability of the range-building assumption on any single given day.</w:t>
      </w:r>
    </w:p>
    <w:p w14:paraId="0AAC15E3">
      <w:pPr>
        <w:pStyle w:val="3"/>
        <w:spacing w:before="360" w:after="160"/>
      </w:pPr>
      <w:r>
        <w:rPr>
          <w:b/>
          <w:bCs/>
          <w:color w:val="1B2A4A"/>
          <w:sz w:val="26"/>
          <w:szCs w:val="26"/>
        </w:rPr>
        <w:t>11. Source</w:t>
      </w:r>
    </w:p>
    <w:p w14:paraId="5256D011"/>
    <w:p w14:paraId="6543AF60">
      <w:pPr>
        <w:pStyle w:val="16"/>
        <w:numPr>
          <w:ilvl w:val="0"/>
          <w:numId w:val="2"/>
        </w:numPr>
        <w:spacing w:after="80" w:line="276" w:lineRule="auto"/>
      </w:pPr>
      <w:r>
        <w:rPr>
          <w:sz w:val="22"/>
          <w:szCs w:val="22"/>
        </w:rPr>
        <w:t>blog.trinitytrading.io — "ICT Kill Zones: The Best Times to Trade Futures."</w:t>
      </w:r>
    </w:p>
    <w:p w14:paraId="39E2B81E">
      <w:pPr>
        <w:pStyle w:val="16"/>
        <w:numPr>
          <w:ilvl w:val="0"/>
          <w:numId w:val="2"/>
        </w:numPr>
        <w:spacing w:after="80" w:line="276" w:lineRule="auto"/>
      </w:pPr>
      <w:r>
        <w:rPr>
          <w:sz w:val="22"/>
          <w:szCs w:val="22"/>
        </w:rPr>
        <w:t>fxnx.com — "ICT Killzone Clock: Your Local Time, Your Edge" (Asian session characterization).</w:t>
      </w:r>
    </w:p>
    <w:p w14:paraId="430D7DDF">
      <w:pPr>
        <w:pStyle w:val="16"/>
        <w:numPr>
          <w:ilvl w:val="0"/>
          <w:numId w:val="2"/>
        </w:numPr>
        <w:spacing w:after="80" w:line="276" w:lineRule="auto"/>
      </w:pPr>
      <w:r>
        <w:rPr>
          <w:sz w:val="22"/>
          <w:szCs w:val="22"/>
        </w:rPr>
        <w:t>zayecapitalmarkets.com — "ICT Kill Zone Strategy" (session time definitions in GMT).</w:t>
      </w:r>
    </w:p>
    <w:p w14:paraId="71369245">
      <w:r>
        <w:br w:type="page"/>
      </w:r>
    </w:p>
    <w:p w14:paraId="5A2747C5">
      <w:pPr>
        <w:pStyle w:val="2"/>
        <w:pBdr>
          <w:bottom w:val="single" w:color="1B2A4A" w:sz="12" w:space="4"/>
        </w:pBdr>
        <w:spacing w:before="480" w:after="240"/>
      </w:pPr>
      <w:r>
        <w:rPr>
          <w:b/>
          <w:bCs/>
          <w:color w:val="1B2A4A"/>
          <w:sz w:val="34"/>
          <w:szCs w:val="34"/>
        </w:rPr>
        <w:t>Asian Range</w:t>
      </w:r>
    </w:p>
    <w:p w14:paraId="6E77A17F">
      <w:pPr>
        <w:pStyle w:val="3"/>
        <w:spacing w:before="360" w:after="160"/>
      </w:pPr>
      <w:r>
        <w:rPr>
          <w:b/>
          <w:bCs/>
          <w:color w:val="1B2A4A"/>
          <w:sz w:val="26"/>
          <w:szCs w:val="26"/>
        </w:rPr>
        <w:t>1. Definition</w:t>
      </w:r>
    </w:p>
    <w:p w14:paraId="5AEDD637">
      <w:pPr>
        <w:spacing w:after="160" w:line="288" w:lineRule="auto"/>
      </w:pPr>
      <w:r>
        <w:rPr>
          <w:b w:val="0"/>
          <w:bCs w:val="0"/>
          <w:i w:val="0"/>
          <w:iCs w:val="0"/>
          <w:sz w:val="22"/>
          <w:szCs w:val="22"/>
        </w:rPr>
        <w:t>The Asian Range is the specific high and low price boundary established during the Asian session, marked and carried forward as a key reference level for the trading day, since later sessions are frequently observed to move toward and through one side of this range in search of liquidity.</w:t>
      </w:r>
    </w:p>
    <w:p w14:paraId="130A7289">
      <w:pPr>
        <w:pStyle w:val="3"/>
        <w:spacing w:before="360" w:after="160"/>
      </w:pPr>
      <w:r>
        <w:rPr>
          <w:b/>
          <w:bCs/>
          <w:color w:val="1B2A4A"/>
          <w:sz w:val="26"/>
          <w:szCs w:val="26"/>
        </w:rPr>
        <w:t>2. ICT's Meaning</w:t>
      </w:r>
    </w:p>
    <w:p w14:paraId="068F53CC">
      <w:pPr>
        <w:spacing w:after="160" w:line="288" w:lineRule="auto"/>
      </w:pPr>
      <w:r>
        <w:rPr>
          <w:b w:val="0"/>
          <w:bCs w:val="0"/>
          <w:i w:val="0"/>
          <w:iCs w:val="0"/>
          <w:sz w:val="22"/>
          <w:szCs w:val="22"/>
        </w:rPr>
        <w:t>ICT-focused teaching treats the Asian Range as a direct application of the liquidity concepts from Module 4: because price has generally consolidated within a defined band during the Asian session, resting buy-stop orders are presumed to accumulate just above the range high, and resting sell-stop orders just below the range low — turning the Asian Range into the day's first clearly marked buy-side and sell-side liquidity pools.</w:t>
      </w:r>
    </w:p>
    <w:p w14:paraId="06C63982">
      <w:pPr>
        <w:spacing w:after="160" w:line="288" w:lineRule="auto"/>
      </w:pPr>
      <w:r>
        <w:rPr>
          <w:b w:val="0"/>
          <w:bCs w:val="0"/>
          <w:i w:val="0"/>
          <w:iCs w:val="0"/>
          <w:sz w:val="22"/>
          <w:szCs w:val="22"/>
        </w:rPr>
        <w:t>Multiple sources describe the standard first task of a trading day, under this framework, as physically marking two horizontal lines: one at the Asian session's highest point, and one at its lowest — these two lines then become the primary reference levels watched through the London session that follows.</w:t>
      </w:r>
    </w:p>
    <w:p w14:paraId="47F62A40">
      <w:pPr>
        <w:pStyle w:val="3"/>
        <w:spacing w:before="360" w:after="160"/>
      </w:pPr>
      <w:r>
        <w:rPr>
          <w:b/>
          <w:bCs/>
          <w:color w:val="1B2A4A"/>
          <w:sz w:val="26"/>
          <w:szCs w:val="26"/>
        </w:rPr>
        <w:t>3. Beginner Explanation</w:t>
      </w:r>
    </w:p>
    <w:p w14:paraId="0AA0A0BD">
      <w:pPr>
        <w:spacing w:after="160" w:line="288" w:lineRule="auto"/>
      </w:pPr>
      <w:r>
        <w:rPr>
          <w:b w:val="0"/>
          <w:bCs w:val="0"/>
          <w:i w:val="0"/>
          <w:iCs w:val="0"/>
          <w:sz w:val="22"/>
          <w:szCs w:val="22"/>
        </w:rPr>
        <w:t>If the Asian session is a period where price mostly moves sideways within a narrow band, the Asian Range is simply that band itself — the exact top and bottom prices reached during those quieter hours, marked so they can be watched closely once the busier London session begins.</w:t>
      </w:r>
    </w:p>
    <w:p w14:paraId="7F6DFDBD">
      <w:pPr>
        <w:pStyle w:val="3"/>
        <w:spacing w:before="360" w:after="160"/>
      </w:pPr>
      <w:r>
        <w:rPr>
          <w:b/>
          <w:bCs/>
          <w:color w:val="1B2A4A"/>
          <w:sz w:val="26"/>
          <w:szCs w:val="26"/>
        </w:rPr>
        <w:t>4. How to Identify It</w:t>
      </w:r>
    </w:p>
    <w:p w14:paraId="4894C70F">
      <w:pPr>
        <w:pStyle w:val="16"/>
        <w:numPr>
          <w:ilvl w:val="0"/>
          <w:numId w:val="1"/>
        </w:numPr>
        <w:spacing w:after="80" w:line="276" w:lineRule="auto"/>
      </w:pPr>
      <w:r>
        <w:rPr>
          <w:sz w:val="22"/>
          <w:szCs w:val="22"/>
        </w:rPr>
        <w:t>After the Asian session window has concluded (or as it develops, using its high/low so far), identify the highest price reached and the lowest price reached during that window.</w:t>
      </w:r>
    </w:p>
    <w:p w14:paraId="6BC17E7A">
      <w:pPr>
        <w:pStyle w:val="16"/>
        <w:numPr>
          <w:ilvl w:val="0"/>
          <w:numId w:val="1"/>
        </w:numPr>
        <w:spacing w:after="80" w:line="276" w:lineRule="auto"/>
      </w:pPr>
      <w:r>
        <w:rPr>
          <w:sz w:val="22"/>
          <w:szCs w:val="22"/>
        </w:rPr>
        <w:t>Draw a horizontal line at each of these two levels.</w:t>
      </w:r>
    </w:p>
    <w:p w14:paraId="1A2A2840">
      <w:pPr>
        <w:pStyle w:val="16"/>
        <w:numPr>
          <w:ilvl w:val="0"/>
          <w:numId w:val="1"/>
        </w:numPr>
        <w:spacing w:after="80" w:line="276" w:lineRule="auto"/>
      </w:pPr>
      <w:r>
        <w:rPr>
          <w:sz w:val="22"/>
          <w:szCs w:val="22"/>
        </w:rPr>
        <w:t>Label the upper line as a candidate buy-side liquidity pool and the lower line as a candidate sell-side liquidity pool (Module 4).</w:t>
      </w:r>
    </w:p>
    <w:p w14:paraId="008E9FD8">
      <w:pPr>
        <w:pStyle w:val="16"/>
        <w:numPr>
          <w:ilvl w:val="0"/>
          <w:numId w:val="1"/>
        </w:numPr>
        <w:spacing w:after="80" w:line="276" w:lineRule="auto"/>
      </w:pPr>
      <w:r>
        <w:rPr>
          <w:sz w:val="22"/>
          <w:szCs w:val="22"/>
        </w:rPr>
        <w:t>Carry both lines forward into the subsequent London session as active reference points.</w:t>
      </w:r>
    </w:p>
    <w:p w14:paraId="51B68ED7">
      <w:pPr>
        <w:pStyle w:val="3"/>
        <w:spacing w:before="360" w:after="160"/>
      </w:pPr>
      <w:r>
        <w:rPr>
          <w:b/>
          <w:bCs/>
          <w:color w:val="1B2A4A"/>
          <w:sz w:val="26"/>
          <w:szCs w:val="26"/>
        </w:rPr>
        <w:t>5. Simple Price Example</w:t>
      </w:r>
    </w:p>
    <w:p w14:paraId="74FE62BE">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During the Asian session, price ranges between a low of 100 and a high of 103</w:t>
      </w:r>
    </w:p>
    <w:p w14:paraId="6BB0646C">
      <w:pPr>
        <w:spacing w:after="160" w:line="288" w:lineRule="auto"/>
      </w:pPr>
      <w:r>
        <w:rPr>
          <w:b w:val="0"/>
          <w:bCs w:val="0"/>
          <w:i w:val="0"/>
          <w:iCs w:val="0"/>
          <w:sz w:val="22"/>
          <w:szCs w:val="22"/>
        </w:rPr>
        <w:t>A trader following this method would mark two lines: one at 103 (the Asian Range high, a candidate buy-side liquidity pool) and one at 100 (the Asian Range low, a candidate sell-side liquidity pool), then watch closely for the London session's reaction to either level.</w:t>
      </w:r>
    </w:p>
    <w:p w14:paraId="129CB250">
      <w:pPr>
        <w:pStyle w:val="3"/>
        <w:spacing w:before="360" w:after="160"/>
      </w:pPr>
      <w:r>
        <w:rPr>
          <w:b/>
          <w:bCs/>
          <w:color w:val="1B2A4A"/>
          <w:sz w:val="26"/>
          <w:szCs w:val="26"/>
        </w:rPr>
        <w:t>6. What It Tells the Trader</w:t>
      </w:r>
    </w:p>
    <w:p w14:paraId="13D83F6B">
      <w:pPr>
        <w:spacing w:after="160" w:line="288" w:lineRule="auto"/>
      </w:pPr>
      <w:r>
        <w:rPr>
          <w:b w:val="0"/>
          <w:bCs w:val="0"/>
          <w:i w:val="0"/>
          <w:iCs w:val="0"/>
          <w:sz w:val="22"/>
          <w:szCs w:val="22"/>
        </w:rPr>
        <w:t>The Asian Range tells the trader the specific price levels most likely to be targeted for a liquidity sweep once the London session begins, directly connecting Module 4's liquidity concepts to a specific, dated, and repeatable daily reference.</w:t>
      </w:r>
    </w:p>
    <w:p w14:paraId="1D261864">
      <w:pPr>
        <w:spacing w:after="160" w:line="288" w:lineRule="auto"/>
      </w:pPr>
      <w:r>
        <w:rPr>
          <w:b w:val="0"/>
          <w:bCs w:val="0"/>
          <w:i w:val="0"/>
          <w:iCs w:val="0"/>
          <w:sz w:val="22"/>
          <w:szCs w:val="22"/>
        </w:rPr>
        <w:t>It does not tell the trader which side of the range will be swept first, or whether the eventual sweep will be followed by a reversal or a genuine breakout continuation — that judgment depends on the concepts covered in the London Session and London Open Kill Zone sections below.</w:t>
      </w:r>
    </w:p>
    <w:p w14:paraId="0677AAC3">
      <w:pPr>
        <w:pStyle w:val="3"/>
        <w:spacing w:before="360" w:after="160"/>
      </w:pPr>
      <w:r>
        <w:rPr>
          <w:b/>
          <w:bCs/>
          <w:color w:val="1B2A4A"/>
          <w:sz w:val="26"/>
          <w:szCs w:val="26"/>
        </w:rPr>
        <w:t>7. What It Is Commonly Paired With</w:t>
      </w:r>
    </w:p>
    <w:p w14:paraId="5A815699">
      <w:pPr>
        <w:pStyle w:val="16"/>
        <w:numPr>
          <w:ilvl w:val="0"/>
          <w:numId w:val="2"/>
        </w:numPr>
        <w:spacing w:after="80" w:line="276" w:lineRule="auto"/>
      </w:pPr>
      <w:r>
        <w:rPr>
          <w:sz w:val="22"/>
          <w:szCs w:val="22"/>
        </w:rPr>
        <w:t>Buy-Side / Sell-Side Liquidity (Module 4)</w:t>
      </w:r>
    </w:p>
    <w:p w14:paraId="2C869E0A">
      <w:pPr>
        <w:pStyle w:val="16"/>
        <w:numPr>
          <w:ilvl w:val="0"/>
          <w:numId w:val="2"/>
        </w:numPr>
        <w:spacing w:after="80" w:line="276" w:lineRule="auto"/>
      </w:pPr>
      <w:r>
        <w:rPr>
          <w:sz w:val="22"/>
          <w:szCs w:val="22"/>
        </w:rPr>
        <w:t>London Session</w:t>
      </w:r>
    </w:p>
    <w:p w14:paraId="39F435EA">
      <w:pPr>
        <w:pStyle w:val="16"/>
        <w:numPr>
          <w:ilvl w:val="0"/>
          <w:numId w:val="2"/>
        </w:numPr>
        <w:spacing w:after="80" w:line="276" w:lineRule="auto"/>
      </w:pPr>
      <w:r>
        <w:rPr>
          <w:sz w:val="22"/>
          <w:szCs w:val="22"/>
        </w:rPr>
        <w:t>Judas Swing (covered under London Open Kill Zone)</w:t>
      </w:r>
    </w:p>
    <w:p w14:paraId="4332C07A">
      <w:pPr>
        <w:spacing w:after="160" w:line="288" w:lineRule="auto"/>
      </w:pPr>
      <w:r>
        <w:rPr>
          <w:b w:val="0"/>
          <w:bCs w:val="0"/>
          <w:i w:val="0"/>
          <w:iCs w:val="0"/>
          <w:sz w:val="22"/>
          <w:szCs w:val="22"/>
        </w:rPr>
        <w:t>The Asian Range is simply a dated, specific instance of the general buy-side/sell-side liquidity concepts from Module 4, and it is the single most commonly cited setup for the Judas Swing pattern discussed under the London Open Kill Zone.</w:t>
      </w:r>
    </w:p>
    <w:p w14:paraId="3937292A">
      <w:pPr>
        <w:pStyle w:val="3"/>
        <w:spacing w:before="360" w:after="160"/>
      </w:pPr>
      <w:r>
        <w:rPr>
          <w:b/>
          <w:bCs/>
          <w:color w:val="1B2A4A"/>
          <w:sz w:val="26"/>
          <w:szCs w:val="26"/>
        </w:rPr>
        <w:t>8. Where It Fits in the ICT Framework</w:t>
      </w:r>
    </w:p>
    <w:p w14:paraId="35CBF440">
      <w:pPr>
        <w:spacing w:after="160" w:line="288" w:lineRule="auto"/>
      </w:pPr>
      <w:r>
        <w:rPr>
          <w:b w:val="0"/>
          <w:bCs w:val="0"/>
          <w:i w:val="0"/>
          <w:iCs w:val="0"/>
          <w:sz w:val="22"/>
          <w:szCs w:val="22"/>
        </w:rPr>
        <w:t>Comes before: Requires Asian Session and Buy-Side/Sell-Side Liquidity (Module 4).</w:t>
      </w:r>
    </w:p>
    <w:p w14:paraId="12104A4E">
      <w:pPr>
        <w:spacing w:after="160" w:line="288" w:lineRule="auto"/>
      </w:pPr>
      <w:r>
        <w:rPr>
          <w:b w:val="0"/>
          <w:bCs w:val="0"/>
          <w:i w:val="0"/>
          <w:iCs w:val="0"/>
          <w:sz w:val="22"/>
          <w:szCs w:val="22"/>
        </w:rPr>
        <w:t>Comes after: Feeds directly into the London Session and London Open Kill Zone, where the range is most commonly acted upon.</w:t>
      </w:r>
    </w:p>
    <w:p w14:paraId="6F4E24E3">
      <w:pPr>
        <w:pStyle w:val="3"/>
        <w:spacing w:before="360" w:after="160"/>
      </w:pPr>
      <w:r>
        <w:rPr>
          <w:b/>
          <w:bCs/>
          <w:color w:val="1B2A4A"/>
          <w:sz w:val="26"/>
          <w:szCs w:val="26"/>
        </w:rPr>
        <w:t>9. Beginner Mistakes</w:t>
      </w:r>
    </w:p>
    <w:p w14:paraId="3EA5C1C0">
      <w:pPr>
        <w:pStyle w:val="16"/>
        <w:numPr>
          <w:ilvl w:val="0"/>
          <w:numId w:val="2"/>
        </w:numPr>
        <w:spacing w:after="80" w:line="276" w:lineRule="auto"/>
      </w:pPr>
      <w:r>
        <w:rPr>
          <w:sz w:val="22"/>
          <w:szCs w:val="22"/>
        </w:rPr>
        <w:t>Forgetting to update the Asian Range if the session is still in progress and price makes a new high or low after the range was first marked.</w:t>
      </w:r>
    </w:p>
    <w:p w14:paraId="6BF38528">
      <w:pPr>
        <w:pStyle w:val="16"/>
        <w:numPr>
          <w:ilvl w:val="0"/>
          <w:numId w:val="2"/>
        </w:numPr>
        <w:spacing w:after="80" w:line="276" w:lineRule="auto"/>
      </w:pPr>
      <w:r>
        <w:rPr>
          <w:sz w:val="22"/>
          <w:szCs w:val="22"/>
        </w:rPr>
        <w:t>Treating the Asian Range as a guaranteed target rather than a probable one — some days, neither side of the range is meaningfully tested.</w:t>
      </w:r>
    </w:p>
    <w:p w14:paraId="76A8C58A">
      <w:pPr>
        <w:pStyle w:val="3"/>
        <w:spacing w:before="360" w:after="160"/>
      </w:pPr>
      <w:r>
        <w:rPr>
          <w:b/>
          <w:bCs/>
          <w:color w:val="1B2A4A"/>
          <w:sz w:val="26"/>
          <w:szCs w:val="26"/>
        </w:rPr>
        <w:t>10. Important Qualification</w:t>
      </w:r>
    </w:p>
    <w:p w14:paraId="31883C3C">
      <w:pPr>
        <w:pBdr>
          <w:left w:val="single" w:color="7A2E2E" w:sz="24" w:space="8"/>
        </w:pBdr>
        <w:shd w:val="clear" w:fill="EFEFEF"/>
        <w:spacing w:before="160" w:after="200"/>
        <w:ind w:left="200"/>
      </w:pPr>
      <w:r>
        <w:rPr>
          <w:b/>
          <w:bCs/>
          <w:color w:val="7A2E2E"/>
          <w:sz w:val="21"/>
          <w:szCs w:val="21"/>
        </w:rPr>
        <w:t xml:space="preserve">Qualification: </w:t>
      </w:r>
      <w:r>
        <w:rPr>
          <w:sz w:val="21"/>
          <w:szCs w:val="21"/>
        </w:rPr>
        <w:t>The Asian Range is a probable, not guaranteed, area of interest for later sessions. A given day's price action may fail to interact meaningfully with either boundary, particularly during holidays or unusually quiet periods across all sessions.</w:t>
      </w:r>
    </w:p>
    <w:p w14:paraId="3E16178D">
      <w:pPr>
        <w:pStyle w:val="3"/>
        <w:spacing w:before="360" w:after="160"/>
      </w:pPr>
      <w:r>
        <w:rPr>
          <w:b/>
          <w:bCs/>
          <w:color w:val="1B2A4A"/>
          <w:sz w:val="26"/>
          <w:szCs w:val="26"/>
        </w:rPr>
        <w:t>11. Source</w:t>
      </w:r>
    </w:p>
    <w:p w14:paraId="1A355B65"/>
    <w:p w14:paraId="652E5616">
      <w:pPr>
        <w:pStyle w:val="16"/>
        <w:numPr>
          <w:ilvl w:val="0"/>
          <w:numId w:val="2"/>
        </w:numPr>
        <w:spacing w:after="80" w:line="276" w:lineRule="auto"/>
      </w:pPr>
      <w:r>
        <w:rPr>
          <w:sz w:val="22"/>
          <w:szCs w:val="22"/>
        </w:rPr>
        <w:t>fxnx.com — "ICT Asian Range Liquidity: Trading the London Judas Swing."</w:t>
      </w:r>
    </w:p>
    <w:p w14:paraId="0259F0A8">
      <w:pPr>
        <w:pStyle w:val="16"/>
        <w:numPr>
          <w:ilvl w:val="0"/>
          <w:numId w:val="2"/>
        </w:numPr>
        <w:spacing w:after="80" w:line="276" w:lineRule="auto"/>
      </w:pPr>
      <w:r>
        <w:rPr>
          <w:sz w:val="22"/>
          <w:szCs w:val="22"/>
        </w:rPr>
        <w:t>completetradersedge.com — "ICT Kill Zones: How to Trade the Highest-Probability Market Hours" ("Mark the Asian session high and low before the London open").</w:t>
      </w:r>
    </w:p>
    <w:p w14:paraId="3A153136">
      <w:r>
        <w:br w:type="page"/>
      </w:r>
    </w:p>
    <w:p w14:paraId="455455FC">
      <w:pPr>
        <w:pStyle w:val="2"/>
        <w:pBdr>
          <w:bottom w:val="single" w:color="1B2A4A" w:sz="12" w:space="4"/>
        </w:pBdr>
        <w:spacing w:before="480" w:after="240"/>
      </w:pPr>
      <w:r>
        <w:rPr>
          <w:b/>
          <w:bCs/>
          <w:color w:val="1B2A4A"/>
          <w:sz w:val="34"/>
          <w:szCs w:val="34"/>
        </w:rPr>
        <w:t>Asian Kill Zone</w:t>
      </w:r>
    </w:p>
    <w:p w14:paraId="5A51A76C">
      <w:pPr>
        <w:pStyle w:val="3"/>
        <w:spacing w:before="360" w:after="160"/>
      </w:pPr>
      <w:r>
        <w:rPr>
          <w:b/>
          <w:bCs/>
          <w:color w:val="1B2A4A"/>
          <w:sz w:val="26"/>
          <w:szCs w:val="26"/>
        </w:rPr>
        <w:t>1. Definition</w:t>
      </w:r>
    </w:p>
    <w:p w14:paraId="6224FCD3">
      <w:pPr>
        <w:spacing w:after="160" w:line="288" w:lineRule="auto"/>
      </w:pPr>
      <w:r>
        <w:rPr>
          <w:b w:val="0"/>
          <w:bCs w:val="0"/>
          <w:i w:val="0"/>
          <w:iCs w:val="0"/>
          <w:sz w:val="22"/>
          <w:szCs w:val="22"/>
        </w:rPr>
        <w:t>The Asian Kill Zone is a specific, narrower time window within the broader Asian session, cited across ICT-focused sources as approximately 8:00 PM to 10:00 PM or 8:00 PM to 12:00 AM Eastern Time, during which Asian-session activity and range formation are considered most relevant to watch.</w:t>
      </w:r>
    </w:p>
    <w:p w14:paraId="248A4E2B">
      <w:pPr>
        <w:pStyle w:val="3"/>
        <w:spacing w:before="360" w:after="160"/>
      </w:pPr>
      <w:r>
        <w:rPr>
          <w:b/>
          <w:bCs/>
          <w:color w:val="1B2A4A"/>
          <w:sz w:val="26"/>
          <w:szCs w:val="26"/>
        </w:rPr>
        <w:t>2. ICT's Meaning</w:t>
      </w:r>
    </w:p>
    <w:p w14:paraId="7571A426">
      <w:pPr>
        <w:spacing w:after="160" w:line="288" w:lineRule="auto"/>
      </w:pPr>
      <w:r>
        <w:rPr>
          <w:b w:val="0"/>
          <w:bCs w:val="0"/>
          <w:i w:val="0"/>
          <w:iCs w:val="0"/>
          <w:sz w:val="22"/>
          <w:szCs w:val="22"/>
        </w:rPr>
        <w:t>ICT-focused sources are notably inconsistent on the exact boundaries of this specific window — some cite a tight 8:00–10:00 PM ET range, others extend it to 8:00 PM–12:00 AM ET, and still others frame it in GMT terms (such as 20:00–00:00 GMT) without a precisely matching ET conversion across all sources. This book documents this variance explicitly rather than presenting one version as the single settled definition.</w:t>
      </w:r>
    </w:p>
    <w:p w14:paraId="1BF75BA7">
      <w:pPr>
        <w:spacing w:after="160" w:line="288" w:lineRule="auto"/>
      </w:pPr>
      <w:r>
        <w:rPr>
          <w:b w:val="0"/>
          <w:bCs w:val="0"/>
          <w:i w:val="0"/>
          <w:iCs w:val="0"/>
          <w:sz w:val="22"/>
          <w:szCs w:val="22"/>
        </w:rPr>
        <w:t>Despite the disagreement on exact timing, sources are consistent on the Asian Kill Zone's purpose and character: it is generally treated as the least active of the four major Kill Zones for direct trade entries, and is instead used primarily for range-marking and observation, as described in the Asian Range concept above. A minority of sources note it can offer modest scalping opportunities specifically on Asia-Pacific currency pairs (AUD, NZD, JPY).</w:t>
      </w:r>
    </w:p>
    <w:p w14:paraId="1C679075">
      <w:pPr>
        <w:pStyle w:val="3"/>
        <w:spacing w:before="360" w:after="160"/>
      </w:pPr>
      <w:r>
        <w:rPr>
          <w:b/>
          <w:bCs/>
          <w:color w:val="1B2A4A"/>
          <w:sz w:val="26"/>
          <w:szCs w:val="26"/>
        </w:rPr>
        <w:t>3. Beginner Explanation</w:t>
      </w:r>
    </w:p>
    <w:p w14:paraId="0A4C650E">
      <w:pPr>
        <w:spacing w:after="160" w:line="288" w:lineRule="auto"/>
      </w:pPr>
      <w:r>
        <w:rPr>
          <w:b w:val="0"/>
          <w:bCs w:val="0"/>
          <w:i w:val="0"/>
          <w:iCs w:val="0"/>
          <w:sz w:val="22"/>
          <w:szCs w:val="22"/>
        </w:rPr>
        <w:t>The Asian Kill Zone is simply a slightly more specific, narrowed-down clock-time window within the broader Asian session — the particular hours ICT-focused traders pay the closest attention to for marking the day's initial reference range, even though, as with the broader session, actual trade entries are not typically expected here.</w:t>
      </w:r>
    </w:p>
    <w:p w14:paraId="46C0CF18">
      <w:pPr>
        <w:pStyle w:val="3"/>
        <w:spacing w:before="360" w:after="160"/>
      </w:pPr>
      <w:r>
        <w:rPr>
          <w:b/>
          <w:bCs/>
          <w:color w:val="1B2A4A"/>
          <w:sz w:val="26"/>
          <w:szCs w:val="26"/>
        </w:rPr>
        <w:t>4. How to Identify It</w:t>
      </w:r>
    </w:p>
    <w:p w14:paraId="11A63484">
      <w:pPr>
        <w:pStyle w:val="16"/>
        <w:numPr>
          <w:ilvl w:val="0"/>
          <w:numId w:val="1"/>
        </w:numPr>
        <w:spacing w:after="80" w:line="276" w:lineRule="auto"/>
      </w:pPr>
      <w:r>
        <w:rPr>
          <w:sz w:val="22"/>
          <w:szCs w:val="22"/>
        </w:rPr>
        <w:t>Note the current time in New York (Eastern Time).</w:t>
      </w:r>
    </w:p>
    <w:p w14:paraId="52FDFF94">
      <w:pPr>
        <w:pStyle w:val="16"/>
        <w:numPr>
          <w:ilvl w:val="0"/>
          <w:numId w:val="1"/>
        </w:numPr>
        <w:spacing w:after="80" w:line="276" w:lineRule="auto"/>
      </w:pPr>
      <w:r>
        <w:rPr>
          <w:sz w:val="22"/>
          <w:szCs w:val="22"/>
        </w:rPr>
        <w:t>Check whether it falls within the commonly cited Asian Kill Zone window (approximately 8:00 PM to 10:00 PM, or as late as 12:00 AM, depending on the specific source referenced).</w:t>
      </w:r>
    </w:p>
    <w:p w14:paraId="0F52A27C">
      <w:pPr>
        <w:pStyle w:val="16"/>
        <w:numPr>
          <w:ilvl w:val="0"/>
          <w:numId w:val="1"/>
        </w:numPr>
        <w:spacing w:after="80" w:line="276" w:lineRule="auto"/>
      </w:pPr>
      <w:r>
        <w:rPr>
          <w:sz w:val="22"/>
          <w:szCs w:val="22"/>
        </w:rPr>
        <w:t>During this window, focus on observing and marking the developing Asian Range rather than seeking entries.</w:t>
      </w:r>
    </w:p>
    <w:p w14:paraId="08C7E0CE">
      <w:pPr>
        <w:pStyle w:val="16"/>
        <w:numPr>
          <w:ilvl w:val="0"/>
          <w:numId w:val="1"/>
        </w:numPr>
        <w:spacing w:after="80" w:line="276" w:lineRule="auto"/>
      </w:pPr>
      <w:r>
        <w:rPr>
          <w:sz w:val="22"/>
          <w:szCs w:val="22"/>
        </w:rPr>
        <w:t>Adjust for daylight saving time shifts as needed, per Time and Price Theory.</w:t>
      </w:r>
    </w:p>
    <w:p w14:paraId="4E9B7070">
      <w:pPr>
        <w:pStyle w:val="3"/>
        <w:spacing w:before="360" w:after="160"/>
      </w:pPr>
      <w:r>
        <w:rPr>
          <w:b/>
          <w:bCs/>
          <w:color w:val="1B2A4A"/>
          <w:sz w:val="26"/>
          <w:szCs w:val="26"/>
        </w:rPr>
        <w:t>5. Simple Price Example</w:t>
      </w:r>
    </w:p>
    <w:p w14:paraId="3A2C0EE3">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8:00 PM–10:00 PM ET: price consolidates from 100 to 103; no clear entries taken</w:t>
      </w:r>
    </w:p>
    <w:p w14:paraId="0549F64A">
      <w:pPr>
        <w:spacing w:after="160" w:line="288" w:lineRule="auto"/>
      </w:pPr>
      <w:r>
        <w:rPr>
          <w:b w:val="0"/>
          <w:bCs w:val="0"/>
          <w:i w:val="0"/>
          <w:iCs w:val="0"/>
          <w:sz w:val="22"/>
          <w:szCs w:val="22"/>
        </w:rPr>
        <w:t>A trader following ICT-focused guidance would use this window primarily to observe and mark the 100–103 range, rather than to place trades, reserving active decision-making for the London and New York Kill Zones covered next.</w:t>
      </w:r>
    </w:p>
    <w:p w14:paraId="23098A2B">
      <w:pPr>
        <w:pStyle w:val="3"/>
        <w:spacing w:before="360" w:after="160"/>
      </w:pPr>
      <w:r>
        <w:rPr>
          <w:b/>
          <w:bCs/>
          <w:color w:val="1B2A4A"/>
          <w:sz w:val="26"/>
          <w:szCs w:val="26"/>
        </w:rPr>
        <w:t>6. What It Tells the Trader</w:t>
      </w:r>
    </w:p>
    <w:p w14:paraId="614FDF85">
      <w:pPr>
        <w:spacing w:after="160" w:line="288" w:lineRule="auto"/>
      </w:pPr>
      <w:r>
        <w:rPr>
          <w:b w:val="0"/>
          <w:bCs w:val="0"/>
          <w:i w:val="0"/>
          <w:iCs w:val="0"/>
          <w:sz w:val="22"/>
          <w:szCs w:val="22"/>
        </w:rPr>
        <w:t>The Asian Kill Zone tells the trader when to pay close attention for range-marking purposes, and, more cautiously, when a small number of sources suggest modest scalping opportunities may exist on specific Asia-Pacific currency pairs.</w:t>
      </w:r>
    </w:p>
    <w:p w14:paraId="76D69F23">
      <w:pPr>
        <w:spacing w:after="160" w:line="288" w:lineRule="auto"/>
      </w:pPr>
      <w:r>
        <w:rPr>
          <w:b w:val="0"/>
          <w:bCs w:val="0"/>
          <w:i w:val="0"/>
          <w:iCs w:val="0"/>
          <w:sz w:val="22"/>
          <w:szCs w:val="22"/>
        </w:rPr>
        <w:t>It does not tell the trader to expect the same scale or reliability of movement as the London or New York Kill Zones, and does not itself specify a precise, universally agreed clock-time boundary.</w:t>
      </w:r>
    </w:p>
    <w:p w14:paraId="4194A066">
      <w:pPr>
        <w:pStyle w:val="3"/>
        <w:spacing w:before="360" w:after="160"/>
      </w:pPr>
      <w:r>
        <w:rPr>
          <w:b/>
          <w:bCs/>
          <w:color w:val="1B2A4A"/>
          <w:sz w:val="26"/>
          <w:szCs w:val="26"/>
        </w:rPr>
        <w:t>7. What It Is Commonly Paired With</w:t>
      </w:r>
    </w:p>
    <w:p w14:paraId="5CC07E92">
      <w:pPr>
        <w:pStyle w:val="16"/>
        <w:numPr>
          <w:ilvl w:val="0"/>
          <w:numId w:val="2"/>
        </w:numPr>
        <w:spacing w:after="80" w:line="276" w:lineRule="auto"/>
      </w:pPr>
      <w:r>
        <w:rPr>
          <w:sz w:val="22"/>
          <w:szCs w:val="22"/>
        </w:rPr>
        <w:t>Asian Range</w:t>
      </w:r>
    </w:p>
    <w:p w14:paraId="67EE8685">
      <w:pPr>
        <w:pStyle w:val="16"/>
        <w:numPr>
          <w:ilvl w:val="0"/>
          <w:numId w:val="2"/>
        </w:numPr>
        <w:spacing w:after="80" w:line="276" w:lineRule="auto"/>
      </w:pPr>
      <w:r>
        <w:rPr>
          <w:sz w:val="22"/>
          <w:szCs w:val="22"/>
        </w:rPr>
        <w:t>London Open Kill Zone</w:t>
      </w:r>
    </w:p>
    <w:p w14:paraId="177CC4F8">
      <w:pPr>
        <w:pStyle w:val="16"/>
        <w:numPr>
          <w:ilvl w:val="0"/>
          <w:numId w:val="2"/>
        </w:numPr>
        <w:spacing w:after="80" w:line="276" w:lineRule="auto"/>
      </w:pPr>
      <w:r>
        <w:rPr>
          <w:sz w:val="22"/>
          <w:szCs w:val="22"/>
        </w:rPr>
        <w:t>Time and Price Theory</w:t>
      </w:r>
    </w:p>
    <w:p w14:paraId="5382B45A">
      <w:pPr>
        <w:spacing w:after="160" w:line="288" w:lineRule="auto"/>
      </w:pPr>
      <w:r>
        <w:rPr>
          <w:b w:val="0"/>
          <w:bCs w:val="0"/>
          <w:i w:val="0"/>
          <w:iCs w:val="0"/>
          <w:sz w:val="22"/>
          <w:szCs w:val="22"/>
        </w:rPr>
        <w:t>This Kill Zone exists specifically to support the Asian Range concept and to set up the London Open Kill Zone's most common pattern (the Judas Swing sweep of that range).</w:t>
      </w:r>
    </w:p>
    <w:p w14:paraId="153832ED">
      <w:pPr>
        <w:pStyle w:val="3"/>
        <w:spacing w:before="360" w:after="160"/>
      </w:pPr>
      <w:r>
        <w:rPr>
          <w:b/>
          <w:bCs/>
          <w:color w:val="1B2A4A"/>
          <w:sz w:val="26"/>
          <w:szCs w:val="26"/>
        </w:rPr>
        <w:t>8. Where It Fits in the ICT Framework</w:t>
      </w:r>
    </w:p>
    <w:p w14:paraId="6CF8F225">
      <w:pPr>
        <w:spacing w:after="160" w:line="288" w:lineRule="auto"/>
      </w:pPr>
      <w:r>
        <w:rPr>
          <w:b w:val="0"/>
          <w:bCs w:val="0"/>
          <w:i w:val="0"/>
          <w:iCs w:val="0"/>
          <w:sz w:val="22"/>
          <w:szCs w:val="22"/>
        </w:rPr>
        <w:t>Comes before: Requires Asian Session and Time and Price Theory.</w:t>
      </w:r>
    </w:p>
    <w:p w14:paraId="4E90D25E">
      <w:pPr>
        <w:spacing w:after="160" w:line="288" w:lineRule="auto"/>
      </w:pPr>
      <w:r>
        <w:rPr>
          <w:b w:val="0"/>
          <w:bCs w:val="0"/>
          <w:i w:val="0"/>
          <w:iCs w:val="0"/>
          <w:sz w:val="22"/>
          <w:szCs w:val="22"/>
        </w:rPr>
        <w:t>Comes after: Feeds into the London Session and London Open Kill Zone.</w:t>
      </w:r>
    </w:p>
    <w:p w14:paraId="14664B0A">
      <w:pPr>
        <w:pStyle w:val="3"/>
        <w:spacing w:before="360" w:after="160"/>
      </w:pPr>
      <w:r>
        <w:rPr>
          <w:b/>
          <w:bCs/>
          <w:color w:val="1B2A4A"/>
          <w:sz w:val="26"/>
          <w:szCs w:val="26"/>
        </w:rPr>
        <w:t>9. Beginner Mistakes</w:t>
      </w:r>
    </w:p>
    <w:p w14:paraId="709DA2A6">
      <w:pPr>
        <w:pStyle w:val="16"/>
        <w:numPr>
          <w:ilvl w:val="0"/>
          <w:numId w:val="2"/>
        </w:numPr>
        <w:spacing w:after="80" w:line="276" w:lineRule="auto"/>
      </w:pPr>
      <w:r>
        <w:rPr>
          <w:sz w:val="22"/>
          <w:szCs w:val="22"/>
        </w:rPr>
        <w:t>Assuming there is one single, universally agreed exact clock-time definition for this window, rather than recognizing the documented variance across sources.</w:t>
      </w:r>
    </w:p>
    <w:p w14:paraId="6E57A54B">
      <w:pPr>
        <w:pStyle w:val="16"/>
        <w:numPr>
          <w:ilvl w:val="0"/>
          <w:numId w:val="2"/>
        </w:numPr>
        <w:spacing w:after="80" w:line="276" w:lineRule="auto"/>
      </w:pPr>
      <w:r>
        <w:rPr>
          <w:sz w:val="22"/>
          <w:szCs w:val="22"/>
        </w:rPr>
        <w:t>Seeking aggressive entries during this window with the same expectations applied to the London or New York Kill Zones.</w:t>
      </w:r>
    </w:p>
    <w:p w14:paraId="5EAFC66E">
      <w:pPr>
        <w:pStyle w:val="3"/>
        <w:spacing w:before="360" w:after="160"/>
      </w:pPr>
      <w:r>
        <w:rPr>
          <w:b/>
          <w:bCs/>
          <w:color w:val="1B2A4A"/>
          <w:sz w:val="26"/>
          <w:szCs w:val="26"/>
        </w:rPr>
        <w:t>10. Important Qualification</w:t>
      </w:r>
    </w:p>
    <w:p w14:paraId="4D1D2AB6">
      <w:pPr>
        <w:pBdr>
          <w:left w:val="single" w:color="7A2E2E" w:sz="24" w:space="8"/>
        </w:pBdr>
        <w:shd w:val="clear" w:fill="EFEFEF"/>
        <w:spacing w:before="160" w:after="200"/>
        <w:ind w:left="200"/>
      </w:pPr>
      <w:r>
        <w:rPr>
          <w:b/>
          <w:bCs/>
          <w:color w:val="7A2E2E"/>
          <w:sz w:val="21"/>
          <w:szCs w:val="21"/>
        </w:rPr>
        <w:t xml:space="preserve">Qualification: </w:t>
      </w:r>
      <w:r>
        <w:rPr>
          <w:sz w:val="21"/>
          <w:szCs w:val="21"/>
        </w:rPr>
        <w:t>This book documents a genuine, unresolved variance in exact clock-time boundaries for the Asian Kill Zone across ICT-focused secondary sources. Readers should verify the specific timing convention used by any given source, tool, or broker before relying on a precise boundary, and should treat the underlying purpose (range-marking, modest expectations) as more consistently agreed-upon than the exact minute-by-minute window.</w:t>
      </w:r>
    </w:p>
    <w:p w14:paraId="486FE836">
      <w:pPr>
        <w:pStyle w:val="3"/>
        <w:spacing w:before="360" w:after="160"/>
      </w:pPr>
      <w:r>
        <w:rPr>
          <w:b/>
          <w:bCs/>
          <w:color w:val="1B2A4A"/>
          <w:sz w:val="26"/>
          <w:szCs w:val="26"/>
        </w:rPr>
        <w:t>11. Source</w:t>
      </w:r>
    </w:p>
    <w:p w14:paraId="73E9478C"/>
    <w:p w14:paraId="13071FD5">
      <w:pPr>
        <w:pStyle w:val="16"/>
        <w:numPr>
          <w:ilvl w:val="0"/>
          <w:numId w:val="2"/>
        </w:numPr>
        <w:spacing w:after="80" w:line="276" w:lineRule="auto"/>
      </w:pPr>
      <w:r>
        <w:rPr>
          <w:sz w:val="22"/>
          <w:szCs w:val="22"/>
        </w:rPr>
        <w:t>ictkillzonetimes.com — "What are ICT Killzone Times?" (8:00 PM–12:00 AM EST).</w:t>
      </w:r>
    </w:p>
    <w:p w14:paraId="136E9DE5">
      <w:pPr>
        <w:pStyle w:val="16"/>
        <w:numPr>
          <w:ilvl w:val="0"/>
          <w:numId w:val="2"/>
        </w:numPr>
        <w:spacing w:after="80" w:line="276" w:lineRule="auto"/>
      </w:pPr>
      <w:r>
        <w:rPr>
          <w:sz w:val="22"/>
          <w:szCs w:val="22"/>
        </w:rPr>
        <w:t>ictkillzone.com — "ICT Kill Zones: Complete Guide to Trading Sessions" (8:00 PM–12:00 AM EST).</w:t>
      </w:r>
    </w:p>
    <w:p w14:paraId="7B141C74">
      <w:pPr>
        <w:pStyle w:val="16"/>
        <w:numPr>
          <w:ilvl w:val="0"/>
          <w:numId w:val="2"/>
        </w:numPr>
        <w:spacing w:after="80" w:line="276" w:lineRule="auto"/>
      </w:pPr>
      <w:r>
        <w:rPr>
          <w:sz w:val="22"/>
          <w:szCs w:val="22"/>
        </w:rPr>
        <w:t>TradingView (Golden_Star1994) — "ICT Kill Zones Time Asia London New York" (8:00 PM–10:00 PM ET, with scalping potential on AUD/NZD/JPY pairs).</w:t>
      </w:r>
    </w:p>
    <w:p w14:paraId="0C943B7E">
      <w:pPr>
        <w:pStyle w:val="16"/>
        <w:numPr>
          <w:ilvl w:val="0"/>
          <w:numId w:val="2"/>
        </w:numPr>
        <w:spacing w:after="80" w:line="276" w:lineRule="auto"/>
      </w:pPr>
      <w:r>
        <w:rPr>
          <w:sz w:val="22"/>
          <w:szCs w:val="22"/>
        </w:rPr>
        <w:t>tradeedge-journal.vercel.app — "ICT Kill Zones Explained" (8:00 PM–12:00 AM ET).</w:t>
      </w:r>
    </w:p>
    <w:p w14:paraId="53C6B660">
      <w:r>
        <w:br w:type="page"/>
      </w:r>
    </w:p>
    <w:p w14:paraId="634E67E3">
      <w:pPr>
        <w:pStyle w:val="2"/>
        <w:pBdr>
          <w:bottom w:val="single" w:color="1B2A4A" w:sz="12" w:space="4"/>
        </w:pBdr>
        <w:spacing w:before="480" w:after="240"/>
      </w:pPr>
      <w:r>
        <w:rPr>
          <w:b/>
          <w:bCs/>
          <w:color w:val="1B2A4A"/>
          <w:sz w:val="34"/>
          <w:szCs w:val="34"/>
        </w:rPr>
        <w:t>London Session</w:t>
      </w:r>
    </w:p>
    <w:p w14:paraId="1C591A95">
      <w:pPr>
        <w:pStyle w:val="3"/>
        <w:spacing w:before="360" w:after="160"/>
      </w:pPr>
      <w:r>
        <w:rPr>
          <w:b/>
          <w:bCs/>
          <w:color w:val="1B2A4A"/>
          <w:sz w:val="26"/>
          <w:szCs w:val="26"/>
        </w:rPr>
        <w:t>1. Definition</w:t>
      </w:r>
    </w:p>
    <w:p w14:paraId="3EC80E00">
      <w:pPr>
        <w:spacing w:after="160" w:line="288" w:lineRule="auto"/>
      </w:pPr>
      <w:r>
        <w:rPr>
          <w:b w:val="0"/>
          <w:bCs w:val="0"/>
          <w:i w:val="0"/>
          <w:iCs w:val="0"/>
          <w:sz w:val="22"/>
          <w:szCs w:val="22"/>
        </w:rPr>
        <w:t>The London session is the trading period during which European financial centers, principally London, are active — described consistently across ICT-focused sources as the world's largest forex trading session by volume and the period most likely to establish the high or low of the entire trading day.</w:t>
      </w:r>
    </w:p>
    <w:p w14:paraId="67A9AE06">
      <w:pPr>
        <w:pStyle w:val="3"/>
        <w:spacing w:before="360" w:after="160"/>
      </w:pPr>
      <w:r>
        <w:rPr>
          <w:b/>
          <w:bCs/>
          <w:color w:val="1B2A4A"/>
          <w:sz w:val="26"/>
          <w:szCs w:val="26"/>
        </w:rPr>
        <w:t>2. ICT's Meaning</w:t>
      </w:r>
    </w:p>
    <w:p w14:paraId="1B4D9C47">
      <w:pPr>
        <w:spacing w:after="160" w:line="288" w:lineRule="auto"/>
      </w:pPr>
      <w:r>
        <w:rPr>
          <w:b w:val="0"/>
          <w:bCs w:val="0"/>
          <w:i w:val="0"/>
          <w:iCs w:val="0"/>
          <w:sz w:val="22"/>
          <w:szCs w:val="22"/>
        </w:rPr>
        <w:t>ICT-focused sources are highly consistent that the London session's opening hours are the single most closely watched window in the ICT daily framework for forex traders, due to the sheer scale of institutional participation once major European bank and fund trading desks come online.</w:t>
      </w:r>
    </w:p>
    <w:p w14:paraId="628FC9A3">
      <w:pPr>
        <w:spacing w:after="160" w:line="288" w:lineRule="auto"/>
      </w:pPr>
      <w:r>
        <w:rPr>
          <w:b w:val="0"/>
          <w:bCs w:val="0"/>
          <w:i w:val="0"/>
          <w:iCs w:val="0"/>
          <w:sz w:val="22"/>
          <w:szCs w:val="22"/>
        </w:rPr>
        <w:t>The dominant pattern associated with this session across nearly every source reviewed is the Judas Swing (detailed fully under London Open Kill Zone, next): a false initial move, typically sweeping the Asian Range in one direction, followed by a sharp reversal into what is presented as the genuine directional move of the day.</w:t>
      </w:r>
    </w:p>
    <w:p w14:paraId="63E5F693">
      <w:pPr>
        <w:pStyle w:val="3"/>
        <w:spacing w:before="360" w:after="160"/>
      </w:pPr>
      <w:r>
        <w:rPr>
          <w:b/>
          <w:bCs/>
          <w:color w:val="1B2A4A"/>
          <w:sz w:val="26"/>
          <w:szCs w:val="26"/>
        </w:rPr>
        <w:t>3. Beginner Explanation</w:t>
      </w:r>
    </w:p>
    <w:p w14:paraId="1F62230E">
      <w:pPr>
        <w:spacing w:after="160" w:line="288" w:lineRule="auto"/>
      </w:pPr>
      <w:r>
        <w:rPr>
          <w:b w:val="0"/>
          <w:bCs w:val="0"/>
          <w:i w:val="0"/>
          <w:iCs w:val="0"/>
          <w:sz w:val="22"/>
          <w:szCs w:val="22"/>
        </w:rPr>
        <w:t>As the Asian session winds down, European markets — with London as the largest global center for currency trading — begin their business day. The London session is this period of European market activity, and ICT-focused sources treat its opening hours as unusually consequential: what happens here is described as very often deciding the overall direction and range for the entire rest of the day.</w:t>
      </w:r>
    </w:p>
    <w:p w14:paraId="72A6F743">
      <w:pPr>
        <w:pStyle w:val="3"/>
        <w:spacing w:before="360" w:after="160"/>
      </w:pPr>
      <w:r>
        <w:rPr>
          <w:b/>
          <w:bCs/>
          <w:color w:val="1B2A4A"/>
          <w:sz w:val="26"/>
          <w:szCs w:val="26"/>
        </w:rPr>
        <w:t>4. How to Identify It</w:t>
      </w:r>
    </w:p>
    <w:p w14:paraId="039E1EDC">
      <w:pPr>
        <w:pStyle w:val="16"/>
        <w:numPr>
          <w:ilvl w:val="0"/>
          <w:numId w:val="1"/>
        </w:numPr>
        <w:spacing w:after="80" w:line="276" w:lineRule="auto"/>
      </w:pPr>
      <w:r>
        <w:rPr>
          <w:sz w:val="22"/>
          <w:szCs w:val="22"/>
        </w:rPr>
        <w:t>Note the transition from the quieter Asian session hours into the substantially higher-volume London session hours.</w:t>
      </w:r>
    </w:p>
    <w:p w14:paraId="7092193F">
      <w:pPr>
        <w:pStyle w:val="16"/>
        <w:numPr>
          <w:ilvl w:val="0"/>
          <w:numId w:val="1"/>
        </w:numPr>
        <w:spacing w:after="80" w:line="276" w:lineRule="auto"/>
      </w:pPr>
      <w:r>
        <w:rPr>
          <w:sz w:val="22"/>
          <w:szCs w:val="22"/>
        </w:rPr>
        <w:t>Observe whether price begins moving more decisively, in either direction, compared to the narrower Asian Range.</w:t>
      </w:r>
    </w:p>
    <w:p w14:paraId="0777DD74">
      <w:pPr>
        <w:pStyle w:val="16"/>
        <w:numPr>
          <w:ilvl w:val="0"/>
          <w:numId w:val="1"/>
        </w:numPr>
        <w:spacing w:after="80" w:line="276" w:lineRule="auto"/>
      </w:pPr>
      <w:r>
        <w:rPr>
          <w:sz w:val="22"/>
          <w:szCs w:val="22"/>
        </w:rPr>
        <w:t>Reference the previously marked Asian Range high and low as the specific levels most likely to be tested or swept during this session's opening hours.</w:t>
      </w:r>
    </w:p>
    <w:p w14:paraId="57A6A301">
      <w:pPr>
        <w:pStyle w:val="3"/>
        <w:spacing w:before="360" w:after="160"/>
      </w:pPr>
      <w:r>
        <w:rPr>
          <w:b/>
          <w:bCs/>
          <w:color w:val="1B2A4A"/>
          <w:sz w:val="26"/>
          <w:szCs w:val="26"/>
        </w:rPr>
        <w:t>5. Simple Price Example</w:t>
      </w:r>
    </w:p>
    <w:p w14:paraId="17AC11C2">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Asian range: 100–103. At London open, price spikes to 104 (sweeping the Asian high) before reversing sharply down to 96</w:t>
      </w:r>
    </w:p>
    <w:p w14:paraId="2DBE8FA3">
      <w:pPr>
        <w:spacing w:after="160" w:line="288" w:lineRule="auto"/>
      </w:pPr>
      <w:r>
        <w:rPr>
          <w:b w:val="0"/>
          <w:bCs w:val="0"/>
          <w:i w:val="0"/>
          <w:iCs w:val="0"/>
          <w:sz w:val="22"/>
          <w:szCs w:val="22"/>
        </w:rPr>
        <w:t>This pattern — a brief spike beyond the Asian Range high, followed by a sharp reversal well below the range — is exactly the kind of price action ICT-focused sources describe as characteristic of the London session's opening hours, and is the specific pattern named and explained in detail in the next concept.</w:t>
      </w:r>
    </w:p>
    <w:p w14:paraId="7EC9416C">
      <w:pPr>
        <w:pStyle w:val="3"/>
        <w:spacing w:before="360" w:after="160"/>
      </w:pPr>
      <w:r>
        <w:rPr>
          <w:b/>
          <w:bCs/>
          <w:color w:val="1B2A4A"/>
          <w:sz w:val="26"/>
          <w:szCs w:val="26"/>
        </w:rPr>
        <w:t>6. What It Tells the Trader</w:t>
      </w:r>
    </w:p>
    <w:p w14:paraId="3AC0D6FC">
      <w:pPr>
        <w:spacing w:after="160" w:line="288" w:lineRule="auto"/>
      </w:pPr>
      <w:r>
        <w:rPr>
          <w:b w:val="0"/>
          <w:bCs w:val="0"/>
          <w:i w:val="0"/>
          <w:iCs w:val="0"/>
          <w:sz w:val="22"/>
          <w:szCs w:val="22"/>
        </w:rPr>
        <w:t>The London session tells the trader that the probability of a significant, tradeable directional move rises substantially compared to the Asian session, and that the Asian Range is the specific reference most likely to be acted upon.</w:t>
      </w:r>
    </w:p>
    <w:p w14:paraId="5D32B73F">
      <w:pPr>
        <w:spacing w:after="160" w:line="288" w:lineRule="auto"/>
      </w:pPr>
      <w:r>
        <w:rPr>
          <w:b w:val="0"/>
          <w:bCs w:val="0"/>
          <w:i w:val="0"/>
          <w:iCs w:val="0"/>
          <w:sz w:val="22"/>
          <w:szCs w:val="22"/>
        </w:rPr>
        <w:t>It does not tell the trader in advance which direction the eventual genuine move will take — an initial spike in one direction is frequently, according to ICT-focused sources, the opposite of the day's ultimate direction.</w:t>
      </w:r>
    </w:p>
    <w:p w14:paraId="7473E37E">
      <w:pPr>
        <w:pStyle w:val="3"/>
        <w:spacing w:before="360" w:after="160"/>
      </w:pPr>
      <w:r>
        <w:rPr>
          <w:b/>
          <w:bCs/>
          <w:color w:val="1B2A4A"/>
          <w:sz w:val="26"/>
          <w:szCs w:val="26"/>
        </w:rPr>
        <w:t>7. What It Is Commonly Paired With</w:t>
      </w:r>
    </w:p>
    <w:p w14:paraId="20D9D4ED">
      <w:pPr>
        <w:pStyle w:val="16"/>
        <w:numPr>
          <w:ilvl w:val="0"/>
          <w:numId w:val="2"/>
        </w:numPr>
        <w:spacing w:after="80" w:line="276" w:lineRule="auto"/>
      </w:pPr>
      <w:r>
        <w:rPr>
          <w:sz w:val="22"/>
          <w:szCs w:val="22"/>
        </w:rPr>
        <w:t>Asian Range</w:t>
      </w:r>
    </w:p>
    <w:p w14:paraId="5A9FADCD">
      <w:pPr>
        <w:pStyle w:val="16"/>
        <w:numPr>
          <w:ilvl w:val="0"/>
          <w:numId w:val="2"/>
        </w:numPr>
        <w:spacing w:after="80" w:line="276" w:lineRule="auto"/>
      </w:pPr>
      <w:r>
        <w:rPr>
          <w:sz w:val="22"/>
          <w:szCs w:val="22"/>
        </w:rPr>
        <w:t>London Open Kill Zone</w:t>
      </w:r>
    </w:p>
    <w:p w14:paraId="2152A9C2">
      <w:pPr>
        <w:pStyle w:val="16"/>
        <w:numPr>
          <w:ilvl w:val="0"/>
          <w:numId w:val="2"/>
        </w:numPr>
        <w:spacing w:after="80" w:line="276" w:lineRule="auto"/>
      </w:pPr>
      <w:r>
        <w:rPr>
          <w:sz w:val="22"/>
          <w:szCs w:val="22"/>
        </w:rPr>
        <w:t>New York Session</w:t>
      </w:r>
    </w:p>
    <w:p w14:paraId="58FBC037">
      <w:pPr>
        <w:spacing w:after="160" w:line="288" w:lineRule="auto"/>
      </w:pPr>
      <w:r>
        <w:rPr>
          <w:b w:val="0"/>
          <w:bCs w:val="0"/>
          <w:i w:val="0"/>
          <w:iCs w:val="0"/>
          <w:sz w:val="22"/>
          <w:szCs w:val="22"/>
        </w:rPr>
        <w:t>The London session's behavior is defined largely in relation to the Asian Range that precedes it and sets up much of what the New York session does afterward — ICT-focused sources describe New York as either continuing or reversing what London established.</w:t>
      </w:r>
    </w:p>
    <w:p w14:paraId="482008CF">
      <w:pPr>
        <w:pStyle w:val="3"/>
        <w:spacing w:before="360" w:after="160"/>
      </w:pPr>
      <w:r>
        <w:rPr>
          <w:b/>
          <w:bCs/>
          <w:color w:val="1B2A4A"/>
          <w:sz w:val="26"/>
          <w:szCs w:val="26"/>
        </w:rPr>
        <w:t>8. Where It Fits in the ICT Framework</w:t>
      </w:r>
    </w:p>
    <w:p w14:paraId="7703A00B">
      <w:pPr>
        <w:spacing w:after="160" w:line="288" w:lineRule="auto"/>
      </w:pPr>
      <w:r>
        <w:rPr>
          <w:b w:val="0"/>
          <w:bCs w:val="0"/>
          <w:i w:val="0"/>
          <w:iCs w:val="0"/>
          <w:sz w:val="22"/>
          <w:szCs w:val="22"/>
        </w:rPr>
        <w:t>Comes before: Requires Asian Session, Asian Range, and Time and Price Theory.</w:t>
      </w:r>
    </w:p>
    <w:p w14:paraId="399B6A1E">
      <w:pPr>
        <w:spacing w:after="160" w:line="288" w:lineRule="auto"/>
      </w:pPr>
      <w:r>
        <w:rPr>
          <w:b w:val="0"/>
          <w:bCs w:val="0"/>
          <w:i w:val="0"/>
          <w:iCs w:val="0"/>
          <w:sz w:val="22"/>
          <w:szCs w:val="22"/>
        </w:rPr>
        <w:t>Comes after: Feeds directly into London Open Kill Zone and London Close Kill Zone.</w:t>
      </w:r>
    </w:p>
    <w:p w14:paraId="0DE8F3C9">
      <w:pPr>
        <w:pStyle w:val="3"/>
        <w:spacing w:before="360" w:after="160"/>
      </w:pPr>
      <w:r>
        <w:rPr>
          <w:b/>
          <w:bCs/>
          <w:color w:val="1B2A4A"/>
          <w:sz w:val="26"/>
          <w:szCs w:val="26"/>
        </w:rPr>
        <w:t>9. Beginner Mistakes</w:t>
      </w:r>
    </w:p>
    <w:p w14:paraId="10715CFB">
      <w:pPr>
        <w:pStyle w:val="16"/>
        <w:numPr>
          <w:ilvl w:val="0"/>
          <w:numId w:val="2"/>
        </w:numPr>
        <w:spacing w:after="80" w:line="276" w:lineRule="auto"/>
      </w:pPr>
      <w:r>
        <w:rPr>
          <w:sz w:val="22"/>
          <w:szCs w:val="22"/>
        </w:rPr>
        <w:t>Assuming the first directional move seen at London's open is automatically the day's genuine direction, without waiting for confirmation of a sweep-and-reversal pattern.</w:t>
      </w:r>
    </w:p>
    <w:p w14:paraId="136AFFE6">
      <w:pPr>
        <w:pStyle w:val="16"/>
        <w:numPr>
          <w:ilvl w:val="0"/>
          <w:numId w:val="2"/>
        </w:numPr>
        <w:spacing w:after="80" w:line="276" w:lineRule="auto"/>
      </w:pPr>
      <w:r>
        <w:rPr>
          <w:sz w:val="22"/>
          <w:szCs w:val="22"/>
        </w:rPr>
        <w:t>Trading London session moves without first having marked the Asian Range as a reference.</w:t>
      </w:r>
    </w:p>
    <w:p w14:paraId="1A4F3A18">
      <w:pPr>
        <w:pStyle w:val="3"/>
        <w:spacing w:before="360" w:after="160"/>
      </w:pPr>
      <w:r>
        <w:rPr>
          <w:b/>
          <w:bCs/>
          <w:color w:val="1B2A4A"/>
          <w:sz w:val="26"/>
          <w:szCs w:val="26"/>
        </w:rPr>
        <w:t>10. Important Qualification</w:t>
      </w:r>
    </w:p>
    <w:p w14:paraId="6179BBD9">
      <w:pPr>
        <w:pBdr>
          <w:left w:val="single" w:color="7A2E2E" w:sz="24" w:space="8"/>
        </w:pBdr>
        <w:shd w:val="clear" w:fill="EFEFEF"/>
        <w:spacing w:before="160" w:after="200"/>
        <w:ind w:left="200"/>
      </w:pPr>
      <w:r>
        <w:rPr>
          <w:b/>
          <w:bCs/>
          <w:color w:val="7A2E2E"/>
          <w:sz w:val="21"/>
          <w:szCs w:val="21"/>
        </w:rPr>
        <w:t xml:space="preserve">Qualification: </w:t>
      </w:r>
      <w:r>
        <w:rPr>
          <w:sz w:val="21"/>
          <w:szCs w:val="21"/>
        </w:rPr>
        <w:t>Not every day features a clean Judas Swing pattern at the London open; some days see a genuine breakout continuation in the direction of the initial move, without a meaningful reversal. Distinguishing the two in real time requires the specific confirmation criteria discussed in the London Open Kill Zone concept.</w:t>
      </w:r>
    </w:p>
    <w:p w14:paraId="57D94102">
      <w:pPr>
        <w:pStyle w:val="3"/>
        <w:spacing w:before="360" w:after="160"/>
      </w:pPr>
      <w:r>
        <w:rPr>
          <w:b/>
          <w:bCs/>
          <w:color w:val="1B2A4A"/>
          <w:sz w:val="26"/>
          <w:szCs w:val="26"/>
        </w:rPr>
        <w:t>11. Source</w:t>
      </w:r>
    </w:p>
    <w:p w14:paraId="1D2A5A35"/>
    <w:p w14:paraId="17F6DE9F">
      <w:pPr>
        <w:pStyle w:val="16"/>
        <w:numPr>
          <w:ilvl w:val="0"/>
          <w:numId w:val="2"/>
        </w:numPr>
        <w:spacing w:after="80" w:line="276" w:lineRule="auto"/>
      </w:pPr>
      <w:r>
        <w:rPr>
          <w:sz w:val="22"/>
          <w:szCs w:val="22"/>
        </w:rPr>
        <w:t>completetradersedge.com — "ICT Kill Zones: How to Trade the Highest-Probability Market Hours" (London as world's largest forex center by volume).</w:t>
      </w:r>
    </w:p>
    <w:p w14:paraId="3DCF3FB3">
      <w:pPr>
        <w:pStyle w:val="16"/>
        <w:numPr>
          <w:ilvl w:val="0"/>
          <w:numId w:val="2"/>
        </w:numPr>
        <w:spacing w:after="80" w:line="276" w:lineRule="auto"/>
      </w:pPr>
      <w:r>
        <w:rPr>
          <w:sz w:val="22"/>
          <w:szCs w:val="22"/>
        </w:rPr>
        <w:t>luxalgo.com — "Killzones — Smart Money Concepts / ICT Concept" (session delivery expectations).</w:t>
      </w:r>
    </w:p>
    <w:p w14:paraId="71DD9AC5">
      <w:r>
        <w:br w:type="page"/>
      </w:r>
    </w:p>
    <w:p w14:paraId="3642DC2E">
      <w:pPr>
        <w:pStyle w:val="2"/>
        <w:pBdr>
          <w:bottom w:val="single" w:color="1B2A4A" w:sz="12" w:space="4"/>
        </w:pBdr>
        <w:spacing w:before="480" w:after="240"/>
      </w:pPr>
      <w:r>
        <w:rPr>
          <w:b/>
          <w:bCs/>
          <w:color w:val="1B2A4A"/>
          <w:sz w:val="34"/>
          <w:szCs w:val="34"/>
        </w:rPr>
        <w:t>London Open Kill Zone</w:t>
      </w:r>
    </w:p>
    <w:p w14:paraId="036DD58D">
      <w:pPr>
        <w:pStyle w:val="3"/>
        <w:spacing w:before="360" w:after="160"/>
      </w:pPr>
      <w:r>
        <w:rPr>
          <w:b/>
          <w:bCs/>
          <w:color w:val="1B2A4A"/>
          <w:sz w:val="26"/>
          <w:szCs w:val="26"/>
        </w:rPr>
        <w:t>1. Definition</w:t>
      </w:r>
    </w:p>
    <w:p w14:paraId="22A45986">
      <w:pPr>
        <w:spacing w:after="160" w:line="288" w:lineRule="auto"/>
      </w:pPr>
      <w:r>
        <w:rPr>
          <w:b w:val="0"/>
          <w:bCs w:val="0"/>
          <w:i w:val="0"/>
          <w:iCs w:val="0"/>
          <w:sz w:val="22"/>
          <w:szCs w:val="22"/>
        </w:rPr>
        <w:t>The London Open Kill Zone is the specific time window, cited across ICT-focused sources as approximately 2:00 AM to 5:00 AM Eastern Time (with some sources citing a narrower 2:00–4:00 AM window), during which the London session's opening activity — most notably the Judas Swing pattern — is expected to occur.</w:t>
      </w:r>
    </w:p>
    <w:p w14:paraId="4973F16B">
      <w:pPr>
        <w:pStyle w:val="3"/>
        <w:spacing w:before="360" w:after="160"/>
      </w:pPr>
      <w:r>
        <w:rPr>
          <w:b/>
          <w:bCs/>
          <w:color w:val="1B2A4A"/>
          <w:sz w:val="26"/>
          <w:szCs w:val="26"/>
        </w:rPr>
        <w:t>2. ICT's Meaning</w:t>
      </w:r>
    </w:p>
    <w:p w14:paraId="1EE35389">
      <w:pPr>
        <w:spacing w:after="160" w:line="288" w:lineRule="auto"/>
      </w:pPr>
      <w:r>
        <w:rPr>
          <w:b w:val="0"/>
          <w:bCs w:val="0"/>
          <w:i w:val="0"/>
          <w:iCs w:val="0"/>
          <w:sz w:val="22"/>
          <w:szCs w:val="22"/>
        </w:rPr>
        <w:t>The centerpiece pattern associated with this window across virtually all ICT-focused sources reviewed is the Judas Swing: a named reference to the biblical betrayal, describing a deliberately misleading initial price move — typically a sweep of the Asian Range high or low — that traps breakout traders and triggers stop-loss orders before reversing sharply into what is presented as the genuine directional move of the day.</w:t>
      </w:r>
    </w:p>
    <w:p w14:paraId="1EF8144C">
      <w:pPr>
        <w:spacing w:after="160" w:line="288" w:lineRule="auto"/>
      </w:pPr>
      <w:r>
        <w:rPr>
          <w:b w:val="0"/>
          <w:bCs w:val="0"/>
          <w:i w:val="0"/>
          <w:iCs w:val="0"/>
          <w:sz w:val="22"/>
          <w:szCs w:val="22"/>
        </w:rPr>
        <w:t>Sources describe a specific, repeatable sequence within this window: price sweeps one side of the Asian Range, this sweep is followed by displacement in the opposite direction (Module 5), which is then confirmed by a Market Structure Shift (Module 3) on a lower timeframe (commonly the 5-minute chart), typically leaving behind a Fair Value Gap used as the specific entry zone.</w:t>
      </w:r>
    </w:p>
    <w:p w14:paraId="4B80A1CC">
      <w:pPr>
        <w:spacing w:after="160" w:line="288" w:lineRule="auto"/>
      </w:pPr>
      <w:r>
        <w:rPr>
          <w:b w:val="0"/>
          <w:bCs w:val="0"/>
          <w:i w:val="0"/>
          <w:iCs w:val="0"/>
          <w:sz w:val="22"/>
          <w:szCs w:val="22"/>
        </w:rPr>
        <w:t>Multiple sources provide an explicit invalidation rule for distinguishing a genuine Judas Swing from an actual breakout: if price fails to reclaim the swept level within a small number of candles (some sources cite 2–3 candles on a 5-minute chart), the move is treated as a genuine breakout rather than a Judas Swing, and the reversal-based trade idea is considered invalidated.</w:t>
      </w:r>
    </w:p>
    <w:p w14:paraId="52158C90">
      <w:pPr>
        <w:pStyle w:val="3"/>
        <w:spacing w:before="360" w:after="160"/>
      </w:pPr>
      <w:r>
        <w:rPr>
          <w:b/>
          <w:bCs/>
          <w:color w:val="1B2A4A"/>
          <w:sz w:val="26"/>
          <w:szCs w:val="26"/>
        </w:rPr>
        <w:t>3. Beginner Explanation</w:t>
      </w:r>
    </w:p>
    <w:p w14:paraId="47EDB4C3">
      <w:pPr>
        <w:spacing w:after="160" w:line="288" w:lineRule="auto"/>
      </w:pPr>
      <w:r>
        <w:rPr>
          <w:b w:val="0"/>
          <w:bCs w:val="0"/>
          <w:i w:val="0"/>
          <w:iCs w:val="0"/>
          <w:sz w:val="22"/>
          <w:szCs w:val="22"/>
        </w:rPr>
        <w:t>Named after a figure who appeared to be an ally before betraying that trust, the Judas Swing is a price move that looks, at first glance, like the real direction of the day — but is actually a trap. Price pushes convincingly past the Asian session's high or low, luring in traders who assume a breakout is underway, and then reverses hard in the opposite direction. The London Open Kill Zone is the specific window where ICT-focused teaching expects this exact pattern to play out.</w:t>
      </w:r>
    </w:p>
    <w:p w14:paraId="36F46546">
      <w:pPr>
        <w:pStyle w:val="3"/>
        <w:spacing w:before="360" w:after="160"/>
      </w:pPr>
      <w:r>
        <w:rPr>
          <w:b/>
          <w:bCs/>
          <w:color w:val="1B2A4A"/>
          <w:sz w:val="26"/>
          <w:szCs w:val="26"/>
        </w:rPr>
        <w:t>4. How to Identify It</w:t>
      </w:r>
    </w:p>
    <w:p w14:paraId="3CFFD1F8">
      <w:pPr>
        <w:pStyle w:val="16"/>
        <w:numPr>
          <w:ilvl w:val="0"/>
          <w:numId w:val="1"/>
        </w:numPr>
        <w:spacing w:after="80" w:line="276" w:lineRule="auto"/>
      </w:pPr>
      <w:r>
        <w:rPr>
          <w:sz w:val="22"/>
          <w:szCs w:val="22"/>
        </w:rPr>
        <w:t>Confirm the current time falls within the London Open Kill Zone (commonly cited as roughly 2:00 AM–5:00 AM ET).</w:t>
      </w:r>
    </w:p>
    <w:p w14:paraId="2F99648F">
      <w:pPr>
        <w:pStyle w:val="16"/>
        <w:numPr>
          <w:ilvl w:val="0"/>
          <w:numId w:val="1"/>
        </w:numPr>
        <w:spacing w:after="80" w:line="276" w:lineRule="auto"/>
      </w:pPr>
      <w:r>
        <w:rPr>
          <w:sz w:val="22"/>
          <w:szCs w:val="22"/>
        </w:rPr>
        <w:t>Reference the previously marked Asian Range high and low.</w:t>
      </w:r>
    </w:p>
    <w:p w14:paraId="12E72BB4">
      <w:pPr>
        <w:pStyle w:val="16"/>
        <w:numPr>
          <w:ilvl w:val="0"/>
          <w:numId w:val="1"/>
        </w:numPr>
        <w:spacing w:after="80" w:line="276" w:lineRule="auto"/>
      </w:pPr>
      <w:r>
        <w:rPr>
          <w:sz w:val="22"/>
          <w:szCs w:val="22"/>
        </w:rPr>
        <w:t>Watch for price to sweep beyond one of these two levels.</w:t>
      </w:r>
    </w:p>
    <w:p w14:paraId="5A016AC8">
      <w:pPr>
        <w:pStyle w:val="16"/>
        <w:numPr>
          <w:ilvl w:val="0"/>
          <w:numId w:val="1"/>
        </w:numPr>
        <w:spacing w:after="80" w:line="276" w:lineRule="auto"/>
      </w:pPr>
      <w:r>
        <w:rPr>
          <w:sz w:val="22"/>
          <w:szCs w:val="22"/>
        </w:rPr>
        <w:t>Confirm this sweep is followed by displacement in the opposite direction, and by a Market Structure Shift on a lower timeframe.</w:t>
      </w:r>
    </w:p>
    <w:p w14:paraId="25AA3FAC">
      <w:pPr>
        <w:pStyle w:val="16"/>
        <w:numPr>
          <w:ilvl w:val="0"/>
          <w:numId w:val="1"/>
        </w:numPr>
        <w:spacing w:after="80" w:line="276" w:lineRule="auto"/>
      </w:pPr>
      <w:r>
        <w:rPr>
          <w:sz w:val="22"/>
          <w:szCs w:val="22"/>
        </w:rPr>
        <w:t>Confirm price does not reclaim the swept level within roughly 2–3 candles on that lower timeframe — if it does, treat the move as a genuine breakout rather than a Judas Swing.</w:t>
      </w:r>
    </w:p>
    <w:p w14:paraId="245FDD01">
      <w:pPr>
        <w:pStyle w:val="16"/>
        <w:numPr>
          <w:ilvl w:val="0"/>
          <w:numId w:val="1"/>
        </w:numPr>
        <w:spacing w:after="80" w:line="276" w:lineRule="auto"/>
      </w:pPr>
      <w:r>
        <w:rPr>
          <w:sz w:val="22"/>
          <w:szCs w:val="22"/>
        </w:rPr>
        <w:t>Use the resulting Fair Value Gap, if one forms, as the specific entry zone in the new, reversed direction.</w:t>
      </w:r>
    </w:p>
    <w:p w14:paraId="3DA24F6D">
      <w:pPr>
        <w:pStyle w:val="3"/>
        <w:spacing w:before="360" w:after="160"/>
      </w:pPr>
      <w:r>
        <w:rPr>
          <w:b/>
          <w:bCs/>
          <w:color w:val="1B2A4A"/>
          <w:sz w:val="26"/>
          <w:szCs w:val="26"/>
        </w:rPr>
        <w:t>5. Simple Price Example</w:t>
      </w:r>
    </w:p>
    <w:p w14:paraId="0D16C2E7">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Asian range: 100–103. At 2:30 AM ET, price spikes to 104.5 (sweeping BSL above 103), then reverses with displacement down through 100, confirming a bearish MSS on the 5-minute chart and leaving an FVG between 100.5 and 101.5.</w:t>
      </w:r>
    </w:p>
    <w:p w14:paraId="42B310BB">
      <w:pPr>
        <w:spacing w:after="160" w:line="288" w:lineRule="auto"/>
      </w:pPr>
      <w:r>
        <w:rPr>
          <w:b w:val="0"/>
          <w:bCs w:val="0"/>
          <w:i w:val="0"/>
          <w:iCs w:val="0"/>
          <w:sz w:val="22"/>
          <w:szCs w:val="22"/>
        </w:rPr>
        <w:t>This full sequence — a sweep of the Asian high, followed by displacement, a confirmed structure shift, and a resulting Fair Value Gap — is the textbook Judas Swing pattern described across ICT-focused sources. The FVG between 100.5 and 101.5 would be marked as the specific entry zone for a short position, targeting the sell-side liquidity resting below the Asian Range low near 100 and beyond.</w:t>
      </w:r>
    </w:p>
    <w:p w14:paraId="7015A4C1">
      <w:pPr>
        <w:pStyle w:val="3"/>
        <w:spacing w:before="360" w:after="160"/>
      </w:pPr>
      <w:r>
        <w:rPr>
          <w:b/>
          <w:bCs/>
          <w:color w:val="1B2A4A"/>
          <w:sz w:val="26"/>
          <w:szCs w:val="26"/>
        </w:rPr>
        <w:t>6. What It Tells the Trader</w:t>
      </w:r>
    </w:p>
    <w:p w14:paraId="62BA864A">
      <w:pPr>
        <w:spacing w:after="160" w:line="288" w:lineRule="auto"/>
      </w:pPr>
      <w:r>
        <w:rPr>
          <w:b w:val="0"/>
          <w:bCs w:val="0"/>
          <w:i w:val="0"/>
          <w:iCs w:val="0"/>
          <w:sz w:val="22"/>
          <w:szCs w:val="22"/>
        </w:rPr>
        <w:t>The London Open Kill Zone tells the trader specifically when and how the day's initial directional "trap" is expected to unfold, providing a repeatable, structured sequence (sweep, displacement, structure shift, FVG entry) rather than a vague expectation of "volatility."</w:t>
      </w:r>
    </w:p>
    <w:p w14:paraId="1E1CA926">
      <w:pPr>
        <w:spacing w:after="160" w:line="288" w:lineRule="auto"/>
      </w:pPr>
      <w:r>
        <w:rPr>
          <w:b w:val="0"/>
          <w:bCs w:val="0"/>
          <w:i w:val="0"/>
          <w:iCs w:val="0"/>
          <w:sz w:val="22"/>
          <w:szCs w:val="22"/>
        </w:rPr>
        <w:t>It does not tell the trader, at the moment the initial spike occurs, whether that spike is definitely a Judas Swing about to reverse or a genuine breakout about to continue — this can only be confirmed using the specific invalidation criteria described above, applied after the fact.</w:t>
      </w:r>
    </w:p>
    <w:p w14:paraId="6C34E725">
      <w:pPr>
        <w:pStyle w:val="3"/>
        <w:spacing w:before="360" w:after="160"/>
      </w:pPr>
      <w:r>
        <w:rPr>
          <w:b/>
          <w:bCs/>
          <w:color w:val="1B2A4A"/>
          <w:sz w:val="26"/>
          <w:szCs w:val="26"/>
        </w:rPr>
        <w:t>7. What It Is Commonly Paired With</w:t>
      </w:r>
    </w:p>
    <w:p w14:paraId="49243272">
      <w:pPr>
        <w:pStyle w:val="16"/>
        <w:numPr>
          <w:ilvl w:val="0"/>
          <w:numId w:val="2"/>
        </w:numPr>
        <w:spacing w:after="80" w:line="276" w:lineRule="auto"/>
      </w:pPr>
      <w:r>
        <w:rPr>
          <w:sz w:val="22"/>
          <w:szCs w:val="22"/>
        </w:rPr>
        <w:t>Asian Range</w:t>
      </w:r>
    </w:p>
    <w:p w14:paraId="3954C0EA">
      <w:pPr>
        <w:pStyle w:val="16"/>
        <w:numPr>
          <w:ilvl w:val="0"/>
          <w:numId w:val="2"/>
        </w:numPr>
        <w:spacing w:after="80" w:line="276" w:lineRule="auto"/>
      </w:pPr>
      <w:r>
        <w:rPr>
          <w:sz w:val="22"/>
          <w:szCs w:val="22"/>
        </w:rPr>
        <w:t>Liquidity Sweep / Displacement / MSS (Modules 3–5)</w:t>
      </w:r>
    </w:p>
    <w:p w14:paraId="0CEC87E9">
      <w:pPr>
        <w:pStyle w:val="16"/>
        <w:numPr>
          <w:ilvl w:val="0"/>
          <w:numId w:val="2"/>
        </w:numPr>
        <w:spacing w:after="80" w:line="276" w:lineRule="auto"/>
      </w:pPr>
      <w:r>
        <w:rPr>
          <w:sz w:val="22"/>
          <w:szCs w:val="22"/>
        </w:rPr>
        <w:t>New York Session</w:t>
      </w:r>
    </w:p>
    <w:p w14:paraId="6E5CD5AD">
      <w:pPr>
        <w:spacing w:after="160" w:line="288" w:lineRule="auto"/>
      </w:pPr>
      <w:r>
        <w:rPr>
          <w:b w:val="0"/>
          <w:bCs w:val="0"/>
          <w:i w:val="0"/>
          <w:iCs w:val="0"/>
          <w:sz w:val="22"/>
          <w:szCs w:val="22"/>
        </w:rPr>
        <w:t>This Kill Zone is the single most complete, practical illustration in this book so far of the full sweep-then-displacement-then-structure-shift sequence introduced across Modules 3 through 5, applied to a specific, named, time-bound setup.</w:t>
      </w:r>
    </w:p>
    <w:p w14:paraId="31B6BD21">
      <w:pPr>
        <w:pStyle w:val="3"/>
        <w:spacing w:before="360" w:after="160"/>
      </w:pPr>
      <w:r>
        <w:rPr>
          <w:b/>
          <w:bCs/>
          <w:color w:val="1B2A4A"/>
          <w:sz w:val="26"/>
          <w:szCs w:val="26"/>
        </w:rPr>
        <w:t>8. Where It Fits in the ICT Framework</w:t>
      </w:r>
    </w:p>
    <w:p w14:paraId="0DDF1D37">
      <w:pPr>
        <w:spacing w:after="160" w:line="288" w:lineRule="auto"/>
      </w:pPr>
      <w:r>
        <w:rPr>
          <w:b w:val="0"/>
          <w:bCs w:val="0"/>
          <w:i w:val="0"/>
          <w:iCs w:val="0"/>
          <w:sz w:val="22"/>
          <w:szCs w:val="22"/>
        </w:rPr>
        <w:t>Comes before: Requires Asian Range, Liquidity Sweep (Module 4), Displacement (Module 5), and Market Structure Shift (Module 3).</w:t>
      </w:r>
    </w:p>
    <w:p w14:paraId="6E15CC3E">
      <w:pPr>
        <w:spacing w:after="160" w:line="288" w:lineRule="auto"/>
      </w:pPr>
      <w:r>
        <w:rPr>
          <w:b w:val="0"/>
          <w:bCs w:val="0"/>
          <w:i w:val="0"/>
          <w:iCs w:val="0"/>
          <w:sz w:val="22"/>
          <w:szCs w:val="22"/>
        </w:rPr>
        <w:t>Comes after: Feeds directly into London Close Kill Zone and the New York Session, which frequently continues or reverses whatever direction London established.</w:t>
      </w:r>
    </w:p>
    <w:p w14:paraId="2FC785F3">
      <w:pPr>
        <w:pStyle w:val="3"/>
        <w:spacing w:before="360" w:after="160"/>
      </w:pPr>
      <w:r>
        <w:rPr>
          <w:b/>
          <w:bCs/>
          <w:color w:val="1B2A4A"/>
          <w:sz w:val="26"/>
          <w:szCs w:val="26"/>
        </w:rPr>
        <w:t>9. Beginner Mistakes</w:t>
      </w:r>
    </w:p>
    <w:p w14:paraId="4A511B6B">
      <w:pPr>
        <w:pStyle w:val="16"/>
        <w:numPr>
          <w:ilvl w:val="0"/>
          <w:numId w:val="2"/>
        </w:numPr>
        <w:spacing w:after="80" w:line="276" w:lineRule="auto"/>
      </w:pPr>
      <w:r>
        <w:rPr>
          <w:sz w:val="22"/>
          <w:szCs w:val="22"/>
        </w:rPr>
        <w:t>Entering a trade in the direction of the initial spike, assuming it is the genuine move, without waiting for a possible reversal.</w:t>
      </w:r>
    </w:p>
    <w:p w14:paraId="0B3B9A44">
      <w:pPr>
        <w:pStyle w:val="16"/>
        <w:numPr>
          <w:ilvl w:val="0"/>
          <w:numId w:val="2"/>
        </w:numPr>
        <w:spacing w:after="80" w:line="276" w:lineRule="auto"/>
      </w:pPr>
      <w:r>
        <w:rPr>
          <w:sz w:val="22"/>
          <w:szCs w:val="22"/>
        </w:rPr>
        <w:t>Entering a reversal trade immediately upon seeing the sweep, without confirming displacement and a structure shift first.</w:t>
      </w:r>
    </w:p>
    <w:p w14:paraId="4A5B95CB">
      <w:pPr>
        <w:pStyle w:val="16"/>
        <w:numPr>
          <w:ilvl w:val="0"/>
          <w:numId w:val="2"/>
        </w:numPr>
        <w:spacing w:after="80" w:line="276" w:lineRule="auto"/>
      </w:pPr>
      <w:r>
        <w:rPr>
          <w:sz w:val="22"/>
          <w:szCs w:val="22"/>
        </w:rPr>
        <w:t>Ignoring the invalidation rule and continuing to treat a sustained, reclaimed-level move as a Judas Swing when it has, in fact, become a genuine breakout.</w:t>
      </w:r>
    </w:p>
    <w:p w14:paraId="0F0C511A">
      <w:pPr>
        <w:pStyle w:val="3"/>
        <w:spacing w:before="360" w:after="160"/>
      </w:pPr>
      <w:r>
        <w:rPr>
          <w:b/>
          <w:bCs/>
          <w:color w:val="1B2A4A"/>
          <w:sz w:val="26"/>
          <w:szCs w:val="26"/>
        </w:rPr>
        <w:t>10. Important Qualification</w:t>
      </w:r>
    </w:p>
    <w:p w14:paraId="709CAE2A">
      <w:pPr>
        <w:pBdr>
          <w:left w:val="single" w:color="7A2E2E" w:sz="24" w:space="8"/>
        </w:pBdr>
        <w:shd w:val="clear" w:fill="EFEFEF"/>
        <w:spacing w:before="160" w:after="200"/>
        <w:ind w:left="200"/>
      </w:pPr>
      <w:r>
        <w:rPr>
          <w:b/>
          <w:bCs/>
          <w:color w:val="7A2E2E"/>
          <w:sz w:val="21"/>
          <w:szCs w:val="21"/>
        </w:rPr>
        <w:t xml:space="preserve">Qualification: </w:t>
      </w:r>
      <w:r>
        <w:rPr>
          <w:sz w:val="21"/>
          <w:szCs w:val="21"/>
        </w:rPr>
        <w:t>Not every trading day produces a clean Judas Swing. Sources explicitly acknowledge that the pattern can fail to appear, or that an apparent sweep can instead be the start of a genuine breakout — the specific invalidation criteria exist precisely because this distinction cannot be made with certainty until after the fact.</w:t>
      </w:r>
    </w:p>
    <w:p w14:paraId="78F292D0">
      <w:pPr>
        <w:pStyle w:val="3"/>
        <w:spacing w:before="360" w:after="160"/>
      </w:pPr>
      <w:r>
        <w:rPr>
          <w:b/>
          <w:bCs/>
          <w:color w:val="1B2A4A"/>
          <w:sz w:val="26"/>
          <w:szCs w:val="26"/>
        </w:rPr>
        <w:t>11. Source</w:t>
      </w:r>
    </w:p>
    <w:p w14:paraId="22F1A456"/>
    <w:p w14:paraId="284B120A">
      <w:pPr>
        <w:pStyle w:val="16"/>
        <w:numPr>
          <w:ilvl w:val="0"/>
          <w:numId w:val="2"/>
        </w:numPr>
        <w:spacing w:after="80" w:line="276" w:lineRule="auto"/>
      </w:pPr>
      <w:r>
        <w:rPr>
          <w:sz w:val="22"/>
          <w:szCs w:val="22"/>
        </w:rPr>
        <w:t>fxnx.com — "ICT Asian Range Liquidity: Trading the London Judas Swing" and "ICT Killzones: Master XAUUSD Timing for Maximum Profit."</w:t>
      </w:r>
    </w:p>
    <w:p w14:paraId="1EF4CA22">
      <w:pPr>
        <w:pStyle w:val="16"/>
        <w:numPr>
          <w:ilvl w:val="0"/>
          <w:numId w:val="2"/>
        </w:numPr>
        <w:spacing w:after="80" w:line="276" w:lineRule="auto"/>
      </w:pPr>
      <w:r>
        <w:rPr>
          <w:sz w:val="22"/>
          <w:szCs w:val="22"/>
        </w:rPr>
        <w:t>ictkillzone.com — "ICT Kill Zones: Definition &amp; Liquidity Mechanics" and "ICT Kill Zones: Complete Guide to Trading Sessions" (2–3 candle invalidation rule).</w:t>
      </w:r>
    </w:p>
    <w:p w14:paraId="0D28850A">
      <w:pPr>
        <w:pStyle w:val="16"/>
        <w:numPr>
          <w:ilvl w:val="0"/>
          <w:numId w:val="2"/>
        </w:numPr>
        <w:spacing w:after="80" w:line="276" w:lineRule="auto"/>
      </w:pPr>
      <w:r>
        <w:rPr>
          <w:sz w:val="22"/>
          <w:szCs w:val="22"/>
        </w:rPr>
        <w:t>liquidityscan.io — "ICT Kill Zones Complete Guide: A Pro Trader's Framework" (worked numeric example of the London Judas Swing sequence).</w:t>
      </w:r>
    </w:p>
    <w:p w14:paraId="311BB3A5">
      <w:pPr>
        <w:pStyle w:val="16"/>
        <w:numPr>
          <w:ilvl w:val="0"/>
          <w:numId w:val="2"/>
        </w:numPr>
        <w:spacing w:after="80" w:line="276" w:lineRule="auto"/>
      </w:pPr>
      <w:r>
        <w:rPr>
          <w:sz w:val="22"/>
          <w:szCs w:val="22"/>
        </w:rPr>
        <w:t>tradeedge-journal.vercel.app — "ICT Kill Zones Explained."</w:t>
      </w:r>
    </w:p>
    <w:p w14:paraId="422F3DDA">
      <w:r>
        <w:br w:type="page"/>
      </w:r>
    </w:p>
    <w:p w14:paraId="2FF8B43E">
      <w:pPr>
        <w:pStyle w:val="2"/>
        <w:pBdr>
          <w:bottom w:val="single" w:color="1B2A4A" w:sz="12" w:space="4"/>
        </w:pBdr>
        <w:spacing w:before="480" w:after="240"/>
      </w:pPr>
      <w:r>
        <w:rPr>
          <w:b/>
          <w:bCs/>
          <w:color w:val="1B2A4A"/>
          <w:sz w:val="34"/>
          <w:szCs w:val="34"/>
        </w:rPr>
        <w:t>London Close Kill Zone</w:t>
      </w:r>
    </w:p>
    <w:p w14:paraId="54A0B304">
      <w:pPr>
        <w:pStyle w:val="3"/>
        <w:spacing w:before="360" w:after="160"/>
      </w:pPr>
      <w:r>
        <w:rPr>
          <w:b/>
          <w:bCs/>
          <w:color w:val="1B2A4A"/>
          <w:sz w:val="26"/>
          <w:szCs w:val="26"/>
        </w:rPr>
        <w:t>1. Definition</w:t>
      </w:r>
    </w:p>
    <w:p w14:paraId="7F59E977">
      <w:pPr>
        <w:spacing w:after="160" w:line="288" w:lineRule="auto"/>
      </w:pPr>
      <w:r>
        <w:rPr>
          <w:b w:val="0"/>
          <w:bCs w:val="0"/>
          <w:i w:val="0"/>
          <w:iCs w:val="0"/>
          <w:sz w:val="22"/>
          <w:szCs w:val="22"/>
        </w:rPr>
        <w:t>The London Close Kill Zone is the specific time window, cited across ICT-focused sources as approximately 10:00 AM to 12:00 PM Eastern Time (with some sources citing a narrower 8:00–9:00 AM window), during which European trading desks finalize and close out positions ahead of the London session's end, often producing continuation or corrective price behavior that extends into the New York afternoon.</w:t>
      </w:r>
    </w:p>
    <w:p w14:paraId="7A707E99">
      <w:pPr>
        <w:pStyle w:val="3"/>
        <w:spacing w:before="360" w:after="160"/>
      </w:pPr>
      <w:r>
        <w:rPr>
          <w:b/>
          <w:bCs/>
          <w:color w:val="1B2A4A"/>
          <w:sz w:val="26"/>
          <w:szCs w:val="26"/>
        </w:rPr>
        <w:t>2. ICT's Meaning</w:t>
      </w:r>
    </w:p>
    <w:p w14:paraId="5901E0D8">
      <w:pPr>
        <w:spacing w:after="160" w:line="288" w:lineRule="auto"/>
      </w:pPr>
      <w:r>
        <w:rPr>
          <w:b w:val="0"/>
          <w:bCs w:val="0"/>
          <w:i w:val="0"/>
          <w:iCs w:val="0"/>
          <w:sz w:val="22"/>
          <w:szCs w:val="22"/>
        </w:rPr>
        <w:t>ICT-focused sources consistently describe this window as more subtle and lower-probability than the London Open or New York Open Kill Zones, but still worth monitoring, particularly for continuation setups extending moves that began earlier in the London or New York sessions.</w:t>
      </w:r>
    </w:p>
    <w:p w14:paraId="66CBBB11">
      <w:pPr>
        <w:spacing w:after="160" w:line="288" w:lineRule="auto"/>
      </w:pPr>
      <w:r>
        <w:rPr>
          <w:b w:val="0"/>
          <w:bCs w:val="0"/>
          <w:i w:val="0"/>
          <w:iCs w:val="0"/>
          <w:sz w:val="22"/>
          <w:szCs w:val="22"/>
        </w:rPr>
        <w:t>One specifically documented pattern associated with this window is a counter-trend retracement: after price has extended strongly in one direction through the London and early New York sessions, a liquidity raid of the session's high or low, followed by a shift back toward the day's opening price, is described as a lower-probability but still notable setup, typically traded with reduced position size relative to the day's primary setups.</w:t>
      </w:r>
    </w:p>
    <w:p w14:paraId="4D6E0D99">
      <w:pPr>
        <w:pStyle w:val="3"/>
        <w:spacing w:before="360" w:after="160"/>
      </w:pPr>
      <w:r>
        <w:rPr>
          <w:b/>
          <w:bCs/>
          <w:color w:val="1B2A4A"/>
          <w:sz w:val="26"/>
          <w:szCs w:val="26"/>
        </w:rPr>
        <w:t>3. Beginner Explanation</w:t>
      </w:r>
    </w:p>
    <w:p w14:paraId="54B0D11B">
      <w:pPr>
        <w:spacing w:after="160" w:line="288" w:lineRule="auto"/>
      </w:pPr>
      <w:r>
        <w:rPr>
          <w:b w:val="0"/>
          <w:bCs w:val="0"/>
          <w:i w:val="0"/>
          <w:iCs w:val="0"/>
          <w:sz w:val="22"/>
          <w:szCs w:val="22"/>
        </w:rPr>
        <w:t>As the London trading day winds down, European desks are described as closing out or adjusting their positions before finishing for the day. The London Close Kill Zone is this specific window — generally quieter and less dramatic than the London or New York opens, but still capable of producing meaningful, if smaller, price moves as that final adjustment happens.</w:t>
      </w:r>
    </w:p>
    <w:p w14:paraId="3E50A329">
      <w:pPr>
        <w:pStyle w:val="3"/>
        <w:spacing w:before="360" w:after="160"/>
      </w:pPr>
      <w:r>
        <w:rPr>
          <w:b/>
          <w:bCs/>
          <w:color w:val="1B2A4A"/>
          <w:sz w:val="26"/>
          <w:szCs w:val="26"/>
        </w:rPr>
        <w:t>4. How to Identify It</w:t>
      </w:r>
    </w:p>
    <w:p w14:paraId="2F11CAE7">
      <w:pPr>
        <w:pStyle w:val="16"/>
        <w:numPr>
          <w:ilvl w:val="0"/>
          <w:numId w:val="1"/>
        </w:numPr>
        <w:spacing w:after="80" w:line="276" w:lineRule="auto"/>
      </w:pPr>
      <w:r>
        <w:rPr>
          <w:sz w:val="22"/>
          <w:szCs w:val="22"/>
        </w:rPr>
        <w:t>Confirm the current time falls within the commonly cited London Close Kill Zone window.</w:t>
      </w:r>
    </w:p>
    <w:p w14:paraId="381DDC62">
      <w:pPr>
        <w:pStyle w:val="16"/>
        <w:numPr>
          <w:ilvl w:val="0"/>
          <w:numId w:val="1"/>
        </w:numPr>
        <w:spacing w:after="80" w:line="276" w:lineRule="auto"/>
      </w:pPr>
      <w:r>
        <w:rPr>
          <w:sz w:val="22"/>
          <w:szCs w:val="22"/>
        </w:rPr>
        <w:t>Assess whether price has already extended meaningfully in one direction during the earlier London and New York sessions.</w:t>
      </w:r>
    </w:p>
    <w:p w14:paraId="622146E0">
      <w:pPr>
        <w:pStyle w:val="16"/>
        <w:numPr>
          <w:ilvl w:val="0"/>
          <w:numId w:val="1"/>
        </w:numPr>
        <w:spacing w:after="80" w:line="276" w:lineRule="auto"/>
      </w:pPr>
      <w:r>
        <w:rPr>
          <w:sz w:val="22"/>
          <w:szCs w:val="22"/>
        </w:rPr>
        <w:t>Watch for a liquidity raid of the day's established high or low, followed by a retracement back toward the day's opening price.</w:t>
      </w:r>
    </w:p>
    <w:p w14:paraId="1679264D">
      <w:pPr>
        <w:pStyle w:val="16"/>
        <w:numPr>
          <w:ilvl w:val="0"/>
          <w:numId w:val="1"/>
        </w:numPr>
        <w:spacing w:after="80" w:line="276" w:lineRule="auto"/>
      </w:pPr>
      <w:r>
        <w:rPr>
          <w:sz w:val="22"/>
          <w:szCs w:val="22"/>
        </w:rPr>
        <w:t>Treat any resulting setup with reduced size/confidence relative to the day's primary London Open or New York Open setups.</w:t>
      </w:r>
    </w:p>
    <w:p w14:paraId="71D47E83">
      <w:pPr>
        <w:pStyle w:val="3"/>
        <w:spacing w:before="360" w:after="160"/>
      </w:pPr>
      <w:r>
        <w:rPr>
          <w:b/>
          <w:bCs/>
          <w:color w:val="1B2A4A"/>
          <w:sz w:val="26"/>
          <w:szCs w:val="26"/>
        </w:rPr>
        <w:t>5. Simple Price Example</w:t>
      </w:r>
    </w:p>
    <w:p w14:paraId="647CB692">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After a strong bullish move earlier in the day (100 → 120), price spikes to 122 (a liquidity raid of the day's high) around 10:30 AM ET, then retraces back toward 110 (the day's opening price)</w:t>
      </w:r>
    </w:p>
    <w:p w14:paraId="39BB704B">
      <w:pPr>
        <w:spacing w:after="160" w:line="288" w:lineRule="auto"/>
      </w:pPr>
      <w:r>
        <w:rPr>
          <w:b w:val="0"/>
          <w:bCs w:val="0"/>
          <w:i w:val="0"/>
          <w:iCs w:val="0"/>
          <w:sz w:val="22"/>
          <w:szCs w:val="22"/>
        </w:rPr>
        <w:t>This late-session raid-and-retrace pattern is the type of counter-trend setup ICT-focused sources associate with the London Close Kill Zone — a smaller, corrective move rather than a fresh, primary directional push.</w:t>
      </w:r>
    </w:p>
    <w:p w14:paraId="22363623">
      <w:pPr>
        <w:pStyle w:val="3"/>
        <w:spacing w:before="360" w:after="160"/>
      </w:pPr>
      <w:r>
        <w:rPr>
          <w:b/>
          <w:bCs/>
          <w:color w:val="1B2A4A"/>
          <w:sz w:val="26"/>
          <w:szCs w:val="26"/>
        </w:rPr>
        <w:t>6. What It Tells the Trader</w:t>
      </w:r>
    </w:p>
    <w:p w14:paraId="3A74C5B9">
      <w:pPr>
        <w:spacing w:after="160" w:line="288" w:lineRule="auto"/>
      </w:pPr>
      <w:r>
        <w:rPr>
          <w:b w:val="0"/>
          <w:bCs w:val="0"/>
          <w:i w:val="0"/>
          <w:iCs w:val="0"/>
          <w:sz w:val="22"/>
          <w:szCs w:val="22"/>
        </w:rPr>
        <w:t>The London Close Kill Zone tells the trader when to expect a final, smaller wave of directional adjustment or correction as the European trading day winds down, and gives a specific, named context (rather than "random afternoon movement") for interpreting that behavior.</w:t>
      </w:r>
    </w:p>
    <w:p w14:paraId="28256A34">
      <w:pPr>
        <w:spacing w:after="160" w:line="288" w:lineRule="auto"/>
      </w:pPr>
      <w:r>
        <w:rPr>
          <w:b w:val="0"/>
          <w:bCs w:val="0"/>
          <w:i w:val="0"/>
          <w:iCs w:val="0"/>
          <w:sz w:val="22"/>
          <w:szCs w:val="22"/>
        </w:rPr>
        <w:t>It does not tell the trader to expect the same scale or reliability as the day's primary Kill Zones, and ICT-focused sources are explicit in describing this as a lower-probability window warranting smaller position sizing.</w:t>
      </w:r>
    </w:p>
    <w:p w14:paraId="7F350138">
      <w:pPr>
        <w:pStyle w:val="3"/>
        <w:spacing w:before="360" w:after="160"/>
      </w:pPr>
      <w:r>
        <w:rPr>
          <w:b/>
          <w:bCs/>
          <w:color w:val="1B2A4A"/>
          <w:sz w:val="26"/>
          <w:szCs w:val="26"/>
        </w:rPr>
        <w:t>7. What It Is Commonly Paired With</w:t>
      </w:r>
    </w:p>
    <w:p w14:paraId="165AE4A7">
      <w:pPr>
        <w:pStyle w:val="16"/>
        <w:numPr>
          <w:ilvl w:val="0"/>
          <w:numId w:val="2"/>
        </w:numPr>
        <w:spacing w:after="80" w:line="276" w:lineRule="auto"/>
      </w:pPr>
      <w:r>
        <w:rPr>
          <w:sz w:val="22"/>
          <w:szCs w:val="22"/>
        </w:rPr>
        <w:t>London Open Kill Zone</w:t>
      </w:r>
    </w:p>
    <w:p w14:paraId="15F72FED">
      <w:pPr>
        <w:pStyle w:val="16"/>
        <w:numPr>
          <w:ilvl w:val="0"/>
          <w:numId w:val="2"/>
        </w:numPr>
        <w:spacing w:after="80" w:line="276" w:lineRule="auto"/>
      </w:pPr>
      <w:r>
        <w:rPr>
          <w:sz w:val="22"/>
          <w:szCs w:val="22"/>
        </w:rPr>
        <w:t>New York Session</w:t>
      </w:r>
    </w:p>
    <w:p w14:paraId="16F51480">
      <w:pPr>
        <w:pStyle w:val="16"/>
        <w:numPr>
          <w:ilvl w:val="0"/>
          <w:numId w:val="2"/>
        </w:numPr>
        <w:spacing w:after="80" w:line="276" w:lineRule="auto"/>
      </w:pPr>
      <w:r>
        <w:rPr>
          <w:sz w:val="22"/>
          <w:szCs w:val="22"/>
        </w:rPr>
        <w:t>Fair Value Gap (Module 5, for the counter-move entry)</w:t>
      </w:r>
    </w:p>
    <w:p w14:paraId="41786FA6">
      <w:pPr>
        <w:spacing w:after="160" w:line="288" w:lineRule="auto"/>
      </w:pPr>
      <w:r>
        <w:rPr>
          <w:b w:val="0"/>
          <w:bCs w:val="0"/>
          <w:i w:val="0"/>
          <w:iCs w:val="0"/>
          <w:sz w:val="22"/>
          <w:szCs w:val="22"/>
        </w:rPr>
        <w:t>This window is best understood as a coda to the day's primary London Open and New York Open activity, and its specific trade setup (a counter-trend retracement into a Fair Value Gap formed by the counter-move) directly reuses Module 5's Fair Value Gap concept.</w:t>
      </w:r>
    </w:p>
    <w:p w14:paraId="2CB7CA89">
      <w:pPr>
        <w:pStyle w:val="3"/>
        <w:spacing w:before="360" w:after="160"/>
      </w:pPr>
      <w:r>
        <w:rPr>
          <w:b/>
          <w:bCs/>
          <w:color w:val="1B2A4A"/>
          <w:sz w:val="26"/>
          <w:szCs w:val="26"/>
        </w:rPr>
        <w:t>8. Where It Fits in the ICT Framework</w:t>
      </w:r>
    </w:p>
    <w:p w14:paraId="25993A68">
      <w:pPr>
        <w:spacing w:after="160" w:line="288" w:lineRule="auto"/>
      </w:pPr>
      <w:r>
        <w:rPr>
          <w:b w:val="0"/>
          <w:bCs w:val="0"/>
          <w:i w:val="0"/>
          <w:iCs w:val="0"/>
          <w:sz w:val="22"/>
          <w:szCs w:val="22"/>
        </w:rPr>
        <w:t>Comes before: Requires London Session, London Open Kill Zone, and Fair Value Gap (Module 5).</w:t>
      </w:r>
    </w:p>
    <w:p w14:paraId="3141874B">
      <w:pPr>
        <w:spacing w:after="160" w:line="288" w:lineRule="auto"/>
      </w:pPr>
      <w:r>
        <w:rPr>
          <w:b w:val="0"/>
          <w:bCs w:val="0"/>
          <w:i w:val="0"/>
          <w:iCs w:val="0"/>
          <w:sz w:val="22"/>
          <w:szCs w:val="22"/>
        </w:rPr>
        <w:t>Comes after: Feeds into the New York Session and Session-to-Session Relationships, the module's final concept.</w:t>
      </w:r>
    </w:p>
    <w:p w14:paraId="5C9F83B3">
      <w:pPr>
        <w:pStyle w:val="3"/>
        <w:spacing w:before="360" w:after="160"/>
      </w:pPr>
      <w:r>
        <w:rPr>
          <w:b/>
          <w:bCs/>
          <w:color w:val="1B2A4A"/>
          <w:sz w:val="26"/>
          <w:szCs w:val="26"/>
        </w:rPr>
        <w:t>9. Beginner Mistakes</w:t>
      </w:r>
    </w:p>
    <w:p w14:paraId="402BE8D7">
      <w:pPr>
        <w:pStyle w:val="16"/>
        <w:numPr>
          <w:ilvl w:val="0"/>
          <w:numId w:val="2"/>
        </w:numPr>
        <w:spacing w:after="80" w:line="276" w:lineRule="auto"/>
      </w:pPr>
      <w:r>
        <w:rPr>
          <w:sz w:val="22"/>
          <w:szCs w:val="22"/>
        </w:rPr>
        <w:t>Treating a London Close Kill Zone setup with the same confidence and position sizing as a London Open or New York Open setup.</w:t>
      </w:r>
    </w:p>
    <w:p w14:paraId="28CDA20A">
      <w:pPr>
        <w:pStyle w:val="16"/>
        <w:numPr>
          <w:ilvl w:val="0"/>
          <w:numId w:val="2"/>
        </w:numPr>
        <w:spacing w:after="80" w:line="276" w:lineRule="auto"/>
      </w:pPr>
      <w:r>
        <w:rPr>
          <w:sz w:val="22"/>
          <w:szCs w:val="22"/>
        </w:rPr>
        <w:t>Ignoring this window entirely and missing legitimate, if smaller, continuation or corrective opportunities it can present.</w:t>
      </w:r>
    </w:p>
    <w:p w14:paraId="0CF2C8C4">
      <w:pPr>
        <w:pStyle w:val="3"/>
        <w:spacing w:before="360" w:after="160"/>
      </w:pPr>
      <w:r>
        <w:rPr>
          <w:b/>
          <w:bCs/>
          <w:color w:val="1B2A4A"/>
          <w:sz w:val="26"/>
          <w:szCs w:val="26"/>
        </w:rPr>
        <w:t>10. Important Qualification</w:t>
      </w:r>
    </w:p>
    <w:p w14:paraId="50AE4B57">
      <w:pPr>
        <w:pBdr>
          <w:left w:val="single" w:color="7A2E2E" w:sz="24" w:space="8"/>
        </w:pBdr>
        <w:shd w:val="clear" w:fill="EFEFEF"/>
        <w:spacing w:before="160" w:after="200"/>
        <w:ind w:left="200"/>
      </w:pPr>
      <w:r>
        <w:rPr>
          <w:b/>
          <w:bCs/>
          <w:color w:val="7A2E2E"/>
          <w:sz w:val="21"/>
          <w:szCs w:val="21"/>
        </w:rPr>
        <w:t xml:space="preserve">Qualification: </w:t>
      </w:r>
      <w:r>
        <w:rPr>
          <w:sz w:val="21"/>
          <w:szCs w:val="21"/>
        </w:rPr>
        <w:t>This is explicitly described across sources as the lowest-probability of the named Kill Zones. As with the Asian Kill Zone, exact clock-time boundaries vary somewhat across sources, and this window's setups should be treated with appropriately reduced confidence and size.</w:t>
      </w:r>
    </w:p>
    <w:p w14:paraId="3ED6EB10">
      <w:pPr>
        <w:pStyle w:val="3"/>
        <w:spacing w:before="360" w:after="160"/>
      </w:pPr>
      <w:r>
        <w:rPr>
          <w:b/>
          <w:bCs/>
          <w:color w:val="1B2A4A"/>
          <w:sz w:val="26"/>
          <w:szCs w:val="26"/>
        </w:rPr>
        <w:t>11. Source</w:t>
      </w:r>
    </w:p>
    <w:p w14:paraId="15C65FCC"/>
    <w:p w14:paraId="12EAA120">
      <w:pPr>
        <w:pStyle w:val="16"/>
        <w:numPr>
          <w:ilvl w:val="0"/>
          <w:numId w:val="2"/>
        </w:numPr>
        <w:spacing w:after="80" w:line="276" w:lineRule="auto"/>
      </w:pPr>
      <w:r>
        <w:rPr>
          <w:sz w:val="22"/>
          <w:szCs w:val="22"/>
        </w:rPr>
        <w:t>ictkillzonetimes.com — "What are ICT Killzone Times?" (London Close setup description: "Counter-Trend Retracement").</w:t>
      </w:r>
    </w:p>
    <w:p w14:paraId="24615719">
      <w:pPr>
        <w:pStyle w:val="16"/>
        <w:numPr>
          <w:ilvl w:val="0"/>
          <w:numId w:val="2"/>
        </w:numPr>
        <w:spacing w:after="80" w:line="276" w:lineRule="auto"/>
      </w:pPr>
      <w:r>
        <w:rPr>
          <w:sz w:val="22"/>
          <w:szCs w:val="22"/>
        </w:rPr>
        <w:t>michaeljhuddleston.org — "ICT Kill Zones Times Explained: Trade Asia, London &amp; New York Like a Pro" (8:00–9:00 AM ET window, continuation setups).</w:t>
      </w:r>
    </w:p>
    <w:p w14:paraId="42C023BB">
      <w:pPr>
        <w:pStyle w:val="16"/>
        <w:numPr>
          <w:ilvl w:val="0"/>
          <w:numId w:val="2"/>
        </w:numPr>
        <w:spacing w:after="80" w:line="276" w:lineRule="auto"/>
      </w:pPr>
      <w:r>
        <w:rPr>
          <w:sz w:val="22"/>
          <w:szCs w:val="22"/>
        </w:rPr>
        <w:t>completetradersedge.com — "ICT Kill Zones: How to Trade the Highest-Probability Market Hours" (10:00 AM–12:00 PM ET window).</w:t>
      </w:r>
    </w:p>
    <w:p w14:paraId="544FADDC">
      <w:r>
        <w:br w:type="page"/>
      </w:r>
    </w:p>
    <w:p w14:paraId="7BF14535">
      <w:pPr>
        <w:pStyle w:val="2"/>
        <w:pBdr>
          <w:bottom w:val="single" w:color="1B2A4A" w:sz="12" w:space="4"/>
        </w:pBdr>
        <w:spacing w:before="480" w:after="240"/>
      </w:pPr>
      <w:r>
        <w:rPr>
          <w:b/>
          <w:bCs/>
          <w:color w:val="1B2A4A"/>
          <w:sz w:val="34"/>
          <w:szCs w:val="34"/>
        </w:rPr>
        <w:t>New York Session</w:t>
      </w:r>
    </w:p>
    <w:p w14:paraId="19EFD93E">
      <w:pPr>
        <w:pStyle w:val="3"/>
        <w:spacing w:before="360" w:after="160"/>
      </w:pPr>
      <w:r>
        <w:rPr>
          <w:b/>
          <w:bCs/>
          <w:color w:val="1B2A4A"/>
          <w:sz w:val="26"/>
          <w:szCs w:val="26"/>
        </w:rPr>
        <w:t>1. Definition</w:t>
      </w:r>
    </w:p>
    <w:p w14:paraId="00EAAEBA">
      <w:pPr>
        <w:spacing w:after="160" w:line="288" w:lineRule="auto"/>
      </w:pPr>
      <w:r>
        <w:rPr>
          <w:b w:val="0"/>
          <w:bCs w:val="0"/>
          <w:i w:val="0"/>
          <w:iCs w:val="0"/>
          <w:sz w:val="22"/>
          <w:szCs w:val="22"/>
        </w:rPr>
        <w:t>The New York session is the trading period during which US financial markets are active, described across ICT-focused sources as producing the highest overall trading volume of the day (particularly during its overlap with the tail end of the London session) and as either continuing or reversing whatever directional move the London session established.</w:t>
      </w:r>
    </w:p>
    <w:p w14:paraId="67F55AC0">
      <w:pPr>
        <w:pStyle w:val="3"/>
        <w:spacing w:before="360" w:after="160"/>
      </w:pPr>
      <w:r>
        <w:rPr>
          <w:b/>
          <w:bCs/>
          <w:color w:val="1B2A4A"/>
          <w:sz w:val="26"/>
          <w:szCs w:val="26"/>
        </w:rPr>
        <w:t>2. ICT's Meaning</w:t>
      </w:r>
    </w:p>
    <w:p w14:paraId="2E0459DC">
      <w:pPr>
        <w:spacing w:after="160" w:line="288" w:lineRule="auto"/>
      </w:pPr>
      <w:r>
        <w:rPr>
          <w:b w:val="0"/>
          <w:bCs w:val="0"/>
          <w:i w:val="0"/>
          <w:iCs w:val="0"/>
          <w:sz w:val="22"/>
          <w:szCs w:val="22"/>
        </w:rPr>
        <w:t>ICT-focused sources are consistent that reading the New York session correctly requires first understanding what happened during the London session — the central analytical question posed across multiple sources is not simply "what is price doing now," but "what did Asia build, and what did London already do to it?"</w:t>
      </w:r>
    </w:p>
    <w:p w14:paraId="762E2B2F">
      <w:pPr>
        <w:spacing w:after="160" w:line="288" w:lineRule="auto"/>
      </w:pPr>
      <w:r>
        <w:rPr>
          <w:b w:val="0"/>
          <w:bCs w:val="0"/>
          <w:i w:val="0"/>
          <w:iCs w:val="0"/>
          <w:sz w:val="22"/>
          <w:szCs w:val="22"/>
        </w:rPr>
        <w:t>The New York session's opening hours specifically overlap with major scheduled US economic data releases (commonly cited as occurring around 8:30 AM ET) and the US equity market open (9:30 AM ET), both of which are described as contributing to this session's high overall volume and its potential for sharp, news-driven displacement.</w:t>
      </w:r>
    </w:p>
    <w:p w14:paraId="232E5DE3">
      <w:pPr>
        <w:pStyle w:val="3"/>
        <w:spacing w:before="360" w:after="160"/>
      </w:pPr>
      <w:r>
        <w:rPr>
          <w:b/>
          <w:bCs/>
          <w:color w:val="1B2A4A"/>
          <w:sz w:val="26"/>
          <w:szCs w:val="26"/>
        </w:rPr>
        <w:t>3. Beginner Explanation</w:t>
      </w:r>
    </w:p>
    <w:p w14:paraId="3CD11559">
      <w:pPr>
        <w:spacing w:after="160" w:line="288" w:lineRule="auto"/>
      </w:pPr>
      <w:r>
        <w:rPr>
          <w:b w:val="0"/>
          <w:bCs w:val="0"/>
          <w:i w:val="0"/>
          <w:iCs w:val="0"/>
          <w:sz w:val="22"/>
          <w:szCs w:val="22"/>
        </w:rPr>
        <w:t>As the European trading day winds down, US markets are just beginning theirs. The New York session is this period of US market activity, and ICT-focused teaching treats it as the day's final, and often decisive, chapter — either confirming and extending the story London already started, or overturning it entirely.</w:t>
      </w:r>
    </w:p>
    <w:p w14:paraId="6F4F200C">
      <w:pPr>
        <w:pStyle w:val="3"/>
        <w:spacing w:before="360" w:after="160"/>
      </w:pPr>
      <w:r>
        <w:rPr>
          <w:b/>
          <w:bCs/>
          <w:color w:val="1B2A4A"/>
          <w:sz w:val="26"/>
          <w:szCs w:val="26"/>
        </w:rPr>
        <w:t>4. How to Identify It</w:t>
      </w:r>
    </w:p>
    <w:p w14:paraId="130007CA">
      <w:pPr>
        <w:pStyle w:val="16"/>
        <w:numPr>
          <w:ilvl w:val="0"/>
          <w:numId w:val="1"/>
        </w:numPr>
        <w:spacing w:after="80" w:line="276" w:lineRule="auto"/>
      </w:pPr>
      <w:r>
        <w:rPr>
          <w:sz w:val="22"/>
          <w:szCs w:val="22"/>
        </w:rPr>
        <w:t>Confirm the transition from the London session into New York session hours, generally marked by rising volume as US market participants become active.</w:t>
      </w:r>
    </w:p>
    <w:p w14:paraId="633941A0">
      <w:pPr>
        <w:pStyle w:val="16"/>
        <w:numPr>
          <w:ilvl w:val="0"/>
          <w:numId w:val="1"/>
        </w:numPr>
        <w:spacing w:after="80" w:line="276" w:lineRule="auto"/>
      </w:pPr>
      <w:r>
        <w:rPr>
          <w:sz w:val="22"/>
          <w:szCs w:val="22"/>
        </w:rPr>
        <w:t>Review what direction, if any, the London session established, and where it left the Asian Range's liquidity levels.</w:t>
      </w:r>
    </w:p>
    <w:p w14:paraId="6EA43FA0">
      <w:pPr>
        <w:pStyle w:val="16"/>
        <w:numPr>
          <w:ilvl w:val="0"/>
          <w:numId w:val="1"/>
        </w:numPr>
        <w:spacing w:after="80" w:line="276" w:lineRule="auto"/>
      </w:pPr>
      <w:r>
        <w:rPr>
          <w:sz w:val="22"/>
          <w:szCs w:val="22"/>
        </w:rPr>
        <w:t>Watch New York's early price action for signs of continuing London's direction versus reversing it.</w:t>
      </w:r>
    </w:p>
    <w:p w14:paraId="768C97C6">
      <w:pPr>
        <w:pStyle w:val="3"/>
        <w:spacing w:before="360" w:after="160"/>
      </w:pPr>
      <w:r>
        <w:rPr>
          <w:b/>
          <w:bCs/>
          <w:color w:val="1B2A4A"/>
          <w:sz w:val="26"/>
          <w:szCs w:val="26"/>
        </w:rPr>
        <w:t>5. Simple Price Example</w:t>
      </w:r>
    </w:p>
    <w:p w14:paraId="25E7F6D2">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London session trended from 100 to 96 (bearish). New York opens and price continues falling to 90.</w:t>
      </w:r>
    </w:p>
    <w:p w14:paraId="4932FB05">
      <w:pPr>
        <w:spacing w:after="160" w:line="288" w:lineRule="auto"/>
      </w:pPr>
      <w:r>
        <w:rPr>
          <w:b w:val="0"/>
          <w:bCs w:val="0"/>
          <w:i w:val="0"/>
          <w:iCs w:val="0"/>
          <w:sz w:val="22"/>
          <w:szCs w:val="22"/>
        </w:rPr>
        <w:t>This is an example of New York session continuation: rather than reversing the bearish move London established, the New York session extends it further in the same direction — one of the two general outcomes ICT-focused sources describe for this session.</w:t>
      </w:r>
    </w:p>
    <w:p w14:paraId="2FD1D0A4">
      <w:pPr>
        <w:pStyle w:val="3"/>
        <w:spacing w:before="360" w:after="160"/>
      </w:pPr>
      <w:r>
        <w:rPr>
          <w:b/>
          <w:bCs/>
          <w:color w:val="1B2A4A"/>
          <w:sz w:val="26"/>
          <w:szCs w:val="26"/>
        </w:rPr>
        <w:t>6. What It Tells the Trader</w:t>
      </w:r>
    </w:p>
    <w:p w14:paraId="45826905">
      <w:pPr>
        <w:spacing w:after="160" w:line="288" w:lineRule="auto"/>
      </w:pPr>
      <w:r>
        <w:rPr>
          <w:b w:val="0"/>
          <w:bCs w:val="0"/>
          <w:i w:val="0"/>
          <w:iCs w:val="0"/>
          <w:sz w:val="22"/>
          <w:szCs w:val="22"/>
        </w:rPr>
        <w:t>The New York session tells the trader whether the prior session's directional story is being confirmed or overturned, and provides the day's highest-volume window for potential displacement, particularly around scheduled economic data releases.</w:t>
      </w:r>
    </w:p>
    <w:p w14:paraId="030E7606">
      <w:pPr>
        <w:spacing w:after="160" w:line="288" w:lineRule="auto"/>
      </w:pPr>
      <w:r>
        <w:rPr>
          <w:b w:val="0"/>
          <w:bCs w:val="0"/>
          <w:i w:val="0"/>
          <w:iCs w:val="0"/>
          <w:sz w:val="22"/>
          <w:szCs w:val="22"/>
        </w:rPr>
        <w:t>It does not tell the trader in advance which of the two outcomes (continuation or reversal) will occur — this must be judged from actual price behavior once the session begins, using the structure and liquidity tools from earlier modules.</w:t>
      </w:r>
    </w:p>
    <w:p w14:paraId="749824CE">
      <w:pPr>
        <w:pStyle w:val="3"/>
        <w:spacing w:before="360" w:after="160"/>
      </w:pPr>
      <w:r>
        <w:rPr>
          <w:b/>
          <w:bCs/>
          <w:color w:val="1B2A4A"/>
          <w:sz w:val="26"/>
          <w:szCs w:val="26"/>
        </w:rPr>
        <w:t>7. What It Is Commonly Paired With</w:t>
      </w:r>
    </w:p>
    <w:p w14:paraId="7C430691">
      <w:pPr>
        <w:pStyle w:val="16"/>
        <w:numPr>
          <w:ilvl w:val="0"/>
          <w:numId w:val="2"/>
        </w:numPr>
        <w:spacing w:after="80" w:line="276" w:lineRule="auto"/>
      </w:pPr>
      <w:r>
        <w:rPr>
          <w:sz w:val="22"/>
          <w:szCs w:val="22"/>
        </w:rPr>
        <w:t>London Session</w:t>
      </w:r>
    </w:p>
    <w:p w14:paraId="21E8AA5C">
      <w:pPr>
        <w:pStyle w:val="16"/>
        <w:numPr>
          <w:ilvl w:val="0"/>
          <w:numId w:val="2"/>
        </w:numPr>
        <w:spacing w:after="80" w:line="276" w:lineRule="auto"/>
      </w:pPr>
      <w:r>
        <w:rPr>
          <w:sz w:val="22"/>
          <w:szCs w:val="22"/>
        </w:rPr>
        <w:t>New York Open Kill Zone</w:t>
      </w:r>
    </w:p>
    <w:p w14:paraId="6A085A00">
      <w:pPr>
        <w:pStyle w:val="16"/>
        <w:numPr>
          <w:ilvl w:val="0"/>
          <w:numId w:val="2"/>
        </w:numPr>
        <w:spacing w:after="80" w:line="276" w:lineRule="auto"/>
      </w:pPr>
      <w:r>
        <w:rPr>
          <w:sz w:val="22"/>
          <w:szCs w:val="22"/>
        </w:rPr>
        <w:t>Power of 3 (Module 9)</w:t>
      </w:r>
    </w:p>
    <w:p w14:paraId="08F76EEE">
      <w:pPr>
        <w:spacing w:after="160" w:line="288" w:lineRule="auto"/>
      </w:pPr>
      <w:r>
        <w:rPr>
          <w:b w:val="0"/>
          <w:bCs w:val="0"/>
          <w:i w:val="0"/>
          <w:iCs w:val="0"/>
          <w:sz w:val="22"/>
          <w:szCs w:val="22"/>
        </w:rPr>
        <w:t>The New York session's behavior is defined specifically in relation to the London session that precedes it, and together the two (plus the Asian session before them) form the full daily cycle formalized in the next module's Power of 3 framework.</w:t>
      </w:r>
    </w:p>
    <w:p w14:paraId="03A44AC9">
      <w:pPr>
        <w:pStyle w:val="3"/>
        <w:spacing w:before="360" w:after="160"/>
      </w:pPr>
      <w:r>
        <w:rPr>
          <w:b/>
          <w:bCs/>
          <w:color w:val="1B2A4A"/>
          <w:sz w:val="26"/>
          <w:szCs w:val="26"/>
        </w:rPr>
        <w:t>8. Where It Fits in the ICT Framework</w:t>
      </w:r>
    </w:p>
    <w:p w14:paraId="568A9127">
      <w:pPr>
        <w:spacing w:after="160" w:line="288" w:lineRule="auto"/>
      </w:pPr>
      <w:r>
        <w:rPr>
          <w:b w:val="0"/>
          <w:bCs w:val="0"/>
          <w:i w:val="0"/>
          <w:iCs w:val="0"/>
          <w:sz w:val="22"/>
          <w:szCs w:val="22"/>
        </w:rPr>
        <w:t>Comes before: Requires London Session and London Open Kill Zone.</w:t>
      </w:r>
    </w:p>
    <w:p w14:paraId="2439116D">
      <w:pPr>
        <w:spacing w:after="160" w:line="288" w:lineRule="auto"/>
      </w:pPr>
      <w:r>
        <w:rPr>
          <w:b w:val="0"/>
          <w:bCs w:val="0"/>
          <w:i w:val="0"/>
          <w:iCs w:val="0"/>
          <w:sz w:val="22"/>
          <w:szCs w:val="22"/>
        </w:rPr>
        <w:t>Comes after: Feeds directly into New York Open Kill Zone and Session-to-Session Relationships.</w:t>
      </w:r>
    </w:p>
    <w:p w14:paraId="10D017A3">
      <w:pPr>
        <w:pStyle w:val="3"/>
        <w:spacing w:before="360" w:after="160"/>
      </w:pPr>
      <w:r>
        <w:rPr>
          <w:b/>
          <w:bCs/>
          <w:color w:val="1B2A4A"/>
          <w:sz w:val="26"/>
          <w:szCs w:val="26"/>
        </w:rPr>
        <w:t>9. Beginner Mistakes</w:t>
      </w:r>
    </w:p>
    <w:p w14:paraId="47AA8F83">
      <w:pPr>
        <w:pStyle w:val="16"/>
        <w:numPr>
          <w:ilvl w:val="0"/>
          <w:numId w:val="2"/>
        </w:numPr>
        <w:spacing w:after="80" w:line="276" w:lineRule="auto"/>
      </w:pPr>
      <w:r>
        <w:rPr>
          <w:sz w:val="22"/>
          <w:szCs w:val="22"/>
        </w:rPr>
        <w:t>Analyzing New York session price action without first reviewing what happened during the Asian and London sessions earlier that day.</w:t>
      </w:r>
    </w:p>
    <w:p w14:paraId="42E65D4D">
      <w:pPr>
        <w:pStyle w:val="16"/>
        <w:numPr>
          <w:ilvl w:val="0"/>
          <w:numId w:val="2"/>
        </w:numPr>
        <w:spacing w:after="80" w:line="276" w:lineRule="auto"/>
      </w:pPr>
      <w:r>
        <w:rPr>
          <w:sz w:val="22"/>
          <w:szCs w:val="22"/>
        </w:rPr>
        <w:t>Assuming New York will always continue London's direction, when reversal is an equally documented, common outcome.</w:t>
      </w:r>
    </w:p>
    <w:p w14:paraId="1401203F">
      <w:pPr>
        <w:pStyle w:val="3"/>
        <w:spacing w:before="360" w:after="160"/>
      </w:pPr>
      <w:r>
        <w:rPr>
          <w:b/>
          <w:bCs/>
          <w:color w:val="1B2A4A"/>
          <w:sz w:val="26"/>
          <w:szCs w:val="26"/>
        </w:rPr>
        <w:t>10. Important Qualification</w:t>
      </w:r>
    </w:p>
    <w:p w14:paraId="28AC3B7D">
      <w:pPr>
        <w:pBdr>
          <w:left w:val="single" w:color="7A2E2E" w:sz="24" w:space="8"/>
        </w:pBdr>
        <w:shd w:val="clear" w:fill="EFEFEF"/>
        <w:spacing w:before="160" w:after="200"/>
        <w:ind w:left="200"/>
      </w:pPr>
      <w:r>
        <w:rPr>
          <w:b/>
          <w:bCs/>
          <w:color w:val="7A2E2E"/>
          <w:sz w:val="21"/>
          <w:szCs w:val="21"/>
        </w:rPr>
        <w:t xml:space="preserve">Qualification: </w:t>
      </w:r>
      <w:r>
        <w:rPr>
          <w:sz w:val="21"/>
          <w:szCs w:val="21"/>
        </w:rPr>
        <w:t>Whether New York continues or reverses London's move cannot be predicted with certainty in advance; ICT-focused sources describe both outcomes as common, with the correct read depending on the specific structural and liquidity evidence present at the time, not on a fixed rule about which session "usually" wins.</w:t>
      </w:r>
    </w:p>
    <w:p w14:paraId="550EB422">
      <w:pPr>
        <w:pStyle w:val="3"/>
        <w:spacing w:before="360" w:after="160"/>
      </w:pPr>
      <w:r>
        <w:rPr>
          <w:b/>
          <w:bCs/>
          <w:color w:val="1B2A4A"/>
          <w:sz w:val="26"/>
          <w:szCs w:val="26"/>
        </w:rPr>
        <w:t>11. Source</w:t>
      </w:r>
    </w:p>
    <w:p w14:paraId="203CD25A"/>
    <w:p w14:paraId="54F1F36A">
      <w:pPr>
        <w:pStyle w:val="16"/>
        <w:numPr>
          <w:ilvl w:val="0"/>
          <w:numId w:val="2"/>
        </w:numPr>
        <w:spacing w:after="80" w:line="276" w:lineRule="auto"/>
      </w:pPr>
      <w:r>
        <w:rPr>
          <w:sz w:val="22"/>
          <w:szCs w:val="22"/>
        </w:rPr>
        <w:t>fxnx.com — "ICT Killzone Clock: Your Local Time, Your Edge."</w:t>
      </w:r>
    </w:p>
    <w:p w14:paraId="23AE8BCE">
      <w:pPr>
        <w:pStyle w:val="16"/>
        <w:numPr>
          <w:ilvl w:val="0"/>
          <w:numId w:val="2"/>
        </w:numPr>
        <w:spacing w:after="80" w:line="276" w:lineRule="auto"/>
      </w:pPr>
      <w:r>
        <w:rPr>
          <w:sz w:val="22"/>
          <w:szCs w:val="22"/>
        </w:rPr>
        <w:t>tradeedge-journal.vercel.app — "ICT Kill Zones Explained" (New York AM volume and economic data context).</w:t>
      </w:r>
    </w:p>
    <w:p w14:paraId="1B9CB535">
      <w:r>
        <w:br w:type="page"/>
      </w:r>
    </w:p>
    <w:p w14:paraId="29F997CF">
      <w:pPr>
        <w:pStyle w:val="2"/>
        <w:pBdr>
          <w:bottom w:val="single" w:color="1B2A4A" w:sz="12" w:space="4"/>
        </w:pBdr>
        <w:spacing w:before="480" w:after="240"/>
      </w:pPr>
      <w:r>
        <w:rPr>
          <w:b/>
          <w:bCs/>
          <w:color w:val="1B2A4A"/>
          <w:sz w:val="34"/>
          <w:szCs w:val="34"/>
        </w:rPr>
        <w:t>New York Open Kill Zone</w:t>
      </w:r>
    </w:p>
    <w:p w14:paraId="1BA88122">
      <w:pPr>
        <w:pStyle w:val="3"/>
        <w:spacing w:before="360" w:after="160"/>
      </w:pPr>
      <w:r>
        <w:rPr>
          <w:b/>
          <w:bCs/>
          <w:color w:val="1B2A4A"/>
          <w:sz w:val="26"/>
          <w:szCs w:val="26"/>
        </w:rPr>
        <w:t>1. Definition</w:t>
      </w:r>
    </w:p>
    <w:p w14:paraId="330BDE58">
      <w:pPr>
        <w:spacing w:after="160" w:line="288" w:lineRule="auto"/>
      </w:pPr>
      <w:r>
        <w:rPr>
          <w:b w:val="0"/>
          <w:bCs w:val="0"/>
          <w:i w:val="0"/>
          <w:iCs w:val="0"/>
          <w:sz w:val="22"/>
          <w:szCs w:val="22"/>
        </w:rPr>
        <w:t>The New York Open Kill Zone is the specific time window, cited across ICT-focused sources with meaningful variation as approximately 7:00–10:00 AM, 8:00–11:00 AM, or 8:30–11:00 AM Eastern Time, during which the overlap of late London activity, major US economic data releases, and the US equity market open combine to produce the day's highest-volume trading conditions.</w:t>
      </w:r>
    </w:p>
    <w:p w14:paraId="0022DF82">
      <w:pPr>
        <w:pStyle w:val="3"/>
        <w:spacing w:before="360" w:after="160"/>
      </w:pPr>
      <w:r>
        <w:rPr>
          <w:b/>
          <w:bCs/>
          <w:color w:val="1B2A4A"/>
          <w:sz w:val="26"/>
          <w:szCs w:val="26"/>
        </w:rPr>
        <w:t>2. ICT's Meaning</w:t>
      </w:r>
    </w:p>
    <w:p w14:paraId="3B1F2E84">
      <w:pPr>
        <w:spacing w:after="160" w:line="288" w:lineRule="auto"/>
      </w:pPr>
      <w:r>
        <w:rPr>
          <w:b w:val="0"/>
          <w:bCs w:val="0"/>
          <w:i w:val="0"/>
          <w:iCs w:val="0"/>
          <w:sz w:val="22"/>
          <w:szCs w:val="22"/>
        </w:rPr>
        <w:t>Sources are consistent in describing this as one of the two most important Kill Zones of the day (alongside the London Open), but disagree meaningfully on its precise start and end times — some anchor it to forex-specific hours (7:00–10:00 AM ET), others to a window bracketing the 8:30 AM ET economic data releases (8:00–11:00 AM or 8:30–11:00 AM ET), and still others to the 9:30 AM ET equity market open specifically. As with the Asian Kill Zone, this book documents this variance explicitly.</w:t>
      </w:r>
    </w:p>
    <w:p w14:paraId="1EB8D9BC">
      <w:pPr>
        <w:spacing w:after="160" w:line="288" w:lineRule="auto"/>
      </w:pPr>
      <w:r>
        <w:rPr>
          <w:b w:val="0"/>
          <w:bCs w:val="0"/>
          <w:i w:val="0"/>
          <w:iCs w:val="0"/>
          <w:sz w:val="22"/>
          <w:szCs w:val="22"/>
        </w:rPr>
        <w:t>A specific, narrower sub-window within this Kill Zone, referenced across several sources by name, is the "Silver Bullet" — commonly cited as 10:00–11:00 AM ET — described as a further-refined setup window within the broader New York Open Kill Zone, though this book does not treat the Silver Bullet as a separately numbered concept, since it falls outside the specific concept list this module is built around.</w:t>
      </w:r>
    </w:p>
    <w:p w14:paraId="5864626C">
      <w:pPr>
        <w:spacing w:after="160" w:line="288" w:lineRule="auto"/>
      </w:pPr>
      <w:r>
        <w:rPr>
          <w:b w:val="0"/>
          <w:bCs w:val="0"/>
          <w:i w:val="0"/>
          <w:iCs w:val="0"/>
          <w:sz w:val="22"/>
          <w:szCs w:val="22"/>
        </w:rPr>
        <w:t>The dominant expected pattern here, according to multiple sources, mirrors the London Open: a liquidity sweep (often of the Asian Range, the London session's high/low, or the prior day's high/low) followed by displacement and a structure shift, frequently coinciding with the 8:30 AM ET economic news release.</w:t>
      </w:r>
    </w:p>
    <w:p w14:paraId="30739F6C">
      <w:pPr>
        <w:pStyle w:val="3"/>
        <w:spacing w:before="360" w:after="160"/>
      </w:pPr>
      <w:r>
        <w:rPr>
          <w:b/>
          <w:bCs/>
          <w:color w:val="1B2A4A"/>
          <w:sz w:val="26"/>
          <w:szCs w:val="26"/>
        </w:rPr>
        <w:t>3. Beginner Explanation</w:t>
      </w:r>
    </w:p>
    <w:p w14:paraId="476785E6">
      <w:pPr>
        <w:spacing w:after="160" w:line="288" w:lineRule="auto"/>
      </w:pPr>
      <w:r>
        <w:rPr>
          <w:b w:val="0"/>
          <w:bCs w:val="0"/>
          <w:i w:val="0"/>
          <w:iCs w:val="0"/>
          <w:sz w:val="22"/>
          <w:szCs w:val="22"/>
        </w:rPr>
        <w:t>The New York Open Kill Zone is the specific stretch of the morning, US Eastern Time, when several major events are all happening close together: European markets are just finishing their day, big US economic reports are coming out, and the US stock market is opening. ICT-focused teaching treats this pile-up of activity as the day's single busiest, most consequential window for price action.</w:t>
      </w:r>
    </w:p>
    <w:p w14:paraId="1214A5CE">
      <w:pPr>
        <w:pStyle w:val="3"/>
        <w:spacing w:before="360" w:after="160"/>
      </w:pPr>
      <w:r>
        <w:rPr>
          <w:b/>
          <w:bCs/>
          <w:color w:val="1B2A4A"/>
          <w:sz w:val="26"/>
          <w:szCs w:val="26"/>
        </w:rPr>
        <w:t>4. How to Identify It</w:t>
      </w:r>
    </w:p>
    <w:p w14:paraId="19F9B0FA">
      <w:pPr>
        <w:pStyle w:val="16"/>
        <w:numPr>
          <w:ilvl w:val="0"/>
          <w:numId w:val="1"/>
        </w:numPr>
        <w:spacing w:after="80" w:line="276" w:lineRule="auto"/>
      </w:pPr>
      <w:r>
        <w:rPr>
          <w:sz w:val="22"/>
          <w:szCs w:val="22"/>
        </w:rPr>
        <w:t>Confirm the current time falls within the New York Open Kill Zone (being aware that different sources cite somewhat different specific boundaries within roughly 7:00 AM–11:00 AM ET).</w:t>
      </w:r>
    </w:p>
    <w:p w14:paraId="7377F624">
      <w:pPr>
        <w:pStyle w:val="16"/>
        <w:numPr>
          <w:ilvl w:val="0"/>
          <w:numId w:val="1"/>
        </w:numPr>
        <w:spacing w:after="80" w:line="276" w:lineRule="auto"/>
      </w:pPr>
      <w:r>
        <w:rPr>
          <w:sz w:val="22"/>
          <w:szCs w:val="22"/>
        </w:rPr>
        <w:t>Note whether a scheduled US economic data release (commonly around 8:30 AM ET) is imminent or has just occurred.</w:t>
      </w:r>
    </w:p>
    <w:p w14:paraId="2FD6772D">
      <w:pPr>
        <w:pStyle w:val="16"/>
        <w:numPr>
          <w:ilvl w:val="0"/>
          <w:numId w:val="1"/>
        </w:numPr>
        <w:spacing w:after="80" w:line="276" w:lineRule="auto"/>
      </w:pPr>
      <w:r>
        <w:rPr>
          <w:sz w:val="22"/>
          <w:szCs w:val="22"/>
        </w:rPr>
        <w:t>Watch for a liquidity sweep of a relevant reference level (the Asian Range, the London high/low, or the prior day's high/low).</w:t>
      </w:r>
    </w:p>
    <w:p w14:paraId="7902D9AB">
      <w:pPr>
        <w:pStyle w:val="16"/>
        <w:numPr>
          <w:ilvl w:val="0"/>
          <w:numId w:val="1"/>
        </w:numPr>
        <w:spacing w:after="80" w:line="276" w:lineRule="auto"/>
      </w:pPr>
      <w:r>
        <w:rPr>
          <w:sz w:val="22"/>
          <w:szCs w:val="22"/>
        </w:rPr>
        <w:t>Confirm this sweep with displacement and a structure shift, as in the London Open Kill Zone sequence.</w:t>
      </w:r>
    </w:p>
    <w:p w14:paraId="5AB71BD7">
      <w:pPr>
        <w:pStyle w:val="3"/>
        <w:spacing w:before="360" w:after="160"/>
      </w:pPr>
      <w:r>
        <w:rPr>
          <w:b/>
          <w:bCs/>
          <w:color w:val="1B2A4A"/>
          <w:sz w:val="26"/>
          <w:szCs w:val="26"/>
        </w:rPr>
        <w:t>5. Simple Price Example</w:t>
      </w:r>
    </w:p>
    <w:p w14:paraId="74AE06A4">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London session high at 108. At 8:30 AM ET, a news release spikes price to 110 (sweeping the London high), then reverses sharply down through 105 with strong displacement.</w:t>
      </w:r>
    </w:p>
    <w:p w14:paraId="6B0181C5">
      <w:pPr>
        <w:spacing w:after="160" w:line="288" w:lineRule="auto"/>
      </w:pPr>
      <w:r>
        <w:rPr>
          <w:b w:val="0"/>
          <w:bCs w:val="0"/>
          <w:i w:val="0"/>
          <w:iCs w:val="0"/>
          <w:sz w:val="22"/>
          <w:szCs w:val="22"/>
        </w:rPr>
        <w:t>This sequence — a news-driven spike sweeping a relevant liquidity level, followed by a sharp reversal — is the pattern ICT-focused sources most commonly associate with the New York Open Kill Zone, directly paralleling the London Open Kill Zone's Judas Swing but keyed to the New York morning's specific liquidity events.</w:t>
      </w:r>
    </w:p>
    <w:p w14:paraId="6B101845">
      <w:pPr>
        <w:pStyle w:val="3"/>
        <w:spacing w:before="360" w:after="160"/>
      </w:pPr>
      <w:r>
        <w:rPr>
          <w:b/>
          <w:bCs/>
          <w:color w:val="1B2A4A"/>
          <w:sz w:val="26"/>
          <w:szCs w:val="26"/>
        </w:rPr>
        <w:t>6. What It Tells the Trader</w:t>
      </w:r>
    </w:p>
    <w:p w14:paraId="2C2B8DE1">
      <w:pPr>
        <w:spacing w:after="160" w:line="288" w:lineRule="auto"/>
      </w:pPr>
      <w:r>
        <w:rPr>
          <w:b w:val="0"/>
          <w:bCs w:val="0"/>
          <w:i w:val="0"/>
          <w:iCs w:val="0"/>
          <w:sz w:val="22"/>
          <w:szCs w:val="22"/>
        </w:rPr>
        <w:t>The New York Open Kill Zone tells the trader when the day's highest-volume, and often highest-volatility, window is expected, and provides a specific, repeatable pattern (news-driven sweep, displacement, structure shift) to watch for within it.</w:t>
      </w:r>
    </w:p>
    <w:p w14:paraId="384BA3B9">
      <w:pPr>
        <w:spacing w:after="160" w:line="288" w:lineRule="auto"/>
      </w:pPr>
      <w:r>
        <w:rPr>
          <w:b w:val="0"/>
          <w:bCs w:val="0"/>
          <w:i w:val="0"/>
          <w:iCs w:val="0"/>
          <w:sz w:val="22"/>
          <w:szCs w:val="22"/>
        </w:rPr>
        <w:t>It does not tell the trader the exact minute this activity will occur, nor does it guarantee the news release itself will produce a clean, tradable sequence rather than simply erratic, directionless volatility.</w:t>
      </w:r>
    </w:p>
    <w:p w14:paraId="503F0E8A">
      <w:pPr>
        <w:pStyle w:val="3"/>
        <w:spacing w:before="360" w:after="160"/>
      </w:pPr>
      <w:r>
        <w:rPr>
          <w:b/>
          <w:bCs/>
          <w:color w:val="1B2A4A"/>
          <w:sz w:val="26"/>
          <w:szCs w:val="26"/>
        </w:rPr>
        <w:t>7. What It Is Commonly Paired With</w:t>
      </w:r>
    </w:p>
    <w:p w14:paraId="7DEFF516">
      <w:pPr>
        <w:pStyle w:val="16"/>
        <w:numPr>
          <w:ilvl w:val="0"/>
          <w:numId w:val="2"/>
        </w:numPr>
        <w:spacing w:after="80" w:line="276" w:lineRule="auto"/>
      </w:pPr>
      <w:r>
        <w:rPr>
          <w:sz w:val="22"/>
          <w:szCs w:val="22"/>
        </w:rPr>
        <w:t>New York Session</w:t>
      </w:r>
    </w:p>
    <w:p w14:paraId="055EB99D">
      <w:pPr>
        <w:pStyle w:val="16"/>
        <w:numPr>
          <w:ilvl w:val="0"/>
          <w:numId w:val="2"/>
        </w:numPr>
        <w:spacing w:after="80" w:line="276" w:lineRule="auto"/>
      </w:pPr>
      <w:r>
        <w:rPr>
          <w:sz w:val="22"/>
          <w:szCs w:val="22"/>
        </w:rPr>
        <w:t>London Session (for continuation/reversal context)</w:t>
      </w:r>
    </w:p>
    <w:p w14:paraId="3F27F3A1">
      <w:pPr>
        <w:pStyle w:val="16"/>
        <w:numPr>
          <w:ilvl w:val="0"/>
          <w:numId w:val="2"/>
        </w:numPr>
        <w:spacing w:after="80" w:line="276" w:lineRule="auto"/>
      </w:pPr>
      <w:r>
        <w:rPr>
          <w:sz w:val="22"/>
          <w:szCs w:val="22"/>
        </w:rPr>
        <w:t>Liquidity Sweep / Displacement / MSS (Modules 3–5)</w:t>
      </w:r>
    </w:p>
    <w:p w14:paraId="33E1360A">
      <w:pPr>
        <w:spacing w:after="160" w:line="288" w:lineRule="auto"/>
      </w:pPr>
      <w:r>
        <w:rPr>
          <w:b w:val="0"/>
          <w:bCs w:val="0"/>
          <w:i w:val="0"/>
          <w:iCs w:val="0"/>
          <w:sz w:val="22"/>
          <w:szCs w:val="22"/>
        </w:rPr>
        <w:t>This Kill Zone reuses the exact same sweep-displacement-structure-shift sequence taught under the London Open Kill Zone, applied to New York's specific liquidity references and news calendar.</w:t>
      </w:r>
    </w:p>
    <w:p w14:paraId="704CB2E5">
      <w:pPr>
        <w:pStyle w:val="3"/>
        <w:spacing w:before="360" w:after="160"/>
      </w:pPr>
      <w:r>
        <w:rPr>
          <w:b/>
          <w:bCs/>
          <w:color w:val="1B2A4A"/>
          <w:sz w:val="26"/>
          <w:szCs w:val="26"/>
        </w:rPr>
        <w:t>8. Where It Fits in the ICT Framework</w:t>
      </w:r>
    </w:p>
    <w:p w14:paraId="363D323F">
      <w:pPr>
        <w:spacing w:after="160" w:line="288" w:lineRule="auto"/>
      </w:pPr>
      <w:r>
        <w:rPr>
          <w:b w:val="0"/>
          <w:bCs w:val="0"/>
          <w:i w:val="0"/>
          <w:iCs w:val="0"/>
          <w:sz w:val="22"/>
          <w:szCs w:val="22"/>
        </w:rPr>
        <w:t>Comes before: Requires New York Session and the same structural/liquidity prerequisites as the London Open Kill Zone.</w:t>
      </w:r>
    </w:p>
    <w:p w14:paraId="4842DEF0">
      <w:pPr>
        <w:spacing w:after="160" w:line="288" w:lineRule="auto"/>
      </w:pPr>
      <w:r>
        <w:rPr>
          <w:b w:val="0"/>
          <w:bCs w:val="0"/>
          <w:i w:val="0"/>
          <w:iCs w:val="0"/>
          <w:sz w:val="22"/>
          <w:szCs w:val="22"/>
        </w:rPr>
        <w:t>Comes after: Concludes the individual-session concepts in this module and feeds into Session-to-Session Relationships.</w:t>
      </w:r>
    </w:p>
    <w:p w14:paraId="4DD10C1D">
      <w:pPr>
        <w:pStyle w:val="3"/>
        <w:spacing w:before="360" w:after="160"/>
      </w:pPr>
      <w:r>
        <w:rPr>
          <w:b/>
          <w:bCs/>
          <w:color w:val="1B2A4A"/>
          <w:sz w:val="26"/>
          <w:szCs w:val="26"/>
        </w:rPr>
        <w:t>9. Beginner Mistakes</w:t>
      </w:r>
    </w:p>
    <w:p w14:paraId="1460760A">
      <w:pPr>
        <w:pStyle w:val="16"/>
        <w:numPr>
          <w:ilvl w:val="0"/>
          <w:numId w:val="2"/>
        </w:numPr>
        <w:spacing w:after="80" w:line="276" w:lineRule="auto"/>
      </w:pPr>
      <w:r>
        <w:rPr>
          <w:sz w:val="22"/>
          <w:szCs w:val="22"/>
        </w:rPr>
        <w:t>Assuming a single, universally agreed exact clock-time definition for this window, rather than recognizing the documented variance across sources.</w:t>
      </w:r>
    </w:p>
    <w:p w14:paraId="19D41D0C">
      <w:pPr>
        <w:pStyle w:val="16"/>
        <w:numPr>
          <w:ilvl w:val="0"/>
          <w:numId w:val="2"/>
        </w:numPr>
        <w:spacing w:after="80" w:line="276" w:lineRule="auto"/>
      </w:pPr>
      <w:r>
        <w:rPr>
          <w:sz w:val="22"/>
          <w:szCs w:val="22"/>
        </w:rPr>
        <w:t>Trading directly into a scheduled economic news release without waiting for the sweep-and-reversal (or genuine breakout) pattern to clarify itself.</w:t>
      </w:r>
    </w:p>
    <w:p w14:paraId="258F33EE">
      <w:pPr>
        <w:pStyle w:val="3"/>
        <w:spacing w:before="360" w:after="160"/>
      </w:pPr>
      <w:r>
        <w:rPr>
          <w:b/>
          <w:bCs/>
          <w:color w:val="1B2A4A"/>
          <w:sz w:val="26"/>
          <w:szCs w:val="26"/>
        </w:rPr>
        <w:t>10. Important Qualification</w:t>
      </w:r>
    </w:p>
    <w:p w14:paraId="7E94AE3E">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As with the Asian and London Close Kill Zones, this book documents a genuine, unresolved variance in exact clock-time boundaries for the New York Open Kill Zone across ICT-focused secondary sources. The underlying pattern (news-adjacent liquidity sweep, displacement, structure shift) is more consistently agreed upon than the precise minute-by-minute window.</w:t>
      </w:r>
    </w:p>
    <w:p w14:paraId="7546EA78">
      <w:pPr>
        <w:pStyle w:val="3"/>
        <w:spacing w:before="360" w:after="160"/>
      </w:pPr>
      <w:r>
        <w:rPr>
          <w:b/>
          <w:bCs/>
          <w:color w:val="1B2A4A"/>
          <w:sz w:val="26"/>
          <w:szCs w:val="26"/>
        </w:rPr>
        <w:t>11. Source</w:t>
      </w:r>
    </w:p>
    <w:p w14:paraId="077793C0"/>
    <w:p w14:paraId="4F87AA41">
      <w:pPr>
        <w:pStyle w:val="16"/>
        <w:numPr>
          <w:ilvl w:val="0"/>
          <w:numId w:val="2"/>
        </w:numPr>
        <w:spacing w:after="80" w:line="276" w:lineRule="auto"/>
      </w:pPr>
      <w:r>
        <w:rPr>
          <w:sz w:val="22"/>
          <w:szCs w:val="22"/>
        </w:rPr>
        <w:t>ictkillzonetimes.com — "What are ICT Killzone Times?" (7:00 AM–10:00 AM EST).</w:t>
      </w:r>
    </w:p>
    <w:p w14:paraId="28A589CF">
      <w:pPr>
        <w:pStyle w:val="16"/>
        <w:numPr>
          <w:ilvl w:val="0"/>
          <w:numId w:val="2"/>
        </w:numPr>
        <w:spacing w:after="80" w:line="276" w:lineRule="auto"/>
      </w:pPr>
      <w:r>
        <w:rPr>
          <w:sz w:val="22"/>
          <w:szCs w:val="22"/>
        </w:rPr>
        <w:t>ictkillzone.com — "ICT Kill Zones: Complete Guide to Trading Sessions" (8:30–11:00 AM EST, Silver Bullet sub-window 10:00–11:00 AM EST).</w:t>
      </w:r>
    </w:p>
    <w:p w14:paraId="30F8766D">
      <w:pPr>
        <w:pStyle w:val="16"/>
        <w:numPr>
          <w:ilvl w:val="0"/>
          <w:numId w:val="2"/>
        </w:numPr>
        <w:spacing w:after="80" w:line="276" w:lineRule="auto"/>
      </w:pPr>
      <w:r>
        <w:rPr>
          <w:sz w:val="22"/>
          <w:szCs w:val="22"/>
        </w:rPr>
        <w:t>liquidityscan.io — "ICT Kill Zones: Definition &amp; Liquidity Mechanics" (8:30 AM EST economic release framing).</w:t>
      </w:r>
    </w:p>
    <w:p w14:paraId="0A82A421">
      <w:pPr>
        <w:pStyle w:val="16"/>
        <w:numPr>
          <w:ilvl w:val="0"/>
          <w:numId w:val="2"/>
        </w:numPr>
        <w:spacing w:after="80" w:line="276" w:lineRule="auto"/>
      </w:pPr>
      <w:r>
        <w:rPr>
          <w:sz w:val="22"/>
          <w:szCs w:val="22"/>
        </w:rPr>
        <w:t>tradeedge-journal.vercel.app — "ICT Kill Zones Explained" (9:30 AM ET cash-open framing, roughly 9:30–11:00 AM ET).</w:t>
      </w:r>
    </w:p>
    <w:p w14:paraId="0CBEB49D">
      <w:r>
        <w:br w:type="page"/>
      </w:r>
    </w:p>
    <w:p w14:paraId="27209CD1">
      <w:pPr>
        <w:pStyle w:val="2"/>
        <w:pBdr>
          <w:bottom w:val="single" w:color="1B2A4A" w:sz="12" w:space="4"/>
        </w:pBdr>
        <w:spacing w:before="480" w:after="240"/>
      </w:pPr>
      <w:r>
        <w:rPr>
          <w:b/>
          <w:bCs/>
          <w:color w:val="1B2A4A"/>
          <w:sz w:val="34"/>
          <w:szCs w:val="34"/>
        </w:rPr>
        <w:t>How to Use Each Session</w:t>
      </w:r>
    </w:p>
    <w:p w14:paraId="0F71C857">
      <w:pPr>
        <w:pStyle w:val="3"/>
        <w:spacing w:before="360" w:after="160"/>
      </w:pPr>
      <w:r>
        <w:rPr>
          <w:b/>
          <w:bCs/>
          <w:color w:val="1B2A4A"/>
          <w:sz w:val="26"/>
          <w:szCs w:val="26"/>
        </w:rPr>
        <w:t>1. Definition</w:t>
      </w:r>
    </w:p>
    <w:p w14:paraId="0B1EF96F">
      <w:pPr>
        <w:spacing w:after="160" w:line="288" w:lineRule="auto"/>
      </w:pPr>
      <w:r>
        <w:rPr>
          <w:b w:val="0"/>
          <w:bCs w:val="0"/>
          <w:i w:val="0"/>
          <w:iCs w:val="0"/>
          <w:sz w:val="22"/>
          <w:szCs w:val="22"/>
        </w:rPr>
        <w:t>This concept consolidates the practical, role-based guidance from the individual session and Kill Zone concepts above into a single applied framework: what a trader should actually do — observe, mark, watch, or act — during each of the four named windows.</w:t>
      </w:r>
    </w:p>
    <w:p w14:paraId="56FBB4F4">
      <w:pPr>
        <w:pStyle w:val="3"/>
        <w:spacing w:before="360" w:after="160"/>
      </w:pPr>
      <w:r>
        <w:rPr>
          <w:b/>
          <w:bCs/>
          <w:color w:val="1B2A4A"/>
          <w:sz w:val="26"/>
          <w:szCs w:val="26"/>
        </w:rPr>
        <w:t>2. ICT's Meaning</w:t>
      </w:r>
    </w:p>
    <w:p w14:paraId="6AC4E49C">
      <w:pPr>
        <w:spacing w:after="160" w:line="288" w:lineRule="auto"/>
      </w:pPr>
      <w:r>
        <w:rPr>
          <w:b w:val="0"/>
          <w:bCs w:val="0"/>
          <w:i w:val="0"/>
          <w:iCs w:val="0"/>
          <w:sz w:val="22"/>
          <w:szCs w:val="22"/>
        </w:rPr>
        <w:t>ICT-focused teaching assigns each session a distinct functional role rather than treating all four as equally suited to the same activity: the Asian session/Kill Zone for range-marking and observation; the London Open Kill Zone for the day's primary directional setup (via the Judas Swing sequence); the London Close Kill Zone for smaller, lower-confidence continuation or corrective setups; and the New York Open Kill Zone for either the day's primary setup (if London's Judas Swing did not clearly resolve) or a continuation/confirmation of what London already established.</w:t>
      </w:r>
    </w:p>
    <w:p w14:paraId="01B58A36">
      <w:pPr>
        <w:spacing w:after="160" w:line="288" w:lineRule="auto"/>
      </w:pPr>
      <w:r>
        <w:rPr>
          <w:b w:val="0"/>
          <w:bCs w:val="0"/>
          <w:i w:val="0"/>
          <w:iCs w:val="0"/>
          <w:sz w:val="22"/>
          <w:szCs w:val="22"/>
        </w:rPr>
        <w:t>A recurring piece of guidance across sources is that a trader does not need to actively trade every session, or even most of them — observing and marking reference levels during quieter windows (Asia, London Close) while reserving actual entries for the highest-probability windows (London Open, New York Open) is described as a more disciplined and sustainable approach than attempting to trade continuously around the clock.</w:t>
      </w:r>
    </w:p>
    <w:p w14:paraId="7B2E8F52">
      <w:pPr>
        <w:pStyle w:val="3"/>
        <w:spacing w:before="360" w:after="160"/>
      </w:pPr>
      <w:r>
        <w:rPr>
          <w:b/>
          <w:bCs/>
          <w:color w:val="1B2A4A"/>
          <w:sz w:val="26"/>
          <w:szCs w:val="26"/>
        </w:rPr>
        <w:t>3. Beginner Explanation</w:t>
      </w:r>
    </w:p>
    <w:p w14:paraId="0E5ACFF0">
      <w:pPr>
        <w:spacing w:after="160" w:line="288" w:lineRule="auto"/>
      </w:pPr>
      <w:r>
        <w:rPr>
          <w:b w:val="0"/>
          <w:bCs w:val="0"/>
          <w:i w:val="0"/>
          <w:iCs w:val="0"/>
          <w:sz w:val="22"/>
          <w:szCs w:val="22"/>
        </w:rPr>
        <w:t>Having learned what each individual session and Kill Zone tends to look like, this concept is simply the practical summary: what should you actually be doing with your attention during each one? The short version, repeated across ICT-focused sources, is watch and mark during the quiet Asian hours, look for the main event during the London open, treat the London close gently, and treat the New York open as either the main event (if London didn't deliver) or the confirmation of what London already did.</w:t>
      </w:r>
    </w:p>
    <w:p w14:paraId="032FAFB3">
      <w:pPr>
        <w:pStyle w:val="3"/>
        <w:spacing w:before="360" w:after="160"/>
      </w:pPr>
      <w:r>
        <w:rPr>
          <w:b/>
          <w:bCs/>
          <w:color w:val="1B2A4A"/>
          <w:sz w:val="26"/>
          <w:szCs w:val="26"/>
        </w:rPr>
        <w:t>4. How to Identify It</w:t>
      </w:r>
    </w:p>
    <w:p w14:paraId="5EE5A4C4">
      <w:pPr>
        <w:pStyle w:val="16"/>
        <w:numPr>
          <w:ilvl w:val="0"/>
          <w:numId w:val="1"/>
        </w:numPr>
        <w:spacing w:after="80" w:line="276" w:lineRule="auto"/>
      </w:pPr>
      <w:r>
        <w:rPr>
          <w:sz w:val="22"/>
          <w:szCs w:val="22"/>
        </w:rPr>
        <w:t>During the Asian session/Kill Zone: mark the range high and low; avoid expecting large directional trades.</w:t>
      </w:r>
    </w:p>
    <w:p w14:paraId="619A7825">
      <w:pPr>
        <w:pStyle w:val="16"/>
        <w:numPr>
          <w:ilvl w:val="0"/>
          <w:numId w:val="1"/>
        </w:numPr>
        <w:spacing w:after="80" w:line="276" w:lineRule="auto"/>
      </w:pPr>
      <w:r>
        <w:rPr>
          <w:sz w:val="22"/>
          <w:szCs w:val="22"/>
        </w:rPr>
        <w:t>During the London Open Kill Zone: watch closely for a Judas Swing sweep of the Asian Range, followed by displacement and a structure shift; this is generally the day's primary setup opportunity.</w:t>
      </w:r>
    </w:p>
    <w:p w14:paraId="2B88C90C">
      <w:pPr>
        <w:pStyle w:val="16"/>
        <w:numPr>
          <w:ilvl w:val="0"/>
          <w:numId w:val="1"/>
        </w:numPr>
        <w:spacing w:after="80" w:line="276" w:lineRule="auto"/>
      </w:pPr>
      <w:r>
        <w:rPr>
          <w:sz w:val="22"/>
          <w:szCs w:val="22"/>
        </w:rPr>
        <w:t>During the London Close Kill Zone: watch for smaller, lower-confidence continuation or corrective setups; size any resulting trades conservatively.</w:t>
      </w:r>
    </w:p>
    <w:p w14:paraId="4CA8DCFE">
      <w:pPr>
        <w:pStyle w:val="16"/>
        <w:numPr>
          <w:ilvl w:val="0"/>
          <w:numId w:val="1"/>
        </w:numPr>
        <w:spacing w:after="80" w:line="276" w:lineRule="auto"/>
      </w:pPr>
      <w:r>
        <w:rPr>
          <w:sz w:val="22"/>
          <w:szCs w:val="22"/>
        </w:rPr>
        <w:t>During the New York Open Kill Zone: assess whether London already delivered a clear directional move; if so, watch for continuation; if not, treat this window as the day's primary setup opportunity instead.</w:t>
      </w:r>
    </w:p>
    <w:p w14:paraId="76AF6FB8">
      <w:pPr>
        <w:pStyle w:val="3"/>
        <w:spacing w:before="360" w:after="160"/>
      </w:pPr>
      <w:r>
        <w:rPr>
          <w:b/>
          <w:bCs/>
          <w:color w:val="1B2A4A"/>
          <w:sz w:val="26"/>
          <w:szCs w:val="26"/>
        </w:rPr>
        <w:t>5. Simple Price Example</w:t>
      </w:r>
    </w:p>
    <w:p w14:paraId="77076845">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Asia: range 100–103 (observed only). London Open: Judas Swing sweeps 103, reverses to 95 with MSS and FVG (primary trade taken here). New York Open: price continues falling to 90 (continuation, smaller add-on trade considered).</w:t>
      </w:r>
    </w:p>
    <w:p w14:paraId="49328320">
      <w:pPr>
        <w:spacing w:after="160" w:line="288" w:lineRule="auto"/>
      </w:pPr>
      <w:r>
        <w:rPr>
          <w:b w:val="0"/>
          <w:bCs w:val="0"/>
          <w:i w:val="0"/>
          <w:iCs w:val="0"/>
          <w:sz w:val="22"/>
          <w:szCs w:val="22"/>
        </w:rPr>
        <w:t>This walk-through illustrates the role-based approach: no trade during Asia, the primary trade during London Open (where the full confirmed sequence appeared), and a smaller continuation consideration during New York Open, rather than treating every session identically.</w:t>
      </w:r>
    </w:p>
    <w:p w14:paraId="7661ADDC">
      <w:pPr>
        <w:pStyle w:val="3"/>
        <w:spacing w:before="360" w:after="160"/>
      </w:pPr>
      <w:r>
        <w:rPr>
          <w:b/>
          <w:bCs/>
          <w:color w:val="1B2A4A"/>
          <w:sz w:val="26"/>
          <w:szCs w:val="26"/>
        </w:rPr>
        <w:t>6. What It Tells the Trader</w:t>
      </w:r>
    </w:p>
    <w:p w14:paraId="18783EB8">
      <w:pPr>
        <w:spacing w:after="160" w:line="288" w:lineRule="auto"/>
      </w:pPr>
      <w:r>
        <w:rPr>
          <w:b w:val="0"/>
          <w:bCs w:val="0"/>
          <w:i w:val="0"/>
          <w:iCs w:val="0"/>
          <w:sz w:val="22"/>
          <w:szCs w:val="22"/>
        </w:rPr>
        <w:t>This concept tells the trader how to allocate attention and risk differently across the trading day, rather than treating every hour as equally worth watching or trading.</w:t>
      </w:r>
    </w:p>
    <w:p w14:paraId="34677782">
      <w:pPr>
        <w:spacing w:after="160" w:line="288" w:lineRule="auto"/>
      </w:pPr>
      <w:r>
        <w:rPr>
          <w:b w:val="0"/>
          <w:bCs w:val="0"/>
          <w:i w:val="0"/>
          <w:iCs w:val="0"/>
          <w:sz w:val="22"/>
          <w:szCs w:val="22"/>
        </w:rPr>
        <w:t>It does not tell the trader that this exact role assignment will play out identically every single day — some days the primary setup occurs at New York Open instead of London Open, particularly when London's session is unusually quiet or indecisive.</w:t>
      </w:r>
    </w:p>
    <w:p w14:paraId="1B61E840">
      <w:pPr>
        <w:pStyle w:val="3"/>
        <w:spacing w:before="360" w:after="160"/>
      </w:pPr>
      <w:r>
        <w:rPr>
          <w:b/>
          <w:bCs/>
          <w:color w:val="1B2A4A"/>
          <w:sz w:val="26"/>
          <w:szCs w:val="26"/>
        </w:rPr>
        <w:t>7. What It Is Commonly Paired With</w:t>
      </w:r>
    </w:p>
    <w:p w14:paraId="6EFABBCB">
      <w:pPr>
        <w:pStyle w:val="16"/>
        <w:numPr>
          <w:ilvl w:val="0"/>
          <w:numId w:val="2"/>
        </w:numPr>
        <w:spacing w:after="80" w:line="276" w:lineRule="auto"/>
      </w:pPr>
      <w:r>
        <w:rPr>
          <w:sz w:val="22"/>
          <w:szCs w:val="22"/>
        </w:rPr>
        <w:t>All prior concepts in this module</w:t>
      </w:r>
    </w:p>
    <w:p w14:paraId="18146636">
      <w:pPr>
        <w:pStyle w:val="16"/>
        <w:numPr>
          <w:ilvl w:val="0"/>
          <w:numId w:val="2"/>
        </w:numPr>
        <w:spacing w:after="80" w:line="276" w:lineRule="auto"/>
      </w:pPr>
      <w:r>
        <w:rPr>
          <w:sz w:val="22"/>
          <w:szCs w:val="22"/>
        </w:rPr>
        <w:t>Power of 3 (Module 9)</w:t>
      </w:r>
    </w:p>
    <w:p w14:paraId="59640233">
      <w:pPr>
        <w:pStyle w:val="16"/>
        <w:numPr>
          <w:ilvl w:val="0"/>
          <w:numId w:val="2"/>
        </w:numPr>
        <w:spacing w:after="80" w:line="276" w:lineRule="auto"/>
      </w:pPr>
      <w:r>
        <w:rPr>
          <w:sz w:val="22"/>
          <w:szCs w:val="22"/>
        </w:rPr>
        <w:t>Daily Bias (Module 10)</w:t>
      </w:r>
    </w:p>
    <w:p w14:paraId="2F02FB08">
      <w:pPr>
        <w:spacing w:after="160" w:line="288" w:lineRule="auto"/>
      </w:pPr>
      <w:r>
        <w:rPr>
          <w:b w:val="0"/>
          <w:bCs w:val="0"/>
          <w:i w:val="0"/>
          <w:iCs w:val="0"/>
          <w:sz w:val="22"/>
          <w:szCs w:val="22"/>
        </w:rPr>
        <w:t>This concept is the direct organizing bridge between the individual session descriptions in this module and the full daily routine formalized in Modules 9 (Power of 3) and 13 (Daily Trading &amp; Scalping).</w:t>
      </w:r>
    </w:p>
    <w:p w14:paraId="5FDAF6E4">
      <w:pPr>
        <w:pStyle w:val="3"/>
        <w:spacing w:before="360" w:after="160"/>
      </w:pPr>
      <w:r>
        <w:rPr>
          <w:b/>
          <w:bCs/>
          <w:color w:val="1B2A4A"/>
          <w:sz w:val="26"/>
          <w:szCs w:val="26"/>
        </w:rPr>
        <w:t>8. Where It Fits in the ICT Framework</w:t>
      </w:r>
    </w:p>
    <w:p w14:paraId="0A8EA7DC">
      <w:pPr>
        <w:spacing w:after="160" w:line="288" w:lineRule="auto"/>
      </w:pPr>
      <w:r>
        <w:rPr>
          <w:b w:val="0"/>
          <w:bCs w:val="0"/>
          <w:i w:val="0"/>
          <w:iCs w:val="0"/>
          <w:sz w:val="22"/>
          <w:szCs w:val="22"/>
        </w:rPr>
        <w:t>Comes before: Requires all preceding concepts in this module.</w:t>
      </w:r>
    </w:p>
    <w:p w14:paraId="6E12799C">
      <w:pPr>
        <w:spacing w:after="160" w:line="288" w:lineRule="auto"/>
      </w:pPr>
      <w:r>
        <w:rPr>
          <w:b w:val="0"/>
          <w:bCs w:val="0"/>
          <w:i w:val="0"/>
          <w:iCs w:val="0"/>
          <w:sz w:val="22"/>
          <w:szCs w:val="22"/>
        </w:rPr>
        <w:t>Comes after: Feeds directly into Session-to-Session Relationships and into Module 9's Power of 3 framework.</w:t>
      </w:r>
    </w:p>
    <w:p w14:paraId="5D3686E6">
      <w:pPr>
        <w:pStyle w:val="3"/>
        <w:spacing w:before="360" w:after="160"/>
      </w:pPr>
      <w:r>
        <w:rPr>
          <w:b/>
          <w:bCs/>
          <w:color w:val="1B2A4A"/>
          <w:sz w:val="26"/>
          <w:szCs w:val="26"/>
        </w:rPr>
        <w:t>9. Beginner Mistakes</w:t>
      </w:r>
    </w:p>
    <w:p w14:paraId="2FF46F0D">
      <w:pPr>
        <w:pStyle w:val="16"/>
        <w:numPr>
          <w:ilvl w:val="0"/>
          <w:numId w:val="2"/>
        </w:numPr>
        <w:spacing w:after="80" w:line="276" w:lineRule="auto"/>
      </w:pPr>
      <w:r>
        <w:rPr>
          <w:sz w:val="22"/>
          <w:szCs w:val="22"/>
        </w:rPr>
        <w:t>Attempting to trade actively during every single session, leading to overtrading and fatigue.</w:t>
      </w:r>
    </w:p>
    <w:p w14:paraId="3EE9BD62">
      <w:pPr>
        <w:pStyle w:val="16"/>
        <w:numPr>
          <w:ilvl w:val="0"/>
          <w:numId w:val="2"/>
        </w:numPr>
        <w:spacing w:after="80" w:line="276" w:lineRule="auto"/>
      </w:pPr>
      <w:r>
        <w:rPr>
          <w:sz w:val="22"/>
          <w:szCs w:val="22"/>
        </w:rPr>
        <w:t>Rigidly assuming the primary setup will always occur at the same session (usually London Open) regardless of that day's actual price behavior.</w:t>
      </w:r>
    </w:p>
    <w:p w14:paraId="071AEF45">
      <w:pPr>
        <w:pStyle w:val="3"/>
        <w:spacing w:before="360" w:after="160"/>
      </w:pPr>
      <w:r>
        <w:rPr>
          <w:b/>
          <w:bCs/>
          <w:color w:val="1B2A4A"/>
          <w:sz w:val="26"/>
          <w:szCs w:val="26"/>
        </w:rPr>
        <w:t>10. Important Qualification</w:t>
      </w:r>
    </w:p>
    <w:p w14:paraId="0F188BEB">
      <w:pPr>
        <w:pBdr>
          <w:left w:val="single" w:color="7A2E2E" w:sz="24" w:space="8"/>
        </w:pBdr>
        <w:shd w:val="clear" w:fill="EFEFEF"/>
        <w:spacing w:before="160" w:after="200"/>
        <w:ind w:left="200"/>
      </w:pPr>
      <w:r>
        <w:rPr>
          <w:b/>
          <w:bCs/>
          <w:color w:val="7A2E2E"/>
          <w:sz w:val="21"/>
          <w:szCs w:val="21"/>
        </w:rPr>
        <w:t xml:space="preserve">Qualification: </w:t>
      </w:r>
      <w:r>
        <w:rPr>
          <w:sz w:val="21"/>
          <w:szCs w:val="21"/>
        </w:rPr>
        <w:t>This role-based framework is a general guideline for allocating attention, not a rule that guarantees a tradable setup will appear in any specific window on any specific day. Some days offer no clean setup in any session, and disciplined inaction is treated across ICT-focused sources as a legitimate, expected outcome.</w:t>
      </w:r>
    </w:p>
    <w:p w14:paraId="0F2703BC">
      <w:pPr>
        <w:pStyle w:val="3"/>
        <w:spacing w:before="360" w:after="160"/>
      </w:pPr>
      <w:r>
        <w:rPr>
          <w:b/>
          <w:bCs/>
          <w:color w:val="1B2A4A"/>
          <w:sz w:val="26"/>
          <w:szCs w:val="26"/>
        </w:rPr>
        <w:t>11. Source</w:t>
      </w:r>
    </w:p>
    <w:p w14:paraId="51FE0951"/>
    <w:p w14:paraId="08776AE3">
      <w:pPr>
        <w:pStyle w:val="16"/>
        <w:numPr>
          <w:ilvl w:val="0"/>
          <w:numId w:val="2"/>
        </w:numPr>
        <w:spacing w:after="80" w:line="276" w:lineRule="auto"/>
      </w:pPr>
      <w:r>
        <w:rPr>
          <w:sz w:val="22"/>
          <w:szCs w:val="22"/>
        </w:rPr>
        <w:t>ictkillzone.com — "ICT Kill Zones: Complete Guide to Trading Sessions" ("if you miss the primary kill zone entry... wait for the next session's kill zone rather than chasing the move").</w:t>
      </w:r>
    </w:p>
    <w:p w14:paraId="3FB45487">
      <w:pPr>
        <w:pStyle w:val="16"/>
        <w:numPr>
          <w:ilvl w:val="0"/>
          <w:numId w:val="2"/>
        </w:numPr>
        <w:spacing w:after="80" w:line="276" w:lineRule="auto"/>
      </w:pPr>
      <w:r>
        <w:rPr>
          <w:sz w:val="22"/>
          <w:szCs w:val="22"/>
        </w:rPr>
        <w:t>completetradersedge.com — "ICT Kill Zones: How to Trade the Highest-Probability Market Hours" ("You do not need to trade during the Asian session to use it").</w:t>
      </w:r>
    </w:p>
    <w:p w14:paraId="3F61CD1A">
      <w:r>
        <w:br w:type="page"/>
      </w:r>
    </w:p>
    <w:p w14:paraId="2BF3C1C2">
      <w:pPr>
        <w:pStyle w:val="2"/>
        <w:pBdr>
          <w:bottom w:val="single" w:color="1B2A4A" w:sz="12" w:space="4"/>
        </w:pBdr>
        <w:spacing w:before="480" w:after="240"/>
      </w:pPr>
      <w:r>
        <w:rPr>
          <w:b/>
          <w:bCs/>
          <w:color w:val="1B2A4A"/>
          <w:sz w:val="34"/>
          <w:szCs w:val="34"/>
        </w:rPr>
        <w:t>Session-to-Session Relationships</w:t>
      </w:r>
    </w:p>
    <w:p w14:paraId="7C8B1761">
      <w:pPr>
        <w:pStyle w:val="3"/>
        <w:spacing w:before="360" w:after="160"/>
      </w:pPr>
      <w:r>
        <w:rPr>
          <w:b/>
          <w:bCs/>
          <w:color w:val="1B2A4A"/>
          <w:sz w:val="26"/>
          <w:szCs w:val="26"/>
        </w:rPr>
        <w:t>1. Definition</w:t>
      </w:r>
    </w:p>
    <w:p w14:paraId="542E47FB">
      <w:pPr>
        <w:spacing w:after="160" w:line="288" w:lineRule="auto"/>
      </w:pPr>
      <w:r>
        <w:rPr>
          <w:b w:val="0"/>
          <w:bCs w:val="0"/>
          <w:i w:val="0"/>
          <w:iCs w:val="0"/>
          <w:sz w:val="22"/>
          <w:szCs w:val="22"/>
        </w:rPr>
        <w:t>Session-to-session relationships describe the dependency chain ICT-focused teaching identifies running through the trading day: the Asian session builds a range, the London session acts on that range (typically via a Judas Swing), and the New York session either continues or reverses whatever direction London established — each session's behavior is read in light of what the prior session already did, not in isolation.</w:t>
      </w:r>
    </w:p>
    <w:p w14:paraId="78E58F6A">
      <w:pPr>
        <w:pStyle w:val="3"/>
        <w:spacing w:before="360" w:after="160"/>
      </w:pPr>
      <w:r>
        <w:rPr>
          <w:b/>
          <w:bCs/>
          <w:color w:val="1B2A4A"/>
          <w:sz w:val="26"/>
          <w:szCs w:val="26"/>
        </w:rPr>
        <w:t>2. ICT's Meaning</w:t>
      </w:r>
    </w:p>
    <w:p w14:paraId="58BF8295">
      <w:pPr>
        <w:spacing w:after="160" w:line="288" w:lineRule="auto"/>
      </w:pPr>
      <w:r>
        <w:rPr>
          <w:b w:val="0"/>
          <w:bCs w:val="0"/>
          <w:i w:val="0"/>
          <w:iCs w:val="0"/>
          <w:sz w:val="22"/>
          <w:szCs w:val="22"/>
        </w:rPr>
        <w:t>This concept is the explicit statement of a theme implicit throughout this entire module: sources consistently frame the correct analytical question during any given session as being about the prior session's behavior, not just the current session's price action in isolation. One source phrases this directly as: the relevant question is rarely "what is price doing now," but "what did the earlier session build, and what has the current session already done to it?"</w:t>
      </w:r>
    </w:p>
    <w:p w14:paraId="0AE4B2EC">
      <w:pPr>
        <w:spacing w:after="160" w:line="288" w:lineRule="auto"/>
      </w:pPr>
      <w:r>
        <w:rPr>
          <w:b w:val="0"/>
          <w:bCs w:val="0"/>
          <w:i w:val="0"/>
          <w:iCs w:val="0"/>
          <w:sz w:val="22"/>
          <w:szCs w:val="22"/>
        </w:rPr>
        <w:t>This chain of dependency is described as the daily-cycle version of a fractal pattern that recurs at other scales within ICT-focused teaching (for example, the same accumulation-then-manipulation-then-distribution logic that Module 9's Power of 3 formalizes as a repeatable template, and that some sources describe as applying at the weekly level as well as the daily level).</w:t>
      </w:r>
    </w:p>
    <w:p w14:paraId="4ACF70A5">
      <w:pPr>
        <w:pStyle w:val="3"/>
        <w:spacing w:before="360" w:after="160"/>
      </w:pPr>
      <w:r>
        <w:rPr>
          <w:b/>
          <w:bCs/>
          <w:color w:val="1B2A4A"/>
          <w:sz w:val="26"/>
          <w:szCs w:val="26"/>
        </w:rPr>
        <w:t>3. Beginner Explanation</w:t>
      </w:r>
    </w:p>
    <w:p w14:paraId="4D0172AE">
      <w:pPr>
        <w:spacing w:after="160" w:line="288" w:lineRule="auto"/>
      </w:pPr>
      <w:r>
        <w:rPr>
          <w:b w:val="0"/>
          <w:bCs w:val="0"/>
          <w:i w:val="0"/>
          <w:iCs w:val="0"/>
          <w:sz w:val="22"/>
          <w:szCs w:val="22"/>
        </w:rPr>
        <w:t>No single session exists in a vacuum. What Asia does sets the stage for London's opening move; what London does (especially whether it delivers a clean Judas Swing or not) sets the stage for how the New York session is likely to be read. Understanding today's price action, under this framework, means understanding the whole day's story so far — not just glancing at the current five minutes of the chart.</w:t>
      </w:r>
    </w:p>
    <w:p w14:paraId="4CEE023E">
      <w:pPr>
        <w:pStyle w:val="3"/>
        <w:spacing w:before="360" w:after="160"/>
      </w:pPr>
      <w:r>
        <w:rPr>
          <w:b/>
          <w:bCs/>
          <w:color w:val="1B2A4A"/>
          <w:sz w:val="26"/>
          <w:szCs w:val="26"/>
        </w:rPr>
        <w:t>4. How to Identify It</w:t>
      </w:r>
    </w:p>
    <w:p w14:paraId="16361D7B">
      <w:pPr>
        <w:pStyle w:val="16"/>
        <w:numPr>
          <w:ilvl w:val="0"/>
          <w:numId w:val="1"/>
        </w:numPr>
        <w:spacing w:after="80" w:line="276" w:lineRule="auto"/>
      </w:pPr>
      <w:r>
        <w:rPr>
          <w:sz w:val="22"/>
          <w:szCs w:val="22"/>
        </w:rPr>
        <w:t>Before analyzing any session's price action, review what the immediately preceding session(s) established — specifically their range, any liquidity swept, and any resulting displacement or structure shift.</w:t>
      </w:r>
    </w:p>
    <w:p w14:paraId="5168E827">
      <w:pPr>
        <w:pStyle w:val="16"/>
        <w:numPr>
          <w:ilvl w:val="0"/>
          <w:numId w:val="1"/>
        </w:numPr>
        <w:spacing w:after="80" w:line="276" w:lineRule="auto"/>
      </w:pPr>
      <w:r>
        <w:rPr>
          <w:sz w:val="22"/>
          <w:szCs w:val="22"/>
        </w:rPr>
        <w:t>Frame the current session's price action explicitly in relation to that prior context (continuation, reversal, or as-yet-undetermined).</w:t>
      </w:r>
    </w:p>
    <w:p w14:paraId="5C904309">
      <w:pPr>
        <w:pStyle w:val="16"/>
        <w:numPr>
          <w:ilvl w:val="0"/>
          <w:numId w:val="1"/>
        </w:numPr>
        <w:spacing w:after="80" w:line="276" w:lineRule="auto"/>
      </w:pPr>
      <w:r>
        <w:rPr>
          <w:sz w:val="22"/>
          <w:szCs w:val="22"/>
        </w:rPr>
        <w:t>Update this running narrative as each new session unfolds, rather than treating each session as a fresh, unconnected start.</w:t>
      </w:r>
    </w:p>
    <w:p w14:paraId="1F2D02EB">
      <w:pPr>
        <w:pStyle w:val="3"/>
        <w:spacing w:before="360" w:after="160"/>
      </w:pPr>
      <w:r>
        <w:rPr>
          <w:b/>
          <w:bCs/>
          <w:color w:val="1B2A4A"/>
          <w:sz w:val="26"/>
          <w:szCs w:val="26"/>
        </w:rPr>
        <w:t>5. Simple Price Example</w:t>
      </w:r>
    </w:p>
    <w:p w14:paraId="5797AB32">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Asia: range 100–103. London: sweeps 103, reverses to 95 (bearish MSS, FVG left at 97–99). New York: opens near 95, sweeps down to 93 (taking out a minor prior low), then reverses back up through 99 and continues to 108.</w:t>
      </w:r>
    </w:p>
    <w:p w14:paraId="2A089E50">
      <w:pPr>
        <w:spacing w:after="160" w:line="288" w:lineRule="auto"/>
      </w:pPr>
      <w:r>
        <w:rPr>
          <w:b w:val="0"/>
          <w:bCs w:val="0"/>
          <w:i w:val="0"/>
          <w:iCs w:val="0"/>
          <w:sz w:val="22"/>
          <w:szCs w:val="22"/>
        </w:rPr>
        <w:t>Read in isolation, the New York session's initial dip to 93 might look like simple bearish continuation. Read in the context of the full day's narrative — Asia built a range, London already delivered its bearish Judas Swing and structure shift — the New York dip to 93 is more plausibly interpreted as a final liquidity grab before a larger reversal back to the day's actual bullish resolution at 108, a conclusion only available by tracing the full session-to-session chain rather than viewing New York's price action alone.</w:t>
      </w:r>
    </w:p>
    <w:p w14:paraId="34110540">
      <w:pPr>
        <w:pStyle w:val="3"/>
        <w:spacing w:before="360" w:after="160"/>
      </w:pPr>
      <w:r>
        <w:rPr>
          <w:b/>
          <w:bCs/>
          <w:color w:val="1B2A4A"/>
          <w:sz w:val="26"/>
          <w:szCs w:val="26"/>
        </w:rPr>
        <w:t>6. What It Tells the Trader</w:t>
      </w:r>
    </w:p>
    <w:p w14:paraId="65C1D803">
      <w:pPr>
        <w:spacing w:after="160" w:line="288" w:lineRule="auto"/>
      </w:pPr>
      <w:r>
        <w:rPr>
          <w:b w:val="0"/>
          <w:bCs w:val="0"/>
          <w:i w:val="0"/>
          <w:iCs w:val="0"/>
          <w:sz w:val="22"/>
          <w:szCs w:val="22"/>
        </w:rPr>
        <w:t>Session-to-session relationships tell the trader to maintain a continuously updated narrative across the trading day, rather than resetting their analysis from scratch at the start of every new session.</w:t>
      </w:r>
    </w:p>
    <w:p w14:paraId="2103A9D8">
      <w:pPr>
        <w:spacing w:after="160" w:line="288" w:lineRule="auto"/>
      </w:pPr>
      <w:r>
        <w:rPr>
          <w:b w:val="0"/>
          <w:bCs w:val="0"/>
          <w:i w:val="0"/>
          <w:iCs w:val="0"/>
          <w:sz w:val="22"/>
          <w:szCs w:val="22"/>
        </w:rPr>
        <w:t>It does not tell the trader that this narrative is ever fully certain in real time — each session's true role in the day's story (setup, confirmation, or reversal) is often only clear in hindsight, once the full day has played out.</w:t>
      </w:r>
    </w:p>
    <w:p w14:paraId="6CF89CEA">
      <w:pPr>
        <w:pStyle w:val="3"/>
        <w:spacing w:before="360" w:after="160"/>
      </w:pPr>
      <w:r>
        <w:rPr>
          <w:b/>
          <w:bCs/>
          <w:color w:val="1B2A4A"/>
          <w:sz w:val="26"/>
          <w:szCs w:val="26"/>
        </w:rPr>
        <w:t>7. What It Is Commonly Paired With</w:t>
      </w:r>
    </w:p>
    <w:p w14:paraId="49CDA75D">
      <w:pPr>
        <w:pStyle w:val="16"/>
        <w:numPr>
          <w:ilvl w:val="0"/>
          <w:numId w:val="2"/>
        </w:numPr>
        <w:spacing w:after="80" w:line="276" w:lineRule="auto"/>
      </w:pPr>
      <w:r>
        <w:rPr>
          <w:sz w:val="22"/>
          <w:szCs w:val="22"/>
        </w:rPr>
        <w:t>All session and Kill Zone concepts in this module</w:t>
      </w:r>
    </w:p>
    <w:p w14:paraId="3B8DA8C2">
      <w:pPr>
        <w:pStyle w:val="16"/>
        <w:numPr>
          <w:ilvl w:val="0"/>
          <w:numId w:val="2"/>
        </w:numPr>
        <w:spacing w:after="80" w:line="276" w:lineRule="auto"/>
      </w:pPr>
      <w:r>
        <w:rPr>
          <w:sz w:val="22"/>
          <w:szCs w:val="22"/>
        </w:rPr>
        <w:t>Power of 3 (Module 9)</w:t>
      </w:r>
    </w:p>
    <w:p w14:paraId="760462A1">
      <w:pPr>
        <w:pStyle w:val="16"/>
        <w:numPr>
          <w:ilvl w:val="0"/>
          <w:numId w:val="2"/>
        </w:numPr>
        <w:spacing w:after="80" w:line="276" w:lineRule="auto"/>
      </w:pPr>
      <w:r>
        <w:rPr>
          <w:sz w:val="22"/>
          <w:szCs w:val="22"/>
        </w:rPr>
        <w:t>Daily Bias (Module 10)</w:t>
      </w:r>
    </w:p>
    <w:p w14:paraId="15382B7D">
      <w:pPr>
        <w:spacing w:after="160" w:line="288" w:lineRule="auto"/>
      </w:pPr>
      <w:r>
        <w:rPr>
          <w:b w:val="0"/>
          <w:bCs w:val="0"/>
          <w:i w:val="0"/>
          <w:iCs w:val="0"/>
          <w:sz w:val="22"/>
          <w:szCs w:val="22"/>
        </w:rPr>
        <w:t>This concept is the connective thread running through the entire module, and it is the direct conceptual foundation for the Power of 3 framework and the Daily Bias process covered in the two modules that follow.</w:t>
      </w:r>
    </w:p>
    <w:p w14:paraId="4B289C6C">
      <w:pPr>
        <w:pStyle w:val="3"/>
        <w:spacing w:before="360" w:after="160"/>
      </w:pPr>
      <w:r>
        <w:rPr>
          <w:b/>
          <w:bCs/>
          <w:color w:val="1B2A4A"/>
          <w:sz w:val="26"/>
          <w:szCs w:val="26"/>
        </w:rPr>
        <w:t>8. Where It Fits in the ICT Framework</w:t>
      </w:r>
    </w:p>
    <w:p w14:paraId="1044EC52">
      <w:pPr>
        <w:spacing w:after="160" w:line="288" w:lineRule="auto"/>
      </w:pPr>
      <w:r>
        <w:rPr>
          <w:b w:val="0"/>
          <w:bCs w:val="0"/>
          <w:i w:val="0"/>
          <w:iCs w:val="0"/>
          <w:sz w:val="22"/>
          <w:szCs w:val="22"/>
        </w:rPr>
        <w:t>Comes before: Requires all preceding concepts in this module.</w:t>
      </w:r>
    </w:p>
    <w:p w14:paraId="56D72FA2">
      <w:pPr>
        <w:spacing w:after="160" w:line="288" w:lineRule="auto"/>
      </w:pPr>
      <w:r>
        <w:rPr>
          <w:b w:val="0"/>
          <w:bCs w:val="0"/>
          <w:i w:val="0"/>
          <w:iCs w:val="0"/>
          <w:sz w:val="22"/>
          <w:szCs w:val="22"/>
        </w:rPr>
        <w:t>Comes after: Concludes Module 8 and feeds directly into Module 9 (Power of 3), which formalizes this session-to-session narrative into a named, repeatable three-phase daily template.</w:t>
      </w:r>
    </w:p>
    <w:p w14:paraId="5DAB2A04">
      <w:pPr>
        <w:pStyle w:val="3"/>
        <w:spacing w:before="360" w:after="160"/>
      </w:pPr>
      <w:r>
        <w:rPr>
          <w:b/>
          <w:bCs/>
          <w:color w:val="1B2A4A"/>
          <w:sz w:val="26"/>
          <w:szCs w:val="26"/>
        </w:rPr>
        <w:t>9. Beginner Mistakes</w:t>
      </w:r>
    </w:p>
    <w:p w14:paraId="0B13C6B2">
      <w:pPr>
        <w:pStyle w:val="16"/>
        <w:numPr>
          <w:ilvl w:val="0"/>
          <w:numId w:val="2"/>
        </w:numPr>
        <w:spacing w:after="80" w:line="276" w:lineRule="auto"/>
      </w:pPr>
      <w:r>
        <w:rPr>
          <w:sz w:val="22"/>
          <w:szCs w:val="22"/>
        </w:rPr>
        <w:t>Analyzing each new session's price action as though the day were starting fresh, ignoring what earlier sessions already established.</w:t>
      </w:r>
    </w:p>
    <w:p w14:paraId="06D04BD8">
      <w:pPr>
        <w:pStyle w:val="16"/>
        <w:numPr>
          <w:ilvl w:val="0"/>
          <w:numId w:val="2"/>
        </w:numPr>
        <w:spacing w:after="80" w:line="276" w:lineRule="auto"/>
      </w:pPr>
      <w:r>
        <w:rPr>
          <w:sz w:val="22"/>
          <w:szCs w:val="22"/>
        </w:rPr>
        <w:t>Assuming the day's narrative is fully settled the moment one session delivers a clear move, rather than remaining open to a later session reversing that narrative.</w:t>
      </w:r>
    </w:p>
    <w:p w14:paraId="0BA12C5A">
      <w:pPr>
        <w:pStyle w:val="3"/>
        <w:spacing w:before="360" w:after="160"/>
      </w:pPr>
      <w:r>
        <w:rPr>
          <w:b/>
          <w:bCs/>
          <w:color w:val="1B2A4A"/>
          <w:sz w:val="26"/>
          <w:szCs w:val="26"/>
        </w:rPr>
        <w:t>10. Important Qualification</w:t>
      </w:r>
    </w:p>
    <w:p w14:paraId="03EA6AE3">
      <w:pPr>
        <w:pBdr>
          <w:left w:val="single" w:color="7A2E2E" w:sz="24" w:space="8"/>
        </w:pBdr>
        <w:shd w:val="clear" w:fill="EFEFEF"/>
        <w:spacing w:before="160" w:after="200"/>
        <w:ind w:left="200"/>
      </w:pPr>
      <w:r>
        <w:rPr>
          <w:b/>
          <w:bCs/>
          <w:color w:val="7A2E2E"/>
          <w:sz w:val="21"/>
          <w:szCs w:val="21"/>
        </w:rPr>
        <w:t xml:space="preserve">Qualification: </w:t>
      </w:r>
      <w:r>
        <w:rPr>
          <w:sz w:val="21"/>
          <w:szCs w:val="21"/>
        </w:rPr>
        <w:t>This narrative-tracing approach improves the context available for reading a given session's price action, but does not make the sequence of sessions predictable in advance. Each day's specific chain of events must be read from that day's actual price action, not assumed from a fixed template applied mechanically.</w:t>
      </w:r>
    </w:p>
    <w:p w14:paraId="359753F4">
      <w:pPr>
        <w:pStyle w:val="3"/>
        <w:spacing w:before="360" w:after="160"/>
      </w:pPr>
      <w:r>
        <w:rPr>
          <w:b/>
          <w:bCs/>
          <w:color w:val="1B2A4A"/>
          <w:sz w:val="26"/>
          <w:szCs w:val="26"/>
        </w:rPr>
        <w:t>11. Source</w:t>
      </w:r>
    </w:p>
    <w:p w14:paraId="536767D4"/>
    <w:p w14:paraId="2BA4FA0B">
      <w:pPr>
        <w:pStyle w:val="16"/>
        <w:numPr>
          <w:ilvl w:val="0"/>
          <w:numId w:val="2"/>
        </w:numPr>
        <w:spacing w:after="80" w:line="276" w:lineRule="auto"/>
      </w:pPr>
      <w:r>
        <w:rPr>
          <w:sz w:val="22"/>
          <w:szCs w:val="22"/>
        </w:rPr>
        <w:t>fxnx.com — "ICT Killzone Clock: Your Local Time, Your Edge" ("the relevant question is rarely 'what is price doing now,' but 'what did Asia build, and what did London already do to it?'").</w:t>
      </w:r>
    </w:p>
    <w:p w14:paraId="4BBA05B9">
      <w:pPr>
        <w:pStyle w:val="16"/>
        <w:numPr>
          <w:ilvl w:val="0"/>
          <w:numId w:val="2"/>
        </w:numPr>
        <w:spacing w:after="80" w:line="276" w:lineRule="auto"/>
      </w:pPr>
      <w:r>
        <w:rPr>
          <w:sz w:val="22"/>
          <w:szCs w:val="22"/>
        </w:rPr>
        <w:t>liquidityscan.io — "ICT Kill Zones Complete Guide: A Pro Trader's Framework" (session-to-session AMD fractal framing, previewed for Module 9).</w:t>
      </w:r>
    </w:p>
    <w:p w14:paraId="58283195">
      <w:r>
        <w:br w:type="page"/>
      </w:r>
    </w:p>
    <w:p w14:paraId="368A0BCF">
      <w:pPr>
        <w:pStyle w:val="2"/>
        <w:pBdr>
          <w:bottom w:val="single" w:color="1B2A4A" w:sz="12" w:space="4"/>
        </w:pBdr>
        <w:spacing w:before="480" w:after="240"/>
      </w:pPr>
      <w:r>
        <w:rPr>
          <w:b/>
          <w:bCs/>
          <w:color w:val="1B2A4A"/>
          <w:sz w:val="34"/>
          <w:szCs w:val="34"/>
        </w:rPr>
        <w:t>How These Concepts Connect</w:t>
      </w:r>
    </w:p>
    <w:p w14:paraId="523088F7">
      <w:pPr>
        <w:spacing w:after="160" w:line="288" w:lineRule="auto"/>
      </w:pPr>
      <w:r>
        <w:rPr>
          <w:b w:val="0"/>
          <w:bCs w:val="0"/>
          <w:i w:val="0"/>
          <w:iCs w:val="0"/>
          <w:sz w:val="22"/>
          <w:szCs w:val="22"/>
        </w:rPr>
        <w:t>This module follows the literal chronology of a trading day. Time and Price Theory is the foundational justification for treating time as a meaningful variable at all. Asian Session, Asian Range, and Asian Kill Zone describe the day's opening chapter: a period of consolidation that leaves behind two specific, markable reference levels. London Session, London Open Kill Zone, and London Close Kill Zone describe the day's most consequential chapter for most instruments — anchored by the Judas Swing, a direct, practical, fully worked application of the liquidity-sweep-then-displacement-then-structure-shift sequence built up across Modules 3 through 5.</w:t>
      </w:r>
    </w:p>
    <w:p w14:paraId="030A677A">
      <w:pPr>
        <w:spacing w:after="160" w:line="288" w:lineRule="auto"/>
      </w:pPr>
      <w:r>
        <w:rPr>
          <w:b w:val="0"/>
          <w:bCs w:val="0"/>
          <w:i w:val="0"/>
          <w:iCs w:val="0"/>
          <w:sz w:val="22"/>
          <w:szCs w:val="22"/>
        </w:rPr>
        <w:t>New York Session and New York Open Kill Zone describe the day's final chapter, read specifically in relation to what the earlier sessions already established. How to Use Each Session consolidates all of this into practical guidance — not every window deserves the same attention or the same trading behavior. Session-to-Session Relationships closes the module by making explicit the thread running through everything in it: each session's price action is only fully legible in light of the sessions that came before it, a running narrative rather than a series of disconnected snapshots.</w:t>
      </w:r>
    </w:p>
    <w:p w14:paraId="4EB02923">
      <w:pPr>
        <w:pStyle w:val="2"/>
        <w:pBdr>
          <w:bottom w:val="single" w:color="1B2A4A" w:sz="12" w:space="4"/>
        </w:pBdr>
        <w:spacing w:before="480" w:after="240"/>
      </w:pPr>
      <w:r>
        <w:rPr>
          <w:b/>
          <w:bCs/>
          <w:color w:val="1B2A4A"/>
          <w:sz w:val="34"/>
          <w:szCs w:val="34"/>
        </w:rPr>
        <w:t>What You Should Now Be Able to Do</w:t>
      </w:r>
    </w:p>
    <w:p w14:paraId="24A8C026">
      <w:pPr>
        <w:pStyle w:val="16"/>
        <w:numPr>
          <w:ilvl w:val="0"/>
          <w:numId w:val="2"/>
        </w:numPr>
        <w:spacing w:after="80" w:line="276" w:lineRule="auto"/>
      </w:pPr>
      <w:r>
        <w:rPr>
          <w:sz w:val="22"/>
          <w:szCs w:val="22"/>
        </w:rPr>
        <w:t>explain why ICT-focused teaching treats certain hours of the trading day as more significant than others</w:t>
      </w:r>
    </w:p>
    <w:p w14:paraId="33F815B0">
      <w:pPr>
        <w:pStyle w:val="16"/>
        <w:numPr>
          <w:ilvl w:val="0"/>
          <w:numId w:val="2"/>
        </w:numPr>
        <w:spacing w:after="80" w:line="276" w:lineRule="auto"/>
      </w:pPr>
      <w:r>
        <w:rPr>
          <w:sz w:val="22"/>
          <w:szCs w:val="22"/>
        </w:rPr>
        <w:t>mark an Asian Range from a simple price sequence and label its high and low as candidate liquidity pools</w:t>
      </w:r>
    </w:p>
    <w:p w14:paraId="58A88C04">
      <w:pPr>
        <w:pStyle w:val="16"/>
        <w:numPr>
          <w:ilvl w:val="0"/>
          <w:numId w:val="2"/>
        </w:numPr>
        <w:spacing w:after="80" w:line="276" w:lineRule="auto"/>
      </w:pPr>
      <w:r>
        <w:rPr>
          <w:sz w:val="22"/>
          <w:szCs w:val="22"/>
        </w:rPr>
        <w:t>describe the full Judas Swing sequence (sweep, displacement, structure shift, FVG entry) associated with the London Open Kill Zone</w:t>
      </w:r>
    </w:p>
    <w:p w14:paraId="2A63957F">
      <w:pPr>
        <w:pStyle w:val="16"/>
        <w:numPr>
          <w:ilvl w:val="0"/>
          <w:numId w:val="2"/>
        </w:numPr>
        <w:spacing w:after="80" w:line="276" w:lineRule="auto"/>
      </w:pPr>
      <w:r>
        <w:rPr>
          <w:sz w:val="22"/>
          <w:szCs w:val="22"/>
        </w:rPr>
        <w:t>state the specific invalidation rule used to distinguish a genuine Judas Swing from an actual breakout</w:t>
      </w:r>
    </w:p>
    <w:p w14:paraId="74340EA4">
      <w:pPr>
        <w:pStyle w:val="16"/>
        <w:numPr>
          <w:ilvl w:val="0"/>
          <w:numId w:val="2"/>
        </w:numPr>
        <w:spacing w:after="80" w:line="276" w:lineRule="auto"/>
      </w:pPr>
      <w:r>
        <w:rPr>
          <w:sz w:val="22"/>
          <w:szCs w:val="22"/>
        </w:rPr>
        <w:t>explain why New York session price action should be read in light of what the Asian and London sessions already established, rather than in isolation</w:t>
      </w:r>
    </w:p>
    <w:p w14:paraId="6A6C791F">
      <w:pPr>
        <w:pStyle w:val="16"/>
        <w:numPr>
          <w:ilvl w:val="0"/>
          <w:numId w:val="2"/>
        </w:numPr>
        <w:spacing w:after="80" w:line="276" w:lineRule="auto"/>
      </w:pPr>
      <w:r>
        <w:rPr>
          <w:sz w:val="22"/>
          <w:szCs w:val="22"/>
        </w:rPr>
        <w:t>describe, in general terms, what a trader following this framework should be doing (observing, marking, watching, or acting) during each of the four named Kill Zones</w:t>
      </w:r>
    </w:p>
    <w:p w14:paraId="72A5A3AA">
      <w:r>
        <w:br w:type="page"/>
      </w:r>
    </w:p>
    <w:p w14:paraId="0D45C4A8">
      <w:pPr>
        <w:pStyle w:val="2"/>
        <w:pBdr>
          <w:bottom w:val="single" w:color="1B2A4A" w:sz="12" w:space="4"/>
        </w:pBdr>
        <w:spacing w:before="480" w:after="240"/>
      </w:pPr>
      <w:r>
        <w:rPr>
          <w:b/>
          <w:bCs/>
          <w:color w:val="1B2A4A"/>
          <w:sz w:val="34"/>
          <w:szCs w:val="34"/>
        </w:rPr>
        <w:t>Module Review</w:t>
      </w:r>
    </w:p>
    <w:p w14:paraId="5EA14F6F">
      <w:pPr>
        <w:pStyle w:val="3"/>
        <w:spacing w:before="360" w:after="160"/>
      </w:pPr>
      <w:r>
        <w:rPr>
          <w:b/>
          <w:bCs/>
          <w:color w:val="1B2A4A"/>
          <w:sz w:val="26"/>
          <w:szCs w:val="26"/>
        </w:rPr>
        <w:t>Key Terms</w:t>
      </w:r>
    </w:p>
    <w:p w14:paraId="6A4134A1">
      <w:pPr>
        <w:pStyle w:val="16"/>
        <w:numPr>
          <w:ilvl w:val="0"/>
          <w:numId w:val="2"/>
        </w:numPr>
        <w:spacing w:after="80" w:line="276" w:lineRule="auto"/>
      </w:pPr>
      <w:r>
        <w:rPr>
          <w:sz w:val="22"/>
          <w:szCs w:val="22"/>
        </w:rPr>
        <w:t>Time and Price Theory</w:t>
      </w:r>
    </w:p>
    <w:p w14:paraId="4E641E08">
      <w:pPr>
        <w:pStyle w:val="16"/>
        <w:numPr>
          <w:ilvl w:val="0"/>
          <w:numId w:val="2"/>
        </w:numPr>
        <w:spacing w:after="80" w:line="276" w:lineRule="auto"/>
      </w:pPr>
      <w:r>
        <w:rPr>
          <w:sz w:val="22"/>
          <w:szCs w:val="22"/>
        </w:rPr>
        <w:t>Kill Zone</w:t>
      </w:r>
    </w:p>
    <w:p w14:paraId="1237FED9">
      <w:pPr>
        <w:pStyle w:val="16"/>
        <w:numPr>
          <w:ilvl w:val="0"/>
          <w:numId w:val="2"/>
        </w:numPr>
        <w:spacing w:after="80" w:line="276" w:lineRule="auto"/>
      </w:pPr>
      <w:r>
        <w:rPr>
          <w:sz w:val="22"/>
          <w:szCs w:val="22"/>
        </w:rPr>
        <w:t>Asian Session</w:t>
      </w:r>
    </w:p>
    <w:p w14:paraId="662565DE">
      <w:pPr>
        <w:pStyle w:val="16"/>
        <w:numPr>
          <w:ilvl w:val="0"/>
          <w:numId w:val="2"/>
        </w:numPr>
        <w:spacing w:after="80" w:line="276" w:lineRule="auto"/>
      </w:pPr>
      <w:r>
        <w:rPr>
          <w:sz w:val="22"/>
          <w:szCs w:val="22"/>
        </w:rPr>
        <w:t>Asian Range</w:t>
      </w:r>
    </w:p>
    <w:p w14:paraId="4A7EBE8D">
      <w:pPr>
        <w:pStyle w:val="16"/>
        <w:numPr>
          <w:ilvl w:val="0"/>
          <w:numId w:val="2"/>
        </w:numPr>
        <w:spacing w:after="80" w:line="276" w:lineRule="auto"/>
      </w:pPr>
      <w:r>
        <w:rPr>
          <w:sz w:val="22"/>
          <w:szCs w:val="22"/>
        </w:rPr>
        <w:t>Asian Kill Zone</w:t>
      </w:r>
    </w:p>
    <w:p w14:paraId="76ACD772">
      <w:pPr>
        <w:pStyle w:val="16"/>
        <w:numPr>
          <w:ilvl w:val="0"/>
          <w:numId w:val="2"/>
        </w:numPr>
        <w:spacing w:after="80" w:line="276" w:lineRule="auto"/>
      </w:pPr>
      <w:r>
        <w:rPr>
          <w:sz w:val="22"/>
          <w:szCs w:val="22"/>
        </w:rPr>
        <w:t>London Session</w:t>
      </w:r>
    </w:p>
    <w:p w14:paraId="7D3346F5">
      <w:pPr>
        <w:pStyle w:val="16"/>
        <w:numPr>
          <w:ilvl w:val="0"/>
          <w:numId w:val="2"/>
        </w:numPr>
        <w:spacing w:after="80" w:line="276" w:lineRule="auto"/>
      </w:pPr>
      <w:r>
        <w:rPr>
          <w:sz w:val="22"/>
          <w:szCs w:val="22"/>
        </w:rPr>
        <w:t>London Open Kill Zone</w:t>
      </w:r>
    </w:p>
    <w:p w14:paraId="585A105B">
      <w:pPr>
        <w:pStyle w:val="16"/>
        <w:numPr>
          <w:ilvl w:val="0"/>
          <w:numId w:val="2"/>
        </w:numPr>
        <w:spacing w:after="80" w:line="276" w:lineRule="auto"/>
      </w:pPr>
      <w:r>
        <w:rPr>
          <w:sz w:val="22"/>
          <w:szCs w:val="22"/>
        </w:rPr>
        <w:t>Judas Swing</w:t>
      </w:r>
    </w:p>
    <w:p w14:paraId="0A3D2406">
      <w:pPr>
        <w:pStyle w:val="16"/>
        <w:numPr>
          <w:ilvl w:val="0"/>
          <w:numId w:val="2"/>
        </w:numPr>
        <w:spacing w:after="80" w:line="276" w:lineRule="auto"/>
      </w:pPr>
      <w:r>
        <w:rPr>
          <w:sz w:val="22"/>
          <w:szCs w:val="22"/>
        </w:rPr>
        <w:t>London Close Kill Zone</w:t>
      </w:r>
    </w:p>
    <w:p w14:paraId="07D5E69F">
      <w:pPr>
        <w:pStyle w:val="16"/>
        <w:numPr>
          <w:ilvl w:val="0"/>
          <w:numId w:val="2"/>
        </w:numPr>
        <w:spacing w:after="80" w:line="276" w:lineRule="auto"/>
      </w:pPr>
      <w:r>
        <w:rPr>
          <w:sz w:val="22"/>
          <w:szCs w:val="22"/>
        </w:rPr>
        <w:t>New York Session</w:t>
      </w:r>
    </w:p>
    <w:p w14:paraId="7B713775">
      <w:pPr>
        <w:pStyle w:val="16"/>
        <w:numPr>
          <w:ilvl w:val="0"/>
          <w:numId w:val="2"/>
        </w:numPr>
        <w:spacing w:after="80" w:line="276" w:lineRule="auto"/>
      </w:pPr>
      <w:r>
        <w:rPr>
          <w:sz w:val="22"/>
          <w:szCs w:val="22"/>
        </w:rPr>
        <w:t>New York Open Kill Zone</w:t>
      </w:r>
    </w:p>
    <w:p w14:paraId="55AC0DAF">
      <w:pPr>
        <w:pStyle w:val="16"/>
        <w:numPr>
          <w:ilvl w:val="0"/>
          <w:numId w:val="2"/>
        </w:numPr>
        <w:spacing w:after="80" w:line="276" w:lineRule="auto"/>
      </w:pPr>
      <w:r>
        <w:rPr>
          <w:sz w:val="22"/>
          <w:szCs w:val="22"/>
        </w:rPr>
        <w:t>Silver Bullet (mentioned)</w:t>
      </w:r>
    </w:p>
    <w:p w14:paraId="0276610B">
      <w:pPr>
        <w:pStyle w:val="16"/>
        <w:numPr>
          <w:ilvl w:val="0"/>
          <w:numId w:val="2"/>
        </w:numPr>
        <w:spacing w:after="80" w:line="276" w:lineRule="auto"/>
      </w:pPr>
      <w:r>
        <w:rPr>
          <w:sz w:val="22"/>
          <w:szCs w:val="22"/>
        </w:rPr>
        <w:t>Session-to-Session Relationships</w:t>
      </w:r>
    </w:p>
    <w:p w14:paraId="658601E5">
      <w:pPr>
        <w:pStyle w:val="3"/>
        <w:spacing w:before="360" w:after="160"/>
      </w:pPr>
      <w:r>
        <w:rPr>
          <w:b/>
          <w:bCs/>
          <w:color w:val="1B2A4A"/>
          <w:sz w:val="26"/>
          <w:szCs w:val="26"/>
        </w:rPr>
        <w:t>Beginner Summary</w:t>
      </w:r>
    </w:p>
    <w:p w14:paraId="16194F7B">
      <w:pPr>
        <w:spacing w:after="160" w:line="288" w:lineRule="auto"/>
      </w:pPr>
      <w:r>
        <w:rPr>
          <w:b w:val="0"/>
          <w:bCs w:val="0"/>
          <w:i w:val="0"/>
          <w:iCs w:val="0"/>
          <w:sz w:val="22"/>
          <w:szCs w:val="22"/>
        </w:rPr>
        <w:t>ICT-focused teaching treats the trading day as unevenly weighted: specific windows tied to the opening of major financial centers — Asia/Tokyo, London, and New York — are treated as far more likely to contain significant, tradeable price action than the hours in between. The Asian session typically builds a defined range, whose high and low become the day's first liquidity reference points. The London session's opening hours are the single most closely watched window for most instruments, characterized by the Judas Swing: a false initial move that sweeps the Asian Range before reversing sharply into the day's genuine direction, confirmed by displacement and a structure shift. The London Close is a quieter, lower-confidence window for continuation or corrective moves. The New York session, particularly its opening hours (which overlap with major US economic data and the equity market open), either continues or reverses whatever London already established — and reading it correctly requires understanding the full story of the day so far, not just the current session in isolation.</w:t>
      </w:r>
    </w:p>
    <w:p w14:paraId="5E58087D">
      <w:pPr>
        <w:pStyle w:val="3"/>
        <w:spacing w:before="360" w:after="160"/>
      </w:pPr>
      <w:r>
        <w:rPr>
          <w:b/>
          <w:bCs/>
          <w:color w:val="1B2A4A"/>
          <w:sz w:val="26"/>
          <w:szCs w:val="26"/>
        </w:rPr>
        <w:t>Concept Relationships</w:t>
      </w:r>
    </w:p>
    <w:p w14:paraId="4E39716F">
      <w:pPr>
        <w:spacing w:after="160" w:line="288" w:lineRule="auto"/>
      </w:pPr>
      <w:r>
        <w:rPr>
          <w:b w:val="0"/>
          <w:bCs w:val="0"/>
          <w:i w:val="0"/>
          <w:iCs w:val="0"/>
          <w:sz w:val="22"/>
          <w:szCs w:val="22"/>
        </w:rPr>
        <w:t>Time and Price Theory is the foundational justification for the entire module. Asian Session, Asian Range, and Asian Kill Zone form the day's first chapter. London Session, London Open Kill Zone, and London Close Kill Zone form the day's most consequential chapter. New York Session and New York Open Kill Zone form the day's final chapter, read in relation to what came before. How to Use Each Session and Session-to-Session Relationships consolidate the whole module into practical, narrative-aware guidance.</w:t>
      </w:r>
    </w:p>
    <w:p w14:paraId="5686E26A">
      <w:pPr>
        <w:pStyle w:val="3"/>
        <w:spacing w:before="360" w:after="160"/>
      </w:pPr>
      <w:r>
        <w:rPr>
          <w:b/>
          <w:bCs/>
          <w:color w:val="1B2A4A"/>
          <w:sz w:val="26"/>
          <w:szCs w:val="26"/>
        </w:rPr>
        <w:t>Practical Chart Exercise</w:t>
      </w:r>
    </w:p>
    <w:p w14:paraId="0BAC75E4">
      <w:pPr>
        <w:spacing w:after="160" w:line="288" w:lineRule="auto"/>
      </w:pPr>
      <w:r>
        <w:rPr>
          <w:b w:val="0"/>
          <w:bCs w:val="0"/>
          <w:i w:val="0"/>
          <w:iCs w:val="0"/>
          <w:sz w:val="22"/>
          <w:szCs w:val="22"/>
        </w:rPr>
        <w:t>Using the following simplified single-day sequence — Asian session: range 50–54; London Open (2:30 AM ET): spike to 55.5 (sweeping the Asian high), then reversal with displacement down through 49, confirming a bearish MSS and leaving an FVG at 49.5–50.5; New York Open (8:30 AM ET): price dips to 47 before reversing back up through 52 and continuing to 60 — identify which specific session/Kill Zone each event belongs to, state whether the New York session's initial dip to 47 should be read as bearish continuation or as a final liquidity grab before a larger reversal, and explain your reasoning using the session-to-session narrative approach from this module.</w:t>
      </w:r>
    </w:p>
    <w:p w14:paraId="71E7E38E">
      <w:pPr>
        <w:pStyle w:val="3"/>
        <w:spacing w:before="360" w:after="160"/>
      </w:pPr>
      <w:r>
        <w:rPr>
          <w:b/>
          <w:bCs/>
          <w:color w:val="1B2A4A"/>
          <w:sz w:val="26"/>
          <w:szCs w:val="26"/>
        </w:rPr>
        <w:t>Self-Test Questions</w:t>
      </w:r>
    </w:p>
    <w:p w14:paraId="1C2D4E53">
      <w:pPr>
        <w:pStyle w:val="16"/>
        <w:numPr>
          <w:ilvl w:val="0"/>
          <w:numId w:val="1"/>
        </w:numPr>
        <w:spacing w:after="80" w:line="276" w:lineRule="auto"/>
      </w:pPr>
      <w:r>
        <w:rPr>
          <w:sz w:val="22"/>
          <w:szCs w:val="22"/>
        </w:rPr>
        <w:t>Why does ICT-focused teaching treat certain hours of the day as more significant than others, rather than treating the 24-hour trading day as uniform?</w:t>
      </w:r>
    </w:p>
    <w:p w14:paraId="489B92AF">
      <w:pPr>
        <w:pStyle w:val="16"/>
        <w:numPr>
          <w:ilvl w:val="0"/>
          <w:numId w:val="1"/>
        </w:numPr>
        <w:spacing w:after="80" w:line="276" w:lineRule="auto"/>
      </w:pPr>
      <w:r>
        <w:rPr>
          <w:sz w:val="22"/>
          <w:szCs w:val="22"/>
        </w:rPr>
        <w:t>What is the Asian Range, and why do its high and low become important reference points for the sessions that follow?</w:t>
      </w:r>
    </w:p>
    <w:p w14:paraId="07469E7B">
      <w:pPr>
        <w:pStyle w:val="16"/>
        <w:numPr>
          <w:ilvl w:val="0"/>
          <w:numId w:val="1"/>
        </w:numPr>
        <w:spacing w:after="80" w:line="276" w:lineRule="auto"/>
      </w:pPr>
      <w:r>
        <w:rPr>
          <w:sz w:val="22"/>
          <w:szCs w:val="22"/>
        </w:rPr>
        <w:t>Describe, in order, the four steps of a full Judas Swing sequence.</w:t>
      </w:r>
    </w:p>
    <w:p w14:paraId="2158F68B">
      <w:pPr>
        <w:pStyle w:val="16"/>
        <w:numPr>
          <w:ilvl w:val="0"/>
          <w:numId w:val="1"/>
        </w:numPr>
        <w:spacing w:after="80" w:line="276" w:lineRule="auto"/>
      </w:pPr>
      <w:r>
        <w:rPr>
          <w:sz w:val="22"/>
          <w:szCs w:val="22"/>
        </w:rPr>
        <w:t>What specific rule helps distinguish a genuine Judas Swing from an actual breakout?</w:t>
      </w:r>
    </w:p>
    <w:p w14:paraId="0FDEA809">
      <w:pPr>
        <w:pStyle w:val="16"/>
        <w:numPr>
          <w:ilvl w:val="0"/>
          <w:numId w:val="1"/>
        </w:numPr>
        <w:spacing w:after="80" w:line="276" w:lineRule="auto"/>
      </w:pPr>
      <w:r>
        <w:rPr>
          <w:sz w:val="22"/>
          <w:szCs w:val="22"/>
        </w:rPr>
        <w:t>Why does this module argue that New York session price action should not be analyzed in isolation from the Asian and London sessions earlier that same day?</w:t>
      </w:r>
    </w:p>
    <w:p w14:paraId="2D58B92F">
      <w:pPr>
        <w:pStyle w:val="3"/>
        <w:spacing w:before="360" w:after="160"/>
      </w:pPr>
      <w:r>
        <w:rPr>
          <w:b/>
          <w:bCs/>
          <w:color w:val="1B2A4A"/>
          <w:sz w:val="26"/>
          <w:szCs w:val="26"/>
        </w:rPr>
        <w:t>Common Misconceptions</w:t>
      </w:r>
    </w:p>
    <w:p w14:paraId="0026BF4E">
      <w:pPr>
        <w:pStyle w:val="16"/>
        <w:numPr>
          <w:ilvl w:val="0"/>
          <w:numId w:val="2"/>
        </w:numPr>
        <w:spacing w:after="80" w:line="276" w:lineRule="auto"/>
      </w:pPr>
      <w:r>
        <w:rPr>
          <w:sz w:val="22"/>
          <w:szCs w:val="22"/>
        </w:rPr>
        <w:t>Believing there is one single, universally agreed exact clock-time definition for each Kill Zone, rather than recognizing the documented variance across ICT-focused sources.</w:t>
      </w:r>
    </w:p>
    <w:p w14:paraId="354F0E15">
      <w:pPr>
        <w:pStyle w:val="16"/>
        <w:numPr>
          <w:ilvl w:val="0"/>
          <w:numId w:val="2"/>
        </w:numPr>
        <w:spacing w:after="80" w:line="276" w:lineRule="auto"/>
      </w:pPr>
      <w:r>
        <w:rPr>
          <w:sz w:val="22"/>
          <w:szCs w:val="22"/>
        </w:rPr>
        <w:t>Assuming the first directional move at any session's open is automatically the day's genuine direction, without waiting for possible reversal confirmation.</w:t>
      </w:r>
    </w:p>
    <w:p w14:paraId="5DE49DEA">
      <w:pPr>
        <w:pStyle w:val="16"/>
        <w:numPr>
          <w:ilvl w:val="0"/>
          <w:numId w:val="2"/>
        </w:numPr>
        <w:spacing w:after="80" w:line="276" w:lineRule="auto"/>
      </w:pPr>
      <w:r>
        <w:rPr>
          <w:sz w:val="22"/>
          <w:szCs w:val="22"/>
        </w:rPr>
        <w:t>Believing every session is equally suited to active trade entries, rather than understanding that some (Asian, London Close) are primarily for observation or lower-confidence, smaller setups.</w:t>
      </w:r>
    </w:p>
    <w:p w14:paraId="61B6149D">
      <w:pPr>
        <w:pStyle w:val="16"/>
        <w:numPr>
          <w:ilvl w:val="0"/>
          <w:numId w:val="2"/>
        </w:numPr>
        <w:spacing w:after="80" w:line="276" w:lineRule="auto"/>
      </w:pPr>
      <w:r>
        <w:rPr>
          <w:sz w:val="22"/>
          <w:szCs w:val="22"/>
        </w:rPr>
        <w:t>Analyzing a session's price action without first reviewing what the prior session(s) already established that same day.</w:t>
      </w:r>
    </w:p>
    <w:p w14:paraId="648E0FFB">
      <w:pPr>
        <w:pStyle w:val="3"/>
        <w:spacing w:before="360" w:after="160"/>
      </w:pPr>
      <w:r>
        <w:rPr>
          <w:b/>
          <w:bCs/>
          <w:color w:val="1B2A4A"/>
          <w:sz w:val="26"/>
          <w:szCs w:val="26"/>
        </w:rPr>
        <w:t>Research Sources</w:t>
      </w:r>
    </w:p>
    <w:p w14:paraId="17048B46">
      <w:pPr>
        <w:pStyle w:val="16"/>
        <w:numPr>
          <w:ilvl w:val="0"/>
          <w:numId w:val="2"/>
        </w:numPr>
        <w:spacing w:after="80" w:line="276" w:lineRule="auto"/>
      </w:pPr>
      <w:r>
        <w:rPr>
          <w:sz w:val="22"/>
          <w:szCs w:val="22"/>
        </w:rPr>
        <w:t>luxalgo.com — "Killzones — Smart Money Concepts / ICT Concept."</w:t>
      </w:r>
    </w:p>
    <w:p w14:paraId="6E607577">
      <w:pPr>
        <w:pStyle w:val="16"/>
        <w:numPr>
          <w:ilvl w:val="0"/>
          <w:numId w:val="2"/>
        </w:numPr>
        <w:spacing w:after="80" w:line="276" w:lineRule="auto"/>
      </w:pPr>
      <w:r>
        <w:rPr>
          <w:sz w:val="22"/>
          <w:szCs w:val="22"/>
        </w:rPr>
        <w:t>blog.trinitytrading.io — "ICT Kill Zones: The Best Times to Trade Futures."</w:t>
      </w:r>
    </w:p>
    <w:p w14:paraId="0C0AE7BB">
      <w:pPr>
        <w:pStyle w:val="16"/>
        <w:numPr>
          <w:ilvl w:val="0"/>
          <w:numId w:val="2"/>
        </w:numPr>
        <w:spacing w:after="80" w:line="276" w:lineRule="auto"/>
      </w:pPr>
      <w:r>
        <w:rPr>
          <w:sz w:val="22"/>
          <w:szCs w:val="22"/>
        </w:rPr>
        <w:t>liquidityscan.io — "ICT Kill Zones Complete Guide: A Pro Trader's Framework" and "ICT Kill Zones: Definition &amp; Liquidity Mechanics."</w:t>
      </w:r>
    </w:p>
    <w:p w14:paraId="59CA73B6">
      <w:pPr>
        <w:pStyle w:val="16"/>
        <w:numPr>
          <w:ilvl w:val="0"/>
          <w:numId w:val="2"/>
        </w:numPr>
        <w:spacing w:after="80" w:line="276" w:lineRule="auto"/>
      </w:pPr>
      <w:r>
        <w:rPr>
          <w:sz w:val="22"/>
          <w:szCs w:val="22"/>
        </w:rPr>
        <w:t>tradeedge-journal.vercel.app — "ICT Kill Zones Explained: London, New York &amp; Asia Session Times."</w:t>
      </w:r>
    </w:p>
    <w:p w14:paraId="1584BEBB">
      <w:pPr>
        <w:pStyle w:val="16"/>
        <w:numPr>
          <w:ilvl w:val="0"/>
          <w:numId w:val="2"/>
        </w:numPr>
        <w:spacing w:after="80" w:line="276" w:lineRule="auto"/>
      </w:pPr>
      <w:r>
        <w:rPr>
          <w:sz w:val="22"/>
          <w:szCs w:val="22"/>
        </w:rPr>
        <w:t>ebc.com — "What Are ICT Killzone Times? Simple Trading Hours Guide."</w:t>
      </w:r>
    </w:p>
    <w:p w14:paraId="5E971606">
      <w:pPr>
        <w:pStyle w:val="16"/>
        <w:numPr>
          <w:ilvl w:val="0"/>
          <w:numId w:val="2"/>
        </w:numPr>
        <w:spacing w:after="80" w:line="276" w:lineRule="auto"/>
      </w:pPr>
      <w:r>
        <w:rPr>
          <w:sz w:val="22"/>
          <w:szCs w:val="22"/>
        </w:rPr>
        <w:t>michaeljhuddleston.org — "ICT Kill Zones Times Explained: Trade Asia, London &amp; New York Like a Pro."</w:t>
      </w:r>
    </w:p>
    <w:p w14:paraId="480D2E3F">
      <w:pPr>
        <w:pStyle w:val="16"/>
        <w:numPr>
          <w:ilvl w:val="0"/>
          <w:numId w:val="2"/>
        </w:numPr>
        <w:spacing w:after="80" w:line="276" w:lineRule="auto"/>
      </w:pPr>
      <w:r>
        <w:rPr>
          <w:sz w:val="22"/>
          <w:szCs w:val="22"/>
        </w:rPr>
        <w:t>completetradersedge.com — "ICT Kill Zones: How to Trade the Highest-Probability Market Hours."</w:t>
      </w:r>
    </w:p>
    <w:p w14:paraId="027381E7">
      <w:pPr>
        <w:pStyle w:val="16"/>
        <w:numPr>
          <w:ilvl w:val="0"/>
          <w:numId w:val="2"/>
        </w:numPr>
        <w:spacing w:after="80" w:line="276" w:lineRule="auto"/>
      </w:pPr>
      <w:r>
        <w:rPr>
          <w:sz w:val="22"/>
          <w:szCs w:val="22"/>
        </w:rPr>
        <w:t>fxnx.com — "ICT Asian Range Liquidity: Trading the London Judas Swing," "ICT Killzone Clock: Your Local Time, Your Edge," and "ICT Killzones: Master XAUUSD Timing for Maximum Profit."</w:t>
      </w:r>
    </w:p>
    <w:p w14:paraId="1A41F1B6">
      <w:pPr>
        <w:pStyle w:val="16"/>
        <w:numPr>
          <w:ilvl w:val="0"/>
          <w:numId w:val="2"/>
        </w:numPr>
        <w:spacing w:after="80" w:line="276" w:lineRule="auto"/>
      </w:pPr>
      <w:r>
        <w:rPr>
          <w:sz w:val="22"/>
          <w:szCs w:val="22"/>
        </w:rPr>
        <w:t>ictkillzone.com — "ICT Kill Zones: Complete Guide to Trading Sessions."</w:t>
      </w:r>
    </w:p>
    <w:p w14:paraId="57B6A6DB">
      <w:pPr>
        <w:pStyle w:val="16"/>
        <w:numPr>
          <w:ilvl w:val="0"/>
          <w:numId w:val="2"/>
        </w:numPr>
        <w:spacing w:after="80" w:line="276" w:lineRule="auto"/>
      </w:pPr>
      <w:r>
        <w:rPr>
          <w:sz w:val="22"/>
          <w:szCs w:val="22"/>
        </w:rPr>
        <w:t>ictkillzonetimes.com — "What are ICT Killzone Times?"</w:t>
      </w:r>
    </w:p>
    <w:p w14:paraId="6B968D64">
      <w:pPr>
        <w:pStyle w:val="16"/>
        <w:numPr>
          <w:ilvl w:val="0"/>
          <w:numId w:val="2"/>
        </w:numPr>
        <w:spacing w:after="80" w:line="276" w:lineRule="auto"/>
      </w:pPr>
      <w:r>
        <w:rPr>
          <w:sz w:val="22"/>
          <w:szCs w:val="22"/>
        </w:rPr>
        <w:t>bullynx.com — "ICT Kill Zones Explained (London &amp; New York)."</w:t>
      </w:r>
    </w:p>
    <w:p w14:paraId="7A1BA1E1">
      <w:pPr>
        <w:pStyle w:val="16"/>
        <w:numPr>
          <w:ilvl w:val="0"/>
          <w:numId w:val="2"/>
        </w:numPr>
        <w:spacing w:after="80" w:line="276" w:lineRule="auto"/>
      </w:pPr>
      <w:r>
        <w:rPr>
          <w:sz w:val="22"/>
          <w:szCs w:val="22"/>
        </w:rPr>
        <w:t>zayecapitalmarkets.com — "ICT Kill Zone Strategy: How to Trade Key Market Sessions Like Smart Money."</w:t>
      </w:r>
    </w:p>
    <w:p w14:paraId="6CF2497E">
      <w:pPr>
        <w:pStyle w:val="16"/>
        <w:numPr>
          <w:ilvl w:val="0"/>
          <w:numId w:val="2"/>
        </w:numPr>
        <w:spacing w:after="80" w:line="276" w:lineRule="auto"/>
      </w:pPr>
      <w:r>
        <w:rPr>
          <w:sz w:val="22"/>
          <w:szCs w:val="22"/>
        </w:rPr>
        <w:t>litefinance.org — "ICT Killzones Explained: Times, Sessions &amp; Trading Strategy."</w:t>
      </w:r>
    </w:p>
    <w:p w14:paraId="4900AA38">
      <w:pPr>
        <w:pStyle w:val="16"/>
        <w:numPr>
          <w:ilvl w:val="0"/>
          <w:numId w:val="2"/>
        </w:numPr>
        <w:spacing w:after="80" w:line="276" w:lineRule="auto"/>
      </w:pPr>
      <w:r>
        <w:rPr>
          <w:sz w:val="22"/>
          <w:szCs w:val="22"/>
        </w:rPr>
        <w:t>innercircletrader.net — "ICT Killzones — All 4 Session Times."</w:t>
      </w:r>
    </w:p>
    <w:p w14:paraId="68B5647A">
      <w:pPr>
        <w:pStyle w:val="16"/>
        <w:numPr>
          <w:ilvl w:val="0"/>
          <w:numId w:val="2"/>
        </w:numPr>
        <w:spacing w:after="80" w:line="276" w:lineRule="auto"/>
      </w:pPr>
      <w:r>
        <w:rPr>
          <w:sz w:val="22"/>
          <w:szCs w:val="22"/>
        </w:rPr>
        <w:t>Note: as in prior modules, this research pass relied on cross-checked secondary/tutorial documentation rather than direct ICT primary-source video transcripts, which were not accessible in this environment. This module documents a genuine, meaningful variance in exact clock-time boundaries across sources for the Asian, London Close, and New York Open Kill Zones specifically; the underlying patterns and sequences are far more consistently corroborated than the precise minute-by-minute windows.</w:t>
      </w:r>
    </w:p>
    <w:p w14:paraId="3C87EE4C">
      <w:pPr>
        <w:pStyle w:val="16"/>
        <w:numPr>
          <w:ilvl w:val="0"/>
          <w:numId w:val="0"/>
        </w:numPr>
        <w:spacing w:after="80" w:line="276" w:lineRule="auto"/>
        <w:rPr>
          <w:sz w:val="22"/>
          <w:szCs w:val="22"/>
        </w:rPr>
      </w:pPr>
    </w:p>
    <w:p w14:paraId="37E01A98">
      <w:pPr>
        <w:pStyle w:val="16"/>
        <w:numPr>
          <w:ilvl w:val="0"/>
          <w:numId w:val="0"/>
        </w:numPr>
        <w:spacing w:after="80" w:line="276" w:lineRule="auto"/>
        <w:rPr>
          <w:sz w:val="22"/>
          <w:szCs w:val="22"/>
        </w:rPr>
      </w:pPr>
    </w:p>
    <w:p w14:paraId="7FE40D4F">
      <w:pPr>
        <w:pStyle w:val="16"/>
        <w:numPr>
          <w:ilvl w:val="0"/>
          <w:numId w:val="0"/>
        </w:numPr>
        <w:spacing w:after="80" w:line="276" w:lineRule="auto"/>
        <w:rPr>
          <w:sz w:val="22"/>
          <w:szCs w:val="22"/>
        </w:rPr>
      </w:pPr>
    </w:p>
    <w:p w14:paraId="223AF5C0">
      <w:pPr>
        <w:pStyle w:val="16"/>
        <w:numPr>
          <w:ilvl w:val="0"/>
          <w:numId w:val="0"/>
        </w:numPr>
        <w:spacing w:after="80" w:line="276" w:lineRule="auto"/>
        <w:rPr>
          <w:sz w:val="22"/>
          <w:szCs w:val="22"/>
        </w:rPr>
      </w:pPr>
    </w:p>
    <w:p w14:paraId="118F8904">
      <w:pPr>
        <w:pStyle w:val="16"/>
        <w:numPr>
          <w:ilvl w:val="0"/>
          <w:numId w:val="0"/>
        </w:numPr>
        <w:spacing w:after="80" w:line="276" w:lineRule="auto"/>
        <w:rPr>
          <w:sz w:val="22"/>
          <w:szCs w:val="22"/>
        </w:rPr>
      </w:pPr>
    </w:p>
    <w:p w14:paraId="03781E8F">
      <w:pPr>
        <w:pStyle w:val="16"/>
        <w:numPr>
          <w:ilvl w:val="0"/>
          <w:numId w:val="0"/>
        </w:numPr>
        <w:spacing w:after="80" w:line="276" w:lineRule="auto"/>
        <w:rPr>
          <w:sz w:val="22"/>
          <w:szCs w:val="22"/>
        </w:rPr>
      </w:pPr>
    </w:p>
    <w:p w14:paraId="740FFCB0">
      <w:pPr>
        <w:pStyle w:val="16"/>
        <w:numPr>
          <w:ilvl w:val="0"/>
          <w:numId w:val="0"/>
        </w:numPr>
        <w:spacing w:after="80" w:line="276" w:lineRule="auto"/>
        <w:rPr>
          <w:sz w:val="22"/>
          <w:szCs w:val="22"/>
        </w:rPr>
      </w:pPr>
    </w:p>
    <w:p w14:paraId="3CFCFC9D">
      <w:pPr>
        <w:pStyle w:val="16"/>
        <w:numPr>
          <w:ilvl w:val="0"/>
          <w:numId w:val="0"/>
        </w:numPr>
        <w:spacing w:after="80" w:line="276" w:lineRule="auto"/>
        <w:rPr>
          <w:sz w:val="22"/>
          <w:szCs w:val="22"/>
        </w:rPr>
      </w:pPr>
    </w:p>
    <w:p w14:paraId="615B95C6">
      <w:pPr>
        <w:pStyle w:val="16"/>
        <w:numPr>
          <w:ilvl w:val="0"/>
          <w:numId w:val="0"/>
        </w:numPr>
        <w:spacing w:after="80" w:line="276" w:lineRule="auto"/>
        <w:rPr>
          <w:sz w:val="22"/>
          <w:szCs w:val="22"/>
        </w:rPr>
      </w:pPr>
    </w:p>
    <w:p w14:paraId="550B335F">
      <w:pPr>
        <w:pStyle w:val="16"/>
        <w:numPr>
          <w:ilvl w:val="0"/>
          <w:numId w:val="0"/>
        </w:numPr>
        <w:spacing w:after="80" w:line="276" w:lineRule="auto"/>
        <w:rPr>
          <w:sz w:val="22"/>
          <w:szCs w:val="22"/>
        </w:rPr>
      </w:pPr>
    </w:p>
    <w:p w14:paraId="456E4587">
      <w:pPr>
        <w:pStyle w:val="16"/>
        <w:numPr>
          <w:ilvl w:val="0"/>
          <w:numId w:val="0"/>
        </w:numPr>
        <w:spacing w:after="80" w:line="276" w:lineRule="auto"/>
        <w:rPr>
          <w:sz w:val="22"/>
          <w:szCs w:val="22"/>
        </w:rPr>
      </w:pPr>
    </w:p>
    <w:p w14:paraId="0E256709">
      <w:pPr>
        <w:pStyle w:val="16"/>
        <w:numPr>
          <w:ilvl w:val="0"/>
          <w:numId w:val="0"/>
        </w:numPr>
        <w:spacing w:after="80" w:line="276" w:lineRule="auto"/>
        <w:rPr>
          <w:sz w:val="22"/>
          <w:szCs w:val="22"/>
        </w:rPr>
      </w:pPr>
    </w:p>
    <w:p w14:paraId="2D9A0A85">
      <w:pPr>
        <w:pStyle w:val="16"/>
        <w:numPr>
          <w:ilvl w:val="0"/>
          <w:numId w:val="0"/>
        </w:numPr>
        <w:spacing w:after="80" w:line="276" w:lineRule="auto"/>
        <w:rPr>
          <w:sz w:val="22"/>
          <w:szCs w:val="22"/>
        </w:rPr>
      </w:pPr>
    </w:p>
    <w:p w14:paraId="02DF12BF">
      <w:r>
        <w:br w:type="page"/>
      </w:r>
    </w:p>
    <w:p w14:paraId="6C48FDF6">
      <w:pPr>
        <w:pStyle w:val="2"/>
        <w:pBdr>
          <w:bottom w:val="single" w:color="1B2A4A" w:sz="12" w:space="4"/>
        </w:pBdr>
        <w:spacing w:before="480" w:after="240"/>
      </w:pPr>
      <w:r>
        <w:rPr>
          <w:b/>
          <w:bCs/>
          <w:color w:val="1B2A4A"/>
          <w:sz w:val="34"/>
          <w:szCs w:val="34"/>
        </w:rPr>
        <w:t>MODULE 9</w:t>
      </w:r>
    </w:p>
    <w:p w14:paraId="5D11B18F">
      <w:pPr>
        <w:spacing w:after="300"/>
      </w:pPr>
      <w:r>
        <w:rPr>
          <w:b/>
          <w:bCs/>
          <w:color w:val="9A7B2E"/>
          <w:sz w:val="30"/>
          <w:szCs w:val="30"/>
        </w:rPr>
        <w:t>Power of 3</w:t>
      </w:r>
    </w:p>
    <w:p w14:paraId="38495F13">
      <w:pPr>
        <w:spacing w:after="160" w:line="288" w:lineRule="auto"/>
      </w:pPr>
      <w:r>
        <w:rPr>
          <w:b w:val="0"/>
          <w:bCs w:val="0"/>
          <w:i w:val="0"/>
          <w:iCs w:val="0"/>
          <w:sz w:val="22"/>
          <w:szCs w:val="22"/>
        </w:rPr>
        <w:t>Module 8 walked through a trading day session by session — Asia, London, and New York — and showed how each session's behavior connects to the one before it. This module gives that same daily story a formal name and a reusable template: the Power of 3, or AMD (Accumulation, Manipulation, Distribution).</w:t>
      </w:r>
    </w:p>
    <w:p w14:paraId="1DA329F8">
      <w:pPr>
        <w:spacing w:after="160" w:line="288" w:lineRule="auto"/>
      </w:pPr>
      <w:r>
        <w:rPr>
          <w:b w:val="0"/>
          <w:bCs w:val="0"/>
          <w:i w:val="0"/>
          <w:iCs w:val="0"/>
          <w:sz w:val="22"/>
          <w:szCs w:val="22"/>
        </w:rPr>
        <w:t>You will learn each of the three phases individually, then see them unified into the single Power of 3 concept — including its single most emphasized property across ICT-focused sources: that this exact three-phase shape is fractal, appearing at every timeframe from a single candle up through an entire trading quarter. The module closes by explicitly mapping this template onto the specific sessions from Module 8, giving you a concrete, repeatable daily routine.</w:t>
      </w:r>
    </w:p>
    <w:p w14:paraId="65CDC0D8">
      <w:pPr>
        <w:spacing w:after="160" w:line="288" w:lineRule="auto"/>
      </w:pPr>
      <w:r>
        <w:rPr>
          <w:b w:val="0"/>
          <w:bCs w:val="0"/>
          <w:i w:val="0"/>
          <w:iCs w:val="0"/>
          <w:sz w:val="22"/>
          <w:szCs w:val="22"/>
        </w:rPr>
        <w:t>This module assumes fluency with Liquidity (Module 4), Market Structure Shift (Module 3), and the full session/Kill Zone vocabulary from Module 8 — nearly every example in this module directly reuses material from those three.</w:t>
      </w:r>
    </w:p>
    <w:p w14:paraId="651EC372">
      <w:r>
        <w:br w:type="page"/>
      </w:r>
    </w:p>
    <w:p w14:paraId="424EB66C">
      <w:pPr>
        <w:pStyle w:val="2"/>
        <w:pBdr>
          <w:bottom w:val="single" w:color="1B2A4A" w:sz="12" w:space="4"/>
        </w:pBdr>
        <w:spacing w:before="480" w:after="240"/>
      </w:pPr>
      <w:r>
        <w:rPr>
          <w:b/>
          <w:bCs/>
          <w:color w:val="1B2A4A"/>
          <w:sz w:val="34"/>
          <w:szCs w:val="34"/>
        </w:rPr>
        <w:t>Accumulation</w:t>
      </w:r>
    </w:p>
    <w:p w14:paraId="3A07D6FD">
      <w:pPr>
        <w:pStyle w:val="3"/>
        <w:spacing w:before="360" w:after="160"/>
      </w:pPr>
      <w:r>
        <w:rPr>
          <w:b/>
          <w:bCs/>
          <w:color w:val="1B2A4A"/>
          <w:sz w:val="26"/>
          <w:szCs w:val="26"/>
        </w:rPr>
        <w:t>1. Definition</w:t>
      </w:r>
    </w:p>
    <w:p w14:paraId="4E37A8EA">
      <w:pPr>
        <w:spacing w:after="160" w:line="288" w:lineRule="auto"/>
      </w:pPr>
      <w:r>
        <w:rPr>
          <w:b w:val="0"/>
          <w:bCs w:val="0"/>
          <w:i w:val="0"/>
          <w:iCs w:val="0"/>
          <w:sz w:val="22"/>
          <w:szCs w:val="22"/>
        </w:rPr>
        <w:t>Accumulation is the first phase of the Power of 3 (AMD) model, in which price consolidates within a relatively tight, horizontal range around the period's opening price while institutional participants are understood to build positions gradually, without yet producing a significant directional move.</w:t>
      </w:r>
    </w:p>
    <w:p w14:paraId="2CE0D7AC">
      <w:pPr>
        <w:pStyle w:val="3"/>
        <w:spacing w:before="360" w:after="160"/>
      </w:pPr>
      <w:r>
        <w:rPr>
          <w:b/>
          <w:bCs/>
          <w:color w:val="1B2A4A"/>
          <w:sz w:val="26"/>
          <w:szCs w:val="26"/>
        </w:rPr>
        <w:t>2. ICT's Meaning</w:t>
      </w:r>
    </w:p>
    <w:p w14:paraId="4645B840">
      <w:pPr>
        <w:spacing w:after="160" w:line="288" w:lineRule="auto"/>
      </w:pPr>
      <w:r>
        <w:rPr>
          <w:b w:val="0"/>
          <w:bCs w:val="0"/>
          <w:i w:val="0"/>
          <w:iCs w:val="0"/>
          <w:sz w:val="22"/>
          <w:szCs w:val="22"/>
        </w:rPr>
        <w:t>ICT-focused teaching, attributed throughout to Michael J. Huddleston, treats accumulation as the setup phase of a repeatable three-part daily (and, fractally, weekly, monthly, and quarterly) cycle. During this phase, price is described as ranging near the period's open, building a defined high and low, while large positions are built gradually enough to avoid moving price sharply against the participant doing the buying or selling.</w:t>
      </w:r>
    </w:p>
    <w:p w14:paraId="46610770">
      <w:pPr>
        <w:spacing w:after="160" w:line="288" w:lineRule="auto"/>
      </w:pPr>
      <w:r>
        <w:rPr>
          <w:b w:val="0"/>
          <w:bCs w:val="0"/>
          <w:i w:val="0"/>
          <w:iCs w:val="0"/>
          <w:sz w:val="22"/>
          <w:szCs w:val="22"/>
        </w:rPr>
        <w:t>This phase directly reuses the liquidity concepts from Module 4: as retail traders place orders at the obvious range boundaries and protective stops just beyond them, ICT-focused sources describe this as "charging" a pool of buy-side liquidity above the range and sell-side liquidity below it — liquidity the next phase (Manipulation) is expected to draw from.</w:t>
      </w:r>
    </w:p>
    <w:p w14:paraId="02033AA4">
      <w:pPr>
        <w:spacing w:after="160" w:line="288" w:lineRule="auto"/>
      </w:pPr>
      <w:r>
        <w:rPr>
          <w:b w:val="0"/>
          <w:bCs w:val="0"/>
          <w:i w:val="0"/>
          <w:iCs w:val="0"/>
          <w:sz w:val="22"/>
          <w:szCs w:val="22"/>
        </w:rPr>
        <w:t>Sources are consistent that accumulation is a phase to observe and mark, not trade — entering a position based on price bouncing within this range is described across multiple sources as a common and largely avoidable beginner error.</w:t>
      </w:r>
    </w:p>
    <w:p w14:paraId="05A2ECEC">
      <w:pPr>
        <w:pStyle w:val="3"/>
        <w:spacing w:before="360" w:after="160"/>
      </w:pPr>
      <w:r>
        <w:rPr>
          <w:b/>
          <w:bCs/>
          <w:color w:val="1B2A4A"/>
          <w:sz w:val="26"/>
          <w:szCs w:val="26"/>
        </w:rPr>
        <w:t>3. Beginner Explanation</w:t>
      </w:r>
    </w:p>
    <w:p w14:paraId="0053B264">
      <w:pPr>
        <w:spacing w:after="160" w:line="288" w:lineRule="auto"/>
      </w:pPr>
      <w:r>
        <w:rPr>
          <w:b w:val="0"/>
          <w:bCs w:val="0"/>
          <w:i w:val="0"/>
          <w:iCs w:val="0"/>
          <w:sz w:val="22"/>
          <w:szCs w:val="22"/>
        </w:rPr>
        <w:t>At the very start of a new trading period — a new day, a new week, or even a fresh session — price often doesn't do very much for a while. It drifts sideways in a fairly narrow band around wherever it opened. Accumulation is simply the name for this quiet opening stretch, during which (according to this framework) large participants are gradually building positions without yet tipping their hand about which direction the period will ultimately move.</w:t>
      </w:r>
    </w:p>
    <w:p w14:paraId="4C9C14A7">
      <w:pPr>
        <w:pStyle w:val="3"/>
        <w:spacing w:before="360" w:after="160"/>
      </w:pPr>
      <w:r>
        <w:rPr>
          <w:b/>
          <w:bCs/>
          <w:color w:val="1B2A4A"/>
          <w:sz w:val="26"/>
          <w:szCs w:val="26"/>
        </w:rPr>
        <w:t>4. How to Identify It</w:t>
      </w:r>
    </w:p>
    <w:p w14:paraId="71564E2B">
      <w:pPr>
        <w:pStyle w:val="16"/>
        <w:numPr>
          <w:ilvl w:val="0"/>
          <w:numId w:val="1"/>
        </w:numPr>
        <w:spacing w:after="80" w:line="276" w:lineRule="auto"/>
      </w:pPr>
      <w:r>
        <w:rPr>
          <w:sz w:val="22"/>
          <w:szCs w:val="22"/>
        </w:rPr>
        <w:t>Note the period's opening price (a new day, week, or session, depending on the timeframe being analyzed).</w:t>
      </w:r>
    </w:p>
    <w:p w14:paraId="136F188E">
      <w:pPr>
        <w:pStyle w:val="16"/>
        <w:numPr>
          <w:ilvl w:val="0"/>
          <w:numId w:val="1"/>
        </w:numPr>
        <w:spacing w:after="80" w:line="276" w:lineRule="auto"/>
      </w:pPr>
      <w:r>
        <w:rPr>
          <w:sz w:val="22"/>
          <w:szCs w:val="22"/>
        </w:rPr>
        <w:t>Observe whether price consolidates in a relatively tight, roughly horizontal range near that opening price, rather than trending strongly in either direction.</w:t>
      </w:r>
    </w:p>
    <w:p w14:paraId="734F60E3">
      <w:pPr>
        <w:pStyle w:val="16"/>
        <w:numPr>
          <w:ilvl w:val="0"/>
          <w:numId w:val="1"/>
        </w:numPr>
        <w:spacing w:after="80" w:line="276" w:lineRule="auto"/>
      </w:pPr>
      <w:r>
        <w:rPr>
          <w:sz w:val="22"/>
          <w:szCs w:val="22"/>
        </w:rPr>
        <w:t>Mark the high and low of this observed range as the accumulation range.</w:t>
      </w:r>
    </w:p>
    <w:p w14:paraId="65699BA9">
      <w:pPr>
        <w:pStyle w:val="16"/>
        <w:numPr>
          <w:ilvl w:val="0"/>
          <w:numId w:val="1"/>
        </w:numPr>
        <w:spacing w:after="80" w:line="276" w:lineRule="auto"/>
      </w:pPr>
      <w:r>
        <w:rPr>
          <w:sz w:val="22"/>
          <w:szCs w:val="22"/>
        </w:rPr>
        <w:t>Resist entering trades based purely on price moving within this range; treat this phase as observational.</w:t>
      </w:r>
    </w:p>
    <w:p w14:paraId="1EA285A6">
      <w:pPr>
        <w:pStyle w:val="3"/>
        <w:spacing w:before="360" w:after="160"/>
      </w:pPr>
      <w:r>
        <w:rPr>
          <w:b/>
          <w:bCs/>
          <w:color w:val="1B2A4A"/>
          <w:sz w:val="26"/>
          <w:szCs w:val="26"/>
        </w:rPr>
        <w:t>5. Simple Price Example</w:t>
      </w:r>
    </w:p>
    <w:p w14:paraId="769C1662">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Daily open at 100. Price ranges between 98 and 102 for the first several hours of the day.</w:t>
      </w:r>
    </w:p>
    <w:p w14:paraId="1F6E6763">
      <w:pPr>
        <w:spacing w:after="160" w:line="288" w:lineRule="auto"/>
      </w:pPr>
      <w:r>
        <w:rPr>
          <w:b w:val="0"/>
          <w:bCs w:val="0"/>
          <w:i w:val="0"/>
          <w:iCs w:val="0"/>
          <w:sz w:val="22"/>
          <w:szCs w:val="22"/>
        </w:rPr>
        <w:t>This 98–102 band, formed shortly after the day's open and without a clear directional break in either direction, is the accumulation range. A trader following this framework would mark 98 and 102 as reference levels and would not yet take a position based on this observed ranging behavior alone.</w:t>
      </w:r>
    </w:p>
    <w:p w14:paraId="65044AB1">
      <w:pPr>
        <w:pStyle w:val="3"/>
        <w:spacing w:before="360" w:after="160"/>
      </w:pPr>
      <w:r>
        <w:rPr>
          <w:b/>
          <w:bCs/>
          <w:color w:val="1B2A4A"/>
          <w:sz w:val="26"/>
          <w:szCs w:val="26"/>
        </w:rPr>
        <w:t>6. What It Tells the Trader</w:t>
      </w:r>
    </w:p>
    <w:p w14:paraId="22023571">
      <w:pPr>
        <w:spacing w:after="160" w:line="288" w:lineRule="auto"/>
      </w:pPr>
      <w:r>
        <w:rPr>
          <w:b w:val="0"/>
          <w:bCs w:val="0"/>
          <w:i w:val="0"/>
          <w:iCs w:val="0"/>
          <w:sz w:val="22"/>
          <w:szCs w:val="22"/>
        </w:rPr>
        <w:t>Accumulation tells the trader that the period has not yet revealed its intended direction, and provides two specific, markable reference levels (the range high and low) that the next phase is expected to interact with.</w:t>
      </w:r>
    </w:p>
    <w:p w14:paraId="20D6B8D4">
      <w:pPr>
        <w:spacing w:after="160" w:line="288" w:lineRule="auto"/>
      </w:pPr>
      <w:r>
        <w:rPr>
          <w:b w:val="0"/>
          <w:bCs w:val="0"/>
          <w:i w:val="0"/>
          <w:iCs w:val="0"/>
          <w:sz w:val="22"/>
          <w:szCs w:val="22"/>
        </w:rPr>
        <w:t>It does not tell the trader which direction the period will ultimately move, nor does the mere presence of a range guarantee that a clean Manipulation and Distribution sequence will follow — some periods simply continue ranging, or trend directly from the open without any distinct accumulation phase at all.</w:t>
      </w:r>
    </w:p>
    <w:p w14:paraId="47B9C44C">
      <w:pPr>
        <w:pStyle w:val="3"/>
        <w:spacing w:before="360" w:after="160"/>
      </w:pPr>
      <w:r>
        <w:rPr>
          <w:b/>
          <w:bCs/>
          <w:color w:val="1B2A4A"/>
          <w:sz w:val="26"/>
          <w:szCs w:val="26"/>
        </w:rPr>
        <w:t>7. What It Is Commonly Paired With</w:t>
      </w:r>
    </w:p>
    <w:p w14:paraId="55A68AC2">
      <w:pPr>
        <w:pStyle w:val="16"/>
        <w:numPr>
          <w:ilvl w:val="0"/>
          <w:numId w:val="2"/>
        </w:numPr>
        <w:spacing w:after="80" w:line="276" w:lineRule="auto"/>
      </w:pPr>
      <w:r>
        <w:rPr>
          <w:sz w:val="22"/>
          <w:szCs w:val="22"/>
        </w:rPr>
        <w:t>Buy-Side / Sell-Side Liquidity (Module 4)</w:t>
      </w:r>
    </w:p>
    <w:p w14:paraId="744A9797">
      <w:pPr>
        <w:pStyle w:val="16"/>
        <w:numPr>
          <w:ilvl w:val="0"/>
          <w:numId w:val="2"/>
        </w:numPr>
        <w:spacing w:after="80" w:line="276" w:lineRule="auto"/>
      </w:pPr>
      <w:r>
        <w:rPr>
          <w:sz w:val="22"/>
          <w:szCs w:val="22"/>
        </w:rPr>
        <w:t>Manipulation</w:t>
      </w:r>
    </w:p>
    <w:p w14:paraId="31114CFE">
      <w:pPr>
        <w:pStyle w:val="16"/>
        <w:numPr>
          <w:ilvl w:val="0"/>
          <w:numId w:val="2"/>
        </w:numPr>
        <w:spacing w:after="80" w:line="276" w:lineRule="auto"/>
      </w:pPr>
      <w:r>
        <w:rPr>
          <w:sz w:val="22"/>
          <w:szCs w:val="22"/>
        </w:rPr>
        <w:t>Asian Session (Module 8)</w:t>
      </w:r>
    </w:p>
    <w:p w14:paraId="4FDAAC85">
      <w:pPr>
        <w:spacing w:after="160" w:line="288" w:lineRule="auto"/>
      </w:pPr>
      <w:r>
        <w:rPr>
          <w:b w:val="0"/>
          <w:bCs w:val="0"/>
          <w:i w:val="0"/>
          <w:iCs w:val="0"/>
          <w:sz w:val="22"/>
          <w:szCs w:val="22"/>
        </w:rPr>
        <w:t>Accumulation is, on the daily timeframe, most commonly mapped directly onto the Asian session from Module 8 — the same range-building behavior described there is simply being reframed here as the first act of a named three-part cycle that also includes what happens afterward.</w:t>
      </w:r>
    </w:p>
    <w:p w14:paraId="25AC1572">
      <w:pPr>
        <w:pStyle w:val="3"/>
        <w:spacing w:before="360" w:after="160"/>
      </w:pPr>
      <w:r>
        <w:rPr>
          <w:b/>
          <w:bCs/>
          <w:color w:val="1B2A4A"/>
          <w:sz w:val="26"/>
          <w:szCs w:val="26"/>
        </w:rPr>
        <w:t>8. Where It Fits in the ICT Framework</w:t>
      </w:r>
    </w:p>
    <w:p w14:paraId="34E5D3C6">
      <w:pPr>
        <w:spacing w:after="160" w:line="288" w:lineRule="auto"/>
      </w:pPr>
      <w:r>
        <w:rPr>
          <w:b w:val="0"/>
          <w:bCs w:val="0"/>
          <w:i w:val="0"/>
          <w:iCs w:val="0"/>
          <w:sz w:val="22"/>
          <w:szCs w:val="22"/>
        </w:rPr>
        <w:t>Comes before: Requires Buy-Side/Sell-Side Liquidity (Module 4) and Asian Session (Module 8).</w:t>
      </w:r>
    </w:p>
    <w:p w14:paraId="29970D8A">
      <w:pPr>
        <w:spacing w:after="160" w:line="288" w:lineRule="auto"/>
      </w:pPr>
      <w:r>
        <w:rPr>
          <w:b w:val="0"/>
          <w:bCs w:val="0"/>
          <w:i w:val="0"/>
          <w:iCs w:val="0"/>
          <w:sz w:val="22"/>
          <w:szCs w:val="22"/>
        </w:rPr>
        <w:t>Comes after: Feeds directly into Manipulation.</w:t>
      </w:r>
    </w:p>
    <w:p w14:paraId="71BDC5D0">
      <w:pPr>
        <w:pStyle w:val="3"/>
        <w:spacing w:before="360" w:after="160"/>
      </w:pPr>
      <w:r>
        <w:rPr>
          <w:b/>
          <w:bCs/>
          <w:color w:val="1B2A4A"/>
          <w:sz w:val="26"/>
          <w:szCs w:val="26"/>
        </w:rPr>
        <w:t>9. Beginner Mistakes</w:t>
      </w:r>
    </w:p>
    <w:p w14:paraId="2CEB91B6">
      <w:pPr>
        <w:pStyle w:val="16"/>
        <w:numPr>
          <w:ilvl w:val="0"/>
          <w:numId w:val="2"/>
        </w:numPr>
        <w:spacing w:after="80" w:line="276" w:lineRule="auto"/>
      </w:pPr>
      <w:r>
        <w:rPr>
          <w:sz w:val="22"/>
          <w:szCs w:val="22"/>
        </w:rPr>
        <w:t>Entering trades based on price movement within the accumulation range itself.</w:t>
      </w:r>
    </w:p>
    <w:p w14:paraId="4DC544BA">
      <w:pPr>
        <w:pStyle w:val="16"/>
        <w:numPr>
          <w:ilvl w:val="0"/>
          <w:numId w:val="2"/>
        </w:numPr>
        <w:spacing w:after="80" w:line="276" w:lineRule="auto"/>
      </w:pPr>
      <w:r>
        <w:rPr>
          <w:sz w:val="22"/>
          <w:szCs w:val="22"/>
        </w:rPr>
        <w:t>Assuming every period will produce a clean, easily identifiable accumulation range — some periods trend immediately from the open with no meaningful consolidation phase.</w:t>
      </w:r>
    </w:p>
    <w:p w14:paraId="04B39362">
      <w:pPr>
        <w:pStyle w:val="16"/>
        <w:numPr>
          <w:ilvl w:val="0"/>
          <w:numId w:val="2"/>
        </w:numPr>
        <w:spacing w:after="80" w:line="276" w:lineRule="auto"/>
      </w:pPr>
      <w:r>
        <w:rPr>
          <w:sz w:val="22"/>
          <w:szCs w:val="22"/>
        </w:rPr>
        <w:t>Forgetting to mark the range's high and low clearly before the next phase begins.</w:t>
      </w:r>
    </w:p>
    <w:p w14:paraId="7FA1C682">
      <w:pPr>
        <w:pStyle w:val="3"/>
        <w:spacing w:before="360" w:after="160"/>
      </w:pPr>
      <w:r>
        <w:rPr>
          <w:b/>
          <w:bCs/>
          <w:color w:val="1B2A4A"/>
          <w:sz w:val="26"/>
          <w:szCs w:val="26"/>
        </w:rPr>
        <w:t>10. Important Qualification</w:t>
      </w:r>
    </w:p>
    <w:p w14:paraId="0568FCED">
      <w:pPr>
        <w:pBdr>
          <w:left w:val="single" w:color="7A2E2E" w:sz="24" w:space="8"/>
        </w:pBdr>
        <w:shd w:val="clear" w:fill="EFEFEF"/>
        <w:spacing w:before="160" w:after="200"/>
        <w:ind w:left="200"/>
      </w:pPr>
      <w:r>
        <w:rPr>
          <w:b/>
          <w:bCs/>
          <w:color w:val="7A2E2E"/>
          <w:sz w:val="21"/>
          <w:szCs w:val="21"/>
        </w:rPr>
        <w:t xml:space="preserve">Qualification: </w:t>
      </w:r>
      <w:r>
        <w:rPr>
          <w:sz w:val="21"/>
          <w:szCs w:val="21"/>
        </w:rPr>
        <w:t>Not every trading period features a clean, well-defined accumulation phase. Multiple sources explicitly note that the full three-phase pattern appears with "remarkable consistency but not every single day," and that on days with major scheduled news or unusually low volatility, this phase may be compressed, disrupted, or difficult to trade even when it is present.</w:t>
      </w:r>
    </w:p>
    <w:p w14:paraId="5C7CBAEA">
      <w:pPr>
        <w:pStyle w:val="3"/>
        <w:spacing w:before="360" w:after="160"/>
      </w:pPr>
      <w:r>
        <w:rPr>
          <w:b/>
          <w:bCs/>
          <w:color w:val="1B2A4A"/>
          <w:sz w:val="26"/>
          <w:szCs w:val="26"/>
        </w:rPr>
        <w:t>11. Source</w:t>
      </w:r>
    </w:p>
    <w:p w14:paraId="4AB1960D"/>
    <w:p w14:paraId="57C1DA6A">
      <w:pPr>
        <w:pStyle w:val="16"/>
        <w:numPr>
          <w:ilvl w:val="0"/>
          <w:numId w:val="2"/>
        </w:numPr>
        <w:spacing w:after="80" w:line="276" w:lineRule="auto"/>
      </w:pPr>
      <w:r>
        <w:rPr>
          <w:sz w:val="22"/>
          <w:szCs w:val="22"/>
        </w:rPr>
        <w:t>innercircletrader.net — "ICT Power of 3 — Accumulation, Manipulation, Distribution Explained" (attributed directly to Michael J. Huddleston's framework).</w:t>
      </w:r>
    </w:p>
    <w:p w14:paraId="179463A8">
      <w:pPr>
        <w:pStyle w:val="16"/>
        <w:numPr>
          <w:ilvl w:val="0"/>
          <w:numId w:val="2"/>
        </w:numPr>
        <w:spacing w:after="80" w:line="276" w:lineRule="auto"/>
      </w:pPr>
      <w:r>
        <w:rPr>
          <w:sz w:val="22"/>
          <w:szCs w:val="22"/>
        </w:rPr>
        <w:t>ictkillzone.com — "ICT Power of Three (PO3): AMD Explained" ("Mark it. Don't trade it.").</w:t>
      </w:r>
    </w:p>
    <w:p w14:paraId="7D7B29FC">
      <w:pPr>
        <w:pStyle w:val="16"/>
        <w:numPr>
          <w:ilvl w:val="0"/>
          <w:numId w:val="2"/>
        </w:numPr>
        <w:spacing w:after="80" w:line="276" w:lineRule="auto"/>
      </w:pPr>
      <w:r>
        <w:rPr>
          <w:sz w:val="22"/>
          <w:szCs w:val="22"/>
        </w:rPr>
        <w:t>completetradersedge.com — "The ICT Power of 3: Accumulation, Manipulation, Distribution" (explicit acknowledgment the pattern does not appear every single day).</w:t>
      </w:r>
    </w:p>
    <w:p w14:paraId="13A77D8E">
      <w:r>
        <w:br w:type="page"/>
      </w:r>
    </w:p>
    <w:p w14:paraId="4BE06F75">
      <w:pPr>
        <w:pStyle w:val="2"/>
        <w:pBdr>
          <w:bottom w:val="single" w:color="1B2A4A" w:sz="12" w:space="4"/>
        </w:pBdr>
        <w:spacing w:before="480" w:after="240"/>
      </w:pPr>
      <w:r>
        <w:rPr>
          <w:b/>
          <w:bCs/>
          <w:color w:val="1B2A4A"/>
          <w:sz w:val="34"/>
          <w:szCs w:val="34"/>
        </w:rPr>
        <w:t>Manipulation</w:t>
      </w:r>
    </w:p>
    <w:p w14:paraId="2D234BE3">
      <w:pPr>
        <w:pStyle w:val="3"/>
        <w:spacing w:before="360" w:after="160"/>
      </w:pPr>
      <w:r>
        <w:rPr>
          <w:b/>
          <w:bCs/>
          <w:color w:val="1B2A4A"/>
          <w:sz w:val="26"/>
          <w:szCs w:val="26"/>
        </w:rPr>
        <w:t>1. Definition</w:t>
      </w:r>
    </w:p>
    <w:p w14:paraId="0C46ADD1">
      <w:pPr>
        <w:spacing w:after="160" w:line="288" w:lineRule="auto"/>
      </w:pPr>
      <w:r>
        <w:rPr>
          <w:b w:val="0"/>
          <w:bCs w:val="0"/>
          <w:i w:val="0"/>
          <w:iCs w:val="0"/>
          <w:sz w:val="22"/>
          <w:szCs w:val="22"/>
        </w:rPr>
        <w:t>Manipulation is the second phase of the Power of 3 model, in which price is deliberately (from the institutional perspective this framework describes) pushed beyond one boundary of the accumulation range — triggering resting stop-loss and breakout orders — before reversing into the period's true intended direction.</w:t>
      </w:r>
    </w:p>
    <w:p w14:paraId="07CDEF65">
      <w:pPr>
        <w:pStyle w:val="3"/>
        <w:spacing w:before="360" w:after="160"/>
      </w:pPr>
      <w:r>
        <w:rPr>
          <w:b/>
          <w:bCs/>
          <w:color w:val="1B2A4A"/>
          <w:sz w:val="26"/>
          <w:szCs w:val="26"/>
        </w:rPr>
        <w:t>2. ICT's Meaning</w:t>
      </w:r>
    </w:p>
    <w:p w14:paraId="7120DCB4">
      <w:pPr>
        <w:spacing w:after="160" w:line="288" w:lineRule="auto"/>
      </w:pPr>
      <w:r>
        <w:rPr>
          <w:b w:val="0"/>
          <w:bCs w:val="0"/>
          <w:i w:val="0"/>
          <w:iCs w:val="0"/>
          <w:sz w:val="22"/>
          <w:szCs w:val="22"/>
        </w:rPr>
        <w:t>ICT-focused sources describe this phase as functionally identical to the Judas Swing concept introduced in Module 8: a false move beyond the accumulation range, engineered (in this framework's narrative) to trap breakout traders and trigger the stop-losses of traders who had positioned within the range, thereby providing the liquidity institutions are described as needing to complete their positioning.</w:t>
      </w:r>
    </w:p>
    <w:p w14:paraId="73AAAA4C">
      <w:pPr>
        <w:spacing w:after="160" w:line="288" w:lineRule="auto"/>
      </w:pPr>
      <w:r>
        <w:rPr>
          <w:b w:val="0"/>
          <w:bCs w:val="0"/>
          <w:i w:val="0"/>
          <w:iCs w:val="0"/>
          <w:sz w:val="22"/>
          <w:szCs w:val="22"/>
        </w:rPr>
        <w:t>The direction of the manipulation move is consistently described as opposite to the period's eventual true direction: in a bullish period, manipulation drives price below the accumulation range low (a bear trap); in a bearish period, manipulation drives price above the accumulation range high (a bull trap).</w:t>
      </w:r>
    </w:p>
    <w:p w14:paraId="04A2C503">
      <w:pPr>
        <w:spacing w:after="160" w:line="288" w:lineRule="auto"/>
      </w:pPr>
      <w:r>
        <w:rPr>
          <w:b w:val="0"/>
          <w:bCs w:val="0"/>
          <w:i w:val="0"/>
          <w:iCs w:val="0"/>
          <w:sz w:val="22"/>
          <w:szCs w:val="22"/>
        </w:rPr>
        <w:t>Multiple sources frame this phase as deliberately exploiting predictable retail trading psychology — impulsiveness, a tendency to chase breakouts, and a tendency to panic-exit on adverse moves — a narrative framing this book presents descriptively, as it appears across ICT-focused sources, rather than as an independently verified claim about institutional intent.</w:t>
      </w:r>
    </w:p>
    <w:p w14:paraId="5202B5D2">
      <w:pPr>
        <w:pStyle w:val="3"/>
        <w:spacing w:before="360" w:after="160"/>
      </w:pPr>
      <w:r>
        <w:rPr>
          <w:b/>
          <w:bCs/>
          <w:color w:val="1B2A4A"/>
          <w:sz w:val="26"/>
          <w:szCs w:val="26"/>
        </w:rPr>
        <w:t>3. Beginner Explanation</w:t>
      </w:r>
    </w:p>
    <w:p w14:paraId="621AC87B">
      <w:pPr>
        <w:spacing w:after="160" w:line="288" w:lineRule="auto"/>
      </w:pPr>
      <w:r>
        <w:rPr>
          <w:b w:val="0"/>
          <w:bCs w:val="0"/>
          <w:i w:val="0"/>
          <w:iCs w:val="0"/>
          <w:sz w:val="22"/>
          <w:szCs w:val="22"/>
        </w:rPr>
        <w:t>After a quiet opening range, manipulation is the moment things suddenly seem to break out — price shoots beyond the top or bottom of that range, and it looks like the "real" move has finally started. According to this framework, that appearance is precisely the trap: this initial break is not actually the period's true direction, but a deliberate detour designed to catch traders leaning the wrong way before the market reverses.</w:t>
      </w:r>
    </w:p>
    <w:p w14:paraId="544B4605">
      <w:pPr>
        <w:pStyle w:val="3"/>
        <w:spacing w:before="360" w:after="160"/>
      </w:pPr>
      <w:r>
        <w:rPr>
          <w:b/>
          <w:bCs/>
          <w:color w:val="1B2A4A"/>
          <w:sz w:val="26"/>
          <w:szCs w:val="26"/>
        </w:rPr>
        <w:t>4. How to Identify It</w:t>
      </w:r>
    </w:p>
    <w:p w14:paraId="0C98CAEC">
      <w:pPr>
        <w:pStyle w:val="16"/>
        <w:numPr>
          <w:ilvl w:val="0"/>
          <w:numId w:val="1"/>
        </w:numPr>
        <w:spacing w:after="80" w:line="276" w:lineRule="auto"/>
      </w:pPr>
      <w:r>
        <w:rPr>
          <w:sz w:val="22"/>
          <w:szCs w:val="22"/>
        </w:rPr>
        <w:t>Confirm an accumulation range has already been established (see Accumulation).</w:t>
      </w:r>
    </w:p>
    <w:p w14:paraId="565F0482">
      <w:pPr>
        <w:pStyle w:val="16"/>
        <w:numPr>
          <w:ilvl w:val="0"/>
          <w:numId w:val="1"/>
        </w:numPr>
        <w:spacing w:after="80" w:line="276" w:lineRule="auto"/>
      </w:pPr>
      <w:r>
        <w:rPr>
          <w:sz w:val="22"/>
          <w:szCs w:val="22"/>
        </w:rPr>
        <w:t>Watch for price to break beyond one boundary of that range — above the high or below the low.</w:t>
      </w:r>
    </w:p>
    <w:p w14:paraId="2FC2AE37">
      <w:pPr>
        <w:pStyle w:val="16"/>
        <w:numPr>
          <w:ilvl w:val="0"/>
          <w:numId w:val="1"/>
        </w:numPr>
        <w:spacing w:after="80" w:line="276" w:lineRule="auto"/>
      </w:pPr>
      <w:r>
        <w:rPr>
          <w:sz w:val="22"/>
          <w:szCs w:val="22"/>
        </w:rPr>
        <w:t>Assess whether this break appears to be triggering an unusually sharp, brief spike (consistent with a stop-run) rather than a sustained, steadily building move.</w:t>
      </w:r>
    </w:p>
    <w:p w14:paraId="1D76E3BA">
      <w:pPr>
        <w:pStyle w:val="16"/>
        <w:numPr>
          <w:ilvl w:val="0"/>
          <w:numId w:val="1"/>
        </w:numPr>
        <w:spacing w:after="80" w:line="276" w:lineRule="auto"/>
      </w:pPr>
      <w:r>
        <w:rPr>
          <w:sz w:val="22"/>
          <w:szCs w:val="22"/>
        </w:rPr>
        <w:t>Watch for signs of reversal shortly after the break — this is what would subsequently confirm the move as manipulation rather than a genuine breakout (see Distribution, next).</w:t>
      </w:r>
    </w:p>
    <w:p w14:paraId="3AA43064">
      <w:pPr>
        <w:pStyle w:val="3"/>
        <w:spacing w:before="360" w:after="160"/>
      </w:pPr>
      <w:r>
        <w:rPr>
          <w:b/>
          <w:bCs/>
          <w:color w:val="1B2A4A"/>
          <w:sz w:val="26"/>
          <w:szCs w:val="26"/>
        </w:rPr>
        <w:t>5. Simple Price Example</w:t>
      </w:r>
    </w:p>
    <w:p w14:paraId="06590089">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Accumulation range: 98–102. Price spikes down to 95, then reverses back up through 102.</w:t>
      </w:r>
    </w:p>
    <w:p w14:paraId="37FF72FC">
      <w:pPr>
        <w:spacing w:after="160" w:line="288" w:lineRule="auto"/>
      </w:pPr>
      <w:r>
        <w:rPr>
          <w:b w:val="0"/>
          <w:bCs w:val="0"/>
          <w:i w:val="0"/>
          <w:iCs w:val="0"/>
          <w:sz w:val="22"/>
          <w:szCs w:val="22"/>
        </w:rPr>
        <w:t>The spike down to 95 — briefly piercing below the accumulation range low of 98 before reversing — is the manipulation move. Under this framework, this move is read as an engineered dip designed to trigger sell-stop orders and lure in breakout sellers, immediately before the period's true (in this example, bullish) direction asserts itself.</w:t>
      </w:r>
    </w:p>
    <w:p w14:paraId="73D83D10">
      <w:pPr>
        <w:pStyle w:val="3"/>
        <w:spacing w:before="360" w:after="160"/>
      </w:pPr>
      <w:r>
        <w:rPr>
          <w:b/>
          <w:bCs/>
          <w:color w:val="1B2A4A"/>
          <w:sz w:val="26"/>
          <w:szCs w:val="26"/>
        </w:rPr>
        <w:t>6. What It Tells the Trader</w:t>
      </w:r>
    </w:p>
    <w:p w14:paraId="2B0E5DA5">
      <w:pPr>
        <w:spacing w:after="160" w:line="288" w:lineRule="auto"/>
      </w:pPr>
      <w:r>
        <w:rPr>
          <w:b w:val="0"/>
          <w:bCs w:val="0"/>
          <w:i w:val="0"/>
          <w:iCs w:val="0"/>
          <w:sz w:val="22"/>
          <w:szCs w:val="22"/>
        </w:rPr>
        <w:t>Manipulation tells the trader that a specific liquidity pool (one side of the accumulation range) has likely been targeted and triggered, and — once confirmed by a reversal — offers a strong contextual clue about the period's true intended direction (generally opposite to the manipulation move itself).</w:t>
      </w:r>
    </w:p>
    <w:p w14:paraId="704F4C7D">
      <w:pPr>
        <w:spacing w:after="160" w:line="288" w:lineRule="auto"/>
      </w:pPr>
      <w:r>
        <w:rPr>
          <w:b w:val="0"/>
          <w:bCs w:val="0"/>
          <w:i w:val="0"/>
          <w:iCs w:val="0"/>
          <w:sz w:val="22"/>
          <w:szCs w:val="22"/>
        </w:rPr>
        <w:t>It does not, while still in progress, tell the trader with certainty that a reversal will follow; a move that continues past the expected reversal point, without reversing, is instead a genuine breakout, not manipulation — the same distinction already introduced for the Judas Swing in Module 8.</w:t>
      </w:r>
    </w:p>
    <w:p w14:paraId="26CCE1AE">
      <w:pPr>
        <w:pStyle w:val="3"/>
        <w:spacing w:before="360" w:after="160"/>
      </w:pPr>
      <w:r>
        <w:rPr>
          <w:b/>
          <w:bCs/>
          <w:color w:val="1B2A4A"/>
          <w:sz w:val="26"/>
          <w:szCs w:val="26"/>
        </w:rPr>
        <w:t>7. What It Is Commonly Paired With</w:t>
      </w:r>
    </w:p>
    <w:p w14:paraId="21B59BAD">
      <w:pPr>
        <w:pStyle w:val="16"/>
        <w:numPr>
          <w:ilvl w:val="0"/>
          <w:numId w:val="2"/>
        </w:numPr>
        <w:spacing w:after="80" w:line="276" w:lineRule="auto"/>
      </w:pPr>
      <w:r>
        <w:rPr>
          <w:sz w:val="22"/>
          <w:szCs w:val="22"/>
        </w:rPr>
        <w:t>Liquidity Sweep (Module 4)</w:t>
      </w:r>
    </w:p>
    <w:p w14:paraId="499D01FC">
      <w:pPr>
        <w:pStyle w:val="16"/>
        <w:numPr>
          <w:ilvl w:val="0"/>
          <w:numId w:val="2"/>
        </w:numPr>
        <w:spacing w:after="80" w:line="276" w:lineRule="auto"/>
      </w:pPr>
      <w:r>
        <w:rPr>
          <w:sz w:val="22"/>
          <w:szCs w:val="22"/>
        </w:rPr>
        <w:t>Judas Swing (Module 8)</w:t>
      </w:r>
    </w:p>
    <w:p w14:paraId="28301E3B">
      <w:pPr>
        <w:pStyle w:val="16"/>
        <w:numPr>
          <w:ilvl w:val="0"/>
          <w:numId w:val="2"/>
        </w:numPr>
        <w:spacing w:after="80" w:line="276" w:lineRule="auto"/>
      </w:pPr>
      <w:r>
        <w:rPr>
          <w:sz w:val="22"/>
          <w:szCs w:val="22"/>
        </w:rPr>
        <w:t>Distribution</w:t>
      </w:r>
    </w:p>
    <w:p w14:paraId="011CF02B">
      <w:pPr>
        <w:spacing w:after="160" w:line="288" w:lineRule="auto"/>
      </w:pPr>
      <w:r>
        <w:rPr>
          <w:b w:val="0"/>
          <w:bCs w:val="0"/>
          <w:i w:val="0"/>
          <w:iCs w:val="0"/>
          <w:sz w:val="22"/>
          <w:szCs w:val="22"/>
        </w:rPr>
        <w:t>Manipulation is, in every meaningful respect, the same event as the liquidity sweep and Judas Swing concepts from Modules 4 and 8, renamed here as the middle act of the broader three-phase cycle that also formally includes the accumulation setup before it and the distribution payoff after it.</w:t>
      </w:r>
    </w:p>
    <w:p w14:paraId="5C284DA5">
      <w:pPr>
        <w:pStyle w:val="3"/>
        <w:spacing w:before="360" w:after="160"/>
      </w:pPr>
      <w:r>
        <w:rPr>
          <w:b/>
          <w:bCs/>
          <w:color w:val="1B2A4A"/>
          <w:sz w:val="26"/>
          <w:szCs w:val="26"/>
        </w:rPr>
        <w:t>8. Where It Fits in the ICT Framework</w:t>
      </w:r>
    </w:p>
    <w:p w14:paraId="239FE2F3">
      <w:pPr>
        <w:spacing w:after="160" w:line="288" w:lineRule="auto"/>
      </w:pPr>
      <w:r>
        <w:rPr>
          <w:b w:val="0"/>
          <w:bCs w:val="0"/>
          <w:i w:val="0"/>
          <w:iCs w:val="0"/>
          <w:sz w:val="22"/>
          <w:szCs w:val="22"/>
        </w:rPr>
        <w:t>Comes before: Requires Accumulation and Liquidity Sweep (Module 4).</w:t>
      </w:r>
    </w:p>
    <w:p w14:paraId="691C2D37">
      <w:pPr>
        <w:spacing w:after="160" w:line="288" w:lineRule="auto"/>
      </w:pPr>
      <w:r>
        <w:rPr>
          <w:b w:val="0"/>
          <w:bCs w:val="0"/>
          <w:i w:val="0"/>
          <w:iCs w:val="0"/>
          <w:sz w:val="22"/>
          <w:szCs w:val="22"/>
        </w:rPr>
        <w:t>Comes after: Feeds directly into Distribution.</w:t>
      </w:r>
    </w:p>
    <w:p w14:paraId="16FDF9A9">
      <w:pPr>
        <w:pStyle w:val="3"/>
        <w:spacing w:before="360" w:after="160"/>
      </w:pPr>
      <w:r>
        <w:rPr>
          <w:b/>
          <w:bCs/>
          <w:color w:val="1B2A4A"/>
          <w:sz w:val="26"/>
          <w:szCs w:val="26"/>
        </w:rPr>
        <w:t>9. Beginner Mistakes</w:t>
      </w:r>
    </w:p>
    <w:p w14:paraId="352730B3">
      <w:pPr>
        <w:pStyle w:val="16"/>
        <w:numPr>
          <w:ilvl w:val="0"/>
          <w:numId w:val="2"/>
        </w:numPr>
        <w:spacing w:after="80" w:line="276" w:lineRule="auto"/>
      </w:pPr>
      <w:r>
        <w:rPr>
          <w:sz w:val="22"/>
          <w:szCs w:val="22"/>
        </w:rPr>
        <w:t>Chasing the initial manipulation move as though it were the period's genuine direction.</w:t>
      </w:r>
    </w:p>
    <w:p w14:paraId="3607BA62">
      <w:pPr>
        <w:pStyle w:val="16"/>
        <w:numPr>
          <w:ilvl w:val="0"/>
          <w:numId w:val="2"/>
        </w:numPr>
        <w:spacing w:after="80" w:line="276" w:lineRule="auto"/>
      </w:pPr>
      <w:r>
        <w:rPr>
          <w:sz w:val="22"/>
          <w:szCs w:val="22"/>
        </w:rPr>
        <w:t>Failing to wait for confirmation (displacement and a structure shift) that the reversal is actually underway before acting.</w:t>
      </w:r>
    </w:p>
    <w:p w14:paraId="51442E6F">
      <w:pPr>
        <w:pStyle w:val="3"/>
        <w:spacing w:before="360" w:after="160"/>
      </w:pPr>
      <w:r>
        <w:rPr>
          <w:b/>
          <w:bCs/>
          <w:color w:val="1B2A4A"/>
          <w:sz w:val="26"/>
          <w:szCs w:val="26"/>
        </w:rPr>
        <w:t>10. Important Qualification</w:t>
      </w:r>
    </w:p>
    <w:p w14:paraId="7EE12595">
      <w:pPr>
        <w:pBdr>
          <w:left w:val="single" w:color="7A2E2E" w:sz="24" w:space="8"/>
        </w:pBdr>
        <w:shd w:val="clear" w:fill="EFEFEF"/>
        <w:spacing w:before="160" w:after="200"/>
        <w:ind w:left="200"/>
      </w:pPr>
      <w:r>
        <w:rPr>
          <w:b/>
          <w:bCs/>
          <w:color w:val="7A2E2E"/>
          <w:sz w:val="21"/>
          <w:szCs w:val="21"/>
        </w:rPr>
        <w:t xml:space="preserve">Qualification: </w:t>
      </w:r>
      <w:r>
        <w:rPr>
          <w:sz w:val="21"/>
          <w:szCs w:val="21"/>
        </w:rPr>
        <w:t>Manipulation, like the Judas Swing it mirrors, cannot be distinguished from a genuine breakout with certainty until after the fact. A move beyond the accumulation range that fails to reverse within a reasonable number of candles should be treated as a real breakout, not manipulation.</w:t>
      </w:r>
    </w:p>
    <w:p w14:paraId="0834100A">
      <w:pPr>
        <w:pStyle w:val="3"/>
        <w:spacing w:before="360" w:after="160"/>
      </w:pPr>
      <w:r>
        <w:rPr>
          <w:b/>
          <w:bCs/>
          <w:color w:val="1B2A4A"/>
          <w:sz w:val="26"/>
          <w:szCs w:val="26"/>
        </w:rPr>
        <w:t>11. Source</w:t>
      </w:r>
    </w:p>
    <w:p w14:paraId="6F141AAE"/>
    <w:p w14:paraId="4EADEFA5">
      <w:pPr>
        <w:pStyle w:val="16"/>
        <w:numPr>
          <w:ilvl w:val="0"/>
          <w:numId w:val="2"/>
        </w:numPr>
        <w:spacing w:after="80" w:line="276" w:lineRule="auto"/>
      </w:pPr>
      <w:r>
        <w:rPr>
          <w:sz w:val="22"/>
          <w:szCs w:val="22"/>
        </w:rPr>
        <w:t>korafx.com — "ICT Power of Three: How to Trade Market Maker Cycles" (explicit bull-trap/bear-trap directional framing).</w:t>
      </w:r>
    </w:p>
    <w:p w14:paraId="45B4F65A">
      <w:pPr>
        <w:pStyle w:val="16"/>
        <w:numPr>
          <w:ilvl w:val="0"/>
          <w:numId w:val="2"/>
        </w:numPr>
        <w:spacing w:after="80" w:line="276" w:lineRule="auto"/>
      </w:pPr>
      <w:r>
        <w:rPr>
          <w:sz w:val="22"/>
          <w:szCs w:val="22"/>
        </w:rPr>
        <w:t>innercircletrader.net — "ICT Power of 3 — Accumulation, Manipulation, Distribution Explained" (retail order placement at range boundaries "exactly where the next phase will hunt").</w:t>
      </w:r>
    </w:p>
    <w:p w14:paraId="104E665F">
      <w:pPr>
        <w:pStyle w:val="16"/>
        <w:numPr>
          <w:ilvl w:val="0"/>
          <w:numId w:val="2"/>
        </w:numPr>
        <w:spacing w:after="80" w:line="276" w:lineRule="auto"/>
      </w:pPr>
      <w:r>
        <w:rPr>
          <w:sz w:val="22"/>
          <w:szCs w:val="22"/>
        </w:rPr>
        <w:t>writofinance.com — "Trading with ICT Power of 3 (AMD Setup)."</w:t>
      </w:r>
    </w:p>
    <w:p w14:paraId="4D0EB423">
      <w:r>
        <w:br w:type="page"/>
      </w:r>
    </w:p>
    <w:p w14:paraId="5F00176C">
      <w:pPr>
        <w:pStyle w:val="2"/>
        <w:pBdr>
          <w:bottom w:val="single" w:color="1B2A4A" w:sz="12" w:space="4"/>
        </w:pBdr>
        <w:spacing w:before="480" w:after="240"/>
      </w:pPr>
      <w:r>
        <w:rPr>
          <w:b/>
          <w:bCs/>
          <w:color w:val="1B2A4A"/>
          <w:sz w:val="34"/>
          <w:szCs w:val="34"/>
        </w:rPr>
        <w:t>Distribution</w:t>
      </w:r>
    </w:p>
    <w:p w14:paraId="74D34108">
      <w:pPr>
        <w:pStyle w:val="3"/>
        <w:spacing w:before="360" w:after="160"/>
      </w:pPr>
      <w:r>
        <w:rPr>
          <w:b/>
          <w:bCs/>
          <w:color w:val="1B2A4A"/>
          <w:sz w:val="26"/>
          <w:szCs w:val="26"/>
        </w:rPr>
        <w:t>1. Definition</w:t>
      </w:r>
    </w:p>
    <w:p w14:paraId="1929E1B5">
      <w:pPr>
        <w:spacing w:after="160" w:line="288" w:lineRule="auto"/>
      </w:pPr>
      <w:r>
        <w:rPr>
          <w:b w:val="0"/>
          <w:bCs w:val="0"/>
          <w:i w:val="0"/>
          <w:iCs w:val="0"/>
          <w:sz w:val="22"/>
          <w:szCs w:val="22"/>
        </w:rPr>
        <w:t>Distribution is the third and final phase of the Power of 3 model, in which price reverses out of the Manipulation move and delivers the period's genuine, sustained directional move, typically targeting the liquidity resting on the opposite side of the original accumulation range and beyond.</w:t>
      </w:r>
    </w:p>
    <w:p w14:paraId="6D5BA89C">
      <w:pPr>
        <w:pStyle w:val="3"/>
        <w:spacing w:before="360" w:after="160"/>
      </w:pPr>
      <w:r>
        <w:rPr>
          <w:b/>
          <w:bCs/>
          <w:color w:val="1B2A4A"/>
          <w:sz w:val="26"/>
          <w:szCs w:val="26"/>
        </w:rPr>
        <w:t>2. ICT's Meaning</w:t>
      </w:r>
    </w:p>
    <w:p w14:paraId="213C8516">
      <w:pPr>
        <w:spacing w:after="160" w:line="288" w:lineRule="auto"/>
      </w:pPr>
      <w:r>
        <w:rPr>
          <w:b w:val="0"/>
          <w:bCs w:val="0"/>
          <w:i w:val="0"/>
          <w:iCs w:val="0"/>
          <w:sz w:val="22"/>
          <w:szCs w:val="22"/>
        </w:rPr>
        <w:t>ICT-focused sources consistently describe distribution as the only phase of the three that is actually intended to be traded — accumulation is for marking, manipulation is for confirming and identifying direction, and distribution is where a position is actually opened and managed.</w:t>
      </w:r>
    </w:p>
    <w:p w14:paraId="698952AC">
      <w:pPr>
        <w:spacing w:after="160" w:line="288" w:lineRule="auto"/>
      </w:pPr>
      <w:r>
        <w:rPr>
          <w:b w:val="0"/>
          <w:bCs w:val="0"/>
          <w:i w:val="0"/>
          <w:iCs w:val="0"/>
          <w:sz w:val="22"/>
          <w:szCs w:val="22"/>
        </w:rPr>
        <w:t>Multiple sources describe the ideal, cautious sequencing for entering a distribution move: wait for the accumulation range to complete, watch the manipulation phase happen without acting on it, and only enter once a lower-timeframe confirmation — commonly a Change of Character or Market Structure Shift (Module 3) — confirms the reversal out of the manipulation extreme is genuinely underway. This approach means missing the very first portion of the move in exchange for a meaningfully more confirmed, better-defined entry.</w:t>
      </w:r>
    </w:p>
    <w:p w14:paraId="3D2007E9">
      <w:pPr>
        <w:spacing w:after="160" w:line="288" w:lineRule="auto"/>
      </w:pPr>
      <w:r>
        <w:rPr>
          <w:b w:val="0"/>
          <w:bCs w:val="0"/>
          <w:i w:val="0"/>
          <w:iCs w:val="0"/>
          <w:sz w:val="22"/>
          <w:szCs w:val="22"/>
        </w:rPr>
        <w:t>On a completed candle (of any timeframe — daily, weekly, or otherwise), sources describe the distribution phase as visually corresponding to the candle's "body": the wick represents the manipulation excursion, and the larger, sustained move back toward (and beyond) the open represents distribution, which is why a completed bullish PO3 period is commonly described as opening near its low, wicking below the open, and closing near its high (with the mirror pattern for a bearish period).</w:t>
      </w:r>
    </w:p>
    <w:p w14:paraId="2F947D95">
      <w:pPr>
        <w:pStyle w:val="3"/>
        <w:spacing w:before="360" w:after="160"/>
      </w:pPr>
      <w:r>
        <w:rPr>
          <w:b/>
          <w:bCs/>
          <w:color w:val="1B2A4A"/>
          <w:sz w:val="26"/>
          <w:szCs w:val="26"/>
        </w:rPr>
        <w:t>3. Beginner Explanation</w:t>
      </w:r>
    </w:p>
    <w:p w14:paraId="710C42F1">
      <w:pPr>
        <w:spacing w:after="160" w:line="288" w:lineRule="auto"/>
      </w:pPr>
      <w:r>
        <w:rPr>
          <w:b w:val="0"/>
          <w:bCs w:val="0"/>
          <w:i w:val="0"/>
          <w:iCs w:val="0"/>
          <w:sz w:val="22"/>
          <w:szCs w:val="22"/>
        </w:rPr>
        <w:t>After the deceptive manipulation move reverses, distribution is simply the name for what happens next: the actual, sustained move in the period's true direction — the part of the day (or week, or any other period) where the majority of genuine, lasting price movement occurs, and where this framework says the real trading opportunity exists.</w:t>
      </w:r>
    </w:p>
    <w:p w14:paraId="0379C4C5">
      <w:pPr>
        <w:pStyle w:val="3"/>
        <w:spacing w:before="360" w:after="160"/>
      </w:pPr>
      <w:r>
        <w:rPr>
          <w:b/>
          <w:bCs/>
          <w:color w:val="1B2A4A"/>
          <w:sz w:val="26"/>
          <w:szCs w:val="26"/>
        </w:rPr>
        <w:t>4. How to Identify It</w:t>
      </w:r>
    </w:p>
    <w:p w14:paraId="27DCFC51">
      <w:pPr>
        <w:pStyle w:val="16"/>
        <w:numPr>
          <w:ilvl w:val="0"/>
          <w:numId w:val="1"/>
        </w:numPr>
        <w:spacing w:after="80" w:line="276" w:lineRule="auto"/>
      </w:pPr>
      <w:r>
        <w:rPr>
          <w:sz w:val="22"/>
          <w:szCs w:val="22"/>
        </w:rPr>
        <w:t>Confirm a manipulation move has occurred and appears to be reversing (see Manipulation).</w:t>
      </w:r>
    </w:p>
    <w:p w14:paraId="6267B5E5">
      <w:pPr>
        <w:pStyle w:val="16"/>
        <w:numPr>
          <w:ilvl w:val="0"/>
          <w:numId w:val="1"/>
        </w:numPr>
        <w:spacing w:after="80" w:line="276" w:lineRule="auto"/>
      </w:pPr>
      <w:r>
        <w:rPr>
          <w:sz w:val="22"/>
          <w:szCs w:val="22"/>
        </w:rPr>
        <w:t>Watch for a lower-timeframe confirmation of this reversal — commonly a Market Structure Shift (Module 3).</w:t>
      </w:r>
    </w:p>
    <w:p w14:paraId="74DB778A">
      <w:pPr>
        <w:pStyle w:val="16"/>
        <w:numPr>
          <w:ilvl w:val="0"/>
          <w:numId w:val="1"/>
        </w:numPr>
        <w:spacing w:after="80" w:line="276" w:lineRule="auto"/>
      </w:pPr>
      <w:r>
        <w:rPr>
          <w:sz w:val="22"/>
          <w:szCs w:val="22"/>
        </w:rPr>
        <w:t>Enter in the direction of this confirmed reversal, rather than during the manipulation move itself.</w:t>
      </w:r>
    </w:p>
    <w:p w14:paraId="782568A3">
      <w:pPr>
        <w:pStyle w:val="16"/>
        <w:numPr>
          <w:ilvl w:val="0"/>
          <w:numId w:val="1"/>
        </w:numPr>
        <w:spacing w:after="80" w:line="276" w:lineRule="auto"/>
      </w:pPr>
      <w:r>
        <w:rPr>
          <w:sz w:val="22"/>
          <w:szCs w:val="22"/>
        </w:rPr>
        <w:t>Target the liquidity resting on the opposite side of the original accumulation range, and beyond, as the objective for this move.</w:t>
      </w:r>
    </w:p>
    <w:p w14:paraId="72D6CB4F">
      <w:pPr>
        <w:pStyle w:val="3"/>
        <w:spacing w:before="360" w:after="160"/>
      </w:pPr>
      <w:r>
        <w:rPr>
          <w:b/>
          <w:bCs/>
          <w:color w:val="1B2A4A"/>
          <w:sz w:val="26"/>
          <w:szCs w:val="26"/>
        </w:rPr>
        <w:t>5. Simple Price Example</w:t>
      </w:r>
    </w:p>
    <w:p w14:paraId="3FEFCD6A">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Accumulation range: 98–102. Manipulation: spike to 95, reversal begins. Distribution: price rallies from 95 through 102 and continues to 115.</w:t>
      </w:r>
    </w:p>
    <w:p w14:paraId="2A310B4C">
      <w:pPr>
        <w:spacing w:after="160" w:line="288" w:lineRule="auto"/>
      </w:pPr>
      <w:r>
        <w:rPr>
          <w:b w:val="0"/>
          <w:bCs w:val="0"/>
          <w:i w:val="0"/>
          <w:iCs w:val="0"/>
          <w:sz w:val="22"/>
          <w:szCs w:val="22"/>
        </w:rPr>
        <w:t>The sustained rally from 95 through 102 and on to 115 is the distribution phase — the period's genuine, sustained directional move, reversing the manipulation dip and ultimately targeting (and exceeding) the buy-side liquidity resting above the original accumulation range high of 102.</w:t>
      </w:r>
    </w:p>
    <w:p w14:paraId="02F03135">
      <w:pPr>
        <w:pStyle w:val="3"/>
        <w:spacing w:before="360" w:after="160"/>
      </w:pPr>
      <w:r>
        <w:rPr>
          <w:b/>
          <w:bCs/>
          <w:color w:val="1B2A4A"/>
          <w:sz w:val="26"/>
          <w:szCs w:val="26"/>
        </w:rPr>
        <w:t>6. What It Tells the Trader</w:t>
      </w:r>
    </w:p>
    <w:p w14:paraId="7FF82421">
      <w:pPr>
        <w:spacing w:after="160" w:line="288" w:lineRule="auto"/>
      </w:pPr>
      <w:r>
        <w:rPr>
          <w:b w:val="0"/>
          <w:bCs w:val="0"/>
          <w:i w:val="0"/>
          <w:iCs w:val="0"/>
          <w:sz w:val="22"/>
          <w:szCs w:val="22"/>
        </w:rPr>
        <w:t>Distribution tells the trader that the period's true intended direction has been confirmed and is now actively developing, providing the specific window during which an entry, according to this framework, should actually be taken.</w:t>
      </w:r>
    </w:p>
    <w:p w14:paraId="060A5C23">
      <w:pPr>
        <w:spacing w:after="160" w:line="288" w:lineRule="auto"/>
      </w:pPr>
      <w:r>
        <w:rPr>
          <w:b w:val="0"/>
          <w:bCs w:val="0"/>
          <w:i w:val="0"/>
          <w:iCs w:val="0"/>
          <w:sz w:val="22"/>
          <w:szCs w:val="22"/>
        </w:rPr>
        <w:t>It does not tell the trader exactly how far the distribution move will travel, or guarantee that it will reach every candidate liquidity target beyond the original range — targets remain probabilistic, as described throughout Module 4.</w:t>
      </w:r>
    </w:p>
    <w:p w14:paraId="12D36190">
      <w:pPr>
        <w:pStyle w:val="3"/>
        <w:spacing w:before="360" w:after="160"/>
      </w:pPr>
      <w:r>
        <w:rPr>
          <w:b/>
          <w:bCs/>
          <w:color w:val="1B2A4A"/>
          <w:sz w:val="26"/>
          <w:szCs w:val="26"/>
        </w:rPr>
        <w:t>7. What It Is Commonly Paired With</w:t>
      </w:r>
    </w:p>
    <w:p w14:paraId="41F616A3">
      <w:pPr>
        <w:pStyle w:val="16"/>
        <w:numPr>
          <w:ilvl w:val="0"/>
          <w:numId w:val="2"/>
        </w:numPr>
        <w:spacing w:after="80" w:line="276" w:lineRule="auto"/>
      </w:pPr>
      <w:r>
        <w:rPr>
          <w:sz w:val="22"/>
          <w:szCs w:val="22"/>
        </w:rPr>
        <w:t>Market Structure Shift (Module 3)</w:t>
      </w:r>
    </w:p>
    <w:p w14:paraId="005027CE">
      <w:pPr>
        <w:pStyle w:val="16"/>
        <w:numPr>
          <w:ilvl w:val="0"/>
          <w:numId w:val="2"/>
        </w:numPr>
        <w:spacing w:after="80" w:line="276" w:lineRule="auto"/>
      </w:pPr>
      <w:r>
        <w:rPr>
          <w:sz w:val="22"/>
          <w:szCs w:val="22"/>
        </w:rPr>
        <w:t>Target Liquidity (Modules 11–12)</w:t>
      </w:r>
    </w:p>
    <w:p w14:paraId="39C31547">
      <w:pPr>
        <w:pStyle w:val="16"/>
        <w:numPr>
          <w:ilvl w:val="0"/>
          <w:numId w:val="2"/>
        </w:numPr>
        <w:spacing w:after="80" w:line="276" w:lineRule="auto"/>
      </w:pPr>
      <w:r>
        <w:rPr>
          <w:sz w:val="22"/>
          <w:szCs w:val="22"/>
        </w:rPr>
        <w:t>New York Session (Module 8)</w:t>
      </w:r>
    </w:p>
    <w:p w14:paraId="6B7441D7">
      <w:pPr>
        <w:spacing w:after="160" w:line="288" w:lineRule="auto"/>
      </w:pPr>
      <w:r>
        <w:rPr>
          <w:b w:val="0"/>
          <w:bCs w:val="0"/>
          <w:i w:val="0"/>
          <w:iCs w:val="0"/>
          <w:sz w:val="22"/>
          <w:szCs w:val="22"/>
        </w:rPr>
        <w:t>Distribution is confirmed using the exact same Market Structure Shift concept from Module 3, and it is the phase most directly identified, on the daily timeframe, with the New York session from Module 8 — the session ICT-focused sources describe as delivering the day's main expansion.</w:t>
      </w:r>
    </w:p>
    <w:p w14:paraId="1385C440">
      <w:pPr>
        <w:pStyle w:val="3"/>
        <w:spacing w:before="360" w:after="160"/>
      </w:pPr>
      <w:r>
        <w:rPr>
          <w:b/>
          <w:bCs/>
          <w:color w:val="1B2A4A"/>
          <w:sz w:val="26"/>
          <w:szCs w:val="26"/>
        </w:rPr>
        <w:t>8. Where It Fits in the ICT Framework</w:t>
      </w:r>
    </w:p>
    <w:p w14:paraId="531A518F">
      <w:pPr>
        <w:spacing w:after="160" w:line="288" w:lineRule="auto"/>
      </w:pPr>
      <w:r>
        <w:rPr>
          <w:b w:val="0"/>
          <w:bCs w:val="0"/>
          <w:i w:val="0"/>
          <w:iCs w:val="0"/>
          <w:sz w:val="22"/>
          <w:szCs w:val="22"/>
        </w:rPr>
        <w:t>Comes before: Requires Manipulation and Market Structure Shift (Module 3).</w:t>
      </w:r>
    </w:p>
    <w:p w14:paraId="10221996">
      <w:pPr>
        <w:spacing w:after="160" w:line="288" w:lineRule="auto"/>
      </w:pPr>
      <w:r>
        <w:rPr>
          <w:b w:val="0"/>
          <w:bCs w:val="0"/>
          <w:i w:val="0"/>
          <w:iCs w:val="0"/>
          <w:sz w:val="22"/>
          <w:szCs w:val="22"/>
        </w:rPr>
        <w:t>Comes after: Concludes the three-phase cycle and feeds into Power of 3 (the consolidated concept) and Session Relationship to PO3.</w:t>
      </w:r>
    </w:p>
    <w:p w14:paraId="20E140F5">
      <w:pPr>
        <w:pStyle w:val="3"/>
        <w:spacing w:before="360" w:after="160"/>
      </w:pPr>
      <w:r>
        <w:rPr>
          <w:b/>
          <w:bCs/>
          <w:color w:val="1B2A4A"/>
          <w:sz w:val="26"/>
          <w:szCs w:val="26"/>
        </w:rPr>
        <w:t>9. Beginner Mistakes</w:t>
      </w:r>
    </w:p>
    <w:p w14:paraId="36583E28">
      <w:pPr>
        <w:pStyle w:val="16"/>
        <w:numPr>
          <w:ilvl w:val="0"/>
          <w:numId w:val="2"/>
        </w:numPr>
        <w:spacing w:after="80" w:line="276" w:lineRule="auto"/>
      </w:pPr>
      <w:r>
        <w:rPr>
          <w:sz w:val="22"/>
          <w:szCs w:val="22"/>
        </w:rPr>
        <w:t>Entering during the manipulation phase rather than waiting for confirmed distribution.</w:t>
      </w:r>
    </w:p>
    <w:p w14:paraId="6BABB2F4">
      <w:pPr>
        <w:pStyle w:val="16"/>
        <w:numPr>
          <w:ilvl w:val="0"/>
          <w:numId w:val="2"/>
        </w:numPr>
        <w:spacing w:after="80" w:line="276" w:lineRule="auto"/>
      </w:pPr>
      <w:r>
        <w:rPr>
          <w:sz w:val="22"/>
          <w:szCs w:val="22"/>
        </w:rPr>
        <w:t>Exiting a distribution-phase trade prematurely, before it has reached a reasonable liquidity target, out of a lack of confidence in the move.</w:t>
      </w:r>
    </w:p>
    <w:p w14:paraId="0E37AC34">
      <w:pPr>
        <w:pStyle w:val="16"/>
        <w:numPr>
          <w:ilvl w:val="0"/>
          <w:numId w:val="2"/>
        </w:numPr>
        <w:spacing w:after="80" w:line="276" w:lineRule="auto"/>
      </w:pPr>
      <w:r>
        <w:rPr>
          <w:sz w:val="22"/>
          <w:szCs w:val="22"/>
        </w:rPr>
        <w:t>Assuming every manipulation move is immediately followed by clean, uninterrupted distribution, rather than allowing for a period of consolidation or partial retracement along the way.</w:t>
      </w:r>
    </w:p>
    <w:p w14:paraId="15959C60">
      <w:pPr>
        <w:pStyle w:val="3"/>
        <w:spacing w:before="360" w:after="160"/>
      </w:pPr>
      <w:r>
        <w:rPr>
          <w:b/>
          <w:bCs/>
          <w:color w:val="1B2A4A"/>
          <w:sz w:val="26"/>
          <w:szCs w:val="26"/>
        </w:rPr>
        <w:t>10. Important Qualification</w:t>
      </w:r>
    </w:p>
    <w:p w14:paraId="4FA2AA55">
      <w:pPr>
        <w:pBdr>
          <w:left w:val="single" w:color="7A2E2E" w:sz="24" w:space="8"/>
        </w:pBdr>
        <w:shd w:val="clear" w:fill="EFEFEF"/>
        <w:spacing w:before="160" w:after="200"/>
        <w:ind w:left="200"/>
      </w:pPr>
      <w:r>
        <w:rPr>
          <w:b/>
          <w:bCs/>
          <w:color w:val="7A2E2E"/>
          <w:sz w:val="21"/>
          <w:szCs w:val="21"/>
        </w:rPr>
        <w:t xml:space="preserve">Qualification: </w:t>
      </w:r>
      <w:r>
        <w:rPr>
          <w:sz w:val="21"/>
          <w:szCs w:val="21"/>
        </w:rPr>
        <w:t>Distribution describes the expected outcome once accumulation and manipulation have both been correctly identified, but this book, echoing sources reviewed for this module, is explicit that the full three-phase pattern does not appear on every single trading day, and that entering purely on the expectation of distribution, without a genuine lower-timeframe confirmation, undermines the entire discipline the model is meant to encourage.</w:t>
      </w:r>
    </w:p>
    <w:p w14:paraId="156A202F">
      <w:pPr>
        <w:pStyle w:val="3"/>
        <w:spacing w:before="360" w:after="160"/>
      </w:pPr>
      <w:r>
        <w:rPr>
          <w:b/>
          <w:bCs/>
          <w:color w:val="1B2A4A"/>
          <w:sz w:val="26"/>
          <w:szCs w:val="26"/>
        </w:rPr>
        <w:t>11. Source</w:t>
      </w:r>
    </w:p>
    <w:p w14:paraId="3096FB80"/>
    <w:p w14:paraId="6A4F25CC">
      <w:pPr>
        <w:pStyle w:val="16"/>
        <w:numPr>
          <w:ilvl w:val="0"/>
          <w:numId w:val="2"/>
        </w:numPr>
        <w:spacing w:after="80" w:line="276" w:lineRule="auto"/>
      </w:pPr>
      <w:r>
        <w:rPr>
          <w:sz w:val="22"/>
          <w:szCs w:val="22"/>
        </w:rPr>
        <w:t>innercircletrader.net — "ICT Power of 3 — Accumulation, Manipulation, Distribution Explained" ("Take entries during distribution only").</w:t>
      </w:r>
    </w:p>
    <w:p w14:paraId="33E456CE">
      <w:pPr>
        <w:pStyle w:val="16"/>
        <w:numPr>
          <w:ilvl w:val="0"/>
          <w:numId w:val="2"/>
        </w:numPr>
        <w:spacing w:after="80" w:line="276" w:lineRule="auto"/>
      </w:pPr>
      <w:r>
        <w:rPr>
          <w:sz w:val="22"/>
          <w:szCs w:val="22"/>
        </w:rPr>
        <w:t>completetradersedge.com — "The ICT Power of 3: Accumulation, Manipulation, Distribution" (wait-for-CHoCH entry approach, explicit trade-off of missing the first portion of the move).</w:t>
      </w:r>
    </w:p>
    <w:p w14:paraId="525B5242">
      <w:pPr>
        <w:pStyle w:val="16"/>
        <w:numPr>
          <w:ilvl w:val="0"/>
          <w:numId w:val="2"/>
        </w:numPr>
        <w:spacing w:after="80" w:line="276" w:lineRule="auto"/>
      </w:pPr>
      <w:r>
        <w:rPr>
          <w:sz w:val="22"/>
          <w:szCs w:val="22"/>
        </w:rPr>
        <w:t>luxalgo.com — "Accumulation-manipulation-distribution — Smart Money Concepts / ICT Concept" (candle anatomy: bullish PO3 day "opens near its low, wicks below the open, and closes near its high").</w:t>
      </w:r>
    </w:p>
    <w:p w14:paraId="64710452">
      <w:r>
        <w:br w:type="page"/>
      </w:r>
    </w:p>
    <w:p w14:paraId="595D07B2">
      <w:pPr>
        <w:pStyle w:val="2"/>
        <w:pBdr>
          <w:bottom w:val="single" w:color="1B2A4A" w:sz="12" w:space="4"/>
        </w:pBdr>
        <w:spacing w:before="480" w:after="240"/>
      </w:pPr>
      <w:r>
        <w:rPr>
          <w:b/>
          <w:bCs/>
          <w:color w:val="1B2A4A"/>
          <w:sz w:val="34"/>
          <w:szCs w:val="34"/>
        </w:rPr>
        <w:t>Power of 3 (PO3)</w:t>
      </w:r>
    </w:p>
    <w:p w14:paraId="1538D4AD">
      <w:pPr>
        <w:pStyle w:val="3"/>
        <w:spacing w:before="360" w:after="160"/>
      </w:pPr>
      <w:r>
        <w:rPr>
          <w:b/>
          <w:bCs/>
          <w:color w:val="1B2A4A"/>
          <w:sz w:val="26"/>
          <w:szCs w:val="26"/>
        </w:rPr>
        <w:t>1. Definition</w:t>
      </w:r>
    </w:p>
    <w:p w14:paraId="18763D1E">
      <w:pPr>
        <w:spacing w:after="160" w:line="288" w:lineRule="auto"/>
      </w:pPr>
      <w:r>
        <w:rPr>
          <w:b w:val="0"/>
          <w:bCs w:val="0"/>
          <w:i w:val="0"/>
          <w:iCs w:val="0"/>
          <w:sz w:val="22"/>
          <w:szCs w:val="22"/>
        </w:rPr>
        <w:t>The Power of 3 (PO3), also referred to as the AMD model, is the complete, named three-phase template — Accumulation, Manipulation, Distribution — that ICT-focused teaching uses to describe how a trading period of any length (a session, a day, a week, a month, or a quarter) tends to unfold around its opening price.</w:t>
      </w:r>
    </w:p>
    <w:p w14:paraId="6DAF36AB">
      <w:pPr>
        <w:pStyle w:val="3"/>
        <w:spacing w:before="360" w:after="160"/>
      </w:pPr>
      <w:r>
        <w:rPr>
          <w:b/>
          <w:bCs/>
          <w:color w:val="1B2A4A"/>
          <w:sz w:val="26"/>
          <w:szCs w:val="26"/>
        </w:rPr>
        <w:t>2. ICT's Meaning</w:t>
      </w:r>
    </w:p>
    <w:p w14:paraId="14541C7B">
      <w:pPr>
        <w:spacing w:after="160" w:line="288" w:lineRule="auto"/>
      </w:pPr>
      <w:r>
        <w:rPr>
          <w:b w:val="0"/>
          <w:bCs w:val="0"/>
          <w:i w:val="0"/>
          <w:iCs w:val="0"/>
          <w:sz w:val="22"/>
          <w:szCs w:val="22"/>
        </w:rPr>
        <w:t>ICT-focused sources, attributing the model directly to Michael J. Huddleston, describe PO3 as one of the most fundamental organizing concepts in the entire framework — several sources go as far as calling it the "master framework" that every other ICT concept (Kill Zones, liquidity sweeps, Fair Value Gaps, Order Blocks, Market Structure Shifts) is understood to operate inside of, rather than a separate, standalone tool.</w:t>
      </w:r>
    </w:p>
    <w:p w14:paraId="4DFB5B16">
      <w:pPr>
        <w:spacing w:after="160" w:line="288" w:lineRule="auto"/>
      </w:pPr>
      <w:r>
        <w:rPr>
          <w:b w:val="0"/>
          <w:bCs w:val="0"/>
          <w:i w:val="0"/>
          <w:iCs w:val="0"/>
          <w:sz w:val="22"/>
          <w:szCs w:val="22"/>
        </w:rPr>
        <w:t>The single most emphasized property of PO3 across every source reviewed is that it is fractal: the identical three-phase shape is described as appearing simultaneously at every scale — a single candle's own open-high-low-close anatomy, an intraday session, a full trading day, a trading week, and even a full month or quarter, with each larger scale's phases containing a complete, nested copy of the same pattern at the scale below it.</w:t>
      </w:r>
    </w:p>
    <w:p w14:paraId="6A1A5BC3">
      <w:pPr>
        <w:pStyle w:val="3"/>
        <w:spacing w:before="360" w:after="160"/>
      </w:pPr>
      <w:r>
        <w:rPr>
          <w:b/>
          <w:bCs/>
          <w:color w:val="1B2A4A"/>
          <w:sz w:val="26"/>
          <w:szCs w:val="26"/>
        </w:rPr>
        <w:t>3. Beginner Explanation</w:t>
      </w:r>
    </w:p>
    <w:p w14:paraId="30049473">
      <w:pPr>
        <w:spacing w:after="160" w:line="288" w:lineRule="auto"/>
      </w:pPr>
      <w:r>
        <w:rPr>
          <w:b w:val="0"/>
          <w:bCs w:val="0"/>
          <w:i w:val="0"/>
          <w:iCs w:val="0"/>
          <w:sz w:val="22"/>
          <w:szCs w:val="22"/>
        </w:rPr>
        <w:t>Power of 3 is the name for the whole three-part story this module has walked through in pieces: a quiet setup (Accumulation), a deceptive trap (Manipulation), and the real payoff (Distribution). What makes this idea especially powerful, according to ICT-focused teaching, is that this exact three-part story is said to repeat at almost every possible zoom level — from a single candle, to an hour, to a full day, to an entire week — like a pattern that looks the same no matter how far you zoom in or out.</w:t>
      </w:r>
    </w:p>
    <w:p w14:paraId="0226E80A">
      <w:pPr>
        <w:pStyle w:val="3"/>
        <w:spacing w:before="360" w:after="160"/>
      </w:pPr>
      <w:r>
        <w:rPr>
          <w:b/>
          <w:bCs/>
          <w:color w:val="1B2A4A"/>
          <w:sz w:val="26"/>
          <w:szCs w:val="26"/>
        </w:rPr>
        <w:t>4. How to Identify It</w:t>
      </w:r>
    </w:p>
    <w:p w14:paraId="26F8A5CF">
      <w:pPr>
        <w:pStyle w:val="16"/>
        <w:numPr>
          <w:ilvl w:val="0"/>
          <w:numId w:val="1"/>
        </w:numPr>
        <w:spacing w:after="80" w:line="276" w:lineRule="auto"/>
      </w:pPr>
      <w:r>
        <w:rPr>
          <w:sz w:val="22"/>
          <w:szCs w:val="22"/>
        </w:rPr>
        <w:t>Choose the specific period being analyzed (a session, a day, a week, or another interval).</w:t>
      </w:r>
    </w:p>
    <w:p w14:paraId="2F6C97FB">
      <w:pPr>
        <w:pStyle w:val="16"/>
        <w:numPr>
          <w:ilvl w:val="0"/>
          <w:numId w:val="1"/>
        </w:numPr>
        <w:spacing w:after="80" w:line="276" w:lineRule="auto"/>
      </w:pPr>
      <w:r>
        <w:rPr>
          <w:sz w:val="22"/>
          <w:szCs w:val="22"/>
        </w:rPr>
        <w:t>Identify that period's opening price.</w:t>
      </w:r>
    </w:p>
    <w:p w14:paraId="5208F49B">
      <w:pPr>
        <w:pStyle w:val="16"/>
        <w:numPr>
          <w:ilvl w:val="0"/>
          <w:numId w:val="1"/>
        </w:numPr>
        <w:spacing w:after="80" w:line="276" w:lineRule="auto"/>
      </w:pPr>
      <w:r>
        <w:rPr>
          <w:sz w:val="22"/>
          <w:szCs w:val="22"/>
        </w:rPr>
        <w:t>Mark the Accumulation range that forms near that open.</w:t>
      </w:r>
    </w:p>
    <w:p w14:paraId="7085A1E2">
      <w:pPr>
        <w:pStyle w:val="16"/>
        <w:numPr>
          <w:ilvl w:val="0"/>
          <w:numId w:val="1"/>
        </w:numPr>
        <w:spacing w:after="80" w:line="276" w:lineRule="auto"/>
      </w:pPr>
      <w:r>
        <w:rPr>
          <w:sz w:val="22"/>
          <w:szCs w:val="22"/>
        </w:rPr>
        <w:t>Watch for the Manipulation move beyond one side of that range.</w:t>
      </w:r>
    </w:p>
    <w:p w14:paraId="238C8952">
      <w:pPr>
        <w:pStyle w:val="16"/>
        <w:numPr>
          <w:ilvl w:val="0"/>
          <w:numId w:val="1"/>
        </w:numPr>
        <w:spacing w:after="80" w:line="276" w:lineRule="auto"/>
      </w:pPr>
      <w:r>
        <w:rPr>
          <w:sz w:val="22"/>
          <w:szCs w:val="22"/>
        </w:rPr>
        <w:t>Confirm and act on the Distribution move that follows, once genuinely confirmed.</w:t>
      </w:r>
    </w:p>
    <w:p w14:paraId="2104231C">
      <w:pPr>
        <w:pStyle w:val="16"/>
        <w:numPr>
          <w:ilvl w:val="0"/>
          <w:numId w:val="1"/>
        </w:numPr>
        <w:spacing w:after="80" w:line="276" w:lineRule="auto"/>
      </w:pPr>
      <w:r>
        <w:rPr>
          <w:sz w:val="22"/>
          <w:szCs w:val="22"/>
        </w:rPr>
        <w:t>Recognize that this same template can, in principle, be found nested inside any single phase of a larger PO3 cycle — for example, a smaller, complete PO3 cycle occurring entirely within a larger cycle's manipulation phase.</w:t>
      </w:r>
    </w:p>
    <w:p w14:paraId="6D275405">
      <w:pPr>
        <w:pStyle w:val="3"/>
        <w:spacing w:before="360" w:after="160"/>
      </w:pPr>
      <w:r>
        <w:rPr>
          <w:b/>
          <w:bCs/>
          <w:color w:val="1B2A4A"/>
          <w:sz w:val="26"/>
          <w:szCs w:val="26"/>
        </w:rPr>
        <w:t>5. Simple Price Example</w:t>
      </w:r>
    </w:p>
    <w:p w14:paraId="454FFDDF">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Weekly PO3: Monday–Tuesday accumulation (range 1000–1020), Tuesday–Wednesday manipulation (spike to 990), Thursday–Friday distribution (rally to 1080)</w:t>
      </w:r>
    </w:p>
    <w:p w14:paraId="0BDCF8DC">
      <w:pPr>
        <w:spacing w:after="160" w:line="288" w:lineRule="auto"/>
      </w:pPr>
      <w:r>
        <w:rPr>
          <w:b w:val="0"/>
          <w:bCs w:val="0"/>
          <w:i w:val="0"/>
          <w:iCs w:val="0"/>
          <w:sz w:val="22"/>
          <w:szCs w:val="22"/>
        </w:rPr>
        <w:t>This single example illustrates the same three-phase shape already shown at the daily level earlier in this module, but stretched across an entire trading week rather than a single day — the specific mechanism (range, trap, payoff) is identical; only the timeframe and the specific price levels have changed.</w:t>
      </w:r>
    </w:p>
    <w:p w14:paraId="0091F16A">
      <w:pPr>
        <w:pStyle w:val="3"/>
        <w:spacing w:before="360" w:after="160"/>
      </w:pPr>
      <w:r>
        <w:rPr>
          <w:b/>
          <w:bCs/>
          <w:color w:val="1B2A4A"/>
          <w:sz w:val="26"/>
          <w:szCs w:val="26"/>
        </w:rPr>
        <w:t>6. What It Tells the Trader</w:t>
      </w:r>
    </w:p>
    <w:p w14:paraId="517BBA10">
      <w:pPr>
        <w:spacing w:after="160" w:line="288" w:lineRule="auto"/>
      </w:pPr>
      <w:r>
        <w:rPr>
          <w:b w:val="0"/>
          <w:bCs w:val="0"/>
          <w:i w:val="0"/>
          <w:iCs w:val="0"/>
          <w:sz w:val="22"/>
          <w:szCs w:val="22"/>
        </w:rPr>
        <w:t>Power of 3 tells the trader a single, reusable mental template for organizing price behavior at any timeframe, and explains why this book's earlier modules (structure, liquidity, displacement, sessions) all fit together into one coherent story rather than being a disconnected list of separate tools.</w:t>
      </w:r>
    </w:p>
    <w:p w14:paraId="470FFE46">
      <w:pPr>
        <w:spacing w:after="160" w:line="288" w:lineRule="auto"/>
      </w:pPr>
      <w:r>
        <w:rPr>
          <w:b w:val="0"/>
          <w:bCs w:val="0"/>
          <w:i w:val="0"/>
          <w:iCs w:val="0"/>
          <w:sz w:val="22"/>
          <w:szCs w:val="22"/>
        </w:rPr>
        <w:t>It does not tell the trader that every period, at every timeframe, will always display a clean, tradable version of this pattern — as emphasized throughout this module, the pattern is descriptive of a common tendency, not a mechanical guarantee that repeats identically every single time.</w:t>
      </w:r>
    </w:p>
    <w:p w14:paraId="045BBDA3">
      <w:pPr>
        <w:pStyle w:val="3"/>
        <w:spacing w:before="360" w:after="160"/>
      </w:pPr>
      <w:r>
        <w:rPr>
          <w:b/>
          <w:bCs/>
          <w:color w:val="1B2A4A"/>
          <w:sz w:val="26"/>
          <w:szCs w:val="26"/>
        </w:rPr>
        <w:t>7. What It Is Commonly Paired With</w:t>
      </w:r>
    </w:p>
    <w:p w14:paraId="5B1ADDC8">
      <w:pPr>
        <w:pStyle w:val="16"/>
        <w:numPr>
          <w:ilvl w:val="0"/>
          <w:numId w:val="2"/>
        </w:numPr>
        <w:spacing w:after="80" w:line="276" w:lineRule="auto"/>
      </w:pPr>
      <w:r>
        <w:rPr>
          <w:sz w:val="22"/>
          <w:szCs w:val="22"/>
        </w:rPr>
        <w:t>Accumulation / Manipulation / Distribution</w:t>
      </w:r>
    </w:p>
    <w:p w14:paraId="7D7C55BA">
      <w:pPr>
        <w:pStyle w:val="16"/>
        <w:numPr>
          <w:ilvl w:val="0"/>
          <w:numId w:val="2"/>
        </w:numPr>
        <w:spacing w:after="80" w:line="276" w:lineRule="auto"/>
      </w:pPr>
      <w:r>
        <w:rPr>
          <w:sz w:val="22"/>
          <w:szCs w:val="22"/>
        </w:rPr>
        <w:t>Bias (Module 10)</w:t>
      </w:r>
    </w:p>
    <w:p w14:paraId="1EE7F867">
      <w:pPr>
        <w:pStyle w:val="16"/>
        <w:numPr>
          <w:ilvl w:val="0"/>
          <w:numId w:val="2"/>
        </w:numPr>
        <w:spacing w:after="80" w:line="276" w:lineRule="auto"/>
      </w:pPr>
      <w:r>
        <w:rPr>
          <w:sz w:val="22"/>
          <w:szCs w:val="22"/>
        </w:rPr>
        <w:t>Daily Execution (Module 13)</w:t>
      </w:r>
    </w:p>
    <w:p w14:paraId="642C17D7">
      <w:pPr>
        <w:spacing w:after="160" w:line="288" w:lineRule="auto"/>
      </w:pPr>
      <w:r>
        <w:rPr>
          <w:b w:val="0"/>
          <w:bCs w:val="0"/>
          <w:i w:val="0"/>
          <w:iCs w:val="0"/>
          <w:sz w:val="22"/>
          <w:szCs w:val="22"/>
        </w:rPr>
        <w:t>Power of 3 is simply the named, unified version of the three individual phase concepts already covered in this module, and it directly sets up Module 10's Bias concept (since correctly reading which phase a period is currently in is a central input into establishing directional bias) and Module 13's full daily execution workflow.</w:t>
      </w:r>
    </w:p>
    <w:p w14:paraId="4C0B1C9A">
      <w:pPr>
        <w:pStyle w:val="3"/>
        <w:spacing w:before="360" w:after="160"/>
      </w:pPr>
      <w:r>
        <w:rPr>
          <w:b/>
          <w:bCs/>
          <w:color w:val="1B2A4A"/>
          <w:sz w:val="26"/>
          <w:szCs w:val="26"/>
        </w:rPr>
        <w:t>8. Where It Fits in the ICT Framework</w:t>
      </w:r>
    </w:p>
    <w:p w14:paraId="39956DC3">
      <w:pPr>
        <w:spacing w:after="160" w:line="288" w:lineRule="auto"/>
      </w:pPr>
      <w:r>
        <w:rPr>
          <w:b w:val="0"/>
          <w:bCs w:val="0"/>
          <w:i w:val="0"/>
          <w:iCs w:val="0"/>
          <w:sz w:val="22"/>
          <w:szCs w:val="22"/>
        </w:rPr>
        <w:t>Comes before: Requires Accumulation, Manipulation, and Distribution.</w:t>
      </w:r>
    </w:p>
    <w:p w14:paraId="102D4961">
      <w:pPr>
        <w:spacing w:after="160" w:line="288" w:lineRule="auto"/>
      </w:pPr>
      <w:r>
        <w:rPr>
          <w:b w:val="0"/>
          <w:bCs w:val="0"/>
          <w:i w:val="0"/>
          <w:iCs w:val="0"/>
          <w:sz w:val="22"/>
          <w:szCs w:val="22"/>
        </w:rPr>
        <w:t>Comes after: Feeds directly into Session Relationship to PO3, and later into Bias (Module 10) and Daily Trading &amp; Scalping (Module 13).</w:t>
      </w:r>
    </w:p>
    <w:p w14:paraId="614AB707">
      <w:pPr>
        <w:pStyle w:val="3"/>
        <w:spacing w:before="360" w:after="160"/>
      </w:pPr>
      <w:r>
        <w:rPr>
          <w:b/>
          <w:bCs/>
          <w:color w:val="1B2A4A"/>
          <w:sz w:val="26"/>
          <w:szCs w:val="26"/>
        </w:rPr>
        <w:t>9. Beginner Mistakes</w:t>
      </w:r>
    </w:p>
    <w:p w14:paraId="737951A1">
      <w:pPr>
        <w:pStyle w:val="16"/>
        <w:numPr>
          <w:ilvl w:val="0"/>
          <w:numId w:val="2"/>
        </w:numPr>
        <w:spacing w:after="80" w:line="276" w:lineRule="auto"/>
      </w:pPr>
      <w:r>
        <w:rPr>
          <w:sz w:val="22"/>
          <w:szCs w:val="22"/>
        </w:rPr>
        <w:t>Treating PO3 as a mechanical, guaranteed prediction tool rather than a descriptive template for organizing analysis.</w:t>
      </w:r>
    </w:p>
    <w:p w14:paraId="41213E8B">
      <w:pPr>
        <w:pStyle w:val="16"/>
        <w:numPr>
          <w:ilvl w:val="0"/>
          <w:numId w:val="2"/>
        </w:numPr>
        <w:spacing w:after="80" w:line="276" w:lineRule="auto"/>
      </w:pPr>
      <w:r>
        <w:rPr>
          <w:sz w:val="22"/>
          <w:szCs w:val="22"/>
        </w:rPr>
        <w:t>Applying the model rigidly to every single timeframe and period without adjusting for that specific market's or instrument's typical behavior.</w:t>
      </w:r>
    </w:p>
    <w:p w14:paraId="002E74BE">
      <w:pPr>
        <w:pStyle w:val="16"/>
        <w:numPr>
          <w:ilvl w:val="0"/>
          <w:numId w:val="2"/>
        </w:numPr>
        <w:spacing w:after="80" w:line="276" w:lineRule="auto"/>
      </w:pPr>
      <w:r>
        <w:rPr>
          <w:sz w:val="22"/>
          <w:szCs w:val="22"/>
        </w:rPr>
        <w:t>Losing track of which specific timeframe's PO3 cycle is currently being analyzed when multiple nested cycles are considered at once.</w:t>
      </w:r>
    </w:p>
    <w:p w14:paraId="015E2E46">
      <w:pPr>
        <w:pStyle w:val="3"/>
        <w:spacing w:before="360" w:after="160"/>
      </w:pPr>
      <w:r>
        <w:rPr>
          <w:b/>
          <w:bCs/>
          <w:color w:val="1B2A4A"/>
          <w:sz w:val="26"/>
          <w:szCs w:val="26"/>
        </w:rPr>
        <w:t>10. Important Qualification</w:t>
      </w:r>
    </w:p>
    <w:p w14:paraId="0191164E">
      <w:pPr>
        <w:pBdr>
          <w:left w:val="single" w:color="7A2E2E" w:sz="24" w:space="8"/>
        </w:pBdr>
        <w:shd w:val="clear" w:fill="EFEFEF"/>
        <w:spacing w:before="160" w:after="200"/>
        <w:ind w:left="200"/>
      </w:pPr>
      <w:r>
        <w:rPr>
          <w:b/>
          <w:bCs/>
          <w:color w:val="7A2E2E"/>
          <w:sz w:val="21"/>
          <w:szCs w:val="21"/>
        </w:rPr>
        <w:t xml:space="preserve">Qualification: </w:t>
      </w:r>
      <w:r>
        <w:rPr>
          <w:sz w:val="21"/>
          <w:szCs w:val="21"/>
        </w:rPr>
        <w:t>PO3 is explicitly described across ICT-focused sources as descriptive rather than mechanical — a way of framing what could happen around a period's open, not a rule that produces a clean, tradable accumulation-manipulation-distribution sequence in every period, on every instrument, at every timeframe.</w:t>
      </w:r>
    </w:p>
    <w:p w14:paraId="72B8202C">
      <w:pPr>
        <w:pStyle w:val="3"/>
        <w:spacing w:before="360" w:after="160"/>
      </w:pPr>
      <w:r>
        <w:rPr>
          <w:b/>
          <w:bCs/>
          <w:color w:val="1B2A4A"/>
          <w:sz w:val="26"/>
          <w:szCs w:val="26"/>
        </w:rPr>
        <w:t>11. Source</w:t>
      </w:r>
    </w:p>
    <w:p w14:paraId="41F8A8B2"/>
    <w:p w14:paraId="71BFC36E">
      <w:pPr>
        <w:pStyle w:val="16"/>
        <w:numPr>
          <w:ilvl w:val="0"/>
          <w:numId w:val="2"/>
        </w:numPr>
        <w:spacing w:after="80" w:line="276" w:lineRule="auto"/>
      </w:pPr>
      <w:r>
        <w:rPr>
          <w:sz w:val="22"/>
          <w:szCs w:val="22"/>
        </w:rPr>
        <w:t>fxopen.com — "ICT Power of 3 (PO3) Explained" (model attributed directly to Michael J. Huddleston).</w:t>
      </w:r>
    </w:p>
    <w:p w14:paraId="3BD55E07">
      <w:pPr>
        <w:pStyle w:val="16"/>
        <w:numPr>
          <w:ilvl w:val="0"/>
          <w:numId w:val="2"/>
        </w:numPr>
        <w:spacing w:after="80" w:line="276" w:lineRule="auto"/>
      </w:pPr>
      <w:r>
        <w:rPr>
          <w:sz w:val="22"/>
          <w:szCs w:val="22"/>
        </w:rPr>
        <w:t>luxalgo.com — "Accumulation-manipulation-distribution — Smart Money Concepts / ICT Concept" (fractal property, explicit "descriptive, not mechanical" framing).</w:t>
      </w:r>
    </w:p>
    <w:p w14:paraId="587232B8">
      <w:pPr>
        <w:pStyle w:val="16"/>
        <w:numPr>
          <w:ilvl w:val="0"/>
          <w:numId w:val="2"/>
        </w:numPr>
        <w:spacing w:after="80" w:line="276" w:lineRule="auto"/>
      </w:pPr>
      <w:r>
        <w:rPr>
          <w:sz w:val="22"/>
          <w:szCs w:val="22"/>
        </w:rPr>
        <w:t>ictkillzone.com — "ICT Power of Three (PO3): AMD Explained" ("master framework of ICT trading... every other concept... exists inside the PO3 framework").</w:t>
      </w:r>
    </w:p>
    <w:p w14:paraId="3EB0B3CA">
      <w:pPr>
        <w:pStyle w:val="16"/>
        <w:numPr>
          <w:ilvl w:val="0"/>
          <w:numId w:val="2"/>
        </w:numPr>
        <w:spacing w:after="80" w:line="276" w:lineRule="auto"/>
      </w:pPr>
      <w:r>
        <w:rPr>
          <w:sz w:val="22"/>
          <w:szCs w:val="22"/>
        </w:rPr>
        <w:t>dhanith.com — "Accumulation, Manipulation, Distribution (AMD): The Complete ICT AMD Trading Guide" (quarterly/monthly/weekly/daily fractal breakdown).</w:t>
      </w:r>
    </w:p>
    <w:p w14:paraId="778B9E2F">
      <w:r>
        <w:br w:type="page"/>
      </w:r>
    </w:p>
    <w:p w14:paraId="13A29F35">
      <w:pPr>
        <w:pStyle w:val="2"/>
        <w:pBdr>
          <w:bottom w:val="single" w:color="1B2A4A" w:sz="12" w:space="4"/>
        </w:pBdr>
        <w:spacing w:before="480" w:after="240"/>
      </w:pPr>
      <w:r>
        <w:rPr>
          <w:b/>
          <w:bCs/>
          <w:color w:val="1B2A4A"/>
          <w:sz w:val="34"/>
          <w:szCs w:val="34"/>
        </w:rPr>
        <w:t>Session Relationship to PO3</w:t>
      </w:r>
    </w:p>
    <w:p w14:paraId="6BEDDDED">
      <w:pPr>
        <w:pStyle w:val="3"/>
        <w:spacing w:before="360" w:after="160"/>
      </w:pPr>
      <w:r>
        <w:rPr>
          <w:b/>
          <w:bCs/>
          <w:color w:val="1B2A4A"/>
          <w:sz w:val="26"/>
          <w:szCs w:val="26"/>
        </w:rPr>
        <w:t>1. Definition</w:t>
      </w:r>
    </w:p>
    <w:p w14:paraId="55D80929">
      <w:pPr>
        <w:spacing w:after="160" w:line="288" w:lineRule="auto"/>
      </w:pPr>
      <w:r>
        <w:rPr>
          <w:b w:val="0"/>
          <w:bCs w:val="0"/>
          <w:i w:val="0"/>
          <w:iCs w:val="0"/>
          <w:sz w:val="22"/>
          <w:szCs w:val="22"/>
        </w:rPr>
        <w:t>This concept maps the three PO3 phases directly onto the specific trading sessions covered in Module 8: on the daily timeframe, the Asian session typically corresponds to Accumulation, the London session (and specifically its opening hours) to Manipulation, and the New York session to Distribution.</w:t>
      </w:r>
    </w:p>
    <w:p w14:paraId="332DEA83">
      <w:pPr>
        <w:pStyle w:val="3"/>
        <w:spacing w:before="360" w:after="160"/>
      </w:pPr>
      <w:r>
        <w:rPr>
          <w:b/>
          <w:bCs/>
          <w:color w:val="1B2A4A"/>
          <w:sz w:val="26"/>
          <w:szCs w:val="26"/>
        </w:rPr>
        <w:t>2. ICT's Meaning</w:t>
      </w:r>
    </w:p>
    <w:p w14:paraId="6EC49A8C">
      <w:pPr>
        <w:spacing w:after="160" w:line="288" w:lineRule="auto"/>
      </w:pPr>
      <w:r>
        <w:rPr>
          <w:b w:val="0"/>
          <w:bCs w:val="0"/>
          <w:i w:val="0"/>
          <w:iCs w:val="0"/>
          <w:sz w:val="22"/>
          <w:szCs w:val="22"/>
        </w:rPr>
        <w:t>This mapping is described with strong consistency across ICT-focused sources as the single most common and most heavily taught application of PO3: rather than treating Accumulation, Manipulation, and Distribution as abstract phases identifiable only after the fact, this mapping gives a trader a specific, clock-based, repeatable daily routine for anticipating which phase is most likely occurring at any given moment.</w:t>
      </w:r>
    </w:p>
    <w:p w14:paraId="2D4E1100">
      <w:pPr>
        <w:spacing w:after="160" w:line="288" w:lineRule="auto"/>
      </w:pPr>
      <w:r>
        <w:rPr>
          <w:b w:val="0"/>
          <w:bCs w:val="0"/>
          <w:i w:val="0"/>
          <w:iCs w:val="0"/>
          <w:sz w:val="22"/>
          <w:szCs w:val="22"/>
        </w:rPr>
        <w:t>Sources note that this mapping is a general tendency, not a rigid rule — some explicitly observe that London's open specifically (rather than the entire London session) is where the sharpest manipulation activity is concentrated, with the remainder of the London session and the New York session together forming the bulk of the eventual distribution move.</w:t>
      </w:r>
    </w:p>
    <w:p w14:paraId="67D06B1E">
      <w:pPr>
        <w:spacing w:after="160" w:line="288" w:lineRule="auto"/>
      </w:pPr>
      <w:r>
        <w:rPr>
          <w:b w:val="0"/>
          <w:bCs w:val="0"/>
          <w:i w:val="0"/>
          <w:iCs w:val="0"/>
          <w:sz w:val="22"/>
          <w:szCs w:val="22"/>
        </w:rPr>
        <w:t>The same fractal principle from the previous concept applies here directly: this daily-level Asia/London/New York mapping is described as itself nesting inside a larger weekly mapping (for example, Monday–Tuesday accumulation, a midweek manipulation, and a Thursday–Friday distribution), which in turn nests inside monthly and quarterly versions of the same template.</w:t>
      </w:r>
    </w:p>
    <w:p w14:paraId="0361FB1B">
      <w:pPr>
        <w:pStyle w:val="3"/>
        <w:spacing w:before="360" w:after="160"/>
      </w:pPr>
      <w:r>
        <w:rPr>
          <w:b/>
          <w:bCs/>
          <w:color w:val="1B2A4A"/>
          <w:sz w:val="26"/>
          <w:szCs w:val="26"/>
        </w:rPr>
        <w:t>3. Beginner Explanation</w:t>
      </w:r>
    </w:p>
    <w:p w14:paraId="0CF180C3">
      <w:pPr>
        <w:spacing w:after="160" w:line="288" w:lineRule="auto"/>
      </w:pPr>
      <w:r>
        <w:rPr>
          <w:b w:val="0"/>
          <w:bCs w:val="0"/>
          <w:i w:val="0"/>
          <w:iCs w:val="0"/>
          <w:sz w:val="22"/>
          <w:szCs w:val="22"/>
        </w:rPr>
        <w:t>Module 8 already introduced the idea that Asia tends to build a range, London tends to deliver a deceptive early move, and New York tends to deliver the day's real move. This concept simply gives that same observed pattern its formal name: Asia is Accumulation, London (especially its open) is Manipulation, and New York is Distribution — the entire daily session cycle from Module 8, read through the lens of the Power of 3 template from this module.</w:t>
      </w:r>
    </w:p>
    <w:p w14:paraId="3B66611A">
      <w:pPr>
        <w:pStyle w:val="3"/>
        <w:spacing w:before="360" w:after="160"/>
      </w:pPr>
      <w:r>
        <w:rPr>
          <w:b/>
          <w:bCs/>
          <w:color w:val="1B2A4A"/>
          <w:sz w:val="26"/>
          <w:szCs w:val="26"/>
        </w:rPr>
        <w:t>4. How to Identify It</w:t>
      </w:r>
    </w:p>
    <w:p w14:paraId="43CC75EB">
      <w:pPr>
        <w:pStyle w:val="16"/>
        <w:numPr>
          <w:ilvl w:val="0"/>
          <w:numId w:val="1"/>
        </w:numPr>
        <w:spacing w:after="80" w:line="276" w:lineRule="auto"/>
      </w:pPr>
      <w:r>
        <w:rPr>
          <w:sz w:val="22"/>
          <w:szCs w:val="22"/>
        </w:rPr>
        <w:t>Mark the Asian session's range as the day's Accumulation phase (Module 8's Asian Range).</w:t>
      </w:r>
    </w:p>
    <w:p w14:paraId="118DD6F3">
      <w:pPr>
        <w:pStyle w:val="16"/>
        <w:numPr>
          <w:ilvl w:val="0"/>
          <w:numId w:val="1"/>
        </w:numPr>
        <w:spacing w:after="80" w:line="276" w:lineRule="auto"/>
      </w:pPr>
      <w:r>
        <w:rPr>
          <w:sz w:val="22"/>
          <w:szCs w:val="22"/>
        </w:rPr>
        <w:t>Watch the London session's opening hours for the day's Manipulation move (Module 8's Judas Swing).</w:t>
      </w:r>
    </w:p>
    <w:p w14:paraId="104B0E93">
      <w:pPr>
        <w:pStyle w:val="16"/>
        <w:numPr>
          <w:ilvl w:val="0"/>
          <w:numId w:val="1"/>
        </w:numPr>
        <w:spacing w:after="80" w:line="276" w:lineRule="auto"/>
      </w:pPr>
      <w:r>
        <w:rPr>
          <w:sz w:val="22"/>
          <w:szCs w:val="22"/>
        </w:rPr>
        <w:t>Watch the New York session for the day's Distribution move, confirmed by a Market Structure Shift.</w:t>
      </w:r>
    </w:p>
    <w:p w14:paraId="261C060C">
      <w:pPr>
        <w:pStyle w:val="16"/>
        <w:numPr>
          <w:ilvl w:val="0"/>
          <w:numId w:val="1"/>
        </w:numPr>
        <w:spacing w:after="80" w:line="276" w:lineRule="auto"/>
      </w:pPr>
      <w:r>
        <w:rPr>
          <w:sz w:val="22"/>
          <w:szCs w:val="22"/>
        </w:rPr>
        <w:t>Cross-check this daily-level reading against the same template applied to the current trading week, for additional (fractal) context.</w:t>
      </w:r>
    </w:p>
    <w:p w14:paraId="5DE054DB">
      <w:pPr>
        <w:pStyle w:val="3"/>
        <w:spacing w:before="360" w:after="160"/>
      </w:pPr>
      <w:r>
        <w:rPr>
          <w:b/>
          <w:bCs/>
          <w:color w:val="1B2A4A"/>
          <w:sz w:val="26"/>
          <w:szCs w:val="26"/>
        </w:rPr>
        <w:t>5. Simple Price Example</w:t>
      </w:r>
    </w:p>
    <w:p w14:paraId="57D05D0B">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Asia (Accumulation): range 100–103. London Open (Manipulation): spike to 104.5, reversal. New York (Distribution): rally from 96 to 112.</w:t>
      </w:r>
    </w:p>
    <w:p w14:paraId="3E6D9CE4">
      <w:pPr>
        <w:spacing w:after="160" w:line="288" w:lineRule="auto"/>
      </w:pPr>
      <w:r>
        <w:rPr>
          <w:b w:val="0"/>
          <w:bCs w:val="0"/>
          <w:i w:val="0"/>
          <w:iCs w:val="0"/>
          <w:sz w:val="22"/>
          <w:szCs w:val="22"/>
        </w:rPr>
        <w:t>This is the exact same worked sequence already introduced in Module 8's London Open Kill Zone example, now explicitly labeled using this module's vocabulary: the Asian range is the Accumulation phase, the London Open spike-and-reverse is the Manipulation phase, and the New York rally is the Distribution phase — one continuous daily story, told twice with two complementary vocabularies.</w:t>
      </w:r>
    </w:p>
    <w:p w14:paraId="53EECBCC">
      <w:pPr>
        <w:pStyle w:val="3"/>
        <w:spacing w:before="360" w:after="160"/>
      </w:pPr>
      <w:r>
        <w:rPr>
          <w:b/>
          <w:bCs/>
          <w:color w:val="1B2A4A"/>
          <w:sz w:val="26"/>
          <w:szCs w:val="26"/>
        </w:rPr>
        <w:t>6. What It Tells the Trader</w:t>
      </w:r>
    </w:p>
    <w:p w14:paraId="6D5AC482">
      <w:pPr>
        <w:spacing w:after="160" w:line="288" w:lineRule="auto"/>
      </w:pPr>
      <w:r>
        <w:rPr>
          <w:b w:val="0"/>
          <w:bCs w:val="0"/>
          <w:i w:val="0"/>
          <w:iCs w:val="0"/>
          <w:sz w:val="22"/>
          <w:szCs w:val="22"/>
        </w:rPr>
        <w:t>This mapping tells the trader specifically when, during the trading day, to expect each PO3 phase to occur, turning the abstract three-phase template into an actionable daily schedule tied directly to the Kill Zones already covered in Module 8.</w:t>
      </w:r>
    </w:p>
    <w:p w14:paraId="17C8A612">
      <w:pPr>
        <w:spacing w:after="160" w:line="288" w:lineRule="auto"/>
      </w:pPr>
      <w:r>
        <w:rPr>
          <w:b w:val="0"/>
          <w:bCs w:val="0"/>
          <w:i w:val="0"/>
          <w:iCs w:val="0"/>
          <w:sz w:val="22"/>
          <w:szCs w:val="22"/>
        </w:rPr>
        <w:t>It does not tell the trader that this mapping holds with perfect reliability every single day — Module 8 already documented that a clean Judas Swing does not appear on every trading day, and the same caveat applies here: some days' true manipulation or distribution phases occur in a different session than this general mapping would predict.</w:t>
      </w:r>
    </w:p>
    <w:p w14:paraId="70DB79A6">
      <w:pPr>
        <w:pStyle w:val="3"/>
        <w:spacing w:before="360" w:after="160"/>
      </w:pPr>
      <w:r>
        <w:rPr>
          <w:b/>
          <w:bCs/>
          <w:color w:val="1B2A4A"/>
          <w:sz w:val="26"/>
          <w:szCs w:val="26"/>
        </w:rPr>
        <w:t>7. What It Is Commonly Paired With</w:t>
      </w:r>
    </w:p>
    <w:p w14:paraId="101F0EDB">
      <w:pPr>
        <w:pStyle w:val="16"/>
        <w:numPr>
          <w:ilvl w:val="0"/>
          <w:numId w:val="2"/>
        </w:numPr>
        <w:spacing w:after="80" w:line="276" w:lineRule="auto"/>
      </w:pPr>
      <w:r>
        <w:rPr>
          <w:sz w:val="22"/>
          <w:szCs w:val="22"/>
        </w:rPr>
        <w:t>Asian/London/New York Sessions (Module 8)</w:t>
      </w:r>
    </w:p>
    <w:p w14:paraId="2CB6E77B">
      <w:pPr>
        <w:pStyle w:val="16"/>
        <w:numPr>
          <w:ilvl w:val="0"/>
          <w:numId w:val="2"/>
        </w:numPr>
        <w:spacing w:after="80" w:line="276" w:lineRule="auto"/>
      </w:pPr>
      <w:r>
        <w:rPr>
          <w:sz w:val="22"/>
          <w:szCs w:val="22"/>
        </w:rPr>
        <w:t>Power of 3</w:t>
      </w:r>
    </w:p>
    <w:p w14:paraId="3098C29B">
      <w:pPr>
        <w:pStyle w:val="16"/>
        <w:numPr>
          <w:ilvl w:val="0"/>
          <w:numId w:val="2"/>
        </w:numPr>
        <w:spacing w:after="80" w:line="276" w:lineRule="auto"/>
      </w:pPr>
      <w:r>
        <w:rPr>
          <w:sz w:val="22"/>
          <w:szCs w:val="22"/>
        </w:rPr>
        <w:t>Daily Bias (Module 10)</w:t>
      </w:r>
    </w:p>
    <w:p w14:paraId="736EE1DE">
      <w:pPr>
        <w:spacing w:after="160" w:line="288" w:lineRule="auto"/>
      </w:pPr>
      <w:r>
        <w:rPr>
          <w:b w:val="0"/>
          <w:bCs w:val="0"/>
          <w:i w:val="0"/>
          <w:iCs w:val="0"/>
          <w:sz w:val="22"/>
          <w:szCs w:val="22"/>
        </w:rPr>
        <w:t>This concept is the direct, explicit bridge between Module 8's session-by-session daily narrative and this module's formal three-phase vocabulary, and it is the specific mechanism by which a trader forms the daily bias formalized in the next module.</w:t>
      </w:r>
    </w:p>
    <w:p w14:paraId="7D90A772">
      <w:pPr>
        <w:pStyle w:val="3"/>
        <w:spacing w:before="360" w:after="160"/>
      </w:pPr>
      <w:r>
        <w:rPr>
          <w:b/>
          <w:bCs/>
          <w:color w:val="1B2A4A"/>
          <w:sz w:val="26"/>
          <w:szCs w:val="26"/>
        </w:rPr>
        <w:t>8. Where It Fits in the ICT Framework</w:t>
      </w:r>
    </w:p>
    <w:p w14:paraId="2CD91927">
      <w:pPr>
        <w:spacing w:after="160" w:line="288" w:lineRule="auto"/>
      </w:pPr>
      <w:r>
        <w:rPr>
          <w:b w:val="0"/>
          <w:bCs w:val="0"/>
          <w:i w:val="0"/>
          <w:iCs w:val="0"/>
          <w:sz w:val="22"/>
          <w:szCs w:val="22"/>
        </w:rPr>
        <w:t>Comes before: Requires Power of 3 and all of Module 8 (Time &amp; Trading Sessions).</w:t>
      </w:r>
    </w:p>
    <w:p w14:paraId="58D78CC4">
      <w:pPr>
        <w:spacing w:after="160" w:line="288" w:lineRule="auto"/>
      </w:pPr>
      <w:r>
        <w:rPr>
          <w:b w:val="0"/>
          <w:bCs w:val="0"/>
          <w:i w:val="0"/>
          <w:iCs w:val="0"/>
          <w:sz w:val="22"/>
          <w:szCs w:val="22"/>
        </w:rPr>
        <w:t>Comes after: Concludes Module 9 and feeds directly into Module 10 (Bias), where correctly reading the current PO3 phase becomes one of the central inputs into establishing a daily directional expectation.</w:t>
      </w:r>
    </w:p>
    <w:p w14:paraId="32823B64">
      <w:pPr>
        <w:pStyle w:val="3"/>
        <w:spacing w:before="360" w:after="160"/>
      </w:pPr>
      <w:r>
        <w:rPr>
          <w:b/>
          <w:bCs/>
          <w:color w:val="1B2A4A"/>
          <w:sz w:val="26"/>
          <w:szCs w:val="26"/>
        </w:rPr>
        <w:t>9. Beginner Mistakes</w:t>
      </w:r>
    </w:p>
    <w:p w14:paraId="6C32BD03">
      <w:pPr>
        <w:pStyle w:val="16"/>
        <w:numPr>
          <w:ilvl w:val="0"/>
          <w:numId w:val="2"/>
        </w:numPr>
        <w:spacing w:after="80" w:line="276" w:lineRule="auto"/>
      </w:pPr>
      <w:r>
        <w:rPr>
          <w:sz w:val="22"/>
          <w:szCs w:val="22"/>
        </w:rPr>
        <w:t>Assuming this session-to-phase mapping is a fixed, universal rule rather than a general tendency that can vary by instrument, by day, and by unusual news events.</w:t>
      </w:r>
    </w:p>
    <w:p w14:paraId="0DA13E17">
      <w:pPr>
        <w:pStyle w:val="16"/>
        <w:numPr>
          <w:ilvl w:val="0"/>
          <w:numId w:val="2"/>
        </w:numPr>
        <w:spacing w:after="80" w:line="276" w:lineRule="auto"/>
      </w:pPr>
      <w:r>
        <w:rPr>
          <w:sz w:val="22"/>
          <w:szCs w:val="22"/>
        </w:rPr>
        <w:t>Forgetting that the same fractal template also applies at the weekly and monthly level, and analyzing only the daily mapping in isolation.</w:t>
      </w:r>
    </w:p>
    <w:p w14:paraId="3967A485">
      <w:pPr>
        <w:pStyle w:val="3"/>
        <w:spacing w:before="360" w:after="160"/>
      </w:pPr>
      <w:r>
        <w:rPr>
          <w:b/>
          <w:bCs/>
          <w:color w:val="1B2A4A"/>
          <w:sz w:val="26"/>
          <w:szCs w:val="26"/>
        </w:rPr>
        <w:t>10. Important Qualification</w:t>
      </w:r>
    </w:p>
    <w:p w14:paraId="47B29F01">
      <w:pPr>
        <w:pBdr>
          <w:left w:val="single" w:color="7A2E2E" w:sz="24" w:space="8"/>
        </w:pBdr>
        <w:shd w:val="clear" w:fill="EFEFEF"/>
        <w:spacing w:before="160" w:after="200"/>
        <w:ind w:left="200"/>
      </w:pPr>
      <w:r>
        <w:rPr>
          <w:b/>
          <w:bCs/>
          <w:color w:val="7A2E2E"/>
          <w:sz w:val="21"/>
          <w:szCs w:val="21"/>
        </w:rPr>
        <w:t xml:space="preserve">Qualification: </w:t>
      </w:r>
      <w:r>
        <w:rPr>
          <w:sz w:val="21"/>
          <w:szCs w:val="21"/>
        </w:rPr>
        <w:t>This specific session-to-phase mapping (Asia = Accumulation, London = Manipulation, New York = Distribution) is a widely and consistently taught application of PO3 within ICT-focused sources, but it remains a general tendency rather than a fixed law — on some days, the true manipulation or distribution phase may occur earlier, later, or within a different session than this general mapping predicts, particularly around major scheduled news events.</w:t>
      </w:r>
    </w:p>
    <w:p w14:paraId="022C0F6B">
      <w:pPr>
        <w:pStyle w:val="3"/>
        <w:spacing w:before="360" w:after="160"/>
      </w:pPr>
      <w:r>
        <w:rPr>
          <w:b/>
          <w:bCs/>
          <w:color w:val="1B2A4A"/>
          <w:sz w:val="26"/>
          <w:szCs w:val="26"/>
        </w:rPr>
        <w:t>11. Source</w:t>
      </w:r>
    </w:p>
    <w:p w14:paraId="15B42C61"/>
    <w:p w14:paraId="3F2C7C1D">
      <w:pPr>
        <w:pStyle w:val="16"/>
        <w:numPr>
          <w:ilvl w:val="0"/>
          <w:numId w:val="2"/>
        </w:numPr>
        <w:spacing w:after="80" w:line="276" w:lineRule="auto"/>
      </w:pPr>
      <w:r>
        <w:rPr>
          <w:sz w:val="22"/>
          <w:szCs w:val="22"/>
        </w:rPr>
        <w:t>fairvaluehub.de — "ICT Power of Three — Accumulation, Manipulation, Distribution" ("Daily chart: Asia = accumulation, London = manipulation, New York = distribution").</w:t>
      </w:r>
    </w:p>
    <w:p w14:paraId="7F4AC77B">
      <w:pPr>
        <w:pStyle w:val="16"/>
        <w:numPr>
          <w:ilvl w:val="0"/>
          <w:numId w:val="2"/>
        </w:numPr>
        <w:spacing w:after="80" w:line="276" w:lineRule="auto"/>
      </w:pPr>
      <w:r>
        <w:rPr>
          <w:sz w:val="22"/>
          <w:szCs w:val="22"/>
        </w:rPr>
        <w:t>completetradersedge.com — "The ICT Power of 3: Accumulation, Manipulation, Distribution" ("Manipulation occurs at the London open... Distribution occurs during the New York session").</w:t>
      </w:r>
    </w:p>
    <w:p w14:paraId="05FE8153">
      <w:pPr>
        <w:pStyle w:val="16"/>
        <w:numPr>
          <w:ilvl w:val="0"/>
          <w:numId w:val="2"/>
        </w:numPr>
        <w:spacing w:after="80" w:line="276" w:lineRule="auto"/>
      </w:pPr>
      <w:r>
        <w:rPr>
          <w:sz w:val="22"/>
          <w:szCs w:val="22"/>
        </w:rPr>
        <w:t>dhanith.com — "Accumulation, Manipulation, Distribution (AMD): The Complete ICT AMD Trading Guide" (daily, weekly, monthly, and quarterly mapping table).</w:t>
      </w:r>
    </w:p>
    <w:p w14:paraId="263E84D0">
      <w:pPr>
        <w:pStyle w:val="16"/>
        <w:numPr>
          <w:ilvl w:val="0"/>
          <w:numId w:val="2"/>
        </w:numPr>
        <w:spacing w:after="80" w:line="276" w:lineRule="auto"/>
      </w:pPr>
      <w:r>
        <w:rPr>
          <w:sz w:val="22"/>
          <w:szCs w:val="22"/>
        </w:rPr>
        <w:t>liquidityscan.io — "ICT Power of 3 (PO3): The AMD Cycle Explained" ("Many traders read the daily for bias and execute PO3 on session opens like London and New York").</w:t>
      </w:r>
    </w:p>
    <w:p w14:paraId="33CB7089">
      <w:r>
        <w:br w:type="page"/>
      </w:r>
    </w:p>
    <w:p w14:paraId="721DB57B">
      <w:pPr>
        <w:pStyle w:val="2"/>
        <w:pBdr>
          <w:bottom w:val="single" w:color="1B2A4A" w:sz="12" w:space="4"/>
        </w:pBdr>
        <w:spacing w:before="480" w:after="240"/>
      </w:pPr>
      <w:r>
        <w:rPr>
          <w:b/>
          <w:bCs/>
          <w:color w:val="1B2A4A"/>
          <w:sz w:val="34"/>
          <w:szCs w:val="34"/>
        </w:rPr>
        <w:t>How These Concepts Connect</w:t>
      </w:r>
    </w:p>
    <w:p w14:paraId="287EC756">
      <w:pPr>
        <w:spacing w:after="160" w:line="288" w:lineRule="auto"/>
      </w:pPr>
      <w:r>
        <w:rPr>
          <w:b w:val="0"/>
          <w:bCs w:val="0"/>
          <w:i w:val="0"/>
          <w:iCs w:val="0"/>
          <w:sz w:val="22"/>
          <w:szCs w:val="22"/>
        </w:rPr>
        <w:t>This module builds a single, repeatable three-act story and then shows how far that story generalizes. Accumulation, Manipulation, and Distribution are the three individual phases, presented in the order they occur: a quiet range-building setup, a deceptive trap that reuses Module 4's liquidity sweep and Module 8's Judas Swing concepts under a new name, and a confirmed, tradable payoff move that reuses Module 3's Market Structure Shift as its confirmation tool.</w:t>
      </w:r>
    </w:p>
    <w:p w14:paraId="79958D16">
      <w:pPr>
        <w:spacing w:after="160" w:line="288" w:lineRule="auto"/>
      </w:pPr>
      <w:r>
        <w:rPr>
          <w:b w:val="0"/>
          <w:bCs w:val="0"/>
          <w:i w:val="0"/>
          <w:iCs w:val="0"/>
          <w:sz w:val="22"/>
          <w:szCs w:val="22"/>
        </w:rPr>
        <w:t>Power of 3 then names the complete three-act template as a single, unified concept and introduces the property that makes it so central to ICT-focused teaching: it is fractal, appearing identically (in shape, if not in exact scale) inside a single candle, a trading session, a full day, a week, a month, and a quarter, with smaller cycles nesting inside the phases of larger ones. Session Relationship to PO3 closes the module by making the single most common practical application of this template explicit: on the daily timeframe, Asia is Accumulation, London (especially its open) is Manipulation, and New York is Distribution — directly relabeling Module 8's session narrative using this module's formal three-phase vocabulary.</w:t>
      </w:r>
    </w:p>
    <w:p w14:paraId="7AF1FF1E">
      <w:pPr>
        <w:pStyle w:val="2"/>
        <w:pBdr>
          <w:bottom w:val="single" w:color="1B2A4A" w:sz="12" w:space="4"/>
        </w:pBdr>
        <w:spacing w:before="480" w:after="240"/>
      </w:pPr>
      <w:r>
        <w:rPr>
          <w:b/>
          <w:bCs/>
          <w:color w:val="1B2A4A"/>
          <w:sz w:val="34"/>
          <w:szCs w:val="34"/>
        </w:rPr>
        <w:t>What You Should Now Be Able to Do</w:t>
      </w:r>
    </w:p>
    <w:p w14:paraId="25C9C5ED">
      <w:pPr>
        <w:pStyle w:val="16"/>
        <w:numPr>
          <w:ilvl w:val="0"/>
          <w:numId w:val="2"/>
        </w:numPr>
        <w:spacing w:after="80" w:line="276" w:lineRule="auto"/>
      </w:pPr>
      <w:r>
        <w:rPr>
          <w:sz w:val="22"/>
          <w:szCs w:val="22"/>
        </w:rPr>
        <w:t>describe the accumulation phase and explain why it should be marked and observed rather than traded</w:t>
      </w:r>
    </w:p>
    <w:p w14:paraId="39BD945E">
      <w:pPr>
        <w:pStyle w:val="16"/>
        <w:numPr>
          <w:ilvl w:val="0"/>
          <w:numId w:val="2"/>
        </w:numPr>
        <w:spacing w:after="80" w:line="276" w:lineRule="auto"/>
      </w:pPr>
      <w:r>
        <w:rPr>
          <w:sz w:val="22"/>
          <w:szCs w:val="22"/>
        </w:rPr>
        <w:t>describe the manipulation phase and explain its direct relationship to the liquidity sweep (Module 4) and Judas Swing (Module 8) concepts</w:t>
      </w:r>
    </w:p>
    <w:p w14:paraId="5C7065B6">
      <w:pPr>
        <w:pStyle w:val="16"/>
        <w:numPr>
          <w:ilvl w:val="0"/>
          <w:numId w:val="2"/>
        </w:numPr>
        <w:spacing w:after="80" w:line="276" w:lineRule="auto"/>
      </w:pPr>
      <w:r>
        <w:rPr>
          <w:sz w:val="22"/>
          <w:szCs w:val="22"/>
        </w:rPr>
        <w:t>describe the distribution phase and the specific lower-timeframe confirmation (a Market Structure Shift) used before entering it</w:t>
      </w:r>
    </w:p>
    <w:p w14:paraId="648CEACA">
      <w:pPr>
        <w:pStyle w:val="16"/>
        <w:numPr>
          <w:ilvl w:val="0"/>
          <w:numId w:val="2"/>
        </w:numPr>
        <w:spacing w:after="80" w:line="276" w:lineRule="auto"/>
      </w:pPr>
      <w:r>
        <w:rPr>
          <w:sz w:val="22"/>
          <w:szCs w:val="22"/>
        </w:rPr>
        <w:t>explain what it means for the Power of 3 template to be described as fractal, with an example at two different timeframes</w:t>
      </w:r>
    </w:p>
    <w:p w14:paraId="4FCB3512">
      <w:pPr>
        <w:pStyle w:val="16"/>
        <w:numPr>
          <w:ilvl w:val="0"/>
          <w:numId w:val="2"/>
        </w:numPr>
        <w:spacing w:after="80" w:line="276" w:lineRule="auto"/>
      </w:pPr>
      <w:r>
        <w:rPr>
          <w:sz w:val="22"/>
          <w:szCs w:val="22"/>
        </w:rPr>
        <w:t>map the Asian, London, and New York sessions from Module 8 onto the Accumulation, Manipulation, and Distribution phases</w:t>
      </w:r>
    </w:p>
    <w:p w14:paraId="1D8CF4B9">
      <w:pPr>
        <w:pStyle w:val="16"/>
        <w:numPr>
          <w:ilvl w:val="0"/>
          <w:numId w:val="2"/>
        </w:numPr>
        <w:spacing w:after="80" w:line="276" w:lineRule="auto"/>
      </w:pPr>
      <w:r>
        <w:rPr>
          <w:sz w:val="22"/>
          <w:szCs w:val="22"/>
        </w:rPr>
        <w:t>explain why ICT-focused sources describe PO3 as descriptive rather than mechanical, and why the pattern does not appear identically on every single trading day</w:t>
      </w:r>
    </w:p>
    <w:p w14:paraId="0BAEECF5">
      <w:r>
        <w:br w:type="page"/>
      </w:r>
    </w:p>
    <w:p w14:paraId="1B905F65">
      <w:pPr>
        <w:pStyle w:val="2"/>
        <w:pBdr>
          <w:bottom w:val="single" w:color="1B2A4A" w:sz="12" w:space="4"/>
        </w:pBdr>
        <w:spacing w:before="480" w:after="240"/>
      </w:pPr>
      <w:r>
        <w:rPr>
          <w:b/>
          <w:bCs/>
          <w:color w:val="1B2A4A"/>
          <w:sz w:val="34"/>
          <w:szCs w:val="34"/>
        </w:rPr>
        <w:t>Module Review</w:t>
      </w:r>
    </w:p>
    <w:p w14:paraId="43816D74">
      <w:pPr>
        <w:pStyle w:val="3"/>
        <w:spacing w:before="360" w:after="160"/>
      </w:pPr>
      <w:r>
        <w:rPr>
          <w:b/>
          <w:bCs/>
          <w:color w:val="1B2A4A"/>
          <w:sz w:val="26"/>
          <w:szCs w:val="26"/>
        </w:rPr>
        <w:t>Key Terms</w:t>
      </w:r>
    </w:p>
    <w:p w14:paraId="03744DB7">
      <w:pPr>
        <w:pStyle w:val="16"/>
        <w:numPr>
          <w:ilvl w:val="0"/>
          <w:numId w:val="2"/>
        </w:numPr>
        <w:spacing w:after="80" w:line="276" w:lineRule="auto"/>
      </w:pPr>
      <w:r>
        <w:rPr>
          <w:sz w:val="22"/>
          <w:szCs w:val="22"/>
        </w:rPr>
        <w:t>Accumulation</w:t>
      </w:r>
    </w:p>
    <w:p w14:paraId="633A567E">
      <w:pPr>
        <w:pStyle w:val="16"/>
        <w:numPr>
          <w:ilvl w:val="0"/>
          <w:numId w:val="2"/>
        </w:numPr>
        <w:spacing w:after="80" w:line="276" w:lineRule="auto"/>
      </w:pPr>
      <w:r>
        <w:rPr>
          <w:sz w:val="22"/>
          <w:szCs w:val="22"/>
        </w:rPr>
        <w:t>Manipulation</w:t>
      </w:r>
    </w:p>
    <w:p w14:paraId="7C9EDDAC">
      <w:pPr>
        <w:pStyle w:val="16"/>
        <w:numPr>
          <w:ilvl w:val="0"/>
          <w:numId w:val="2"/>
        </w:numPr>
        <w:spacing w:after="80" w:line="276" w:lineRule="auto"/>
      </w:pPr>
      <w:r>
        <w:rPr>
          <w:sz w:val="22"/>
          <w:szCs w:val="22"/>
        </w:rPr>
        <w:t>Distribution</w:t>
      </w:r>
    </w:p>
    <w:p w14:paraId="6F2703FC">
      <w:pPr>
        <w:pStyle w:val="16"/>
        <w:numPr>
          <w:ilvl w:val="0"/>
          <w:numId w:val="2"/>
        </w:numPr>
        <w:spacing w:after="80" w:line="276" w:lineRule="auto"/>
      </w:pPr>
      <w:r>
        <w:rPr>
          <w:sz w:val="22"/>
          <w:szCs w:val="22"/>
        </w:rPr>
        <w:t>Power of 3 (PO3)</w:t>
      </w:r>
    </w:p>
    <w:p w14:paraId="47E485DB">
      <w:pPr>
        <w:pStyle w:val="16"/>
        <w:numPr>
          <w:ilvl w:val="0"/>
          <w:numId w:val="2"/>
        </w:numPr>
        <w:spacing w:after="80" w:line="276" w:lineRule="auto"/>
      </w:pPr>
      <w:r>
        <w:rPr>
          <w:sz w:val="22"/>
          <w:szCs w:val="22"/>
        </w:rPr>
        <w:t>AMD</w:t>
      </w:r>
    </w:p>
    <w:p w14:paraId="03CEBA48">
      <w:pPr>
        <w:pStyle w:val="16"/>
        <w:numPr>
          <w:ilvl w:val="0"/>
          <w:numId w:val="2"/>
        </w:numPr>
        <w:spacing w:after="80" w:line="276" w:lineRule="auto"/>
      </w:pPr>
      <w:r>
        <w:rPr>
          <w:sz w:val="22"/>
          <w:szCs w:val="22"/>
        </w:rPr>
        <w:t>Session Relationship to PO3</w:t>
      </w:r>
    </w:p>
    <w:p w14:paraId="50CE362D">
      <w:pPr>
        <w:pStyle w:val="16"/>
        <w:numPr>
          <w:ilvl w:val="0"/>
          <w:numId w:val="2"/>
        </w:numPr>
        <w:spacing w:after="80" w:line="276" w:lineRule="auto"/>
      </w:pPr>
      <w:r>
        <w:rPr>
          <w:sz w:val="22"/>
          <w:szCs w:val="22"/>
        </w:rPr>
        <w:t>Fractal (as applied to PO3)</w:t>
      </w:r>
    </w:p>
    <w:p w14:paraId="44B46B0E">
      <w:pPr>
        <w:pStyle w:val="3"/>
        <w:spacing w:before="360" w:after="160"/>
      </w:pPr>
      <w:r>
        <w:rPr>
          <w:b/>
          <w:bCs/>
          <w:color w:val="1B2A4A"/>
          <w:sz w:val="26"/>
          <w:szCs w:val="26"/>
        </w:rPr>
        <w:t>Beginner Summary</w:t>
      </w:r>
    </w:p>
    <w:p w14:paraId="7BBC3209">
      <w:pPr>
        <w:spacing w:after="160" w:line="288" w:lineRule="auto"/>
      </w:pPr>
      <w:r>
        <w:rPr>
          <w:b w:val="0"/>
          <w:bCs w:val="0"/>
          <w:i w:val="0"/>
          <w:iCs w:val="0"/>
          <w:sz w:val="22"/>
          <w:szCs w:val="22"/>
        </w:rPr>
        <w:t>ICT-focused teaching describes a repeatable three-part story behind how a trading period tends to unfold around its opening price. First, Accumulation: price ranges quietly near the open while positions are built gradually, and traders following this framework mark this range without trading it. Second, Manipulation: price is pushed beyond one side of that range — the same event described elsewhere in this book as a liquidity sweep or Judas Swing — trapping traders leaning the wrong way before reversing. Third, Distribution: the period's real, sustained move develops in the opposite direction from the manipulation, confirmed by a Market Structure Shift, and this is the only phase of the three actually meant to be traded. Together these three phases are called the Power of 3, or AMD, and the single most important property of this template is that it is fractal — the same three-act shape is said to appear at every scale, from a single candle up through an entire trading quarter. On the daily timeframe specifically, this template is most commonly mapped directly onto Module 8's three sessions: Asia accumulates, London (especially its open) manipulates, and New York distributes.</w:t>
      </w:r>
    </w:p>
    <w:p w14:paraId="2F1BF909">
      <w:pPr>
        <w:pStyle w:val="3"/>
        <w:spacing w:before="360" w:after="160"/>
      </w:pPr>
      <w:r>
        <w:rPr>
          <w:b/>
          <w:bCs/>
          <w:color w:val="1B2A4A"/>
          <w:sz w:val="26"/>
          <w:szCs w:val="26"/>
        </w:rPr>
        <w:t>Concept Relationships</w:t>
      </w:r>
    </w:p>
    <w:p w14:paraId="0C18B2CF">
      <w:pPr>
        <w:spacing w:after="160" w:line="288" w:lineRule="auto"/>
      </w:pPr>
      <w:r>
        <w:rPr>
          <w:b w:val="0"/>
          <w:bCs w:val="0"/>
          <w:i w:val="0"/>
          <w:iCs w:val="0"/>
          <w:sz w:val="22"/>
          <w:szCs w:val="22"/>
        </w:rPr>
        <w:t>Accumulation, Manipulation, and Distribution are the three sequential phases. Power of 3 is the unified, named template combining all three and adding the fractal property. Session Relationship to PO3 is the specific, most commonly taught daily-timeframe application of that template, mapping it directly onto the Asian, London, and New York sessions from Module 8.</w:t>
      </w:r>
    </w:p>
    <w:p w14:paraId="3D43EFCE">
      <w:pPr>
        <w:pStyle w:val="3"/>
        <w:spacing w:before="360" w:after="160"/>
      </w:pPr>
      <w:r>
        <w:rPr>
          <w:b/>
          <w:bCs/>
          <w:color w:val="1B2A4A"/>
          <w:sz w:val="26"/>
          <w:szCs w:val="26"/>
        </w:rPr>
        <w:t>Practical Chart Exercise</w:t>
      </w:r>
    </w:p>
    <w:p w14:paraId="5CA8AB03">
      <w:pPr>
        <w:spacing w:after="160" w:line="288" w:lineRule="auto"/>
      </w:pPr>
      <w:r>
        <w:rPr>
          <w:b w:val="0"/>
          <w:bCs w:val="0"/>
          <w:i w:val="0"/>
          <w:iCs w:val="0"/>
          <w:sz w:val="22"/>
          <w:szCs w:val="22"/>
        </w:rPr>
        <w:t>Using the following weekly sequence — Monday–Tuesday: price ranges between 500 and 520; Wednesday: price spikes down to 485 before reversing; Thursday–Friday: price rallies to 560 — label each part of this sequence with its correct Power of 3 phase, identify the specific price levels a trader following this framework would have marked during the first phase, and explain what lower-timeframe confirmation you would want to see before treating the Wednesday reversal as the start of genuine distribution rather than continued manipulation.</w:t>
      </w:r>
    </w:p>
    <w:p w14:paraId="3631523B">
      <w:pPr>
        <w:pStyle w:val="3"/>
        <w:spacing w:before="360" w:after="160"/>
      </w:pPr>
      <w:r>
        <w:rPr>
          <w:b/>
          <w:bCs/>
          <w:color w:val="1B2A4A"/>
          <w:sz w:val="26"/>
          <w:szCs w:val="26"/>
        </w:rPr>
        <w:t>Self-Test Questions</w:t>
      </w:r>
    </w:p>
    <w:p w14:paraId="3A001644">
      <w:pPr>
        <w:pStyle w:val="16"/>
        <w:numPr>
          <w:ilvl w:val="0"/>
          <w:numId w:val="1"/>
        </w:numPr>
        <w:spacing w:after="80" w:line="276" w:lineRule="auto"/>
      </w:pPr>
      <w:r>
        <w:rPr>
          <w:sz w:val="22"/>
          <w:szCs w:val="22"/>
        </w:rPr>
        <w:t>Why does ICT-focused teaching advise marking the accumulation range without trading it?</w:t>
      </w:r>
    </w:p>
    <w:p w14:paraId="263ADB68">
      <w:pPr>
        <w:pStyle w:val="16"/>
        <w:numPr>
          <w:ilvl w:val="0"/>
          <w:numId w:val="1"/>
        </w:numPr>
        <w:spacing w:after="80" w:line="276" w:lineRule="auto"/>
      </w:pPr>
      <w:r>
        <w:rPr>
          <w:sz w:val="22"/>
          <w:szCs w:val="22"/>
        </w:rPr>
        <w:t>What is the relationship between the manipulation phase described in this module and the liquidity sweep and Judas Swing concepts from earlier modules?</w:t>
      </w:r>
    </w:p>
    <w:p w14:paraId="7A8DDEB0">
      <w:pPr>
        <w:pStyle w:val="16"/>
        <w:numPr>
          <w:ilvl w:val="0"/>
          <w:numId w:val="1"/>
        </w:numPr>
        <w:spacing w:after="80" w:line="276" w:lineRule="auto"/>
      </w:pPr>
      <w:r>
        <w:rPr>
          <w:sz w:val="22"/>
          <w:szCs w:val="22"/>
        </w:rPr>
        <w:t>What specific lower-timeframe confirmation tool is commonly used to confirm that distribution has genuinely begun, rather than the manipulation move simply continuing?</w:t>
      </w:r>
    </w:p>
    <w:p w14:paraId="1E534BB0">
      <w:pPr>
        <w:pStyle w:val="16"/>
        <w:numPr>
          <w:ilvl w:val="0"/>
          <w:numId w:val="1"/>
        </w:numPr>
        <w:spacing w:after="80" w:line="276" w:lineRule="auto"/>
      </w:pPr>
      <w:r>
        <w:rPr>
          <w:sz w:val="22"/>
          <w:szCs w:val="22"/>
        </w:rPr>
        <w:t>What does it mean to describe the Power of 3 template as "fractal"?</w:t>
      </w:r>
    </w:p>
    <w:p w14:paraId="68882AFD">
      <w:pPr>
        <w:pStyle w:val="16"/>
        <w:numPr>
          <w:ilvl w:val="0"/>
          <w:numId w:val="1"/>
        </w:numPr>
        <w:spacing w:after="80" w:line="276" w:lineRule="auto"/>
      </w:pPr>
      <w:r>
        <w:rPr>
          <w:sz w:val="22"/>
          <w:szCs w:val="22"/>
        </w:rPr>
        <w:t>On the daily timeframe, which specific session is most commonly mapped to each of the three PO3 phases?</w:t>
      </w:r>
    </w:p>
    <w:p w14:paraId="6CBD1355">
      <w:pPr>
        <w:pStyle w:val="3"/>
        <w:spacing w:before="360" w:after="160"/>
      </w:pPr>
      <w:r>
        <w:rPr>
          <w:b/>
          <w:bCs/>
          <w:color w:val="1B2A4A"/>
          <w:sz w:val="26"/>
          <w:szCs w:val="26"/>
        </w:rPr>
        <w:t>Common Misconceptions</w:t>
      </w:r>
    </w:p>
    <w:p w14:paraId="467C41A2">
      <w:pPr>
        <w:pStyle w:val="16"/>
        <w:numPr>
          <w:ilvl w:val="0"/>
          <w:numId w:val="2"/>
        </w:numPr>
        <w:spacing w:after="80" w:line="276" w:lineRule="auto"/>
      </w:pPr>
      <w:r>
        <w:rPr>
          <w:sz w:val="22"/>
          <w:szCs w:val="22"/>
        </w:rPr>
        <w:t>Believing the Power of 3 pattern appears identically, and with guaranteed reliability, on every single trading day, week, or other period.</w:t>
      </w:r>
    </w:p>
    <w:p w14:paraId="384D5500">
      <w:pPr>
        <w:pStyle w:val="16"/>
        <w:numPr>
          <w:ilvl w:val="0"/>
          <w:numId w:val="2"/>
        </w:numPr>
        <w:spacing w:after="80" w:line="276" w:lineRule="auto"/>
      </w:pPr>
      <w:r>
        <w:rPr>
          <w:sz w:val="22"/>
          <w:szCs w:val="22"/>
        </w:rPr>
        <w:t>Trading during the accumulation or manipulation phases directly, rather than treating them as observational and confirmatory steps leading up to a distribution-phase entry.</w:t>
      </w:r>
    </w:p>
    <w:p w14:paraId="2AA47C88">
      <w:pPr>
        <w:pStyle w:val="16"/>
        <w:numPr>
          <w:ilvl w:val="0"/>
          <w:numId w:val="2"/>
        </w:numPr>
        <w:spacing w:after="80" w:line="276" w:lineRule="auto"/>
      </w:pPr>
      <w:r>
        <w:rPr>
          <w:sz w:val="22"/>
          <w:szCs w:val="22"/>
        </w:rPr>
        <w:t>Believing the daily session mapping (Asia/London/New York) is a fixed, universal rule rather than a general, commonly observed tendency that can vary, particularly around major news events.</w:t>
      </w:r>
    </w:p>
    <w:p w14:paraId="682E4D86">
      <w:pPr>
        <w:pStyle w:val="16"/>
        <w:numPr>
          <w:ilvl w:val="0"/>
          <w:numId w:val="2"/>
        </w:numPr>
        <w:spacing w:after="80" w:line="276" w:lineRule="auto"/>
      </w:pPr>
      <w:r>
        <w:rPr>
          <w:sz w:val="22"/>
          <w:szCs w:val="22"/>
        </w:rPr>
        <w:t>Treating PO3 as an entirely separate tool from the liquidity, structure, and session concepts covered in earlier modules, rather than recognizing it as a unifying template built directly on top of them.</w:t>
      </w:r>
    </w:p>
    <w:p w14:paraId="5C459646">
      <w:pPr>
        <w:pStyle w:val="3"/>
        <w:spacing w:before="360" w:after="160"/>
      </w:pPr>
      <w:r>
        <w:rPr>
          <w:b/>
          <w:bCs/>
          <w:color w:val="1B2A4A"/>
          <w:sz w:val="26"/>
          <w:szCs w:val="26"/>
        </w:rPr>
        <w:t>Research Sources</w:t>
      </w:r>
    </w:p>
    <w:p w14:paraId="2AB30DDB">
      <w:pPr>
        <w:pStyle w:val="16"/>
        <w:numPr>
          <w:ilvl w:val="0"/>
          <w:numId w:val="2"/>
        </w:numPr>
        <w:spacing w:after="80" w:line="276" w:lineRule="auto"/>
      </w:pPr>
      <w:r>
        <w:rPr>
          <w:sz w:val="22"/>
          <w:szCs w:val="22"/>
        </w:rPr>
        <w:t>fairvaluehub.de — "ICT Power of Three — Accumulation, Manipulation, Distribution."</w:t>
      </w:r>
    </w:p>
    <w:p w14:paraId="0B18ED9C">
      <w:pPr>
        <w:pStyle w:val="16"/>
        <w:numPr>
          <w:ilvl w:val="0"/>
          <w:numId w:val="2"/>
        </w:numPr>
        <w:spacing w:after="80" w:line="276" w:lineRule="auto"/>
      </w:pPr>
      <w:r>
        <w:rPr>
          <w:sz w:val="22"/>
          <w:szCs w:val="22"/>
        </w:rPr>
        <w:t>arongroups.co — "What Is ICT Power of 3? Accumulation, Manipulation &amp; Distribution" and "Accumulation, Manipulation, Distribution (AMD): The ICT Power of 3 Explained."</w:t>
      </w:r>
    </w:p>
    <w:p w14:paraId="519F1099">
      <w:pPr>
        <w:pStyle w:val="16"/>
        <w:numPr>
          <w:ilvl w:val="0"/>
          <w:numId w:val="2"/>
        </w:numPr>
        <w:spacing w:after="80" w:line="276" w:lineRule="auto"/>
      </w:pPr>
      <w:r>
        <w:rPr>
          <w:sz w:val="22"/>
          <w:szCs w:val="22"/>
        </w:rPr>
        <w:t>luxalgo.com — "Accumulation-manipulation-distribution — Smart Money Concepts / ICT Concept."</w:t>
      </w:r>
    </w:p>
    <w:p w14:paraId="33C1A179">
      <w:pPr>
        <w:pStyle w:val="16"/>
        <w:numPr>
          <w:ilvl w:val="0"/>
          <w:numId w:val="2"/>
        </w:numPr>
        <w:spacing w:after="80" w:line="276" w:lineRule="auto"/>
      </w:pPr>
      <w:r>
        <w:rPr>
          <w:sz w:val="22"/>
          <w:szCs w:val="22"/>
        </w:rPr>
        <w:t>tradingfinder.com — "Asian Session PO3; Accumulation, Manipulation &amp; Distribution" and "Power of Three Strategy (PO3): 3 Phases in Identifying Price Movement."</w:t>
      </w:r>
    </w:p>
    <w:p w14:paraId="38959E52">
      <w:pPr>
        <w:pStyle w:val="16"/>
        <w:numPr>
          <w:ilvl w:val="0"/>
          <w:numId w:val="2"/>
        </w:numPr>
        <w:spacing w:after="80" w:line="276" w:lineRule="auto"/>
      </w:pPr>
      <w:r>
        <w:rPr>
          <w:sz w:val="22"/>
          <w:szCs w:val="22"/>
        </w:rPr>
        <w:t>fxopen.com — "ICT Power of 3 (PO3) Explained."</w:t>
      </w:r>
    </w:p>
    <w:p w14:paraId="008BAFE9">
      <w:pPr>
        <w:pStyle w:val="16"/>
        <w:numPr>
          <w:ilvl w:val="0"/>
          <w:numId w:val="2"/>
        </w:numPr>
        <w:spacing w:after="80" w:line="276" w:lineRule="auto"/>
      </w:pPr>
      <w:r>
        <w:rPr>
          <w:sz w:val="22"/>
          <w:szCs w:val="22"/>
        </w:rPr>
        <w:t>liquidityscan.io — "ICT Power of 3 (PO3): The AMD Cycle Explained."</w:t>
      </w:r>
    </w:p>
    <w:p w14:paraId="1E43E236">
      <w:pPr>
        <w:pStyle w:val="16"/>
        <w:numPr>
          <w:ilvl w:val="0"/>
          <w:numId w:val="2"/>
        </w:numPr>
        <w:spacing w:after="80" w:line="276" w:lineRule="auto"/>
      </w:pPr>
      <w:r>
        <w:rPr>
          <w:sz w:val="22"/>
          <w:szCs w:val="22"/>
        </w:rPr>
        <w:t>innercircletrader.net — "ICT Power of 3 — Accumulation, Manipulation, Distribution Explained."</w:t>
      </w:r>
    </w:p>
    <w:p w14:paraId="2AA5E086">
      <w:pPr>
        <w:pStyle w:val="16"/>
        <w:numPr>
          <w:ilvl w:val="0"/>
          <w:numId w:val="2"/>
        </w:numPr>
        <w:spacing w:after="80" w:line="276" w:lineRule="auto"/>
      </w:pPr>
      <w:r>
        <w:rPr>
          <w:sz w:val="22"/>
          <w:szCs w:val="22"/>
        </w:rPr>
        <w:t>ictkillzone.com — "ICT Power of Three (PO3): AMD Explained."</w:t>
      </w:r>
    </w:p>
    <w:p w14:paraId="7EEA3AAA">
      <w:pPr>
        <w:pStyle w:val="16"/>
        <w:numPr>
          <w:ilvl w:val="0"/>
          <w:numId w:val="2"/>
        </w:numPr>
        <w:spacing w:after="80" w:line="276" w:lineRule="auto"/>
      </w:pPr>
      <w:r>
        <w:rPr>
          <w:sz w:val="22"/>
          <w:szCs w:val="22"/>
        </w:rPr>
        <w:t>completetradersedge.com — "The ICT Power of 3: Accumulation, Manipulation, Distribution."</w:t>
      </w:r>
    </w:p>
    <w:p w14:paraId="5646EDDE">
      <w:pPr>
        <w:pStyle w:val="16"/>
        <w:numPr>
          <w:ilvl w:val="0"/>
          <w:numId w:val="2"/>
        </w:numPr>
        <w:spacing w:after="80" w:line="276" w:lineRule="auto"/>
      </w:pPr>
      <w:r>
        <w:rPr>
          <w:sz w:val="22"/>
          <w:szCs w:val="22"/>
        </w:rPr>
        <w:t>dhanith.com — "Accumulation, Manipulation, Distribution (AMD): The Complete ICT AMD Trading Guide."</w:t>
      </w:r>
    </w:p>
    <w:p w14:paraId="5084A279">
      <w:pPr>
        <w:pStyle w:val="16"/>
        <w:numPr>
          <w:ilvl w:val="0"/>
          <w:numId w:val="2"/>
        </w:numPr>
        <w:spacing w:after="80" w:line="276" w:lineRule="auto"/>
      </w:pPr>
      <w:r>
        <w:rPr>
          <w:sz w:val="22"/>
          <w:szCs w:val="22"/>
        </w:rPr>
        <w:t>korafx.com — "ICT Power of Three: How to Trade Market Maker Cycles."</w:t>
      </w:r>
    </w:p>
    <w:p w14:paraId="6B509081">
      <w:pPr>
        <w:pStyle w:val="16"/>
        <w:numPr>
          <w:ilvl w:val="0"/>
          <w:numId w:val="2"/>
        </w:numPr>
        <w:spacing w:after="80" w:line="276" w:lineRule="auto"/>
      </w:pPr>
      <w:r>
        <w:rPr>
          <w:sz w:val="22"/>
          <w:szCs w:val="22"/>
        </w:rPr>
        <w:t>writofinance.com — "Trading with ICT Power of 3 (AMD Setup)."</w:t>
      </w:r>
    </w:p>
    <w:p w14:paraId="3FB55201">
      <w:pPr>
        <w:pStyle w:val="16"/>
        <w:numPr>
          <w:ilvl w:val="0"/>
          <w:numId w:val="2"/>
        </w:numPr>
        <w:spacing w:after="80" w:line="276" w:lineRule="auto"/>
      </w:pPr>
      <w:r>
        <w:rPr>
          <w:sz w:val="22"/>
          <w:szCs w:val="22"/>
        </w:rPr>
        <w:t>Note: as in prior modules, this research pass relied on cross-checked secondary/tutorial documentation rather than direct ICT primary-source video transcripts, which were not accessible in this environment. The core three-phase model and its fractal property are exceptionally consistently corroborated across a very large number of independent sources.</w:t>
      </w:r>
    </w:p>
    <w:p w14:paraId="55350409">
      <w:pPr>
        <w:pStyle w:val="16"/>
        <w:numPr>
          <w:ilvl w:val="0"/>
          <w:numId w:val="0"/>
        </w:numPr>
        <w:spacing w:after="80" w:line="276" w:lineRule="auto"/>
        <w:rPr>
          <w:sz w:val="22"/>
          <w:szCs w:val="22"/>
        </w:rPr>
      </w:pPr>
    </w:p>
    <w:p w14:paraId="59826A3B">
      <w:pPr>
        <w:pStyle w:val="16"/>
        <w:numPr>
          <w:ilvl w:val="0"/>
          <w:numId w:val="0"/>
        </w:numPr>
        <w:spacing w:after="80" w:line="276" w:lineRule="auto"/>
        <w:rPr>
          <w:sz w:val="22"/>
          <w:szCs w:val="22"/>
        </w:rPr>
      </w:pPr>
    </w:p>
    <w:p w14:paraId="2B404623">
      <w:pPr>
        <w:pStyle w:val="16"/>
        <w:numPr>
          <w:ilvl w:val="0"/>
          <w:numId w:val="0"/>
        </w:numPr>
        <w:spacing w:after="80" w:line="276" w:lineRule="auto"/>
        <w:rPr>
          <w:sz w:val="22"/>
          <w:szCs w:val="22"/>
        </w:rPr>
      </w:pPr>
    </w:p>
    <w:p w14:paraId="629345DA">
      <w:pPr>
        <w:pStyle w:val="16"/>
        <w:numPr>
          <w:ilvl w:val="0"/>
          <w:numId w:val="0"/>
        </w:numPr>
        <w:spacing w:after="80" w:line="276" w:lineRule="auto"/>
        <w:rPr>
          <w:sz w:val="22"/>
          <w:szCs w:val="22"/>
        </w:rPr>
      </w:pPr>
    </w:p>
    <w:p w14:paraId="3A961CC0">
      <w:pPr>
        <w:pStyle w:val="16"/>
        <w:numPr>
          <w:ilvl w:val="0"/>
          <w:numId w:val="0"/>
        </w:numPr>
        <w:spacing w:after="80" w:line="276" w:lineRule="auto"/>
        <w:rPr>
          <w:sz w:val="22"/>
          <w:szCs w:val="22"/>
        </w:rPr>
      </w:pPr>
    </w:p>
    <w:p w14:paraId="1A47EA2B">
      <w:pPr>
        <w:pStyle w:val="16"/>
        <w:numPr>
          <w:ilvl w:val="0"/>
          <w:numId w:val="0"/>
        </w:numPr>
        <w:spacing w:after="80" w:line="276" w:lineRule="auto"/>
        <w:rPr>
          <w:sz w:val="22"/>
          <w:szCs w:val="22"/>
        </w:rPr>
      </w:pPr>
    </w:p>
    <w:p w14:paraId="5903A143">
      <w:pPr>
        <w:pStyle w:val="16"/>
        <w:numPr>
          <w:ilvl w:val="0"/>
          <w:numId w:val="0"/>
        </w:numPr>
        <w:spacing w:after="80" w:line="276" w:lineRule="auto"/>
        <w:rPr>
          <w:sz w:val="22"/>
          <w:szCs w:val="22"/>
        </w:rPr>
      </w:pPr>
    </w:p>
    <w:p w14:paraId="54BB0C3E">
      <w:pPr>
        <w:pStyle w:val="16"/>
        <w:numPr>
          <w:ilvl w:val="0"/>
          <w:numId w:val="0"/>
        </w:numPr>
        <w:spacing w:after="80" w:line="276" w:lineRule="auto"/>
        <w:rPr>
          <w:sz w:val="22"/>
          <w:szCs w:val="22"/>
        </w:rPr>
      </w:pPr>
    </w:p>
    <w:p w14:paraId="6E664327">
      <w:pPr>
        <w:pStyle w:val="16"/>
        <w:numPr>
          <w:ilvl w:val="0"/>
          <w:numId w:val="0"/>
        </w:numPr>
        <w:spacing w:after="80" w:line="276" w:lineRule="auto"/>
        <w:rPr>
          <w:sz w:val="22"/>
          <w:szCs w:val="22"/>
        </w:rPr>
      </w:pPr>
    </w:p>
    <w:p w14:paraId="09799318">
      <w:pPr>
        <w:pStyle w:val="16"/>
        <w:numPr>
          <w:ilvl w:val="0"/>
          <w:numId w:val="0"/>
        </w:numPr>
        <w:spacing w:after="80" w:line="276" w:lineRule="auto"/>
        <w:rPr>
          <w:sz w:val="22"/>
          <w:szCs w:val="22"/>
        </w:rPr>
      </w:pPr>
    </w:p>
    <w:p w14:paraId="7B1FA170">
      <w:pPr>
        <w:pStyle w:val="16"/>
        <w:numPr>
          <w:ilvl w:val="0"/>
          <w:numId w:val="0"/>
        </w:numPr>
        <w:spacing w:after="80" w:line="276" w:lineRule="auto"/>
        <w:rPr>
          <w:sz w:val="22"/>
          <w:szCs w:val="22"/>
        </w:rPr>
      </w:pPr>
    </w:p>
    <w:p w14:paraId="7F961926">
      <w:pPr>
        <w:pStyle w:val="16"/>
        <w:numPr>
          <w:ilvl w:val="0"/>
          <w:numId w:val="0"/>
        </w:numPr>
        <w:spacing w:after="80" w:line="276" w:lineRule="auto"/>
        <w:rPr>
          <w:sz w:val="22"/>
          <w:szCs w:val="22"/>
        </w:rPr>
      </w:pPr>
    </w:p>
    <w:p w14:paraId="67503B92">
      <w:pPr>
        <w:pStyle w:val="16"/>
        <w:numPr>
          <w:ilvl w:val="0"/>
          <w:numId w:val="0"/>
        </w:numPr>
        <w:spacing w:after="80" w:line="276" w:lineRule="auto"/>
        <w:rPr>
          <w:sz w:val="22"/>
          <w:szCs w:val="22"/>
        </w:rPr>
      </w:pPr>
    </w:p>
    <w:p w14:paraId="59D44BF4">
      <w:pPr>
        <w:pStyle w:val="16"/>
        <w:numPr>
          <w:ilvl w:val="0"/>
          <w:numId w:val="0"/>
        </w:numPr>
        <w:spacing w:after="80" w:line="276" w:lineRule="auto"/>
        <w:rPr>
          <w:sz w:val="22"/>
          <w:szCs w:val="22"/>
        </w:rPr>
      </w:pPr>
    </w:p>
    <w:p w14:paraId="251BA31C">
      <w:pPr>
        <w:pStyle w:val="16"/>
        <w:numPr>
          <w:ilvl w:val="0"/>
          <w:numId w:val="0"/>
        </w:numPr>
        <w:spacing w:after="80" w:line="276" w:lineRule="auto"/>
        <w:rPr>
          <w:sz w:val="22"/>
          <w:szCs w:val="22"/>
        </w:rPr>
      </w:pPr>
    </w:p>
    <w:p w14:paraId="4ADB9F55">
      <w:pPr>
        <w:pStyle w:val="16"/>
        <w:numPr>
          <w:ilvl w:val="0"/>
          <w:numId w:val="0"/>
        </w:numPr>
        <w:spacing w:after="80" w:line="276" w:lineRule="auto"/>
        <w:rPr>
          <w:sz w:val="22"/>
          <w:szCs w:val="22"/>
        </w:rPr>
      </w:pPr>
    </w:p>
    <w:p w14:paraId="58F5093A">
      <w:pPr>
        <w:pStyle w:val="16"/>
        <w:numPr>
          <w:ilvl w:val="0"/>
          <w:numId w:val="0"/>
        </w:numPr>
        <w:spacing w:after="80" w:line="276" w:lineRule="auto"/>
        <w:rPr>
          <w:sz w:val="22"/>
          <w:szCs w:val="22"/>
        </w:rPr>
      </w:pPr>
    </w:p>
    <w:p w14:paraId="3F8A9C1C">
      <w:pPr>
        <w:pStyle w:val="16"/>
        <w:numPr>
          <w:ilvl w:val="0"/>
          <w:numId w:val="0"/>
        </w:numPr>
        <w:spacing w:after="80" w:line="276" w:lineRule="auto"/>
        <w:rPr>
          <w:sz w:val="22"/>
          <w:szCs w:val="22"/>
        </w:rPr>
      </w:pPr>
    </w:p>
    <w:p w14:paraId="6946EC3D">
      <w:pPr>
        <w:pStyle w:val="16"/>
        <w:numPr>
          <w:ilvl w:val="0"/>
          <w:numId w:val="0"/>
        </w:numPr>
        <w:spacing w:after="80" w:line="276" w:lineRule="auto"/>
        <w:rPr>
          <w:sz w:val="22"/>
          <w:szCs w:val="22"/>
        </w:rPr>
      </w:pPr>
    </w:p>
    <w:p w14:paraId="4F2E4EB9">
      <w:pPr>
        <w:pStyle w:val="16"/>
        <w:numPr>
          <w:ilvl w:val="0"/>
          <w:numId w:val="0"/>
        </w:numPr>
        <w:spacing w:after="80" w:line="276" w:lineRule="auto"/>
        <w:rPr>
          <w:sz w:val="22"/>
          <w:szCs w:val="22"/>
        </w:rPr>
      </w:pPr>
    </w:p>
    <w:p w14:paraId="6CDE6DA5">
      <w:pPr>
        <w:pStyle w:val="16"/>
        <w:numPr>
          <w:ilvl w:val="0"/>
          <w:numId w:val="0"/>
        </w:numPr>
        <w:spacing w:after="80" w:line="276" w:lineRule="auto"/>
        <w:rPr>
          <w:sz w:val="22"/>
          <w:szCs w:val="22"/>
        </w:rPr>
      </w:pPr>
    </w:p>
    <w:p w14:paraId="7EA46AE6">
      <w:pPr>
        <w:pStyle w:val="16"/>
        <w:numPr>
          <w:ilvl w:val="0"/>
          <w:numId w:val="0"/>
        </w:numPr>
        <w:spacing w:after="80" w:line="276" w:lineRule="auto"/>
        <w:rPr>
          <w:sz w:val="22"/>
          <w:szCs w:val="22"/>
        </w:rPr>
      </w:pPr>
    </w:p>
    <w:p w14:paraId="42F7CED3">
      <w:pPr>
        <w:pStyle w:val="16"/>
        <w:numPr>
          <w:ilvl w:val="0"/>
          <w:numId w:val="0"/>
        </w:numPr>
        <w:spacing w:after="80" w:line="276" w:lineRule="auto"/>
        <w:rPr>
          <w:sz w:val="22"/>
          <w:szCs w:val="22"/>
        </w:rPr>
      </w:pPr>
    </w:p>
    <w:p w14:paraId="6A94E702">
      <w:pPr>
        <w:pStyle w:val="16"/>
        <w:numPr>
          <w:ilvl w:val="0"/>
          <w:numId w:val="0"/>
        </w:numPr>
        <w:spacing w:after="80" w:line="276" w:lineRule="auto"/>
        <w:rPr>
          <w:sz w:val="22"/>
          <w:szCs w:val="22"/>
        </w:rPr>
      </w:pPr>
    </w:p>
    <w:p w14:paraId="2E763412">
      <w:pPr>
        <w:pStyle w:val="16"/>
        <w:numPr>
          <w:ilvl w:val="0"/>
          <w:numId w:val="0"/>
        </w:numPr>
        <w:spacing w:after="80" w:line="276" w:lineRule="auto"/>
        <w:rPr>
          <w:sz w:val="22"/>
          <w:szCs w:val="22"/>
        </w:rPr>
      </w:pPr>
    </w:p>
    <w:p w14:paraId="3F120205">
      <w:r>
        <w:br w:type="page"/>
      </w:r>
    </w:p>
    <w:p w14:paraId="35059E77">
      <w:pPr>
        <w:pStyle w:val="2"/>
        <w:pBdr>
          <w:bottom w:val="single" w:color="1B2A4A" w:sz="12" w:space="4"/>
        </w:pBdr>
        <w:spacing w:before="480" w:after="240"/>
      </w:pPr>
      <w:r>
        <w:rPr>
          <w:b/>
          <w:bCs/>
          <w:color w:val="1B2A4A"/>
          <w:sz w:val="34"/>
          <w:szCs w:val="34"/>
        </w:rPr>
        <w:t>MODULE 10</w:t>
      </w:r>
    </w:p>
    <w:p w14:paraId="46FDAF93">
      <w:pPr>
        <w:spacing w:after="300"/>
      </w:pPr>
      <w:r>
        <w:rPr>
          <w:b/>
          <w:bCs/>
          <w:color w:val="9A7B2E"/>
          <w:sz w:val="30"/>
          <w:szCs w:val="30"/>
        </w:rPr>
        <w:t>Bias</w:t>
      </w:r>
    </w:p>
    <w:p w14:paraId="5D07F205">
      <w:pPr>
        <w:spacing w:after="160" w:line="288" w:lineRule="auto"/>
      </w:pPr>
      <w:r>
        <w:rPr>
          <w:b w:val="0"/>
          <w:bCs w:val="0"/>
          <w:i w:val="0"/>
          <w:iCs w:val="0"/>
          <w:sz w:val="22"/>
          <w:szCs w:val="22"/>
        </w:rPr>
        <w:t>Every module so far has built a specific analytical tool: structure, liquidity, displacement, PD arrays, OTE, sessions, and Power of 3. This module brings all of them together to answer the single question every one of those tools has been quietly building toward: which direction should a trader be looking to trade at all?</w:t>
      </w:r>
    </w:p>
    <w:p w14:paraId="12709F47">
      <w:pPr>
        <w:spacing w:after="160" w:line="288" w:lineRule="auto"/>
      </w:pPr>
      <w:r>
        <w:rPr>
          <w:b w:val="0"/>
          <w:bCs w:val="0"/>
          <w:i w:val="0"/>
          <w:iCs w:val="0"/>
          <w:sz w:val="22"/>
          <w:szCs w:val="22"/>
        </w:rPr>
        <w:t>You will learn what bias means as a disciplined, repeatable analytical process rather than a hunch, how it operates at the macro level (HTF Bias) and the single-day level (Daily Bias), the specific checklists of Bullish and Bearish Conditions used to support a given bias, and finally a consolidated, step-by-step procedure for establishing one clear daily directional expectation before the trading day begins.</w:t>
      </w:r>
    </w:p>
    <w:p w14:paraId="4ED642C2">
      <w:pPr>
        <w:spacing w:after="160" w:line="288" w:lineRule="auto"/>
      </w:pPr>
      <w:r>
        <w:rPr>
          <w:b w:val="0"/>
          <w:bCs w:val="0"/>
          <w:i w:val="0"/>
          <w:iCs w:val="0"/>
          <w:sz w:val="22"/>
          <w:szCs w:val="22"/>
        </w:rPr>
        <w:t>This module assumes fluency with Market Structure (Module 3), Liquidity (Module 4), Premium/Discount (Module 7), Sessions (Module 8), and Power of 3 (Module 9) — bias is explicitly built by combining all five.</w:t>
      </w:r>
    </w:p>
    <w:p w14:paraId="2D441694">
      <w:r>
        <w:br w:type="page"/>
      </w:r>
    </w:p>
    <w:p w14:paraId="5A3CD11E">
      <w:pPr>
        <w:pStyle w:val="2"/>
        <w:pBdr>
          <w:bottom w:val="single" w:color="1B2A4A" w:sz="12" w:space="4"/>
        </w:pBdr>
        <w:spacing w:before="480" w:after="240"/>
      </w:pPr>
      <w:r>
        <w:rPr>
          <w:b/>
          <w:bCs/>
          <w:color w:val="1B2A4A"/>
          <w:sz w:val="34"/>
          <w:szCs w:val="34"/>
        </w:rPr>
        <w:t>Bias</w:t>
      </w:r>
    </w:p>
    <w:p w14:paraId="58305E59">
      <w:pPr>
        <w:pStyle w:val="3"/>
        <w:spacing w:before="360" w:after="160"/>
      </w:pPr>
      <w:r>
        <w:rPr>
          <w:b/>
          <w:bCs/>
          <w:color w:val="1B2A4A"/>
          <w:sz w:val="26"/>
          <w:szCs w:val="26"/>
        </w:rPr>
        <w:t>1. Definition</w:t>
      </w:r>
    </w:p>
    <w:p w14:paraId="202969FB">
      <w:pPr>
        <w:spacing w:after="160" w:line="288" w:lineRule="auto"/>
      </w:pPr>
      <w:r>
        <w:rPr>
          <w:b w:val="0"/>
          <w:bCs w:val="0"/>
          <w:i w:val="0"/>
          <w:iCs w:val="0"/>
          <w:sz w:val="22"/>
          <w:szCs w:val="22"/>
        </w:rPr>
        <w:t>Bias, within ICT's framework, is a trader's working directional expectation — bullish, bearish, or neutral/undetermined — for a given instrument over a given period, formed from top-down structural and liquidity analysis rather than from opinion, and used to filter which trade setups are considered valid.</w:t>
      </w:r>
    </w:p>
    <w:p w14:paraId="0226E6F2">
      <w:pPr>
        <w:pStyle w:val="3"/>
        <w:spacing w:before="360" w:after="160"/>
      </w:pPr>
      <w:r>
        <w:rPr>
          <w:b/>
          <w:bCs/>
          <w:color w:val="1B2A4A"/>
          <w:sz w:val="26"/>
          <w:szCs w:val="26"/>
        </w:rPr>
        <w:t>2. ICT's Meaning</w:t>
      </w:r>
    </w:p>
    <w:p w14:paraId="7B62040E">
      <w:pPr>
        <w:spacing w:after="160" w:line="288" w:lineRule="auto"/>
      </w:pPr>
      <w:r>
        <w:rPr>
          <w:b w:val="0"/>
          <w:bCs w:val="0"/>
          <w:i w:val="0"/>
          <w:iCs w:val="0"/>
          <w:sz w:val="22"/>
          <w:szCs w:val="22"/>
        </w:rPr>
        <w:t>ICT-focused sources are consistent that establishing bias is meant to be a disciplined, repeatable analytical process — reading market structure, locating unswept liquidity, and noting premium/discount positioning — rather than a gut feeling or a prediction of exactly what will happen. Several sources explicitly attribute this framing to Michael J. Huddleston, quoting the emphasis that the goal is not to correctly predict every single day's direction in advance, but to equip a trader with a repeatable, independent method for determining bias in any market.</w:t>
      </w:r>
    </w:p>
    <w:p w14:paraId="606B65CC">
      <w:pPr>
        <w:spacing w:after="160" w:line="288" w:lineRule="auto"/>
      </w:pPr>
      <w:r>
        <w:rPr>
          <w:b w:val="0"/>
          <w:bCs w:val="0"/>
          <w:i w:val="0"/>
          <w:iCs w:val="0"/>
          <w:sz w:val="22"/>
          <w:szCs w:val="22"/>
        </w:rPr>
        <w:t>Bias is described across sources as operating at multiple nested timeframes simultaneously (monthly, weekly, daily, and even session-level or hourly), directly reusing the HTF/LTF relationship from Module 2: a bias formed on a higher timeframe is treated as the dominant, governing context, with lower-timeframe bias expected to align with it for the highest-confidence setups.</w:t>
      </w:r>
    </w:p>
    <w:p w14:paraId="7B36781C">
      <w:pPr>
        <w:spacing w:after="160" w:line="288" w:lineRule="auto"/>
      </w:pPr>
      <w:r>
        <w:rPr>
          <w:b w:val="0"/>
          <w:bCs w:val="0"/>
          <w:i w:val="0"/>
          <w:iCs w:val="0"/>
          <w:sz w:val="22"/>
          <w:szCs w:val="22"/>
        </w:rPr>
        <w:t>Once a bias is established, ICT-focused sources describe a clear behavioral consequence: a trader is expected to look only for entries in the direction of that bias, deliberately ignoring or discounting setups that point the opposite way — described across sources as the primary discipline bias is meant to enforce.</w:t>
      </w:r>
    </w:p>
    <w:p w14:paraId="11ABDD4D">
      <w:pPr>
        <w:pStyle w:val="3"/>
        <w:spacing w:before="360" w:after="160"/>
      </w:pPr>
      <w:r>
        <w:rPr>
          <w:b/>
          <w:bCs/>
          <w:color w:val="1B2A4A"/>
          <w:sz w:val="26"/>
          <w:szCs w:val="26"/>
        </w:rPr>
        <w:t>3. Beginner Explanation</w:t>
      </w:r>
    </w:p>
    <w:p w14:paraId="180B7004">
      <w:pPr>
        <w:spacing w:after="160" w:line="288" w:lineRule="auto"/>
      </w:pPr>
      <w:r>
        <w:rPr>
          <w:b w:val="0"/>
          <w:bCs w:val="0"/>
          <w:i w:val="0"/>
          <w:iCs w:val="0"/>
          <w:sz w:val="22"/>
          <w:szCs w:val="22"/>
        </w:rPr>
        <w:t>Bias is simply your best, most carefully reasoned guess about which direction — up or down — a market is more likely to move over some period of time, based on the specific tools this book has already covered (structure, liquidity, premium/discount), rather than a hunch or a feeling. Once you've formed that guess, ICT-focused teaching says you should mostly stick to looking for trades that agree with it, rather than jumping back and forth chasing every price move regardless of direction.</w:t>
      </w:r>
    </w:p>
    <w:p w14:paraId="489ADEF8">
      <w:pPr>
        <w:pStyle w:val="3"/>
        <w:spacing w:before="360" w:after="160"/>
      </w:pPr>
      <w:r>
        <w:rPr>
          <w:b/>
          <w:bCs/>
          <w:color w:val="1B2A4A"/>
          <w:sz w:val="26"/>
          <w:szCs w:val="26"/>
        </w:rPr>
        <w:t>4. How to Identify It</w:t>
      </w:r>
    </w:p>
    <w:p w14:paraId="07AF509B">
      <w:pPr>
        <w:pStyle w:val="16"/>
        <w:numPr>
          <w:ilvl w:val="0"/>
          <w:numId w:val="1"/>
        </w:numPr>
        <w:spacing w:after="80" w:line="276" w:lineRule="auto"/>
      </w:pPr>
      <w:r>
        <w:rPr>
          <w:sz w:val="22"/>
          <w:szCs w:val="22"/>
        </w:rPr>
        <w:t>Select the specific timeframe and period for which bias is being determined (for example, the current trading week, or the current trading day).</w:t>
      </w:r>
    </w:p>
    <w:p w14:paraId="44E74D02">
      <w:pPr>
        <w:pStyle w:val="16"/>
        <w:numPr>
          <w:ilvl w:val="0"/>
          <w:numId w:val="1"/>
        </w:numPr>
        <w:spacing w:after="80" w:line="276" w:lineRule="auto"/>
      </w:pPr>
      <w:r>
        <w:rPr>
          <w:sz w:val="22"/>
          <w:szCs w:val="22"/>
        </w:rPr>
        <w:t>Read market structure on the corresponding chart (Module 3): higher highs and higher lows suggest bullish bias; lower highs and lower lows suggest bearish bias; a mixed, inconsistent pattern suggests neutral or undetermined bias.</w:t>
      </w:r>
    </w:p>
    <w:p w14:paraId="192A276A">
      <w:pPr>
        <w:pStyle w:val="16"/>
        <w:numPr>
          <w:ilvl w:val="0"/>
          <w:numId w:val="1"/>
        </w:numPr>
        <w:spacing w:after="80" w:line="276" w:lineRule="auto"/>
      </w:pPr>
      <w:r>
        <w:rPr>
          <w:sz w:val="22"/>
          <w:szCs w:val="22"/>
        </w:rPr>
        <w:t>Check for unswept liquidity above and below current price (Module 4), noting which side represents the more likely "draw" for price.</w:t>
      </w:r>
    </w:p>
    <w:p w14:paraId="1893D970">
      <w:pPr>
        <w:pStyle w:val="16"/>
        <w:numPr>
          <w:ilvl w:val="0"/>
          <w:numId w:val="1"/>
        </w:numPr>
        <w:spacing w:after="80" w:line="276" w:lineRule="auto"/>
      </w:pPr>
      <w:r>
        <w:rPr>
          <w:sz w:val="22"/>
          <w:szCs w:val="22"/>
        </w:rPr>
        <w:t>Note the instrument's premium/discount position relative to the relevant dealing range (Module 7).</w:t>
      </w:r>
    </w:p>
    <w:p w14:paraId="3C43FB27">
      <w:pPr>
        <w:pStyle w:val="16"/>
        <w:numPr>
          <w:ilvl w:val="0"/>
          <w:numId w:val="1"/>
        </w:numPr>
        <w:spacing w:after="80" w:line="276" w:lineRule="auto"/>
      </w:pPr>
      <w:r>
        <w:rPr>
          <w:sz w:val="22"/>
          <w:szCs w:val="22"/>
        </w:rPr>
        <w:t>Combine these inputs into a single working directional statement (bullish, bearish, or neutral) for the period in question.</w:t>
      </w:r>
    </w:p>
    <w:p w14:paraId="21D86779">
      <w:pPr>
        <w:pStyle w:val="3"/>
        <w:spacing w:before="360" w:after="160"/>
      </w:pPr>
      <w:r>
        <w:rPr>
          <w:b/>
          <w:bCs/>
          <w:color w:val="1B2A4A"/>
          <w:sz w:val="26"/>
          <w:szCs w:val="26"/>
        </w:rPr>
        <w:t>5. Simple Price Example</w:t>
      </w:r>
    </w:p>
    <w:p w14:paraId="5FF8660B">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Weekly chart shows a clear sequence of higher highs and higher lows over the past several weeks; unswept sell-side liquidity rests below the most recent higher low</w:t>
      </w:r>
    </w:p>
    <w:p w14:paraId="0D284F0F">
      <w:pPr>
        <w:spacing w:after="160" w:line="288" w:lineRule="auto"/>
      </w:pPr>
      <w:r>
        <w:rPr>
          <w:b w:val="0"/>
          <w:bCs w:val="0"/>
          <w:i w:val="0"/>
          <w:iCs w:val="0"/>
          <w:sz w:val="22"/>
          <w:szCs w:val="22"/>
        </w:rPr>
        <w:t>This combination — bullish structure, plus an unswept liquidity pool below current price that would need to be revisited before further downside, absent any structural shift — would lead a trader following this framework to form a bullish bias for the period in question, expecting the more likely path forward to eventually favor upside, potentially after a move down to collect that resting liquidity first.</w:t>
      </w:r>
    </w:p>
    <w:p w14:paraId="21E2743F">
      <w:pPr>
        <w:pStyle w:val="3"/>
        <w:spacing w:before="360" w:after="160"/>
      </w:pPr>
      <w:r>
        <w:rPr>
          <w:b/>
          <w:bCs/>
          <w:color w:val="1B2A4A"/>
          <w:sz w:val="26"/>
          <w:szCs w:val="26"/>
        </w:rPr>
        <w:t>6. What It Tells the Trader</w:t>
      </w:r>
    </w:p>
    <w:p w14:paraId="477FD826">
      <w:pPr>
        <w:spacing w:after="160" w:line="288" w:lineRule="auto"/>
      </w:pPr>
      <w:r>
        <w:rPr>
          <w:b w:val="0"/>
          <w:bCs w:val="0"/>
          <w:i w:val="0"/>
          <w:iCs w:val="0"/>
          <w:sz w:val="22"/>
          <w:szCs w:val="22"/>
        </w:rPr>
        <w:t>Bias tells the trader which direction to prioritize when evaluating potential setups, providing a filter that reduces the number of trade ideas considered and keeps analysis aligned with the broader structural and liquidity picture.</w:t>
      </w:r>
    </w:p>
    <w:p w14:paraId="4BFF9ECA">
      <w:pPr>
        <w:spacing w:after="160" w:line="288" w:lineRule="auto"/>
      </w:pPr>
      <w:r>
        <w:rPr>
          <w:b w:val="0"/>
          <w:bCs w:val="0"/>
          <w:i w:val="0"/>
          <w:iCs w:val="0"/>
          <w:sz w:val="22"/>
          <w:szCs w:val="22"/>
        </w:rPr>
        <w:t>It does not tell the trader that the anticipated direction is guaranteed, nor does it specify the exact entry, target, or timing — those are supplied by the more specific tools covered in Modules 6, 7, and 11–12. Bias is a starting filter, not a complete trade plan.</w:t>
      </w:r>
    </w:p>
    <w:p w14:paraId="38271700">
      <w:pPr>
        <w:pStyle w:val="3"/>
        <w:spacing w:before="360" w:after="160"/>
      </w:pPr>
      <w:r>
        <w:rPr>
          <w:b/>
          <w:bCs/>
          <w:color w:val="1B2A4A"/>
          <w:sz w:val="26"/>
          <w:szCs w:val="26"/>
        </w:rPr>
        <w:t>7. What It Is Commonly Paired With</w:t>
      </w:r>
    </w:p>
    <w:p w14:paraId="046F1A40">
      <w:pPr>
        <w:pStyle w:val="16"/>
        <w:numPr>
          <w:ilvl w:val="0"/>
          <w:numId w:val="2"/>
        </w:numPr>
        <w:spacing w:after="80" w:line="276" w:lineRule="auto"/>
      </w:pPr>
      <w:r>
        <w:rPr>
          <w:sz w:val="22"/>
          <w:szCs w:val="22"/>
        </w:rPr>
        <w:t>Market Structure (Module 3)</w:t>
      </w:r>
    </w:p>
    <w:p w14:paraId="4E4A66DB">
      <w:pPr>
        <w:pStyle w:val="16"/>
        <w:numPr>
          <w:ilvl w:val="0"/>
          <w:numId w:val="2"/>
        </w:numPr>
        <w:spacing w:after="80" w:line="276" w:lineRule="auto"/>
      </w:pPr>
      <w:r>
        <w:rPr>
          <w:sz w:val="22"/>
          <w:szCs w:val="22"/>
        </w:rPr>
        <w:t>Liquidity (Module 4)</w:t>
      </w:r>
    </w:p>
    <w:p w14:paraId="00DD11C0">
      <w:pPr>
        <w:pStyle w:val="16"/>
        <w:numPr>
          <w:ilvl w:val="0"/>
          <w:numId w:val="2"/>
        </w:numPr>
        <w:spacing w:after="80" w:line="276" w:lineRule="auto"/>
      </w:pPr>
      <w:r>
        <w:rPr>
          <w:sz w:val="22"/>
          <w:szCs w:val="22"/>
        </w:rPr>
        <w:t>HTF Bias / Daily Bias (this module)</w:t>
      </w:r>
    </w:p>
    <w:p w14:paraId="5CBD5B5F">
      <w:pPr>
        <w:spacing w:after="160" w:line="288" w:lineRule="auto"/>
      </w:pPr>
      <w:r>
        <w:rPr>
          <w:b w:val="0"/>
          <w:bCs w:val="0"/>
          <w:i w:val="0"/>
          <w:iCs w:val="0"/>
          <w:sz w:val="22"/>
          <w:szCs w:val="22"/>
        </w:rPr>
        <w:t>Bias is the direct output of applying Module 3's structure-reading tools and Module 4's liquidity concepts to a specific period, and it is immediately specialized in this module into the two most commonly discussed applications: HTF Bias and Daily Bias.</w:t>
      </w:r>
    </w:p>
    <w:p w14:paraId="1D051124">
      <w:pPr>
        <w:pStyle w:val="3"/>
        <w:spacing w:before="360" w:after="160"/>
      </w:pPr>
      <w:r>
        <w:rPr>
          <w:b/>
          <w:bCs/>
          <w:color w:val="1B2A4A"/>
          <w:sz w:val="26"/>
          <w:szCs w:val="26"/>
        </w:rPr>
        <w:t>8. Where It Fits in the ICT Framework</w:t>
      </w:r>
    </w:p>
    <w:p w14:paraId="546D6F68">
      <w:pPr>
        <w:spacing w:after="160" w:line="288" w:lineRule="auto"/>
      </w:pPr>
      <w:r>
        <w:rPr>
          <w:b w:val="0"/>
          <w:bCs w:val="0"/>
          <w:i w:val="0"/>
          <w:iCs w:val="0"/>
          <w:sz w:val="22"/>
          <w:szCs w:val="22"/>
        </w:rPr>
        <w:t>Comes before: Requires Market Structure (Module 3), Liquidity (Module 4), and Premium/Discount (Module 7).</w:t>
      </w:r>
    </w:p>
    <w:p w14:paraId="291B25EE">
      <w:pPr>
        <w:spacing w:after="160" w:line="288" w:lineRule="auto"/>
      </w:pPr>
      <w:r>
        <w:rPr>
          <w:b w:val="0"/>
          <w:bCs w:val="0"/>
          <w:i w:val="0"/>
          <w:iCs w:val="0"/>
          <w:sz w:val="22"/>
          <w:szCs w:val="22"/>
        </w:rPr>
        <w:t>Comes after: Feeds directly into HTF Bias and Daily Bias, the next two concepts in this module.</w:t>
      </w:r>
    </w:p>
    <w:p w14:paraId="42811899">
      <w:pPr>
        <w:pStyle w:val="3"/>
        <w:spacing w:before="360" w:after="160"/>
      </w:pPr>
      <w:r>
        <w:rPr>
          <w:b/>
          <w:bCs/>
          <w:color w:val="1B2A4A"/>
          <w:sz w:val="26"/>
          <w:szCs w:val="26"/>
        </w:rPr>
        <w:t>9. Beginner Mistakes</w:t>
      </w:r>
    </w:p>
    <w:p w14:paraId="5CCA379D">
      <w:pPr>
        <w:pStyle w:val="16"/>
        <w:numPr>
          <w:ilvl w:val="0"/>
          <w:numId w:val="2"/>
        </w:numPr>
        <w:spacing w:after="80" w:line="276" w:lineRule="auto"/>
      </w:pPr>
      <w:r>
        <w:rPr>
          <w:sz w:val="22"/>
          <w:szCs w:val="22"/>
        </w:rPr>
        <w:t>Forming a bias based on a feeling or a headline rather than the specific structural and liquidity criteria this framework specifies.</w:t>
      </w:r>
    </w:p>
    <w:p w14:paraId="1ADB82E1">
      <w:pPr>
        <w:pStyle w:val="16"/>
        <w:numPr>
          <w:ilvl w:val="0"/>
          <w:numId w:val="2"/>
        </w:numPr>
        <w:spacing w:after="80" w:line="276" w:lineRule="auto"/>
      </w:pPr>
      <w:r>
        <w:rPr>
          <w:sz w:val="22"/>
          <w:szCs w:val="22"/>
        </w:rPr>
        <w:t>Treating an established bias as permanent and refusing to update it even after a genuine, confirmed structural shift.</w:t>
      </w:r>
    </w:p>
    <w:p w14:paraId="0B1FE1BA">
      <w:pPr>
        <w:pStyle w:val="16"/>
        <w:numPr>
          <w:ilvl w:val="0"/>
          <w:numId w:val="2"/>
        </w:numPr>
        <w:spacing w:after="80" w:line="276" w:lineRule="auto"/>
      </w:pPr>
      <w:r>
        <w:rPr>
          <w:sz w:val="22"/>
          <w:szCs w:val="22"/>
        </w:rPr>
        <w:t>Taking counter-bias trades opportunistically, undermining the discipline bias is specifically meant to enforce.</w:t>
      </w:r>
    </w:p>
    <w:p w14:paraId="33F056BE">
      <w:pPr>
        <w:pStyle w:val="3"/>
        <w:spacing w:before="360" w:after="160"/>
      </w:pPr>
      <w:r>
        <w:rPr>
          <w:b/>
          <w:bCs/>
          <w:color w:val="1B2A4A"/>
          <w:sz w:val="26"/>
          <w:szCs w:val="26"/>
        </w:rPr>
        <w:t>10. Important Qualification</w:t>
      </w:r>
    </w:p>
    <w:p w14:paraId="5B8586CA">
      <w:pPr>
        <w:pBdr>
          <w:left w:val="single" w:color="7A2E2E" w:sz="24" w:space="8"/>
        </w:pBdr>
        <w:shd w:val="clear" w:fill="EFEFEF"/>
        <w:spacing w:before="160" w:after="200"/>
        <w:ind w:left="200"/>
      </w:pPr>
      <w:r>
        <w:rPr>
          <w:b/>
          <w:bCs/>
          <w:color w:val="7A2E2E"/>
          <w:sz w:val="21"/>
          <w:szCs w:val="21"/>
        </w:rPr>
        <w:t xml:space="preserve">Qualification: </w:t>
      </w:r>
      <w:r>
        <w:rPr>
          <w:sz w:val="21"/>
          <w:szCs w:val="21"/>
        </w:rPr>
        <w:t>Bias is a probabilistic working assumption, not a certainty. ICT-focused sources are explicit that the purpose of teaching bias is to give traders an independent, repeatable method for forming this assumption — not to claim that any specific day's or week's direction can be predicted with certainty in advance.</w:t>
      </w:r>
    </w:p>
    <w:p w14:paraId="02B75D29">
      <w:pPr>
        <w:pStyle w:val="3"/>
        <w:spacing w:before="360" w:after="160"/>
      </w:pPr>
      <w:r>
        <w:rPr>
          <w:b/>
          <w:bCs/>
          <w:color w:val="1B2A4A"/>
          <w:sz w:val="26"/>
          <w:szCs w:val="26"/>
        </w:rPr>
        <w:t>11. Source</w:t>
      </w:r>
    </w:p>
    <w:p w14:paraId="6EC50926"/>
    <w:p w14:paraId="56772C97">
      <w:pPr>
        <w:pStyle w:val="16"/>
        <w:numPr>
          <w:ilvl w:val="0"/>
          <w:numId w:val="2"/>
        </w:numPr>
        <w:spacing w:after="80" w:line="276" w:lineRule="auto"/>
      </w:pPr>
      <w:r>
        <w:rPr>
          <w:sz w:val="22"/>
          <w:szCs w:val="22"/>
        </w:rPr>
        <w:t>grandalgo.com — "ICT Trading Strategy: The Complete Playbook From Bias to Entry" ("Context — establish directional bias from higher-timeframe structure and premium/discount").</w:t>
      </w:r>
    </w:p>
    <w:p w14:paraId="20140B0D">
      <w:pPr>
        <w:pStyle w:val="16"/>
        <w:numPr>
          <w:ilvl w:val="0"/>
          <w:numId w:val="2"/>
        </w:numPr>
        <w:spacing w:after="80" w:line="276" w:lineRule="auto"/>
      </w:pPr>
      <w:r>
        <w:rPr>
          <w:sz w:val="22"/>
          <w:szCs w:val="22"/>
        </w:rPr>
        <w:t>writofinance.com — "A Complete guide to ICT Daily Bias Trading" (direct attribution to Michael Huddleston: "teaching daily bias is not about predicting the exact bias for every trading day... it is about equipping traders with tools and concepts to independently determine bias").</w:t>
      </w:r>
    </w:p>
    <w:p w14:paraId="3C638D76">
      <w:pPr>
        <w:pStyle w:val="16"/>
        <w:numPr>
          <w:ilvl w:val="0"/>
          <w:numId w:val="2"/>
        </w:numPr>
        <w:spacing w:after="80" w:line="276" w:lineRule="auto"/>
      </w:pPr>
      <w:r>
        <w:rPr>
          <w:sz w:val="22"/>
          <w:szCs w:val="22"/>
        </w:rPr>
        <w:t>backtrex.com — "ICT Method: Michael Huddleston's Inner Circle Trader Guide" ("Once the daily bias is set... traders look only for entries in that direction, ignoring counter-signals").</w:t>
      </w:r>
    </w:p>
    <w:p w14:paraId="51520FC1">
      <w:r>
        <w:br w:type="page"/>
      </w:r>
    </w:p>
    <w:p w14:paraId="5DA0FFDB">
      <w:pPr>
        <w:pStyle w:val="2"/>
        <w:pBdr>
          <w:bottom w:val="single" w:color="1B2A4A" w:sz="12" w:space="4"/>
        </w:pBdr>
        <w:spacing w:before="480" w:after="240"/>
      </w:pPr>
      <w:r>
        <w:rPr>
          <w:b/>
          <w:bCs/>
          <w:color w:val="1B2A4A"/>
          <w:sz w:val="34"/>
          <w:szCs w:val="34"/>
        </w:rPr>
        <w:t>HTF Bias</w:t>
      </w:r>
    </w:p>
    <w:p w14:paraId="244D8074">
      <w:pPr>
        <w:pStyle w:val="3"/>
        <w:spacing w:before="360" w:after="160"/>
      </w:pPr>
      <w:r>
        <w:rPr>
          <w:b/>
          <w:bCs/>
          <w:color w:val="1B2A4A"/>
          <w:sz w:val="26"/>
          <w:szCs w:val="26"/>
        </w:rPr>
        <w:t>1. Definition</w:t>
      </w:r>
    </w:p>
    <w:p w14:paraId="7C93DA75">
      <w:pPr>
        <w:spacing w:after="160" w:line="288" w:lineRule="auto"/>
      </w:pPr>
      <w:r>
        <w:rPr>
          <w:b w:val="0"/>
          <w:bCs w:val="0"/>
          <w:i w:val="0"/>
          <w:iCs w:val="0"/>
          <w:sz w:val="22"/>
          <w:szCs w:val="22"/>
        </w:rPr>
        <w:t>HTF Bias is the directional expectation formed specifically from higher-timeframe analysis — commonly the monthly and weekly charts — treated within ICT's framework as the macro-level, most dominant layer of bias that all lower-timeframe bias readings are expected to align with for the highest-confidence setups.</w:t>
      </w:r>
    </w:p>
    <w:p w14:paraId="0F7F1A40">
      <w:pPr>
        <w:pStyle w:val="3"/>
        <w:spacing w:before="360" w:after="160"/>
      </w:pPr>
      <w:r>
        <w:rPr>
          <w:b/>
          <w:bCs/>
          <w:color w:val="1B2A4A"/>
          <w:sz w:val="26"/>
          <w:szCs w:val="26"/>
        </w:rPr>
        <w:t>2. ICT's Meaning</w:t>
      </w:r>
    </w:p>
    <w:p w14:paraId="0255B102">
      <w:pPr>
        <w:spacing w:after="160" w:line="288" w:lineRule="auto"/>
      </w:pPr>
      <w:r>
        <w:rPr>
          <w:b w:val="0"/>
          <w:bCs w:val="0"/>
          <w:i w:val="0"/>
          <w:iCs w:val="0"/>
          <w:sz w:val="22"/>
          <w:szCs w:val="22"/>
        </w:rPr>
        <w:t>ICT-focused sources describe a specific, commonly taught procedure for HTF bias: begin by identifying the monthly opening price, and classify the current bias as bullish if price trades above that open, bearish if it trades below. The weekly chart is then read similarly, using the weekly opening price, with the expectation that weekly bias should generally agree with monthly bias for a fully aligned macro picture.</w:t>
      </w:r>
    </w:p>
    <w:p w14:paraId="34291585">
      <w:pPr>
        <w:spacing w:after="160" w:line="288" w:lineRule="auto"/>
      </w:pPr>
      <w:r>
        <w:rPr>
          <w:b w:val="0"/>
          <w:bCs w:val="0"/>
          <w:i w:val="0"/>
          <w:iCs w:val="0"/>
          <w:sz w:val="22"/>
          <w:szCs w:val="22"/>
        </w:rPr>
        <w:t>Multiple sources describe monthly and weekly opens as reference levels institutions and algorithmic systems are believed to use directly, distinguishing this specific open-price-based method from the pure structural (HH/HL vs. LH/LL) method also used for bias at other timeframes.</w:t>
      </w:r>
    </w:p>
    <w:p w14:paraId="233E83A7">
      <w:pPr>
        <w:spacing w:after="160" w:line="288" w:lineRule="auto"/>
      </w:pPr>
      <w:r>
        <w:rPr>
          <w:b w:val="0"/>
          <w:bCs w:val="0"/>
          <w:i w:val="0"/>
          <w:iCs w:val="0"/>
          <w:sz w:val="22"/>
          <w:szCs w:val="22"/>
        </w:rPr>
        <w:t>This HTF bias is described consistently as the top layer of a nested decision process — several sources present an explicit sequence such as "HTF bias → daily bias → draw on liquidity → AMD phase → kill zone timing → PD array entry" — with HTF bias positioned as the very first and most foundational step.</w:t>
      </w:r>
    </w:p>
    <w:p w14:paraId="0EC7CFE3">
      <w:pPr>
        <w:pStyle w:val="3"/>
        <w:spacing w:before="360" w:after="160"/>
      </w:pPr>
      <w:r>
        <w:rPr>
          <w:b/>
          <w:bCs/>
          <w:color w:val="1B2A4A"/>
          <w:sz w:val="26"/>
          <w:szCs w:val="26"/>
        </w:rPr>
        <w:t>3. Beginner Explanation</w:t>
      </w:r>
    </w:p>
    <w:p w14:paraId="43868E03">
      <w:pPr>
        <w:spacing w:after="160" w:line="288" w:lineRule="auto"/>
      </w:pPr>
      <w:r>
        <w:rPr>
          <w:b w:val="0"/>
          <w:bCs w:val="0"/>
          <w:i w:val="0"/>
          <w:iCs w:val="0"/>
          <w:sz w:val="22"/>
          <w:szCs w:val="22"/>
        </w:rPr>
        <w:t>HTF Bias is your biggest-picture directional read — essentially, zooming all the way out to the monthly and weekly charts and asking a very simple question: is price, right now, sitting above or below where this month (or week) actually began? That simple comparison is treated, within this framework, as a surprisingly powerful clue about the dominant institutional direction.</w:t>
      </w:r>
    </w:p>
    <w:p w14:paraId="5A102DCF">
      <w:pPr>
        <w:pStyle w:val="3"/>
        <w:spacing w:before="360" w:after="160"/>
      </w:pPr>
      <w:r>
        <w:rPr>
          <w:b/>
          <w:bCs/>
          <w:color w:val="1B2A4A"/>
          <w:sz w:val="26"/>
          <w:szCs w:val="26"/>
        </w:rPr>
        <w:t>4. How to Identify It</w:t>
      </w:r>
    </w:p>
    <w:p w14:paraId="772448CF">
      <w:pPr>
        <w:pStyle w:val="16"/>
        <w:numPr>
          <w:ilvl w:val="0"/>
          <w:numId w:val="1"/>
        </w:numPr>
        <w:spacing w:after="80" w:line="276" w:lineRule="auto"/>
      </w:pPr>
      <w:r>
        <w:rPr>
          <w:sz w:val="22"/>
          <w:szCs w:val="22"/>
        </w:rPr>
        <w:t>Identify the current month's opening price.</w:t>
      </w:r>
    </w:p>
    <w:p w14:paraId="15EA76CD">
      <w:pPr>
        <w:pStyle w:val="16"/>
        <w:numPr>
          <w:ilvl w:val="0"/>
          <w:numId w:val="1"/>
        </w:numPr>
        <w:spacing w:after="80" w:line="276" w:lineRule="auto"/>
      </w:pPr>
      <w:r>
        <w:rPr>
          <w:sz w:val="22"/>
          <w:szCs w:val="22"/>
        </w:rPr>
        <w:t>Determine whether current price is trading above (bullish HTF bias) or below (bearish HTF bias) that monthly open.</w:t>
      </w:r>
    </w:p>
    <w:p w14:paraId="77410F68">
      <w:pPr>
        <w:pStyle w:val="16"/>
        <w:numPr>
          <w:ilvl w:val="0"/>
          <w:numId w:val="1"/>
        </w:numPr>
        <w:spacing w:after="80" w:line="276" w:lineRule="auto"/>
      </w:pPr>
      <w:r>
        <w:rPr>
          <w:sz w:val="22"/>
          <w:szCs w:val="22"/>
        </w:rPr>
        <w:t>Identify the current week's opening price and repeat the same comparison for weekly bias.</w:t>
      </w:r>
    </w:p>
    <w:p w14:paraId="0CC80175">
      <w:pPr>
        <w:pStyle w:val="16"/>
        <w:numPr>
          <w:ilvl w:val="0"/>
          <w:numId w:val="1"/>
        </w:numPr>
        <w:spacing w:after="80" w:line="276" w:lineRule="auto"/>
      </w:pPr>
      <w:r>
        <w:rPr>
          <w:sz w:val="22"/>
          <w:szCs w:val="22"/>
        </w:rPr>
        <w:t>Check whether the monthly and weekly bias readings agree; if they do, treat the combined HTF bias as more reliable than either reading alone.</w:t>
      </w:r>
    </w:p>
    <w:p w14:paraId="2AF3BEAF">
      <w:pPr>
        <w:pStyle w:val="3"/>
        <w:spacing w:before="360" w:after="160"/>
      </w:pPr>
      <w:r>
        <w:rPr>
          <w:b/>
          <w:bCs/>
          <w:color w:val="1B2A4A"/>
          <w:sz w:val="26"/>
          <w:szCs w:val="26"/>
        </w:rPr>
        <w:t>5. Simple Price Example</w:t>
      </w:r>
    </w:p>
    <w:p w14:paraId="7A96C7E9">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Monthly open at 1.2000; current price at 1.2150. Weekly open at 1.2100; current price at 1.2150.</w:t>
      </w:r>
    </w:p>
    <w:p w14:paraId="04101B62">
      <w:pPr>
        <w:spacing w:after="160" w:line="288" w:lineRule="auto"/>
      </w:pPr>
      <w:r>
        <w:rPr>
          <w:b w:val="0"/>
          <w:bCs w:val="0"/>
          <w:i w:val="0"/>
          <w:iCs w:val="0"/>
          <w:sz w:val="22"/>
          <w:szCs w:val="22"/>
        </w:rPr>
        <w:t>Price is trading above both the monthly open (1.2000) and the weekly open (1.2100), so both readings agree: this produces a bullish HTF bias, since price sits above where both the current month and the current week began.</w:t>
      </w:r>
    </w:p>
    <w:p w14:paraId="4A638559">
      <w:pPr>
        <w:pStyle w:val="3"/>
        <w:spacing w:before="360" w:after="160"/>
      </w:pPr>
      <w:r>
        <w:rPr>
          <w:b/>
          <w:bCs/>
          <w:color w:val="1B2A4A"/>
          <w:sz w:val="26"/>
          <w:szCs w:val="26"/>
        </w:rPr>
        <w:t>6. What It Tells the Trader</w:t>
      </w:r>
    </w:p>
    <w:p w14:paraId="25965E91">
      <w:pPr>
        <w:spacing w:after="160" w:line="288" w:lineRule="auto"/>
      </w:pPr>
      <w:r>
        <w:rPr>
          <w:b w:val="0"/>
          <w:bCs w:val="0"/>
          <w:i w:val="0"/>
          <w:iCs w:val="0"/>
          <w:sz w:val="22"/>
          <w:szCs w:val="22"/>
        </w:rPr>
        <w:t>HTF Bias tells the trader the dominant, macro-level directional lean expected to govern all lower-timeframe analysis, and gives two specific, objective reference prices (the monthly and weekly opens) rather than a vague sense of "the bigger trend."</w:t>
      </w:r>
    </w:p>
    <w:p w14:paraId="28D4D5A8">
      <w:pPr>
        <w:spacing w:after="160" w:line="288" w:lineRule="auto"/>
      </w:pPr>
      <w:r>
        <w:rPr>
          <w:b w:val="0"/>
          <w:bCs w:val="0"/>
          <w:i w:val="0"/>
          <w:iCs w:val="0"/>
          <w:sz w:val="22"/>
          <w:szCs w:val="22"/>
        </w:rPr>
        <w:t>It does not tell the trader the exact timing or entry for any individual trade — it is explicitly the top, most general layer of a longer decision chain that narrows down through Daily Bias and eventually into a specific entry model in Modules 11–12.</w:t>
      </w:r>
    </w:p>
    <w:p w14:paraId="1E25C4A7">
      <w:pPr>
        <w:pStyle w:val="3"/>
        <w:spacing w:before="360" w:after="160"/>
      </w:pPr>
      <w:r>
        <w:rPr>
          <w:b/>
          <w:bCs/>
          <w:color w:val="1B2A4A"/>
          <w:sz w:val="26"/>
          <w:szCs w:val="26"/>
        </w:rPr>
        <w:t>7. What It Is Commonly Paired With</w:t>
      </w:r>
    </w:p>
    <w:p w14:paraId="396B1C53">
      <w:pPr>
        <w:pStyle w:val="16"/>
        <w:numPr>
          <w:ilvl w:val="0"/>
          <w:numId w:val="2"/>
        </w:numPr>
        <w:spacing w:after="80" w:line="276" w:lineRule="auto"/>
      </w:pPr>
      <w:r>
        <w:rPr>
          <w:sz w:val="22"/>
          <w:szCs w:val="22"/>
        </w:rPr>
        <w:t>Bias (general)</w:t>
      </w:r>
    </w:p>
    <w:p w14:paraId="6FA0F693">
      <w:pPr>
        <w:pStyle w:val="16"/>
        <w:numPr>
          <w:ilvl w:val="0"/>
          <w:numId w:val="2"/>
        </w:numPr>
        <w:spacing w:after="80" w:line="276" w:lineRule="auto"/>
      </w:pPr>
      <w:r>
        <w:rPr>
          <w:sz w:val="22"/>
          <w:szCs w:val="22"/>
        </w:rPr>
        <w:t>Daily Bias</w:t>
      </w:r>
    </w:p>
    <w:p w14:paraId="110F2CFF">
      <w:pPr>
        <w:pStyle w:val="16"/>
        <w:numPr>
          <w:ilvl w:val="0"/>
          <w:numId w:val="2"/>
        </w:numPr>
        <w:spacing w:after="80" w:line="276" w:lineRule="auto"/>
      </w:pPr>
      <w:r>
        <w:rPr>
          <w:sz w:val="22"/>
          <w:szCs w:val="22"/>
        </w:rPr>
        <w:t>Monthly/Weekly Open (reference levels)</w:t>
      </w:r>
    </w:p>
    <w:p w14:paraId="6BF4CE76">
      <w:pPr>
        <w:spacing w:after="160" w:line="288" w:lineRule="auto"/>
      </w:pPr>
      <w:r>
        <w:rPr>
          <w:b w:val="0"/>
          <w:bCs w:val="0"/>
          <w:i w:val="0"/>
          <w:iCs w:val="0"/>
          <w:sz w:val="22"/>
          <w:szCs w:val="22"/>
        </w:rPr>
        <w:t>HTF Bias is the top of the bias hierarchy this module builds; it is expected to be checked before, and to constrain, the Daily Bias process covered next.</w:t>
      </w:r>
    </w:p>
    <w:p w14:paraId="0D98209D">
      <w:pPr>
        <w:pStyle w:val="3"/>
        <w:spacing w:before="360" w:after="160"/>
      </w:pPr>
      <w:r>
        <w:rPr>
          <w:b/>
          <w:bCs/>
          <w:color w:val="1B2A4A"/>
          <w:sz w:val="26"/>
          <w:szCs w:val="26"/>
        </w:rPr>
        <w:t>8. Where It Fits in the ICT Framework</w:t>
      </w:r>
    </w:p>
    <w:p w14:paraId="48BAB4ED">
      <w:pPr>
        <w:spacing w:after="160" w:line="288" w:lineRule="auto"/>
      </w:pPr>
      <w:r>
        <w:rPr>
          <w:b w:val="0"/>
          <w:bCs w:val="0"/>
          <w:i w:val="0"/>
          <w:iCs w:val="0"/>
          <w:sz w:val="22"/>
          <w:szCs w:val="22"/>
        </w:rPr>
        <w:t>Comes before: Requires Bias and Market Structure (Module 3).</w:t>
      </w:r>
    </w:p>
    <w:p w14:paraId="7B281D2E">
      <w:pPr>
        <w:spacing w:after="160" w:line="288" w:lineRule="auto"/>
      </w:pPr>
      <w:r>
        <w:rPr>
          <w:b w:val="0"/>
          <w:bCs w:val="0"/>
          <w:i w:val="0"/>
          <w:iCs w:val="0"/>
          <w:sz w:val="22"/>
          <w:szCs w:val="22"/>
        </w:rPr>
        <w:t>Comes after: Feeds directly into Daily Bias.</w:t>
      </w:r>
    </w:p>
    <w:p w14:paraId="19B15C2D">
      <w:pPr>
        <w:pStyle w:val="3"/>
        <w:spacing w:before="360" w:after="160"/>
      </w:pPr>
      <w:r>
        <w:rPr>
          <w:b/>
          <w:bCs/>
          <w:color w:val="1B2A4A"/>
          <w:sz w:val="26"/>
          <w:szCs w:val="26"/>
        </w:rPr>
        <w:t>9. Beginner Mistakes</w:t>
      </w:r>
    </w:p>
    <w:p w14:paraId="1CB8237B">
      <w:pPr>
        <w:pStyle w:val="16"/>
        <w:numPr>
          <w:ilvl w:val="0"/>
          <w:numId w:val="2"/>
        </w:numPr>
        <w:spacing w:after="80" w:line="276" w:lineRule="auto"/>
      </w:pPr>
      <w:r>
        <w:rPr>
          <w:sz w:val="22"/>
          <w:szCs w:val="22"/>
        </w:rPr>
        <w:t>Skipping HTF bias entirely and jumping straight to daily-level analysis without any macro context.</w:t>
      </w:r>
    </w:p>
    <w:p w14:paraId="647C34F1">
      <w:pPr>
        <w:pStyle w:val="16"/>
        <w:numPr>
          <w:ilvl w:val="0"/>
          <w:numId w:val="2"/>
        </w:numPr>
        <w:spacing w:after="80" w:line="276" w:lineRule="auto"/>
      </w:pPr>
      <w:r>
        <w:rPr>
          <w:sz w:val="22"/>
          <w:szCs w:val="22"/>
        </w:rPr>
        <w:t>Ignoring a disagreement between monthly and weekly bias readings, rather than treating this disagreement as a signal for reduced confidence or a neutral macro stance.</w:t>
      </w:r>
    </w:p>
    <w:p w14:paraId="6E0DF01B">
      <w:pPr>
        <w:pStyle w:val="3"/>
        <w:spacing w:before="360" w:after="160"/>
      </w:pPr>
      <w:r>
        <w:rPr>
          <w:b/>
          <w:bCs/>
          <w:color w:val="1B2A4A"/>
          <w:sz w:val="26"/>
          <w:szCs w:val="26"/>
        </w:rPr>
        <w:t>10. Important Qualification</w:t>
      </w:r>
    </w:p>
    <w:p w14:paraId="3D46B0B5">
      <w:pPr>
        <w:pBdr>
          <w:left w:val="single" w:color="7A2E2E" w:sz="24" w:space="8"/>
        </w:pBdr>
        <w:shd w:val="clear" w:fill="EFEFEF"/>
        <w:spacing w:before="160" w:after="200"/>
        <w:ind w:left="200"/>
      </w:pPr>
      <w:r>
        <w:rPr>
          <w:b/>
          <w:bCs/>
          <w:color w:val="7A2E2E"/>
          <w:sz w:val="21"/>
          <w:szCs w:val="21"/>
        </w:rPr>
        <w:t xml:space="preserve">Qualification: </w:t>
      </w:r>
      <w:r>
        <w:rPr>
          <w:sz w:val="21"/>
          <w:szCs w:val="21"/>
        </w:rPr>
        <w:t>The monthly/weekly-open method described here is one commonly documented approach to HTF bias among several; some sources instead emphasize pure structural readings (HH/HL vs. LH/LL) at these same timeframes. This book presents the open-price method as the most specifically and consistently documented version, while noting that structural confirmation from Module 3 remains a valuable and compatible cross-check.</w:t>
      </w:r>
    </w:p>
    <w:p w14:paraId="70AFFB71">
      <w:pPr>
        <w:pStyle w:val="3"/>
        <w:spacing w:before="360" w:after="160"/>
      </w:pPr>
      <w:r>
        <w:rPr>
          <w:b/>
          <w:bCs/>
          <w:color w:val="1B2A4A"/>
          <w:sz w:val="26"/>
          <w:szCs w:val="26"/>
        </w:rPr>
        <w:t>11. Source</w:t>
      </w:r>
    </w:p>
    <w:p w14:paraId="7AFDCAAA"/>
    <w:p w14:paraId="0C6691E2">
      <w:pPr>
        <w:pStyle w:val="16"/>
        <w:numPr>
          <w:ilvl w:val="0"/>
          <w:numId w:val="2"/>
        </w:numPr>
        <w:spacing w:after="80" w:line="276" w:lineRule="auto"/>
      </w:pPr>
      <w:r>
        <w:rPr>
          <w:sz w:val="22"/>
          <w:szCs w:val="22"/>
        </w:rPr>
        <w:t>writofinance.com — "ICT Time and Price Theory – SMC Foundational Concept" (explicit monthly-open and weekly-open bias procedure).</w:t>
      </w:r>
    </w:p>
    <w:p w14:paraId="64248C54">
      <w:pPr>
        <w:pStyle w:val="16"/>
        <w:numPr>
          <w:ilvl w:val="0"/>
          <w:numId w:val="2"/>
        </w:numPr>
        <w:spacing w:after="80" w:line="276" w:lineRule="auto"/>
      </w:pPr>
      <w:r>
        <w:rPr>
          <w:sz w:val="22"/>
          <w:szCs w:val="22"/>
        </w:rPr>
        <w:t>innercircletrader.net — "ICT Weekly Profiles — 12 Patterns to Identify the Weekly High &amp; Low" (weekly bias read against higher-timeframe premium/discount arrays).</w:t>
      </w:r>
    </w:p>
    <w:p w14:paraId="02FB914A">
      <w:pPr>
        <w:pStyle w:val="16"/>
        <w:numPr>
          <w:ilvl w:val="0"/>
          <w:numId w:val="2"/>
        </w:numPr>
        <w:spacing w:after="80" w:line="276" w:lineRule="auto"/>
      </w:pPr>
      <w:r>
        <w:rPr>
          <w:sz w:val="22"/>
          <w:szCs w:val="22"/>
        </w:rPr>
        <w:t>theinnercircletraders.com — "ICT 2022 Model: The Core Teaching Framework" ("HTF bias → daily bias → DOL target → AMD phase → kill zone/macro → PD array entry").</w:t>
      </w:r>
    </w:p>
    <w:p w14:paraId="74BCBD44">
      <w:r>
        <w:br w:type="page"/>
      </w:r>
    </w:p>
    <w:p w14:paraId="1E1D049C">
      <w:pPr>
        <w:pStyle w:val="2"/>
        <w:pBdr>
          <w:bottom w:val="single" w:color="1B2A4A" w:sz="12" w:space="4"/>
        </w:pBdr>
        <w:spacing w:before="480" w:after="240"/>
      </w:pPr>
      <w:r>
        <w:rPr>
          <w:b/>
          <w:bCs/>
          <w:color w:val="1B2A4A"/>
          <w:sz w:val="34"/>
          <w:szCs w:val="34"/>
        </w:rPr>
        <w:t>Daily Bias</w:t>
      </w:r>
    </w:p>
    <w:p w14:paraId="08FA0EB5">
      <w:pPr>
        <w:pStyle w:val="3"/>
        <w:spacing w:before="360" w:after="160"/>
      </w:pPr>
      <w:r>
        <w:rPr>
          <w:b/>
          <w:bCs/>
          <w:color w:val="1B2A4A"/>
          <w:sz w:val="26"/>
          <w:szCs w:val="26"/>
        </w:rPr>
        <w:t>1. Definition</w:t>
      </w:r>
    </w:p>
    <w:p w14:paraId="2EF4E09F">
      <w:pPr>
        <w:spacing w:after="160" w:line="288" w:lineRule="auto"/>
      </w:pPr>
      <w:r>
        <w:rPr>
          <w:b w:val="0"/>
          <w:bCs w:val="0"/>
          <w:i w:val="0"/>
          <w:iCs w:val="0"/>
          <w:sz w:val="22"/>
          <w:szCs w:val="22"/>
        </w:rPr>
        <w:t>Daily Bias is the directional expectation formed specifically for a single trading day, derived from daily-timeframe structure, the day's or prior day's opening price, and the nearest unswept liquidity, and treated across ICT-focused sources as the single most heavily emphasized and most frequently taught application of the general bias concept.</w:t>
      </w:r>
    </w:p>
    <w:p w14:paraId="4F1BF0ED">
      <w:pPr>
        <w:pStyle w:val="3"/>
        <w:spacing w:before="360" w:after="160"/>
      </w:pPr>
      <w:r>
        <w:rPr>
          <w:b/>
          <w:bCs/>
          <w:color w:val="1B2A4A"/>
          <w:sz w:val="26"/>
          <w:szCs w:val="26"/>
        </w:rPr>
        <w:t>2. ICT's Meaning</w:t>
      </w:r>
    </w:p>
    <w:p w14:paraId="6A6B49D6">
      <w:pPr>
        <w:spacing w:after="160" w:line="288" w:lineRule="auto"/>
      </w:pPr>
      <w:r>
        <w:rPr>
          <w:b w:val="0"/>
          <w:bCs w:val="0"/>
          <w:i w:val="0"/>
          <w:iCs w:val="0"/>
          <w:sz w:val="22"/>
          <w:szCs w:val="22"/>
        </w:rPr>
        <w:t>ICT-focused sources describe several complementary methods for establishing daily bias, most commonly used together rather than in isolation: (1) daily-timeframe market structure (higher highs/higher lows for bullish, lower highs/lower lows for bearish); (2) price's position relative to the daily opening price (trading above the open for most of the session suggests bullish bias, below suggests bearish); and (3) the location of the nearest significant unswept liquidity (the previous day's high or low, or the weekly high or low), used to infer which direction price is more likely to be "drawn" toward.</w:t>
      </w:r>
    </w:p>
    <w:p w14:paraId="00EB718C">
      <w:pPr>
        <w:spacing w:after="160" w:line="288" w:lineRule="auto"/>
      </w:pPr>
      <w:r>
        <w:rPr>
          <w:b w:val="0"/>
          <w:bCs w:val="0"/>
          <w:i w:val="0"/>
          <w:iCs w:val="0"/>
          <w:sz w:val="22"/>
          <w:szCs w:val="22"/>
        </w:rPr>
        <w:t>Multiple sources attribute directly to Michael J. Huddleston the specific guidance that daily bias should be established before the New York session opens, and that the market typically accumulates liquidity on one side before moving in the opposite direction — directly reusing the Power of 3 (Module 9) and liquidity sweep (Module 4) concepts as the mechanism by which a correctly identified daily bias plays out over the course of the day.</w:t>
      </w:r>
    </w:p>
    <w:p w14:paraId="3F4443EE">
      <w:pPr>
        <w:spacing w:after="160" w:line="288" w:lineRule="auto"/>
      </w:pPr>
      <w:r>
        <w:rPr>
          <w:b w:val="0"/>
          <w:bCs w:val="0"/>
          <w:i w:val="0"/>
          <w:iCs w:val="0"/>
          <w:sz w:val="22"/>
          <w:szCs w:val="22"/>
        </w:rPr>
        <w:t>A specific, named simplified method documented in secondary ICT-focused material — sometimes called the "daily bias trick" — uses only the most recent daily-timeframe Market Structure Shift as the single deciding input: a bullish MSS locks in a bullish daily bias, and a bearish MSS locks in a bearish daily bias, after which a bias-aligned PD array is marked and a lower-timeframe (15-minute or higher) confirmation is required before entry.</w:t>
      </w:r>
    </w:p>
    <w:p w14:paraId="78463A78">
      <w:pPr>
        <w:pStyle w:val="3"/>
        <w:spacing w:before="360" w:after="160"/>
      </w:pPr>
      <w:r>
        <w:rPr>
          <w:b/>
          <w:bCs/>
          <w:color w:val="1B2A4A"/>
          <w:sz w:val="26"/>
          <w:szCs w:val="26"/>
        </w:rPr>
        <w:t>3. Beginner Explanation</w:t>
      </w:r>
    </w:p>
    <w:p w14:paraId="32ABE94D">
      <w:pPr>
        <w:spacing w:after="160" w:line="288" w:lineRule="auto"/>
      </w:pPr>
      <w:r>
        <w:rPr>
          <w:b w:val="0"/>
          <w:bCs w:val="0"/>
          <w:i w:val="0"/>
          <w:iCs w:val="0"/>
          <w:sz w:val="22"/>
          <w:szCs w:val="22"/>
        </w:rPr>
        <w:t>Daily Bias narrows the same basic question — which direction is more likely? — down from an entire month or week to a single trading day. You're asking: given how the daily chart has been structured recently, and given where today's price sits relative to where the day (or the prior day) opened, which direction does today more plausibly favor? This is described as one of the most important single judgments a trader following this framework makes each day, since nearly everything else in the daily routine (Module 13) is built on top of it.</w:t>
      </w:r>
    </w:p>
    <w:p w14:paraId="1576418E">
      <w:pPr>
        <w:pStyle w:val="3"/>
        <w:spacing w:before="360" w:after="160"/>
      </w:pPr>
      <w:r>
        <w:rPr>
          <w:b/>
          <w:bCs/>
          <w:color w:val="1B2A4A"/>
          <w:sz w:val="26"/>
          <w:szCs w:val="26"/>
        </w:rPr>
        <w:t>4. How to Identify It</w:t>
      </w:r>
    </w:p>
    <w:p w14:paraId="5BD8BC95">
      <w:pPr>
        <w:pStyle w:val="16"/>
        <w:numPr>
          <w:ilvl w:val="0"/>
          <w:numId w:val="1"/>
        </w:numPr>
        <w:spacing w:after="80" w:line="276" w:lineRule="auto"/>
      </w:pPr>
      <w:r>
        <w:rPr>
          <w:sz w:val="22"/>
          <w:szCs w:val="22"/>
        </w:rPr>
        <w:t>Read the daily chart's recent structure (Module 3): consistent higher highs/higher lows suggest bullish daily bias; consistent lower highs/lower lows suggest bearish daily bias.</w:t>
      </w:r>
    </w:p>
    <w:p w14:paraId="15113474">
      <w:pPr>
        <w:pStyle w:val="16"/>
        <w:numPr>
          <w:ilvl w:val="0"/>
          <w:numId w:val="1"/>
        </w:numPr>
        <w:spacing w:after="80" w:line="276" w:lineRule="auto"/>
      </w:pPr>
      <w:r>
        <w:rPr>
          <w:sz w:val="22"/>
          <w:szCs w:val="22"/>
        </w:rPr>
        <w:t>Note the most recent daily-timeframe Market Structure Shift, if one has occurred, and let its direction inform (or, under the simplified method, directly set) the daily bias.</w:t>
      </w:r>
    </w:p>
    <w:p w14:paraId="05BE86C5">
      <w:pPr>
        <w:pStyle w:val="16"/>
        <w:numPr>
          <w:ilvl w:val="0"/>
          <w:numId w:val="1"/>
        </w:numPr>
        <w:spacing w:after="80" w:line="276" w:lineRule="auto"/>
      </w:pPr>
      <w:r>
        <w:rPr>
          <w:sz w:val="22"/>
          <w:szCs w:val="22"/>
        </w:rPr>
        <w:t>Check current price relative to the day's (or, before the day begins, the prior day's) opening price.</w:t>
      </w:r>
    </w:p>
    <w:p w14:paraId="75B41EFF">
      <w:pPr>
        <w:pStyle w:val="16"/>
        <w:numPr>
          <w:ilvl w:val="0"/>
          <w:numId w:val="1"/>
        </w:numPr>
        <w:spacing w:after="80" w:line="276" w:lineRule="auto"/>
      </w:pPr>
      <w:r>
        <w:rPr>
          <w:sz w:val="22"/>
          <w:szCs w:val="22"/>
        </w:rPr>
        <w:t>Identify the nearest significant unswept liquidity (previous day's high/low, weekly high/low) and consider which side is more likely to be targeted.</w:t>
      </w:r>
    </w:p>
    <w:p w14:paraId="6AC32B7C">
      <w:pPr>
        <w:pStyle w:val="16"/>
        <w:numPr>
          <w:ilvl w:val="0"/>
          <w:numId w:val="1"/>
        </w:numPr>
        <w:spacing w:after="80" w:line="276" w:lineRule="auto"/>
      </w:pPr>
      <w:r>
        <w:rPr>
          <w:sz w:val="22"/>
          <w:szCs w:val="22"/>
        </w:rPr>
        <w:t>Combine these inputs into a single daily bias statement, ideally finalized before the New York session opens.</w:t>
      </w:r>
    </w:p>
    <w:p w14:paraId="4A11AAC7">
      <w:pPr>
        <w:pStyle w:val="3"/>
        <w:spacing w:before="360" w:after="160"/>
      </w:pPr>
      <w:r>
        <w:rPr>
          <w:b/>
          <w:bCs/>
          <w:color w:val="1B2A4A"/>
          <w:sz w:val="26"/>
          <w:szCs w:val="26"/>
        </w:rPr>
        <w:t>5. Simple Price Example</w:t>
      </w:r>
    </w:p>
    <w:p w14:paraId="20FC9415">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Daily chart shows a recent bullish MSS. Current price trades above the prior day's open. Unswept sell-side liquidity rests just below the prior day's low.</w:t>
      </w:r>
    </w:p>
    <w:p w14:paraId="75ABCE9E">
      <w:pPr>
        <w:spacing w:after="160" w:line="288" w:lineRule="auto"/>
      </w:pPr>
      <w:r>
        <w:rPr>
          <w:b w:val="0"/>
          <w:bCs w:val="0"/>
          <w:i w:val="0"/>
          <w:iCs w:val="0"/>
          <w:sz w:val="22"/>
          <w:szCs w:val="22"/>
        </w:rPr>
        <w:t>All three inputs point the same direction here: a confirmed bullish structural shift, price holding above the relevant opening reference, and an unswept liquidity pool just below current price that would fit the Power of 3 pattern (a brief dip to collect that liquidity before the day's real, bullish move). A trader following this framework would establish a bullish daily bias, expecting to look specifically for long setups.</w:t>
      </w:r>
    </w:p>
    <w:p w14:paraId="4F452416">
      <w:pPr>
        <w:pStyle w:val="3"/>
        <w:spacing w:before="360" w:after="160"/>
      </w:pPr>
      <w:r>
        <w:rPr>
          <w:b/>
          <w:bCs/>
          <w:color w:val="1B2A4A"/>
          <w:sz w:val="26"/>
          <w:szCs w:val="26"/>
        </w:rPr>
        <w:t>6. What It Tells the Trader</w:t>
      </w:r>
    </w:p>
    <w:p w14:paraId="2B1183EA">
      <w:pPr>
        <w:spacing w:after="160" w:line="288" w:lineRule="auto"/>
      </w:pPr>
      <w:r>
        <w:rPr>
          <w:b w:val="0"/>
          <w:bCs w:val="0"/>
          <w:i w:val="0"/>
          <w:iCs w:val="0"/>
          <w:sz w:val="22"/>
          <w:szCs w:val="22"/>
        </w:rPr>
        <w:t>Daily Bias tells the trader the specific directional filter to apply for the current trading day's intraday decisions, and — when combined with the Power of 3 framework from Module 9 — gives a concrete expectation for how the day might unfold (a possible dip to sweep liquidity before the day's real move, in a bullish-bias example).</w:t>
      </w:r>
    </w:p>
    <w:p w14:paraId="6C89E66B">
      <w:pPr>
        <w:spacing w:after="160" w:line="288" w:lineRule="auto"/>
      </w:pPr>
      <w:r>
        <w:rPr>
          <w:b w:val="0"/>
          <w:bCs w:val="0"/>
          <w:i w:val="0"/>
          <w:iCs w:val="0"/>
          <w:sz w:val="22"/>
          <w:szCs w:val="22"/>
        </w:rPr>
        <w:t>It does not tell the trader that the day will unquestionably move in the anticipated direction. Sources are explicit that daily bias is a probabilistic read, subject to being overturned by a genuine, confirmed structural shift on the daily chart itself as the day develops.</w:t>
      </w:r>
    </w:p>
    <w:p w14:paraId="28C959CC">
      <w:pPr>
        <w:pStyle w:val="3"/>
        <w:spacing w:before="360" w:after="160"/>
      </w:pPr>
      <w:r>
        <w:rPr>
          <w:b/>
          <w:bCs/>
          <w:color w:val="1B2A4A"/>
          <w:sz w:val="26"/>
          <w:szCs w:val="26"/>
        </w:rPr>
        <w:t>7. What It Is Commonly Paired With</w:t>
      </w:r>
    </w:p>
    <w:p w14:paraId="70854657">
      <w:pPr>
        <w:pStyle w:val="16"/>
        <w:numPr>
          <w:ilvl w:val="0"/>
          <w:numId w:val="2"/>
        </w:numPr>
        <w:spacing w:after="80" w:line="276" w:lineRule="auto"/>
      </w:pPr>
      <w:r>
        <w:rPr>
          <w:sz w:val="22"/>
          <w:szCs w:val="22"/>
        </w:rPr>
        <w:t>HTF Bias</w:t>
      </w:r>
    </w:p>
    <w:p w14:paraId="6AC91F85">
      <w:pPr>
        <w:pStyle w:val="16"/>
        <w:numPr>
          <w:ilvl w:val="0"/>
          <w:numId w:val="2"/>
        </w:numPr>
        <w:spacing w:after="80" w:line="276" w:lineRule="auto"/>
      </w:pPr>
      <w:r>
        <w:rPr>
          <w:sz w:val="22"/>
          <w:szCs w:val="22"/>
        </w:rPr>
        <w:t>Power of 3 (Module 9)</w:t>
      </w:r>
    </w:p>
    <w:p w14:paraId="133978BB">
      <w:pPr>
        <w:pStyle w:val="16"/>
        <w:numPr>
          <w:ilvl w:val="0"/>
          <w:numId w:val="2"/>
        </w:numPr>
        <w:spacing w:after="80" w:line="276" w:lineRule="auto"/>
      </w:pPr>
      <w:r>
        <w:rPr>
          <w:sz w:val="22"/>
          <w:szCs w:val="22"/>
        </w:rPr>
        <w:t>Market Structure Shift (Module 3)</w:t>
      </w:r>
    </w:p>
    <w:p w14:paraId="01D9684C">
      <w:pPr>
        <w:spacing w:after="160" w:line="288" w:lineRule="auto"/>
      </w:pPr>
      <w:r>
        <w:rPr>
          <w:b w:val="0"/>
          <w:bCs w:val="0"/>
          <w:i w:val="0"/>
          <w:iCs w:val="0"/>
          <w:sz w:val="22"/>
          <w:szCs w:val="22"/>
        </w:rPr>
        <w:t>Daily Bias is expected to be read within the context HTF Bias already established, and it directly sets up the Power of 3 expectation for how the day is likely to unfold (which side is accumulated/manipulated versus which side is the eventual distribution target).</w:t>
      </w:r>
    </w:p>
    <w:p w14:paraId="2C7B0C53">
      <w:pPr>
        <w:pStyle w:val="3"/>
        <w:spacing w:before="360" w:after="160"/>
      </w:pPr>
      <w:r>
        <w:rPr>
          <w:b/>
          <w:bCs/>
          <w:color w:val="1B2A4A"/>
          <w:sz w:val="26"/>
          <w:szCs w:val="26"/>
        </w:rPr>
        <w:t>8. Where It Fits in the ICT Framework</w:t>
      </w:r>
    </w:p>
    <w:p w14:paraId="25BE87E6">
      <w:pPr>
        <w:spacing w:after="160" w:line="288" w:lineRule="auto"/>
      </w:pPr>
      <w:r>
        <w:rPr>
          <w:b w:val="0"/>
          <w:bCs w:val="0"/>
          <w:i w:val="0"/>
          <w:iCs w:val="0"/>
          <w:sz w:val="22"/>
          <w:szCs w:val="22"/>
        </w:rPr>
        <w:t>Comes before: Requires HTF Bias, Power of 3 (Module 9), and Market Structure Shift (Module 3).</w:t>
      </w:r>
    </w:p>
    <w:p w14:paraId="085172E1">
      <w:pPr>
        <w:spacing w:after="160" w:line="288" w:lineRule="auto"/>
      </w:pPr>
      <w:r>
        <w:rPr>
          <w:b w:val="0"/>
          <w:bCs w:val="0"/>
          <w:i w:val="0"/>
          <w:iCs w:val="0"/>
          <w:sz w:val="22"/>
          <w:szCs w:val="22"/>
        </w:rPr>
        <w:t>Comes after: Feeds directly into Bullish Conditions, Bearish Conditions, and Establishing Daily Directional Expectation — the remaining concepts in this module.</w:t>
      </w:r>
    </w:p>
    <w:p w14:paraId="283279B9">
      <w:pPr>
        <w:pStyle w:val="3"/>
        <w:spacing w:before="360" w:after="160"/>
      </w:pPr>
      <w:r>
        <w:rPr>
          <w:b/>
          <w:bCs/>
          <w:color w:val="1B2A4A"/>
          <w:sz w:val="26"/>
          <w:szCs w:val="26"/>
        </w:rPr>
        <w:t>9. Beginner Mistakes</w:t>
      </w:r>
    </w:p>
    <w:p w14:paraId="56525BA1">
      <w:pPr>
        <w:pStyle w:val="16"/>
        <w:numPr>
          <w:ilvl w:val="0"/>
          <w:numId w:val="2"/>
        </w:numPr>
        <w:spacing w:after="80" w:line="276" w:lineRule="auto"/>
      </w:pPr>
      <w:r>
        <w:rPr>
          <w:sz w:val="22"/>
          <w:szCs w:val="22"/>
        </w:rPr>
        <w:t>Forming daily bias after the New York session has already opened, missing the window several sources describe as the appropriate time to finalize it.</w:t>
      </w:r>
    </w:p>
    <w:p w14:paraId="2A39DC8F">
      <w:pPr>
        <w:pStyle w:val="16"/>
        <w:numPr>
          <w:ilvl w:val="0"/>
          <w:numId w:val="2"/>
        </w:numPr>
        <w:spacing w:after="80" w:line="276" w:lineRule="auto"/>
      </w:pPr>
      <w:r>
        <w:rPr>
          <w:sz w:val="22"/>
          <w:szCs w:val="22"/>
        </w:rPr>
        <w:t>Relying on only one of the three inputs (structure, opening price, liquidity) while ignoring the other two.</w:t>
      </w:r>
    </w:p>
    <w:p w14:paraId="4799D862">
      <w:pPr>
        <w:pStyle w:val="16"/>
        <w:numPr>
          <w:ilvl w:val="0"/>
          <w:numId w:val="2"/>
        </w:numPr>
        <w:spacing w:after="80" w:line="276" w:lineRule="auto"/>
      </w:pPr>
      <w:r>
        <w:rPr>
          <w:sz w:val="22"/>
          <w:szCs w:val="22"/>
        </w:rPr>
        <w:t>Refusing to update daily bias even after a genuine, confirmed structural shift contradicts the original read.</w:t>
      </w:r>
    </w:p>
    <w:p w14:paraId="1C7800E3">
      <w:pPr>
        <w:pStyle w:val="3"/>
        <w:spacing w:before="360" w:after="160"/>
      </w:pPr>
      <w:r>
        <w:rPr>
          <w:b/>
          <w:bCs/>
          <w:color w:val="1B2A4A"/>
          <w:sz w:val="26"/>
          <w:szCs w:val="26"/>
        </w:rPr>
        <w:t>10. Important Qualification</w:t>
      </w:r>
    </w:p>
    <w:p w14:paraId="098C3BAC">
      <w:pPr>
        <w:pBdr>
          <w:left w:val="single" w:color="7A2E2E" w:sz="24" w:space="8"/>
        </w:pBdr>
        <w:shd w:val="clear" w:fill="EFEFEF"/>
        <w:spacing w:before="160" w:after="200"/>
        <w:ind w:left="200"/>
      </w:pPr>
      <w:r>
        <w:rPr>
          <w:b/>
          <w:bCs/>
          <w:color w:val="7A2E2E"/>
          <w:sz w:val="21"/>
          <w:szCs w:val="21"/>
        </w:rPr>
        <w:t xml:space="preserve">Qualification: </w:t>
      </w:r>
      <w:r>
        <w:rPr>
          <w:sz w:val="21"/>
          <w:szCs w:val="21"/>
        </w:rPr>
        <w:t>Multiple documented methods exist for establishing daily bias (full three-factor analysis versus the simplified single-MSS "trick"), and this book presents the fuller three-factor version as the primary method while noting the simplified version as a documented, faster alternative used by some ICT-focused sources. Neither method eliminates the underlying uncertainty of predicting a single day's price action.</w:t>
      </w:r>
    </w:p>
    <w:p w14:paraId="2D92761F">
      <w:pPr>
        <w:pStyle w:val="3"/>
        <w:spacing w:before="360" w:after="160"/>
      </w:pPr>
      <w:r>
        <w:rPr>
          <w:b/>
          <w:bCs/>
          <w:color w:val="1B2A4A"/>
          <w:sz w:val="26"/>
          <w:szCs w:val="26"/>
        </w:rPr>
        <w:t>11. Source</w:t>
      </w:r>
    </w:p>
    <w:p w14:paraId="54B140E1"/>
    <w:p w14:paraId="50A6F622">
      <w:pPr>
        <w:pStyle w:val="16"/>
        <w:numPr>
          <w:ilvl w:val="0"/>
          <w:numId w:val="2"/>
        </w:numPr>
        <w:spacing w:after="80" w:line="276" w:lineRule="auto"/>
      </w:pPr>
      <w:r>
        <w:rPr>
          <w:sz w:val="22"/>
          <w:szCs w:val="22"/>
        </w:rPr>
        <w:t>arongroups.co — "ICT Daily Bias: Complete Guide to Market Direction and Liquidity Analysis" and "How to Identify the Daily Bias and Trade in the Market's Direction" (direct attribution to Michael Huddleston regarding timing before New York open and liquidity-then-reversal behavior).</w:t>
      </w:r>
    </w:p>
    <w:p w14:paraId="716E2397">
      <w:pPr>
        <w:pStyle w:val="16"/>
        <w:numPr>
          <w:ilvl w:val="0"/>
          <w:numId w:val="2"/>
        </w:numPr>
        <w:spacing w:after="80" w:line="276" w:lineRule="auto"/>
      </w:pPr>
      <w:r>
        <w:rPr>
          <w:sz w:val="22"/>
          <w:szCs w:val="22"/>
        </w:rPr>
        <w:t>innercircletrader.net — "ICT Daily Bias Explained" and "ICT Daily Bias Trick — Single-Timeframe MSS Bias Method."</w:t>
      </w:r>
    </w:p>
    <w:p w14:paraId="2F35C9E1">
      <w:pPr>
        <w:pStyle w:val="16"/>
        <w:numPr>
          <w:ilvl w:val="0"/>
          <w:numId w:val="2"/>
        </w:numPr>
        <w:spacing w:after="80" w:line="276" w:lineRule="auto"/>
      </w:pPr>
      <w:r>
        <w:rPr>
          <w:sz w:val="22"/>
          <w:szCs w:val="22"/>
        </w:rPr>
        <w:t>tradingfinder.com — "What is the Daily Bias? Identifying Market Direction in the ICT Method."</w:t>
      </w:r>
    </w:p>
    <w:p w14:paraId="359F6DA7">
      <w:pPr>
        <w:pStyle w:val="16"/>
        <w:numPr>
          <w:ilvl w:val="0"/>
          <w:numId w:val="2"/>
        </w:numPr>
        <w:spacing w:after="80" w:line="276" w:lineRule="auto"/>
      </w:pPr>
      <w:r>
        <w:rPr>
          <w:sz w:val="22"/>
          <w:szCs w:val="22"/>
        </w:rPr>
        <w:t>forexfactory.com (TFlab thread) — "ICT Daily Bias Training."</w:t>
      </w:r>
    </w:p>
    <w:p w14:paraId="48C850C2">
      <w:r>
        <w:br w:type="page"/>
      </w:r>
    </w:p>
    <w:p w14:paraId="3D511ED5">
      <w:pPr>
        <w:pStyle w:val="2"/>
        <w:pBdr>
          <w:bottom w:val="single" w:color="1B2A4A" w:sz="12" w:space="4"/>
        </w:pBdr>
        <w:spacing w:before="480" w:after="240"/>
      </w:pPr>
      <w:r>
        <w:rPr>
          <w:b/>
          <w:bCs/>
          <w:color w:val="1B2A4A"/>
          <w:sz w:val="34"/>
          <w:szCs w:val="34"/>
        </w:rPr>
        <w:t>Bullish Conditions</w:t>
      </w:r>
    </w:p>
    <w:p w14:paraId="42C2A048">
      <w:pPr>
        <w:pStyle w:val="3"/>
        <w:spacing w:before="360" w:after="160"/>
      </w:pPr>
      <w:r>
        <w:rPr>
          <w:b/>
          <w:bCs/>
          <w:color w:val="1B2A4A"/>
          <w:sz w:val="26"/>
          <w:szCs w:val="26"/>
        </w:rPr>
        <w:t>1. Definition</w:t>
      </w:r>
    </w:p>
    <w:p w14:paraId="5344EBFE">
      <w:pPr>
        <w:spacing w:after="160" w:line="288" w:lineRule="auto"/>
      </w:pPr>
      <w:r>
        <w:rPr>
          <w:b w:val="0"/>
          <w:bCs w:val="0"/>
          <w:i w:val="0"/>
          <w:iCs w:val="0"/>
          <w:sz w:val="22"/>
          <w:szCs w:val="22"/>
        </w:rPr>
        <w:t>Bullish conditions are the specific, checkable set of criteria — bullish market structure, price holding above a relevant opening reference, and unswept sell-side liquidity resting below current price — that together support forming a bullish bias for a given period.</w:t>
      </w:r>
    </w:p>
    <w:p w14:paraId="5DFD8371">
      <w:pPr>
        <w:pStyle w:val="3"/>
        <w:spacing w:before="360" w:after="160"/>
      </w:pPr>
      <w:r>
        <w:rPr>
          <w:b/>
          <w:bCs/>
          <w:color w:val="1B2A4A"/>
          <w:sz w:val="26"/>
          <w:szCs w:val="26"/>
        </w:rPr>
        <w:t>2. ICT's Meaning</w:t>
      </w:r>
    </w:p>
    <w:p w14:paraId="534CE83C">
      <w:pPr>
        <w:spacing w:after="160" w:line="288" w:lineRule="auto"/>
      </w:pPr>
      <w:r>
        <w:rPr>
          <w:b w:val="0"/>
          <w:bCs w:val="0"/>
          <w:i w:val="0"/>
          <w:iCs w:val="0"/>
          <w:sz w:val="22"/>
          <w:szCs w:val="22"/>
        </w:rPr>
        <w:t>ICT-focused sources describe bullish conditions as a checklist rather than a single signal: bullish order flow (consistent higher highs and higher lows) on the relevant timeframe; price generally trading above the day's, week's, or month's opening price; and unswept sell-side liquidity below current price, consistent with the expectation that price may need to dip and collect that liquidity before (or while) delivering the anticipated bullish move.</w:t>
      </w:r>
    </w:p>
    <w:p w14:paraId="129E7865">
      <w:pPr>
        <w:spacing w:after="160" w:line="288" w:lineRule="auto"/>
      </w:pPr>
      <w:r>
        <w:rPr>
          <w:b w:val="0"/>
          <w:bCs w:val="0"/>
          <w:i w:val="0"/>
          <w:iCs w:val="0"/>
          <w:sz w:val="22"/>
          <w:szCs w:val="22"/>
        </w:rPr>
        <w:t>Sources also describe specific execution-level bullish conditions once a bullish bias is already established: waiting for price to retrace into a discount-zone PD array (an Order Block, Fair Value Gap, or the OTE sweet spot from Module 7), and requiring a lower-timeframe Market Structure Shift in the bullish direction at that PD array before an entry is considered valid.</w:t>
      </w:r>
    </w:p>
    <w:p w14:paraId="41A35D55">
      <w:pPr>
        <w:pStyle w:val="3"/>
        <w:spacing w:before="360" w:after="160"/>
      </w:pPr>
      <w:r>
        <w:rPr>
          <w:b/>
          <w:bCs/>
          <w:color w:val="1B2A4A"/>
          <w:sz w:val="26"/>
          <w:szCs w:val="26"/>
        </w:rPr>
        <w:t>3. Beginner Explanation</w:t>
      </w:r>
    </w:p>
    <w:p w14:paraId="254DA313">
      <w:pPr>
        <w:spacing w:after="160" w:line="288" w:lineRule="auto"/>
      </w:pPr>
      <w:r>
        <w:rPr>
          <w:b w:val="0"/>
          <w:bCs w:val="0"/>
          <w:i w:val="0"/>
          <w:iCs w:val="0"/>
          <w:sz w:val="22"/>
          <w:szCs w:val="22"/>
        </w:rPr>
        <w:t>Bullish conditions are simply the specific, concrete things a trader following this framework looks for on a chart to decide "yes, calling this bullish makes sense" — not a single obvious sign, but several pieces of evidence (the shape of recent structure, where price sits relative to a reference open, and where nearby liquidity is resting) that, together, paint a consistent bullish picture.</w:t>
      </w:r>
    </w:p>
    <w:p w14:paraId="590DEFBC">
      <w:pPr>
        <w:pStyle w:val="3"/>
        <w:spacing w:before="360" w:after="160"/>
      </w:pPr>
      <w:r>
        <w:rPr>
          <w:b/>
          <w:bCs/>
          <w:color w:val="1B2A4A"/>
          <w:sz w:val="26"/>
          <w:szCs w:val="26"/>
        </w:rPr>
        <w:t>4. How to Identify It</w:t>
      </w:r>
    </w:p>
    <w:p w14:paraId="788D654B">
      <w:pPr>
        <w:pStyle w:val="16"/>
        <w:numPr>
          <w:ilvl w:val="0"/>
          <w:numId w:val="1"/>
        </w:numPr>
        <w:spacing w:after="80" w:line="276" w:lineRule="auto"/>
      </w:pPr>
      <w:r>
        <w:rPr>
          <w:sz w:val="22"/>
          <w:szCs w:val="22"/>
        </w:rPr>
        <w:t>Confirm the relevant timeframe shows a pattern of higher highs and higher lows (Module 1/3).</w:t>
      </w:r>
    </w:p>
    <w:p w14:paraId="1D1852A9">
      <w:pPr>
        <w:pStyle w:val="16"/>
        <w:numPr>
          <w:ilvl w:val="0"/>
          <w:numId w:val="1"/>
        </w:numPr>
        <w:spacing w:after="80" w:line="276" w:lineRule="auto"/>
      </w:pPr>
      <w:r>
        <w:rPr>
          <w:sz w:val="22"/>
          <w:szCs w:val="22"/>
        </w:rPr>
        <w:t>Confirm current price is trading above the relevant period's opening price (daily, weekly, or monthly, depending on the bias being assessed).</w:t>
      </w:r>
    </w:p>
    <w:p w14:paraId="786A35B0">
      <w:pPr>
        <w:pStyle w:val="16"/>
        <w:numPr>
          <w:ilvl w:val="0"/>
          <w:numId w:val="1"/>
        </w:numPr>
        <w:spacing w:after="80" w:line="276" w:lineRule="auto"/>
      </w:pPr>
      <w:r>
        <w:rPr>
          <w:sz w:val="22"/>
          <w:szCs w:val="22"/>
        </w:rPr>
        <w:t>Identify unswept sell-side liquidity resting below current price.</w:t>
      </w:r>
    </w:p>
    <w:p w14:paraId="1F3AD008">
      <w:pPr>
        <w:pStyle w:val="16"/>
        <w:numPr>
          <w:ilvl w:val="0"/>
          <w:numId w:val="1"/>
        </w:numPr>
        <w:spacing w:after="80" w:line="276" w:lineRule="auto"/>
      </w:pPr>
      <w:r>
        <w:rPr>
          <w:sz w:val="22"/>
          <w:szCs w:val="22"/>
        </w:rPr>
        <w:t>For execution-level confirmation, wait for a retracement into a discount-zone PD array, followed by a lower-timeframe bullish Market Structure Shift.</w:t>
      </w:r>
    </w:p>
    <w:p w14:paraId="1A3C0AD5">
      <w:pPr>
        <w:pStyle w:val="3"/>
        <w:spacing w:before="360" w:after="160"/>
      </w:pPr>
      <w:r>
        <w:rPr>
          <w:b/>
          <w:bCs/>
          <w:color w:val="1B2A4A"/>
          <w:sz w:val="26"/>
          <w:szCs w:val="26"/>
        </w:rPr>
        <w:t>5. Simple Price Example</w:t>
      </w:r>
    </w:p>
    <w:p w14:paraId="34280E87">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Daily structure: higher highs and higher lows over the past week. Price above today's open. Unswept SSL below the prior day's low.</w:t>
      </w:r>
    </w:p>
    <w:p w14:paraId="31BE3D11">
      <w:pPr>
        <w:spacing w:after="160" w:line="288" w:lineRule="auto"/>
      </w:pPr>
      <w:r>
        <w:rPr>
          <w:b w:val="0"/>
          <w:bCs w:val="0"/>
          <w:i w:val="0"/>
          <w:iCs w:val="0"/>
          <w:sz w:val="22"/>
          <w:szCs w:val="22"/>
        </w:rPr>
        <w:t>All three bias-level bullish conditions are present here, supporting a bullish daily bias. If price subsequently retraces into a discount-zone Order Block and a 15-minute bullish MSS confirms, the execution-level bullish conditions would also be satisfied, completing the full checklist this framework uses before considering a long entry.</w:t>
      </w:r>
    </w:p>
    <w:p w14:paraId="00B2EC1B">
      <w:pPr>
        <w:pStyle w:val="3"/>
        <w:spacing w:before="360" w:after="160"/>
      </w:pPr>
      <w:r>
        <w:rPr>
          <w:b/>
          <w:bCs/>
          <w:color w:val="1B2A4A"/>
          <w:sz w:val="26"/>
          <w:szCs w:val="26"/>
        </w:rPr>
        <w:t>6. What It Tells the Trader</w:t>
      </w:r>
    </w:p>
    <w:p w14:paraId="2247BC3B">
      <w:pPr>
        <w:spacing w:after="160" w:line="288" w:lineRule="auto"/>
      </w:pPr>
      <w:r>
        <w:rPr>
          <w:b w:val="0"/>
          <w:bCs w:val="0"/>
          <w:i w:val="0"/>
          <w:iCs w:val="0"/>
          <w:sz w:val="22"/>
          <w:szCs w:val="22"/>
        </w:rPr>
        <w:t>Bullish conditions tell the trader specifically which pieces of evidence to check before committing to a bullish bias or a long entry, replacing a vague, impressionistic sense of "looks bullish" with a concrete, repeatable checklist.</w:t>
      </w:r>
    </w:p>
    <w:p w14:paraId="4794E1E0">
      <w:pPr>
        <w:spacing w:after="160" w:line="288" w:lineRule="auto"/>
      </w:pPr>
      <w:r>
        <w:rPr>
          <w:b w:val="0"/>
          <w:bCs w:val="0"/>
          <w:i w:val="0"/>
          <w:iCs w:val="0"/>
          <w:sz w:val="22"/>
          <w:szCs w:val="22"/>
        </w:rPr>
        <w:t>It does not tell the trader that satisfying these conditions guarantees a successful bullish outcome — each condition improves the quality of the read without eliminating the underlying uncertainty.</w:t>
      </w:r>
    </w:p>
    <w:p w14:paraId="0C5952BA">
      <w:pPr>
        <w:pStyle w:val="3"/>
        <w:spacing w:before="360" w:after="160"/>
      </w:pPr>
      <w:r>
        <w:rPr>
          <w:b/>
          <w:bCs/>
          <w:color w:val="1B2A4A"/>
          <w:sz w:val="26"/>
          <w:szCs w:val="26"/>
        </w:rPr>
        <w:t>7. What It Is Commonly Paired With</w:t>
      </w:r>
    </w:p>
    <w:p w14:paraId="2CBE5222">
      <w:pPr>
        <w:pStyle w:val="16"/>
        <w:numPr>
          <w:ilvl w:val="0"/>
          <w:numId w:val="2"/>
        </w:numPr>
        <w:spacing w:after="80" w:line="276" w:lineRule="auto"/>
      </w:pPr>
      <w:r>
        <w:rPr>
          <w:sz w:val="22"/>
          <w:szCs w:val="22"/>
        </w:rPr>
        <w:t>Daily Bias</w:t>
      </w:r>
    </w:p>
    <w:p w14:paraId="5D8FE07F">
      <w:pPr>
        <w:pStyle w:val="16"/>
        <w:numPr>
          <w:ilvl w:val="0"/>
          <w:numId w:val="2"/>
        </w:numPr>
        <w:spacing w:after="80" w:line="276" w:lineRule="auto"/>
      </w:pPr>
      <w:r>
        <w:rPr>
          <w:sz w:val="22"/>
          <w:szCs w:val="22"/>
        </w:rPr>
        <w:t>Discount / PD Arrays (Modules 6–7)</w:t>
      </w:r>
    </w:p>
    <w:p w14:paraId="2D8467BE">
      <w:pPr>
        <w:pStyle w:val="16"/>
        <w:numPr>
          <w:ilvl w:val="0"/>
          <w:numId w:val="2"/>
        </w:numPr>
        <w:spacing w:after="80" w:line="276" w:lineRule="auto"/>
      </w:pPr>
      <w:r>
        <w:rPr>
          <w:sz w:val="22"/>
          <w:szCs w:val="22"/>
        </w:rPr>
        <w:t>ICT Buy Model (Module 11)</w:t>
      </w:r>
    </w:p>
    <w:p w14:paraId="0BF5C762">
      <w:pPr>
        <w:spacing w:after="160" w:line="288" w:lineRule="auto"/>
      </w:pPr>
      <w:r>
        <w:rPr>
          <w:b w:val="0"/>
          <w:bCs w:val="0"/>
          <w:i w:val="0"/>
          <w:iCs w:val="0"/>
          <w:sz w:val="22"/>
          <w:szCs w:val="22"/>
        </w:rPr>
        <w:t>This checklist of bullish conditions is the direct input into forming a bullish Daily Bias, and its execution-level component (discount PD array plus lower-timeframe MSS) is the same specific sequence formalized in full in Module 11's ICT Buy Model.</w:t>
      </w:r>
    </w:p>
    <w:p w14:paraId="435E07FC">
      <w:pPr>
        <w:pStyle w:val="3"/>
        <w:spacing w:before="360" w:after="160"/>
      </w:pPr>
      <w:r>
        <w:rPr>
          <w:b/>
          <w:bCs/>
          <w:color w:val="1B2A4A"/>
          <w:sz w:val="26"/>
          <w:szCs w:val="26"/>
        </w:rPr>
        <w:t>8. Where It Fits in the ICT Framework</w:t>
      </w:r>
    </w:p>
    <w:p w14:paraId="191FD70D">
      <w:pPr>
        <w:spacing w:after="160" w:line="288" w:lineRule="auto"/>
      </w:pPr>
      <w:r>
        <w:rPr>
          <w:b w:val="0"/>
          <w:bCs w:val="0"/>
          <w:i w:val="0"/>
          <w:iCs w:val="0"/>
          <w:sz w:val="22"/>
          <w:szCs w:val="22"/>
        </w:rPr>
        <w:t>Comes before: Requires Daily Bias, Discount (Module 7), and PD Arrays (Module 6).</w:t>
      </w:r>
    </w:p>
    <w:p w14:paraId="1CEAE0A6">
      <w:pPr>
        <w:spacing w:after="160" w:line="288" w:lineRule="auto"/>
      </w:pPr>
      <w:r>
        <w:rPr>
          <w:b w:val="0"/>
          <w:bCs w:val="0"/>
          <w:i w:val="0"/>
          <w:iCs w:val="0"/>
          <w:sz w:val="22"/>
          <w:szCs w:val="22"/>
        </w:rPr>
        <w:t>Comes after: Feeds into Establishing Daily Directional Expectation and, later, the ICT Buy Model (Module 11).</w:t>
      </w:r>
    </w:p>
    <w:p w14:paraId="4A4CB444">
      <w:pPr>
        <w:pStyle w:val="3"/>
        <w:spacing w:before="360" w:after="160"/>
      </w:pPr>
      <w:r>
        <w:rPr>
          <w:b/>
          <w:bCs/>
          <w:color w:val="1B2A4A"/>
          <w:sz w:val="26"/>
          <w:szCs w:val="26"/>
        </w:rPr>
        <w:t>9. Beginner Mistakes</w:t>
      </w:r>
    </w:p>
    <w:p w14:paraId="4A9A975E">
      <w:pPr>
        <w:pStyle w:val="16"/>
        <w:numPr>
          <w:ilvl w:val="0"/>
          <w:numId w:val="2"/>
        </w:numPr>
        <w:spacing w:after="80" w:line="276" w:lineRule="auto"/>
      </w:pPr>
      <w:r>
        <w:rPr>
          <w:sz w:val="22"/>
          <w:szCs w:val="22"/>
        </w:rPr>
        <w:t>Treating a single bullish condition (such as price being above the day's open) as sufficient on its own, without checking the others.</w:t>
      </w:r>
    </w:p>
    <w:p w14:paraId="7CDEEE3B">
      <w:pPr>
        <w:pStyle w:val="16"/>
        <w:numPr>
          <w:ilvl w:val="0"/>
          <w:numId w:val="2"/>
        </w:numPr>
        <w:spacing w:after="80" w:line="276" w:lineRule="auto"/>
      </w:pPr>
      <w:r>
        <w:rPr>
          <w:sz w:val="22"/>
          <w:szCs w:val="22"/>
        </w:rPr>
        <w:t>Ignoring the execution-level requirement for a lower-timeframe structure shift and entering purely because the bias-level conditions are met.</w:t>
      </w:r>
    </w:p>
    <w:p w14:paraId="45E0E879">
      <w:pPr>
        <w:pStyle w:val="3"/>
        <w:spacing w:before="360" w:after="160"/>
      </w:pPr>
      <w:r>
        <w:rPr>
          <w:b/>
          <w:bCs/>
          <w:color w:val="1B2A4A"/>
          <w:sz w:val="26"/>
          <w:szCs w:val="26"/>
        </w:rPr>
        <w:t>10. Important Qualification</w:t>
      </w:r>
    </w:p>
    <w:p w14:paraId="0AF7C82B">
      <w:pPr>
        <w:pBdr>
          <w:left w:val="single" w:color="7A2E2E" w:sz="24" w:space="8"/>
        </w:pBdr>
        <w:shd w:val="clear" w:fill="EFEFEF"/>
        <w:spacing w:before="160" w:after="200"/>
        <w:ind w:left="200"/>
      </w:pPr>
      <w:r>
        <w:rPr>
          <w:b/>
          <w:bCs/>
          <w:color w:val="7A2E2E"/>
          <w:sz w:val="21"/>
          <w:szCs w:val="21"/>
        </w:rPr>
        <w:t xml:space="preserve">Qualification: </w:t>
      </w:r>
      <w:r>
        <w:rPr>
          <w:sz w:val="21"/>
          <w:szCs w:val="21"/>
        </w:rPr>
        <w:t>Satisfying the bullish conditions checklist supports forming a bullish bias; it does not by itself constitute a complete, ready-to-execute trade setup. Modules 6, 7, and 11 supply the further specificity (exact PD array, exact entry zone, exact target) required for that.</w:t>
      </w:r>
    </w:p>
    <w:p w14:paraId="445979B5">
      <w:pPr>
        <w:pStyle w:val="3"/>
        <w:spacing w:before="360" w:after="160"/>
      </w:pPr>
      <w:r>
        <w:rPr>
          <w:b/>
          <w:bCs/>
          <w:color w:val="1B2A4A"/>
          <w:sz w:val="26"/>
          <w:szCs w:val="26"/>
        </w:rPr>
        <w:t>11. Source</w:t>
      </w:r>
    </w:p>
    <w:p w14:paraId="596C6DFA"/>
    <w:p w14:paraId="720D70A2">
      <w:pPr>
        <w:pStyle w:val="16"/>
        <w:numPr>
          <w:ilvl w:val="0"/>
          <w:numId w:val="2"/>
        </w:numPr>
        <w:spacing w:after="80" w:line="276" w:lineRule="auto"/>
      </w:pPr>
      <w:r>
        <w:rPr>
          <w:sz w:val="22"/>
          <w:szCs w:val="22"/>
        </w:rPr>
        <w:t>tradingfinder.com — "What is the Daily Bias? Identifying Market Direction in the ICT Method" ("In bullish order flow, prices create higher highs and higher lows while moving upward to absorb liquidity... focus on buying opportunities").</w:t>
      </w:r>
    </w:p>
    <w:p w14:paraId="53BAE820">
      <w:pPr>
        <w:pStyle w:val="16"/>
        <w:numPr>
          <w:ilvl w:val="0"/>
          <w:numId w:val="2"/>
        </w:numPr>
        <w:spacing w:after="80" w:line="276" w:lineRule="auto"/>
      </w:pPr>
      <w:r>
        <w:rPr>
          <w:sz w:val="22"/>
          <w:szCs w:val="22"/>
        </w:rPr>
        <w:t>forexfactory.com (TFlab thread) — "ICT Daily Bias Training" (execution-level bullish checklist: structure confirmation, PD array approach, lower-timeframe MSS).</w:t>
      </w:r>
    </w:p>
    <w:p w14:paraId="7FA69B00">
      <w:r>
        <w:br w:type="page"/>
      </w:r>
    </w:p>
    <w:p w14:paraId="7F6D5B62">
      <w:pPr>
        <w:pStyle w:val="2"/>
        <w:pBdr>
          <w:bottom w:val="single" w:color="1B2A4A" w:sz="12" w:space="4"/>
        </w:pBdr>
        <w:spacing w:before="480" w:after="240"/>
      </w:pPr>
      <w:r>
        <w:rPr>
          <w:b/>
          <w:bCs/>
          <w:color w:val="1B2A4A"/>
          <w:sz w:val="34"/>
          <w:szCs w:val="34"/>
        </w:rPr>
        <w:t>Bearish Conditions</w:t>
      </w:r>
    </w:p>
    <w:p w14:paraId="19C6AEC2">
      <w:pPr>
        <w:pStyle w:val="3"/>
        <w:spacing w:before="360" w:after="160"/>
      </w:pPr>
      <w:r>
        <w:rPr>
          <w:b/>
          <w:bCs/>
          <w:color w:val="1B2A4A"/>
          <w:sz w:val="26"/>
          <w:szCs w:val="26"/>
        </w:rPr>
        <w:t>1. Definition</w:t>
      </w:r>
    </w:p>
    <w:p w14:paraId="2CCCF631">
      <w:pPr>
        <w:spacing w:after="160" w:line="288" w:lineRule="auto"/>
      </w:pPr>
      <w:r>
        <w:rPr>
          <w:b w:val="0"/>
          <w:bCs w:val="0"/>
          <w:i w:val="0"/>
          <w:iCs w:val="0"/>
          <w:sz w:val="22"/>
          <w:szCs w:val="22"/>
        </w:rPr>
        <w:t>Bearish conditions are the specific, checkable set of criteria — bearish market structure, price holding below a relevant opening reference, and unswept buy-side liquidity resting above current price — that together support forming a bearish bias for a given period.</w:t>
      </w:r>
    </w:p>
    <w:p w14:paraId="4DB72526">
      <w:pPr>
        <w:pStyle w:val="3"/>
        <w:spacing w:before="360" w:after="160"/>
      </w:pPr>
      <w:r>
        <w:rPr>
          <w:b/>
          <w:bCs/>
          <w:color w:val="1B2A4A"/>
          <w:sz w:val="26"/>
          <w:szCs w:val="26"/>
        </w:rPr>
        <w:t>2. ICT's Meaning</w:t>
      </w:r>
    </w:p>
    <w:p w14:paraId="44D1BE5C">
      <w:pPr>
        <w:spacing w:after="160" w:line="288" w:lineRule="auto"/>
      </w:pPr>
      <w:r>
        <w:rPr>
          <w:b w:val="0"/>
          <w:bCs w:val="0"/>
          <w:i w:val="0"/>
          <w:iCs w:val="0"/>
          <w:sz w:val="22"/>
          <w:szCs w:val="22"/>
        </w:rPr>
        <w:t>The mirror of bullish conditions. ICT-focused sources describe bearish order flow (consistent lower highs and lower lows) on the relevant timeframe, price generally trading below the day's, week's, or month's opening price, and unswept buy-side liquidity above current price, consistent with the expectation that price may need to spike and collect that liquidity before (or while) delivering the anticipated bearish move.</w:t>
      </w:r>
    </w:p>
    <w:p w14:paraId="7AD38A27">
      <w:pPr>
        <w:spacing w:after="160" w:line="288" w:lineRule="auto"/>
      </w:pPr>
      <w:r>
        <w:rPr>
          <w:b w:val="0"/>
          <w:bCs w:val="0"/>
          <w:i w:val="0"/>
          <w:iCs w:val="0"/>
          <w:sz w:val="22"/>
          <w:szCs w:val="22"/>
        </w:rPr>
        <w:t>As with bullish conditions, execution-level bearish conditions require waiting for a retracement into a premium-zone PD array (a bearish Order Block, Fair Value Gap, or Breaker Block), followed by a lower-timeframe bearish Market Structure Shift before an entry is considered valid.</w:t>
      </w:r>
    </w:p>
    <w:p w14:paraId="4041DD89">
      <w:pPr>
        <w:pStyle w:val="3"/>
        <w:spacing w:before="360" w:after="160"/>
      </w:pPr>
      <w:r>
        <w:rPr>
          <w:b/>
          <w:bCs/>
          <w:color w:val="1B2A4A"/>
          <w:sz w:val="26"/>
          <w:szCs w:val="26"/>
        </w:rPr>
        <w:t>3. Beginner Explanation</w:t>
      </w:r>
    </w:p>
    <w:p w14:paraId="11304F99">
      <w:pPr>
        <w:spacing w:after="160" w:line="288" w:lineRule="auto"/>
      </w:pPr>
      <w:r>
        <w:rPr>
          <w:b w:val="0"/>
          <w:bCs w:val="0"/>
          <w:i w:val="0"/>
          <w:iCs w:val="0"/>
          <w:sz w:val="22"/>
          <w:szCs w:val="22"/>
        </w:rPr>
        <w:t>Bearish conditions are the mirror image of bullish conditions: the specific, concrete signs — falling structure, price below a reference open, and liquidity resting above current price — that together support calling a period bearish rather than bullish.</w:t>
      </w:r>
    </w:p>
    <w:p w14:paraId="59033F37">
      <w:pPr>
        <w:pStyle w:val="3"/>
        <w:spacing w:before="360" w:after="160"/>
      </w:pPr>
      <w:r>
        <w:rPr>
          <w:b/>
          <w:bCs/>
          <w:color w:val="1B2A4A"/>
          <w:sz w:val="26"/>
          <w:szCs w:val="26"/>
        </w:rPr>
        <w:t>4. How to Identify It</w:t>
      </w:r>
    </w:p>
    <w:p w14:paraId="4DB3894E">
      <w:pPr>
        <w:pStyle w:val="16"/>
        <w:numPr>
          <w:ilvl w:val="0"/>
          <w:numId w:val="1"/>
        </w:numPr>
        <w:spacing w:after="80" w:line="276" w:lineRule="auto"/>
      </w:pPr>
      <w:r>
        <w:rPr>
          <w:sz w:val="22"/>
          <w:szCs w:val="22"/>
        </w:rPr>
        <w:t>Confirm the relevant timeframe shows a pattern of lower highs and lower lows.</w:t>
      </w:r>
    </w:p>
    <w:p w14:paraId="5CB784CE">
      <w:pPr>
        <w:pStyle w:val="16"/>
        <w:numPr>
          <w:ilvl w:val="0"/>
          <w:numId w:val="1"/>
        </w:numPr>
        <w:spacing w:after="80" w:line="276" w:lineRule="auto"/>
      </w:pPr>
      <w:r>
        <w:rPr>
          <w:sz w:val="22"/>
          <w:szCs w:val="22"/>
        </w:rPr>
        <w:t>Confirm current price is trading below the relevant period's opening price.</w:t>
      </w:r>
    </w:p>
    <w:p w14:paraId="22B8529A">
      <w:pPr>
        <w:pStyle w:val="16"/>
        <w:numPr>
          <w:ilvl w:val="0"/>
          <w:numId w:val="1"/>
        </w:numPr>
        <w:spacing w:after="80" w:line="276" w:lineRule="auto"/>
      </w:pPr>
      <w:r>
        <w:rPr>
          <w:sz w:val="22"/>
          <w:szCs w:val="22"/>
        </w:rPr>
        <w:t>Identify unswept buy-side liquidity resting above current price.</w:t>
      </w:r>
    </w:p>
    <w:p w14:paraId="5FBA7F48">
      <w:pPr>
        <w:pStyle w:val="16"/>
        <w:numPr>
          <w:ilvl w:val="0"/>
          <w:numId w:val="1"/>
        </w:numPr>
        <w:spacing w:after="80" w:line="276" w:lineRule="auto"/>
      </w:pPr>
      <w:r>
        <w:rPr>
          <w:sz w:val="22"/>
          <w:szCs w:val="22"/>
        </w:rPr>
        <w:t>For execution-level confirmation, wait for a retracement into a premium-zone PD array, followed by a lower-timeframe bearish Market Structure Shift.</w:t>
      </w:r>
    </w:p>
    <w:p w14:paraId="15A00A58">
      <w:pPr>
        <w:pStyle w:val="3"/>
        <w:spacing w:before="360" w:after="160"/>
      </w:pPr>
      <w:r>
        <w:rPr>
          <w:b/>
          <w:bCs/>
          <w:color w:val="1B2A4A"/>
          <w:sz w:val="26"/>
          <w:szCs w:val="26"/>
        </w:rPr>
        <w:t>5. Simple Price Example</w:t>
      </w:r>
    </w:p>
    <w:p w14:paraId="476FA838">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Daily structure: lower highs and lower lows over the past week. Price below today's open. Unswept BSL above the prior day's high.</w:t>
      </w:r>
    </w:p>
    <w:p w14:paraId="1B07525B">
      <w:pPr>
        <w:spacing w:after="160" w:line="288" w:lineRule="auto"/>
      </w:pPr>
      <w:r>
        <w:rPr>
          <w:b w:val="0"/>
          <w:bCs w:val="0"/>
          <w:i w:val="0"/>
          <w:iCs w:val="0"/>
          <w:sz w:val="22"/>
          <w:szCs w:val="22"/>
        </w:rPr>
        <w:t>All three bias-level bearish conditions are present, supporting a bearish daily bias. If price subsequently retraces into a premium-zone Order Block and a 15-minute bearish MSS confirms, the execution-level bearish conditions would also be satisfied, completing the checklist before a short entry is considered.</w:t>
      </w:r>
    </w:p>
    <w:p w14:paraId="032CA298">
      <w:pPr>
        <w:pStyle w:val="3"/>
        <w:spacing w:before="360" w:after="160"/>
      </w:pPr>
      <w:r>
        <w:rPr>
          <w:b/>
          <w:bCs/>
          <w:color w:val="1B2A4A"/>
          <w:sz w:val="26"/>
          <w:szCs w:val="26"/>
        </w:rPr>
        <w:t>6. What It Tells the Trader</w:t>
      </w:r>
    </w:p>
    <w:p w14:paraId="025C8603">
      <w:pPr>
        <w:spacing w:after="160" w:line="288" w:lineRule="auto"/>
      </w:pPr>
      <w:r>
        <w:rPr>
          <w:b w:val="0"/>
          <w:bCs w:val="0"/>
          <w:i w:val="0"/>
          <w:iCs w:val="0"/>
          <w:sz w:val="22"/>
          <w:szCs w:val="22"/>
        </w:rPr>
        <w:t>Bearish conditions tell the trader specifically which pieces of evidence to check before committing to a bearish bias or a short entry.</w:t>
      </w:r>
    </w:p>
    <w:p w14:paraId="7D7AC77F">
      <w:pPr>
        <w:spacing w:after="160" w:line="288" w:lineRule="auto"/>
      </w:pPr>
      <w:r>
        <w:rPr>
          <w:b w:val="0"/>
          <w:bCs w:val="0"/>
          <w:i w:val="0"/>
          <w:iCs w:val="0"/>
          <w:sz w:val="22"/>
          <w:szCs w:val="22"/>
        </w:rPr>
        <w:t>It does not guarantee a successful bearish outcome even when fully satisfied — as with bullish conditions, this checklist improves the quality of the read without eliminating underlying uncertainty.</w:t>
      </w:r>
    </w:p>
    <w:p w14:paraId="12C37787">
      <w:pPr>
        <w:pStyle w:val="3"/>
        <w:spacing w:before="360" w:after="160"/>
      </w:pPr>
      <w:r>
        <w:rPr>
          <w:b/>
          <w:bCs/>
          <w:color w:val="1B2A4A"/>
          <w:sz w:val="26"/>
          <w:szCs w:val="26"/>
        </w:rPr>
        <w:t>7. What It Is Commonly Paired With</w:t>
      </w:r>
    </w:p>
    <w:p w14:paraId="3B085781">
      <w:pPr>
        <w:pStyle w:val="16"/>
        <w:numPr>
          <w:ilvl w:val="0"/>
          <w:numId w:val="2"/>
        </w:numPr>
        <w:spacing w:after="80" w:line="276" w:lineRule="auto"/>
      </w:pPr>
      <w:r>
        <w:rPr>
          <w:sz w:val="22"/>
          <w:szCs w:val="22"/>
        </w:rPr>
        <w:t>Daily Bias</w:t>
      </w:r>
    </w:p>
    <w:p w14:paraId="26427351">
      <w:pPr>
        <w:pStyle w:val="16"/>
        <w:numPr>
          <w:ilvl w:val="0"/>
          <w:numId w:val="2"/>
        </w:numPr>
        <w:spacing w:after="80" w:line="276" w:lineRule="auto"/>
      </w:pPr>
      <w:r>
        <w:rPr>
          <w:sz w:val="22"/>
          <w:szCs w:val="22"/>
        </w:rPr>
        <w:t>Premium / PD Arrays (Modules 6–7)</w:t>
      </w:r>
    </w:p>
    <w:p w14:paraId="1EB4442E">
      <w:pPr>
        <w:pStyle w:val="16"/>
        <w:numPr>
          <w:ilvl w:val="0"/>
          <w:numId w:val="2"/>
        </w:numPr>
        <w:spacing w:after="80" w:line="276" w:lineRule="auto"/>
      </w:pPr>
      <w:r>
        <w:rPr>
          <w:sz w:val="22"/>
          <w:szCs w:val="22"/>
        </w:rPr>
        <w:t>ICT Sell Model (Module 12)</w:t>
      </w:r>
    </w:p>
    <w:p w14:paraId="327505BA">
      <w:pPr>
        <w:spacing w:after="160" w:line="288" w:lineRule="auto"/>
      </w:pPr>
      <w:r>
        <w:rPr>
          <w:b w:val="0"/>
          <w:bCs w:val="0"/>
          <w:i w:val="0"/>
          <w:iCs w:val="0"/>
          <w:sz w:val="22"/>
          <w:szCs w:val="22"/>
        </w:rPr>
        <w:t>This checklist is the direct input into forming a bearish Daily Bias, and its execution-level component (premium PD array plus lower-timeframe MSS) is the same specific sequence formalized in full in Module 12's ICT Sell Model.</w:t>
      </w:r>
    </w:p>
    <w:p w14:paraId="1009B627">
      <w:pPr>
        <w:pStyle w:val="3"/>
        <w:spacing w:before="360" w:after="160"/>
      </w:pPr>
      <w:r>
        <w:rPr>
          <w:b/>
          <w:bCs/>
          <w:color w:val="1B2A4A"/>
          <w:sz w:val="26"/>
          <w:szCs w:val="26"/>
        </w:rPr>
        <w:t>8. Where It Fits in the ICT Framework</w:t>
      </w:r>
    </w:p>
    <w:p w14:paraId="33831E12">
      <w:pPr>
        <w:spacing w:after="160" w:line="288" w:lineRule="auto"/>
      </w:pPr>
      <w:r>
        <w:rPr>
          <w:b w:val="0"/>
          <w:bCs w:val="0"/>
          <w:i w:val="0"/>
          <w:iCs w:val="0"/>
          <w:sz w:val="22"/>
          <w:szCs w:val="22"/>
        </w:rPr>
        <w:t>Comes before: Requires Daily Bias, Premium (Module 7), and PD Arrays (Module 6).</w:t>
      </w:r>
    </w:p>
    <w:p w14:paraId="3950A3A5">
      <w:pPr>
        <w:spacing w:after="160" w:line="288" w:lineRule="auto"/>
      </w:pPr>
      <w:r>
        <w:rPr>
          <w:b w:val="0"/>
          <w:bCs w:val="0"/>
          <w:i w:val="0"/>
          <w:iCs w:val="0"/>
          <w:sz w:val="22"/>
          <w:szCs w:val="22"/>
        </w:rPr>
        <w:t>Comes after: Feeds into Establishing Daily Directional Expectation and, later, the ICT Sell Model (Module 12).</w:t>
      </w:r>
    </w:p>
    <w:p w14:paraId="47080474">
      <w:pPr>
        <w:pStyle w:val="3"/>
        <w:spacing w:before="360" w:after="160"/>
      </w:pPr>
      <w:r>
        <w:rPr>
          <w:b/>
          <w:bCs/>
          <w:color w:val="1B2A4A"/>
          <w:sz w:val="26"/>
          <w:szCs w:val="26"/>
        </w:rPr>
        <w:t>9. Beginner Mistakes</w:t>
      </w:r>
    </w:p>
    <w:p w14:paraId="5EF581C1">
      <w:pPr>
        <w:pStyle w:val="16"/>
        <w:numPr>
          <w:ilvl w:val="0"/>
          <w:numId w:val="2"/>
        </w:numPr>
        <w:spacing w:after="80" w:line="276" w:lineRule="auto"/>
      </w:pPr>
      <w:r>
        <w:rPr>
          <w:sz w:val="22"/>
          <w:szCs w:val="22"/>
        </w:rPr>
        <w:t>Treating a single bearish condition as sufficient on its own, without checking the others.</w:t>
      </w:r>
    </w:p>
    <w:p w14:paraId="1F1086CF">
      <w:pPr>
        <w:pStyle w:val="16"/>
        <w:numPr>
          <w:ilvl w:val="0"/>
          <w:numId w:val="2"/>
        </w:numPr>
        <w:spacing w:after="80" w:line="276" w:lineRule="auto"/>
      </w:pPr>
      <w:r>
        <w:rPr>
          <w:sz w:val="22"/>
          <w:szCs w:val="22"/>
        </w:rPr>
        <w:t>Ignoring the execution-level requirement for a lower-timeframe structure shift and entering purely because the bias-level conditions are met.</w:t>
      </w:r>
    </w:p>
    <w:p w14:paraId="4632009F">
      <w:pPr>
        <w:pStyle w:val="3"/>
        <w:spacing w:before="360" w:after="160"/>
      </w:pPr>
      <w:r>
        <w:rPr>
          <w:b/>
          <w:bCs/>
          <w:color w:val="1B2A4A"/>
          <w:sz w:val="26"/>
          <w:szCs w:val="26"/>
        </w:rPr>
        <w:t>10. Important Qualification</w:t>
      </w:r>
    </w:p>
    <w:p w14:paraId="0834F0CB">
      <w:pPr>
        <w:pBdr>
          <w:left w:val="single" w:color="7A2E2E" w:sz="24" w:space="8"/>
        </w:pBdr>
        <w:shd w:val="clear" w:fill="EFEFEF"/>
        <w:spacing w:before="160" w:after="200"/>
        <w:ind w:left="200"/>
      </w:pPr>
      <w:r>
        <w:rPr>
          <w:b/>
          <w:bCs/>
          <w:color w:val="7A2E2E"/>
          <w:sz w:val="21"/>
          <w:szCs w:val="21"/>
        </w:rPr>
        <w:t xml:space="preserve">Qualification: </w:t>
      </w:r>
      <w:r>
        <w:rPr>
          <w:sz w:val="21"/>
          <w:szCs w:val="21"/>
        </w:rPr>
        <w:t>As with bullish conditions, satisfying the bearish conditions checklist supports forming a bearish bias but does not by itself constitute a complete, ready-to-execute trade setup.</w:t>
      </w:r>
    </w:p>
    <w:p w14:paraId="4B55BC4B">
      <w:pPr>
        <w:pStyle w:val="3"/>
        <w:spacing w:before="360" w:after="160"/>
      </w:pPr>
      <w:r>
        <w:rPr>
          <w:b/>
          <w:bCs/>
          <w:color w:val="1B2A4A"/>
          <w:sz w:val="26"/>
          <w:szCs w:val="26"/>
        </w:rPr>
        <w:t>11. Source</w:t>
      </w:r>
    </w:p>
    <w:p w14:paraId="7E5A86B1"/>
    <w:p w14:paraId="2C8F079E">
      <w:pPr>
        <w:pStyle w:val="16"/>
        <w:numPr>
          <w:ilvl w:val="0"/>
          <w:numId w:val="2"/>
        </w:numPr>
        <w:spacing w:after="80" w:line="276" w:lineRule="auto"/>
      </w:pPr>
      <w:r>
        <w:rPr>
          <w:sz w:val="22"/>
          <w:szCs w:val="22"/>
        </w:rPr>
        <w:t>tradingfinder.com — "What is the Daily Bias? Identifying Market Direction in the ICT Method" ("In bearish order flow, prices create lower lows and lower highs while moving downward to capture liquidity... focus on selling opportunities").</w:t>
      </w:r>
    </w:p>
    <w:p w14:paraId="664C0774">
      <w:pPr>
        <w:pStyle w:val="16"/>
        <w:numPr>
          <w:ilvl w:val="0"/>
          <w:numId w:val="2"/>
        </w:numPr>
        <w:spacing w:after="80" w:line="276" w:lineRule="auto"/>
      </w:pPr>
      <w:r>
        <w:rPr>
          <w:sz w:val="22"/>
          <w:szCs w:val="22"/>
        </w:rPr>
        <w:t>forexfactory.com (TFlab thread) — "ICT Daily Bias Training" (mirrored bearish checklist: Breaker Blocks/FVGs, lower-timeframe MSS before short entries).</w:t>
      </w:r>
    </w:p>
    <w:p w14:paraId="4800682E">
      <w:r>
        <w:br w:type="page"/>
      </w:r>
    </w:p>
    <w:p w14:paraId="2BD9354D">
      <w:pPr>
        <w:pStyle w:val="2"/>
        <w:pBdr>
          <w:bottom w:val="single" w:color="1B2A4A" w:sz="12" w:space="4"/>
        </w:pBdr>
        <w:spacing w:before="480" w:after="240"/>
      </w:pPr>
      <w:r>
        <w:rPr>
          <w:b/>
          <w:bCs/>
          <w:color w:val="1B2A4A"/>
          <w:sz w:val="34"/>
          <w:szCs w:val="34"/>
        </w:rPr>
        <w:t>Establishing Daily Directional Expectation</w:t>
      </w:r>
    </w:p>
    <w:p w14:paraId="7DA4E94A">
      <w:pPr>
        <w:pStyle w:val="3"/>
        <w:spacing w:before="360" w:after="160"/>
      </w:pPr>
      <w:r>
        <w:rPr>
          <w:b/>
          <w:bCs/>
          <w:color w:val="1B2A4A"/>
          <w:sz w:val="26"/>
          <w:szCs w:val="26"/>
        </w:rPr>
        <w:t>1. Definition</w:t>
      </w:r>
    </w:p>
    <w:p w14:paraId="3825A3C6">
      <w:pPr>
        <w:spacing w:after="160" w:line="288" w:lineRule="auto"/>
      </w:pPr>
      <w:r>
        <w:rPr>
          <w:b w:val="0"/>
          <w:bCs w:val="0"/>
          <w:i w:val="0"/>
          <w:iCs w:val="0"/>
          <w:sz w:val="22"/>
          <w:szCs w:val="22"/>
        </w:rPr>
        <w:t>This concept consolidates HTF Bias, Daily Bias, and the Bullish/Bearish Conditions checklists into a single, ordered, repeatable pre-market procedure for arriving at one clear directional statement for the day ahead — the specific output this entire module has been building toward.</w:t>
      </w:r>
    </w:p>
    <w:p w14:paraId="6EA8105F">
      <w:pPr>
        <w:pStyle w:val="3"/>
        <w:spacing w:before="360" w:after="160"/>
      </w:pPr>
      <w:r>
        <w:rPr>
          <w:b/>
          <w:bCs/>
          <w:color w:val="1B2A4A"/>
          <w:sz w:val="26"/>
          <w:szCs w:val="26"/>
        </w:rPr>
        <w:t>2. ICT's Meaning</w:t>
      </w:r>
    </w:p>
    <w:p w14:paraId="1ED5A71E">
      <w:pPr>
        <w:spacing w:after="160" w:line="288" w:lineRule="auto"/>
      </w:pPr>
      <w:r>
        <w:rPr>
          <w:b w:val="0"/>
          <w:bCs w:val="0"/>
          <w:i w:val="0"/>
          <w:iCs w:val="0"/>
          <w:sz w:val="22"/>
          <w:szCs w:val="22"/>
        </w:rPr>
        <w:t>ICT-focused sources describe a consistent step-by-step sequence for this process: establish macro (monthly/weekly) bias first; narrow to daily-timeframe structure and the daily/prior-day opening price; identify the nearest significant unswept liquidity as the likely draw; and combine these into a single, explicit bias statement — several sources recommend literally writing this statement out (for example: "Bullish today, targeting the prior week high at [price], expecting manipulation below the Asia low during the London open kill zone before the NY session delivers higher").</w:t>
      </w:r>
    </w:p>
    <w:p w14:paraId="1150D80B">
      <w:pPr>
        <w:spacing w:after="160" w:line="288" w:lineRule="auto"/>
      </w:pPr>
      <w:r>
        <w:rPr>
          <w:b w:val="0"/>
          <w:bCs w:val="0"/>
          <w:i w:val="0"/>
          <w:iCs w:val="0"/>
          <w:sz w:val="22"/>
          <w:szCs w:val="22"/>
        </w:rPr>
        <w:t>This process is explicitly described as needing to be completed before the New York session opens (and ideally before the London session begins), directly connecting this module back to the session and Kill Zone vocabulary from Module 8 and the Power of 3 phase-timing from Module 9.</w:t>
      </w:r>
    </w:p>
    <w:p w14:paraId="3E19DD54">
      <w:pPr>
        <w:spacing w:after="160" w:line="288" w:lineRule="auto"/>
      </w:pPr>
      <w:r>
        <w:rPr>
          <w:b w:val="0"/>
          <w:bCs w:val="0"/>
          <w:i w:val="0"/>
          <w:iCs w:val="0"/>
          <w:sz w:val="22"/>
          <w:szCs w:val="22"/>
        </w:rPr>
        <w:t>Sources are consistent that a fourth, explicitly permitted outcome of this process is a neutral or unclear bias — when the higher timeframe fails to give a clean read, disciplined inaction (staying on the sidelines until a clearer picture develops) is described as the professionally correct response, not a failure of the process.</w:t>
      </w:r>
    </w:p>
    <w:p w14:paraId="73317EE5">
      <w:pPr>
        <w:pStyle w:val="3"/>
        <w:spacing w:before="360" w:after="160"/>
      </w:pPr>
      <w:r>
        <w:rPr>
          <w:b/>
          <w:bCs/>
          <w:color w:val="1B2A4A"/>
          <w:sz w:val="26"/>
          <w:szCs w:val="26"/>
        </w:rPr>
        <w:t>3. Beginner Explanation</w:t>
      </w:r>
    </w:p>
    <w:p w14:paraId="43A7F8CE">
      <w:pPr>
        <w:spacing w:after="160" w:line="288" w:lineRule="auto"/>
      </w:pPr>
      <w:r>
        <w:rPr>
          <w:b w:val="0"/>
          <w:bCs w:val="0"/>
          <w:i w:val="0"/>
          <w:iCs w:val="0"/>
          <w:sz w:val="22"/>
          <w:szCs w:val="22"/>
        </w:rPr>
        <w:t>This concept is the payoff of the whole module: a specific, step-by-step morning routine for turning everything you've learned about bias into one clear, written-down sentence describing what you expect the day to do, why, and roughly how. Rather than vaguely feeling bullish or bearish, you end this process with a specific, falsifiable statement you can check your actual results against once the day is over.</w:t>
      </w:r>
    </w:p>
    <w:p w14:paraId="43173595">
      <w:pPr>
        <w:pStyle w:val="3"/>
        <w:spacing w:before="360" w:after="160"/>
      </w:pPr>
      <w:r>
        <w:rPr>
          <w:b/>
          <w:bCs/>
          <w:color w:val="1B2A4A"/>
          <w:sz w:val="26"/>
          <w:szCs w:val="26"/>
        </w:rPr>
        <w:t>4. How to Identify It</w:t>
      </w:r>
    </w:p>
    <w:p w14:paraId="413EFE3D">
      <w:pPr>
        <w:pStyle w:val="16"/>
        <w:numPr>
          <w:ilvl w:val="0"/>
          <w:numId w:val="1"/>
        </w:numPr>
        <w:spacing w:after="80" w:line="276" w:lineRule="auto"/>
      </w:pPr>
      <w:r>
        <w:rPr>
          <w:sz w:val="22"/>
          <w:szCs w:val="22"/>
        </w:rPr>
        <w:t>Establish HTF Bias first, using the monthly and weekly opens.</w:t>
      </w:r>
    </w:p>
    <w:p w14:paraId="209DE535">
      <w:pPr>
        <w:pStyle w:val="16"/>
        <w:numPr>
          <w:ilvl w:val="0"/>
          <w:numId w:val="1"/>
        </w:numPr>
        <w:spacing w:after="80" w:line="276" w:lineRule="auto"/>
      </w:pPr>
      <w:r>
        <w:rPr>
          <w:sz w:val="22"/>
          <w:szCs w:val="22"/>
        </w:rPr>
        <w:t>Narrow to Daily Bias, using daily structure, the relevant opening price, and the nearest unswept liquidity.</w:t>
      </w:r>
    </w:p>
    <w:p w14:paraId="0BA6B37F">
      <w:pPr>
        <w:pStyle w:val="16"/>
        <w:numPr>
          <w:ilvl w:val="0"/>
          <w:numId w:val="1"/>
        </w:numPr>
        <w:spacing w:after="80" w:line="276" w:lineRule="auto"/>
      </w:pPr>
      <w:r>
        <w:rPr>
          <w:sz w:val="22"/>
          <w:szCs w:val="22"/>
        </w:rPr>
        <w:t>Check the Bullish or Bearish Conditions checklist (whichever applies) to confirm the read is well-supported rather than based on a single factor.</w:t>
      </w:r>
    </w:p>
    <w:p w14:paraId="3ED8E46B">
      <w:pPr>
        <w:pStyle w:val="16"/>
        <w:numPr>
          <w:ilvl w:val="0"/>
          <w:numId w:val="1"/>
        </w:numPr>
        <w:spacing w:after="80" w:line="276" w:lineRule="auto"/>
      </w:pPr>
      <w:r>
        <w:rPr>
          <w:sz w:val="22"/>
          <w:szCs w:val="22"/>
        </w:rPr>
        <w:t>Write out a single, explicit directional statement for the day, ideally naming the expected liquidity target and the session in which the move is expected to develop.</w:t>
      </w:r>
    </w:p>
    <w:p w14:paraId="4974CB98">
      <w:pPr>
        <w:pStyle w:val="16"/>
        <w:numPr>
          <w:ilvl w:val="0"/>
          <w:numId w:val="1"/>
        </w:numPr>
        <w:spacing w:after="80" w:line="276" w:lineRule="auto"/>
      </w:pPr>
      <w:r>
        <w:rPr>
          <w:sz w:val="22"/>
          <w:szCs w:val="22"/>
        </w:rPr>
        <w:t>If the higher timeframe fails to produce a clean, consistent read across these steps, explicitly label the bias as neutral/unclear and plan to stay on the sidelines rather than forcing a directional call.</w:t>
      </w:r>
    </w:p>
    <w:p w14:paraId="3C4E2315">
      <w:pPr>
        <w:pStyle w:val="3"/>
        <w:spacing w:before="360" w:after="160"/>
      </w:pPr>
      <w:r>
        <w:rPr>
          <w:b/>
          <w:bCs/>
          <w:color w:val="1B2A4A"/>
          <w:sz w:val="26"/>
          <w:szCs w:val="26"/>
        </w:rPr>
        <w:t>5. Simple Price Example</w:t>
      </w:r>
    </w:p>
    <w:p w14:paraId="6B8545F0">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HTF Bias: bullish (price above both monthly and weekly opens). Daily Bias: bullish (recent daily bullish MSS, price above prior day's open, unswept SSL below prior day's low).</w:t>
      </w:r>
    </w:p>
    <w:p w14:paraId="6221A046">
      <w:pPr>
        <w:spacing w:after="160" w:line="288" w:lineRule="auto"/>
      </w:pPr>
      <w:r>
        <w:rPr>
          <w:b w:val="0"/>
          <w:bCs w:val="0"/>
          <w:i w:val="0"/>
          <w:iCs w:val="0"/>
          <w:sz w:val="22"/>
          <w:szCs w:val="22"/>
        </w:rPr>
        <w:t>Combining these into a single directional statement: "Bullish today, targeting the buy-side liquidity above the prior week's high; expecting a possible dip to sweep the prior day's low during the London Kill Zone before the New York session delivers the main move higher." This single sentence is the concrete output this entire module has been building toward — a specific, checkable expectation rather than a vague hunch.</w:t>
      </w:r>
    </w:p>
    <w:p w14:paraId="52A63CB1">
      <w:pPr>
        <w:pStyle w:val="3"/>
        <w:spacing w:before="360" w:after="160"/>
      </w:pPr>
      <w:r>
        <w:rPr>
          <w:b/>
          <w:bCs/>
          <w:color w:val="1B2A4A"/>
          <w:sz w:val="26"/>
          <w:szCs w:val="26"/>
        </w:rPr>
        <w:t>6. What It Tells the Trader</w:t>
      </w:r>
    </w:p>
    <w:p w14:paraId="10BE3942">
      <w:pPr>
        <w:spacing w:after="160" w:line="288" w:lineRule="auto"/>
      </w:pPr>
      <w:r>
        <w:rPr>
          <w:b w:val="0"/>
          <w:bCs w:val="0"/>
          <w:i w:val="0"/>
          <w:iCs w:val="0"/>
          <w:sz w:val="22"/>
          <w:szCs w:val="22"/>
        </w:rPr>
        <w:t>This process tells the trader exactly how to convert the individual bias-related concepts covered throughout this module into one specific, actionable statement each trading day, and gives a concrete basis for later reviewing whether that day's expectation played out as anticipated (a practice formalized in Module 13's daily review/journaling concept).</w:t>
      </w:r>
    </w:p>
    <w:p w14:paraId="060D2AF3">
      <w:pPr>
        <w:spacing w:after="160" w:line="288" w:lineRule="auto"/>
      </w:pPr>
      <w:r>
        <w:rPr>
          <w:b w:val="0"/>
          <w:bCs w:val="0"/>
          <w:i w:val="0"/>
          <w:iCs w:val="0"/>
          <w:sz w:val="22"/>
          <w:szCs w:val="22"/>
        </w:rPr>
        <w:t>It does not tell the trader that following this process correctly guarantees a correct call on any individual day — the explicit inclusion of "neutral/unclear" as a valid, professionally appropriate outcome is itself an acknowledgment that this process will not always produce a confident, actionable read.</w:t>
      </w:r>
    </w:p>
    <w:p w14:paraId="71B03342">
      <w:pPr>
        <w:pStyle w:val="3"/>
        <w:spacing w:before="360" w:after="160"/>
      </w:pPr>
      <w:r>
        <w:rPr>
          <w:b/>
          <w:bCs/>
          <w:color w:val="1B2A4A"/>
          <w:sz w:val="26"/>
          <w:szCs w:val="26"/>
        </w:rPr>
        <w:t>7. What It Is Commonly Paired With</w:t>
      </w:r>
    </w:p>
    <w:p w14:paraId="5276A858">
      <w:pPr>
        <w:pStyle w:val="16"/>
        <w:numPr>
          <w:ilvl w:val="0"/>
          <w:numId w:val="2"/>
        </w:numPr>
        <w:spacing w:after="80" w:line="276" w:lineRule="auto"/>
      </w:pPr>
      <w:r>
        <w:rPr>
          <w:sz w:val="22"/>
          <w:szCs w:val="22"/>
        </w:rPr>
        <w:t>All prior concepts in this module</w:t>
      </w:r>
    </w:p>
    <w:p w14:paraId="2AA4C9AE">
      <w:pPr>
        <w:pStyle w:val="16"/>
        <w:numPr>
          <w:ilvl w:val="0"/>
          <w:numId w:val="2"/>
        </w:numPr>
        <w:spacing w:after="80" w:line="276" w:lineRule="auto"/>
      </w:pPr>
      <w:r>
        <w:rPr>
          <w:sz w:val="22"/>
          <w:szCs w:val="22"/>
        </w:rPr>
        <w:t>Kill Zones (Module 8)</w:t>
      </w:r>
    </w:p>
    <w:p w14:paraId="47324643">
      <w:pPr>
        <w:pStyle w:val="16"/>
        <w:numPr>
          <w:ilvl w:val="0"/>
          <w:numId w:val="2"/>
        </w:numPr>
        <w:spacing w:after="80" w:line="276" w:lineRule="auto"/>
      </w:pPr>
      <w:r>
        <w:rPr>
          <w:sz w:val="22"/>
          <w:szCs w:val="22"/>
        </w:rPr>
        <w:t>Daily Trading &amp; Scalping (Module 13)</w:t>
      </w:r>
    </w:p>
    <w:p w14:paraId="68CA9415">
      <w:pPr>
        <w:spacing w:after="160" w:line="288" w:lineRule="auto"/>
      </w:pPr>
      <w:r>
        <w:rPr>
          <w:b w:val="0"/>
          <w:bCs w:val="0"/>
          <w:i w:val="0"/>
          <w:iCs w:val="0"/>
          <w:sz w:val="22"/>
          <w:szCs w:val="22"/>
        </w:rPr>
        <w:t>This concept is the capstone of the entire Bias module, and it is the specific pre-market step that Module 13's full daily trading workflow builds directly on top of.</w:t>
      </w:r>
    </w:p>
    <w:p w14:paraId="1AF90F3E">
      <w:pPr>
        <w:pStyle w:val="3"/>
        <w:spacing w:before="360" w:after="160"/>
      </w:pPr>
      <w:r>
        <w:rPr>
          <w:b/>
          <w:bCs/>
          <w:color w:val="1B2A4A"/>
          <w:sz w:val="26"/>
          <w:szCs w:val="26"/>
        </w:rPr>
        <w:t>8. Where It Fits in the ICT Framework</w:t>
      </w:r>
    </w:p>
    <w:p w14:paraId="6C08C1BE">
      <w:pPr>
        <w:spacing w:after="160" w:line="288" w:lineRule="auto"/>
      </w:pPr>
      <w:r>
        <w:rPr>
          <w:b w:val="0"/>
          <w:bCs w:val="0"/>
          <w:i w:val="0"/>
          <w:iCs w:val="0"/>
          <w:sz w:val="22"/>
          <w:szCs w:val="22"/>
        </w:rPr>
        <w:t>Comes before: Requires all preceding concepts in this module.</w:t>
      </w:r>
    </w:p>
    <w:p w14:paraId="03608859">
      <w:pPr>
        <w:spacing w:after="160" w:line="288" w:lineRule="auto"/>
      </w:pPr>
      <w:r>
        <w:rPr>
          <w:b w:val="0"/>
          <w:bCs w:val="0"/>
          <w:i w:val="0"/>
          <w:iCs w:val="0"/>
          <w:sz w:val="22"/>
          <w:szCs w:val="22"/>
        </w:rPr>
        <w:t>Comes after: Concludes Module 10 and feeds directly into the ICT Buy Model (Module 11) and ICT Sell Model (Module 12), both of which assume a directional bias has already been established using this process, and into the full daily workflow in Module 13.</w:t>
      </w:r>
    </w:p>
    <w:p w14:paraId="76A2DE16">
      <w:pPr>
        <w:pStyle w:val="3"/>
        <w:spacing w:before="360" w:after="160"/>
      </w:pPr>
      <w:r>
        <w:rPr>
          <w:b/>
          <w:bCs/>
          <w:color w:val="1B2A4A"/>
          <w:sz w:val="26"/>
          <w:szCs w:val="26"/>
        </w:rPr>
        <w:t>9. Beginner Mistakes</w:t>
      </w:r>
    </w:p>
    <w:p w14:paraId="2348B9A5">
      <w:pPr>
        <w:pStyle w:val="16"/>
        <w:numPr>
          <w:ilvl w:val="0"/>
          <w:numId w:val="2"/>
        </w:numPr>
        <w:spacing w:after="80" w:line="276" w:lineRule="auto"/>
      </w:pPr>
      <w:r>
        <w:rPr>
          <w:sz w:val="22"/>
          <w:szCs w:val="22"/>
        </w:rPr>
        <w:t>Skipping the written, explicit statement step and relying on a vague mental impression instead.</w:t>
      </w:r>
    </w:p>
    <w:p w14:paraId="2928EA84">
      <w:pPr>
        <w:pStyle w:val="16"/>
        <w:numPr>
          <w:ilvl w:val="0"/>
          <w:numId w:val="2"/>
        </w:numPr>
        <w:spacing w:after="80" w:line="276" w:lineRule="auto"/>
      </w:pPr>
      <w:r>
        <w:rPr>
          <w:sz w:val="22"/>
          <w:szCs w:val="22"/>
        </w:rPr>
        <w:t>Forcing a bullish or bearish call even when the higher timeframe genuinely fails to produce a clean, consistent read, rather than accepting neutral/unclear as a valid outcome.</w:t>
      </w:r>
    </w:p>
    <w:p w14:paraId="689A87E6">
      <w:pPr>
        <w:pStyle w:val="16"/>
        <w:numPr>
          <w:ilvl w:val="0"/>
          <w:numId w:val="2"/>
        </w:numPr>
        <w:spacing w:after="80" w:line="276" w:lineRule="auto"/>
      </w:pPr>
      <w:r>
        <w:rPr>
          <w:sz w:val="22"/>
          <w:szCs w:val="22"/>
        </w:rPr>
        <w:t>Failing to revisit and update the daily statement if a genuine structural shift occurs later in the day, contradicting the original read.</w:t>
      </w:r>
    </w:p>
    <w:p w14:paraId="1933C7CA">
      <w:pPr>
        <w:pStyle w:val="3"/>
        <w:spacing w:before="360" w:after="160"/>
      </w:pPr>
      <w:r>
        <w:rPr>
          <w:b/>
          <w:bCs/>
          <w:color w:val="1B2A4A"/>
          <w:sz w:val="26"/>
          <w:szCs w:val="26"/>
        </w:rPr>
        <w:t>10. Important Qualification</w:t>
      </w:r>
    </w:p>
    <w:p w14:paraId="3437F290">
      <w:pPr>
        <w:pBdr>
          <w:left w:val="single" w:color="7A2E2E" w:sz="24" w:space="8"/>
        </w:pBdr>
        <w:shd w:val="clear" w:fill="EFEFEF"/>
        <w:spacing w:before="160" w:after="200"/>
        <w:ind w:left="200"/>
      </w:pPr>
      <w:r>
        <w:rPr>
          <w:b/>
          <w:bCs/>
          <w:color w:val="7A2E2E"/>
          <w:sz w:val="21"/>
          <w:szCs w:val="21"/>
        </w:rPr>
        <w:t xml:space="preserve">Qualification: </w:t>
      </w:r>
      <w:r>
        <w:rPr>
          <w:sz w:val="21"/>
          <w:szCs w:val="21"/>
        </w:rPr>
        <w:t>This process improves the discipline and consistency of daily directional analysis; it does not convert bias into a certainty. This book, echoing ICT-focused sources throughout this module, treats a well-reasoned but ultimately incorrect daily bias as a normal, expected outcome of a probabilistic process, not evidence that the process itself has failed.</w:t>
      </w:r>
    </w:p>
    <w:p w14:paraId="3FE3DEFA">
      <w:pPr>
        <w:pStyle w:val="3"/>
        <w:spacing w:before="360" w:after="160"/>
      </w:pPr>
      <w:r>
        <w:rPr>
          <w:b/>
          <w:bCs/>
          <w:color w:val="1B2A4A"/>
          <w:sz w:val="26"/>
          <w:szCs w:val="26"/>
        </w:rPr>
        <w:t>11. Source</w:t>
      </w:r>
    </w:p>
    <w:p w14:paraId="16B282BA"/>
    <w:p w14:paraId="28F90806">
      <w:pPr>
        <w:pStyle w:val="16"/>
        <w:numPr>
          <w:ilvl w:val="0"/>
          <w:numId w:val="2"/>
        </w:numPr>
        <w:spacing w:after="80" w:line="276" w:lineRule="auto"/>
      </w:pPr>
      <w:r>
        <w:rPr>
          <w:sz w:val="22"/>
          <w:szCs w:val="22"/>
        </w:rPr>
        <w:t>theinnercircletraders.com — "ICT 2022 Model: The Core Teaching Framework" (explicit written daily bias statement example, pre-session routine, decision-tree sequence).</w:t>
      </w:r>
    </w:p>
    <w:p w14:paraId="093D4895">
      <w:pPr>
        <w:pStyle w:val="16"/>
        <w:numPr>
          <w:ilvl w:val="0"/>
          <w:numId w:val="2"/>
        </w:numPr>
        <w:spacing w:after="80" w:line="276" w:lineRule="auto"/>
      </w:pPr>
      <w:r>
        <w:rPr>
          <w:sz w:val="22"/>
          <w:szCs w:val="22"/>
        </w:rPr>
        <w:t>writofinance.com — "A Complete guide to ICT Daily Bias Trading" (Michael Huddleston attribution regarding the purpose and discipline of the daily bias process).</w:t>
      </w:r>
    </w:p>
    <w:p w14:paraId="79DA41B9">
      <w:pPr>
        <w:pStyle w:val="16"/>
        <w:numPr>
          <w:ilvl w:val="0"/>
          <w:numId w:val="2"/>
        </w:numPr>
        <w:spacing w:after="80" w:line="276" w:lineRule="auto"/>
      </w:pPr>
      <w:r>
        <w:rPr>
          <w:sz w:val="22"/>
          <w:szCs w:val="22"/>
        </w:rPr>
        <w:t>citytradersimperium.com — "Daily Bias In ICT Trading: How To Find It &amp; Trade It."</w:t>
      </w:r>
    </w:p>
    <w:p w14:paraId="5B129E43">
      <w:r>
        <w:br w:type="page"/>
      </w:r>
    </w:p>
    <w:p w14:paraId="6374693D">
      <w:pPr>
        <w:pStyle w:val="2"/>
        <w:pBdr>
          <w:bottom w:val="single" w:color="1B2A4A" w:sz="12" w:space="4"/>
        </w:pBdr>
        <w:spacing w:before="480" w:after="240"/>
      </w:pPr>
      <w:r>
        <w:rPr>
          <w:b/>
          <w:bCs/>
          <w:color w:val="1B2A4A"/>
          <w:sz w:val="34"/>
          <w:szCs w:val="34"/>
        </w:rPr>
        <w:t>How These Concepts Connect</w:t>
      </w:r>
    </w:p>
    <w:p w14:paraId="4AE61424">
      <w:pPr>
        <w:spacing w:after="160" w:line="288" w:lineRule="auto"/>
      </w:pPr>
      <w:r>
        <w:rPr>
          <w:b w:val="0"/>
          <w:bCs w:val="0"/>
          <w:i w:val="0"/>
          <w:iCs w:val="0"/>
          <w:sz w:val="22"/>
          <w:szCs w:val="22"/>
        </w:rPr>
        <w:t>This module narrows from the general to the specific, then builds back out into a single procedure. Bias introduces the general concept and its disciplined, checklist-based nature. HTF Bias applies this at the macro level, using the monthly and weekly opening prices as objective reference points. Daily Bias narrows further to the single trading day, combining daily structure, the daily opening price, and nearby unswept liquidity — and directly reusing the Power of 3 framework from Module 9 to anticipate how the day might unfold once a bias is set.</w:t>
      </w:r>
    </w:p>
    <w:p w14:paraId="74EEE3F9">
      <w:pPr>
        <w:spacing w:after="160" w:line="288" w:lineRule="auto"/>
      </w:pPr>
      <w:r>
        <w:rPr>
          <w:b w:val="0"/>
          <w:bCs w:val="0"/>
          <w:i w:val="0"/>
          <w:iCs w:val="0"/>
          <w:sz w:val="22"/>
          <w:szCs w:val="22"/>
        </w:rPr>
        <w:t>Bullish Conditions and Bearish Conditions make explicit the specific, checkable criteria that support each type of bias, at both the broad bias-forming level and the more specific execution level (a PD array retracement plus a lower-timeframe structure shift) — directly previewing the full ICT Buy and Sell Models covered in Modules 11 and 12. Establishing Daily Directional Expectation closes the module by consolidating all of this into one concrete, ordered, repeatable pre-market procedure, ending in a single written statement that turns everything learned in this book so far into one clear, checkable daily plan.</w:t>
      </w:r>
    </w:p>
    <w:p w14:paraId="07156D53">
      <w:pPr>
        <w:pStyle w:val="2"/>
        <w:pBdr>
          <w:bottom w:val="single" w:color="1B2A4A" w:sz="12" w:space="4"/>
        </w:pBdr>
        <w:spacing w:before="480" w:after="240"/>
      </w:pPr>
      <w:r>
        <w:rPr>
          <w:b/>
          <w:bCs/>
          <w:color w:val="1B2A4A"/>
          <w:sz w:val="34"/>
          <w:szCs w:val="34"/>
        </w:rPr>
        <w:t>What You Should Now Be Able to Do</w:t>
      </w:r>
    </w:p>
    <w:p w14:paraId="3AB6826B">
      <w:pPr>
        <w:pStyle w:val="16"/>
        <w:numPr>
          <w:ilvl w:val="0"/>
          <w:numId w:val="2"/>
        </w:numPr>
        <w:spacing w:after="80" w:line="276" w:lineRule="auto"/>
      </w:pPr>
      <w:r>
        <w:rPr>
          <w:sz w:val="22"/>
          <w:szCs w:val="22"/>
        </w:rPr>
        <w:t>explain why ICT-focused teaching treats bias as a disciplined, repeatable process rather than a hunch or prediction</w:t>
      </w:r>
    </w:p>
    <w:p w14:paraId="4B07EC96">
      <w:pPr>
        <w:pStyle w:val="16"/>
        <w:numPr>
          <w:ilvl w:val="0"/>
          <w:numId w:val="2"/>
        </w:numPr>
        <w:spacing w:after="80" w:line="276" w:lineRule="auto"/>
      </w:pPr>
      <w:r>
        <w:rPr>
          <w:sz w:val="22"/>
          <w:szCs w:val="22"/>
        </w:rPr>
        <w:t>determine HTF bias using the monthly and weekly opening prices</w:t>
      </w:r>
    </w:p>
    <w:p w14:paraId="5C311826">
      <w:pPr>
        <w:pStyle w:val="16"/>
        <w:numPr>
          <w:ilvl w:val="0"/>
          <w:numId w:val="2"/>
        </w:numPr>
        <w:spacing w:after="80" w:line="276" w:lineRule="auto"/>
      </w:pPr>
      <w:r>
        <w:rPr>
          <w:sz w:val="22"/>
          <w:szCs w:val="22"/>
        </w:rPr>
        <w:t>determine daily bias using daily structure, the relevant opening price, and nearby unswept liquidity</w:t>
      </w:r>
    </w:p>
    <w:p w14:paraId="1C6A26C2">
      <w:pPr>
        <w:pStyle w:val="16"/>
        <w:numPr>
          <w:ilvl w:val="0"/>
          <w:numId w:val="2"/>
        </w:numPr>
        <w:spacing w:after="80" w:line="276" w:lineRule="auto"/>
      </w:pPr>
      <w:r>
        <w:rPr>
          <w:sz w:val="22"/>
          <w:szCs w:val="22"/>
        </w:rPr>
        <w:t>list the specific checklist of conditions supporting a bullish bias, and the mirrored checklist supporting a bearish bias</w:t>
      </w:r>
    </w:p>
    <w:p w14:paraId="5E3C9574">
      <w:pPr>
        <w:pStyle w:val="16"/>
        <w:numPr>
          <w:ilvl w:val="0"/>
          <w:numId w:val="2"/>
        </w:numPr>
        <w:spacing w:after="80" w:line="276" w:lineRule="auto"/>
      </w:pPr>
      <w:r>
        <w:rPr>
          <w:sz w:val="22"/>
          <w:szCs w:val="22"/>
        </w:rPr>
        <w:t>explain why a neutral or unclear bias is an explicitly valid and professionally appropriate outcome of this process</w:t>
      </w:r>
    </w:p>
    <w:p w14:paraId="3569868D">
      <w:pPr>
        <w:pStyle w:val="16"/>
        <w:numPr>
          <w:ilvl w:val="0"/>
          <w:numId w:val="2"/>
        </w:numPr>
        <w:spacing w:after="80" w:line="276" w:lineRule="auto"/>
      </w:pPr>
      <w:r>
        <w:rPr>
          <w:sz w:val="22"/>
          <w:szCs w:val="22"/>
        </w:rPr>
        <w:t>write a single, explicit daily directional statement combining HTF bias, daily bias, and an expected liquidity target</w:t>
      </w:r>
    </w:p>
    <w:p w14:paraId="6A723BA9">
      <w:r>
        <w:br w:type="page"/>
      </w:r>
    </w:p>
    <w:p w14:paraId="3BA00F3C">
      <w:pPr>
        <w:pStyle w:val="2"/>
        <w:pBdr>
          <w:bottom w:val="single" w:color="1B2A4A" w:sz="12" w:space="4"/>
        </w:pBdr>
        <w:spacing w:before="480" w:after="240"/>
      </w:pPr>
      <w:r>
        <w:rPr>
          <w:b/>
          <w:bCs/>
          <w:color w:val="1B2A4A"/>
          <w:sz w:val="34"/>
          <w:szCs w:val="34"/>
        </w:rPr>
        <w:t>Module Review</w:t>
      </w:r>
    </w:p>
    <w:p w14:paraId="5E70C245">
      <w:pPr>
        <w:pStyle w:val="3"/>
        <w:spacing w:before="360" w:after="160"/>
      </w:pPr>
      <w:r>
        <w:rPr>
          <w:b/>
          <w:bCs/>
          <w:color w:val="1B2A4A"/>
          <w:sz w:val="26"/>
          <w:szCs w:val="26"/>
        </w:rPr>
        <w:t>Key Terms</w:t>
      </w:r>
    </w:p>
    <w:p w14:paraId="7466CF56">
      <w:pPr>
        <w:pStyle w:val="16"/>
        <w:numPr>
          <w:ilvl w:val="0"/>
          <w:numId w:val="2"/>
        </w:numPr>
        <w:spacing w:after="80" w:line="276" w:lineRule="auto"/>
      </w:pPr>
      <w:r>
        <w:rPr>
          <w:sz w:val="22"/>
          <w:szCs w:val="22"/>
        </w:rPr>
        <w:t>Bias</w:t>
      </w:r>
    </w:p>
    <w:p w14:paraId="3CC463BA">
      <w:pPr>
        <w:pStyle w:val="16"/>
        <w:numPr>
          <w:ilvl w:val="0"/>
          <w:numId w:val="2"/>
        </w:numPr>
        <w:spacing w:after="80" w:line="276" w:lineRule="auto"/>
      </w:pPr>
      <w:r>
        <w:rPr>
          <w:sz w:val="22"/>
          <w:szCs w:val="22"/>
        </w:rPr>
        <w:t>HTF Bias</w:t>
      </w:r>
    </w:p>
    <w:p w14:paraId="0AF97154">
      <w:pPr>
        <w:pStyle w:val="16"/>
        <w:numPr>
          <w:ilvl w:val="0"/>
          <w:numId w:val="2"/>
        </w:numPr>
        <w:spacing w:after="80" w:line="276" w:lineRule="auto"/>
      </w:pPr>
      <w:r>
        <w:rPr>
          <w:sz w:val="22"/>
          <w:szCs w:val="22"/>
        </w:rPr>
        <w:t>Daily Bias</w:t>
      </w:r>
    </w:p>
    <w:p w14:paraId="5C6928E4">
      <w:pPr>
        <w:pStyle w:val="16"/>
        <w:numPr>
          <w:ilvl w:val="0"/>
          <w:numId w:val="2"/>
        </w:numPr>
        <w:spacing w:after="80" w:line="276" w:lineRule="auto"/>
      </w:pPr>
      <w:r>
        <w:rPr>
          <w:sz w:val="22"/>
          <w:szCs w:val="22"/>
        </w:rPr>
        <w:t>Bullish Conditions</w:t>
      </w:r>
    </w:p>
    <w:p w14:paraId="08D7BE95">
      <w:pPr>
        <w:pStyle w:val="16"/>
        <w:numPr>
          <w:ilvl w:val="0"/>
          <w:numId w:val="2"/>
        </w:numPr>
        <w:spacing w:after="80" w:line="276" w:lineRule="auto"/>
      </w:pPr>
      <w:r>
        <w:rPr>
          <w:sz w:val="22"/>
          <w:szCs w:val="22"/>
        </w:rPr>
        <w:t>Bearish Conditions</w:t>
      </w:r>
    </w:p>
    <w:p w14:paraId="5A7B5534">
      <w:pPr>
        <w:pStyle w:val="16"/>
        <w:numPr>
          <w:ilvl w:val="0"/>
          <w:numId w:val="2"/>
        </w:numPr>
        <w:spacing w:after="80" w:line="276" w:lineRule="auto"/>
      </w:pPr>
      <w:r>
        <w:rPr>
          <w:sz w:val="22"/>
          <w:szCs w:val="22"/>
        </w:rPr>
        <w:t>Establishing Daily Directional Expectation</w:t>
      </w:r>
    </w:p>
    <w:p w14:paraId="208AD275">
      <w:pPr>
        <w:pStyle w:val="16"/>
        <w:numPr>
          <w:ilvl w:val="0"/>
          <w:numId w:val="2"/>
        </w:numPr>
        <w:spacing w:after="80" w:line="276" w:lineRule="auto"/>
      </w:pPr>
      <w:r>
        <w:rPr>
          <w:sz w:val="22"/>
          <w:szCs w:val="22"/>
        </w:rPr>
        <w:t>Monthly/Weekly Open</w:t>
      </w:r>
    </w:p>
    <w:p w14:paraId="4B9F0ABA">
      <w:pPr>
        <w:pStyle w:val="16"/>
        <w:numPr>
          <w:ilvl w:val="0"/>
          <w:numId w:val="2"/>
        </w:numPr>
        <w:spacing w:after="80" w:line="276" w:lineRule="auto"/>
      </w:pPr>
      <w:r>
        <w:rPr>
          <w:sz w:val="22"/>
          <w:szCs w:val="22"/>
        </w:rPr>
        <w:t>Neutral/Unclear Bias</w:t>
      </w:r>
    </w:p>
    <w:p w14:paraId="44BEFE8D">
      <w:pPr>
        <w:pStyle w:val="3"/>
        <w:spacing w:before="360" w:after="160"/>
      </w:pPr>
      <w:r>
        <w:rPr>
          <w:b/>
          <w:bCs/>
          <w:color w:val="1B2A4A"/>
          <w:sz w:val="26"/>
          <w:szCs w:val="26"/>
        </w:rPr>
        <w:t>Beginner Summary</w:t>
      </w:r>
    </w:p>
    <w:p w14:paraId="7AF30193">
      <w:pPr>
        <w:spacing w:after="160" w:line="288" w:lineRule="auto"/>
      </w:pPr>
      <w:r>
        <w:rPr>
          <w:b w:val="0"/>
          <w:bCs w:val="0"/>
          <w:i w:val="0"/>
          <w:iCs w:val="0"/>
          <w:sz w:val="22"/>
          <w:szCs w:val="22"/>
        </w:rPr>
        <w:t>Bias is a trader's disciplined, evidence-based directional expectation for a given period, built from structure, liquidity, and premium/discount analysis rather than from feeling or prediction. HTF Bias applies this at the macro level, comparing current price to the monthly and weekly opening prices. Daily Bias narrows this to a single trading day, combining daily-timeframe structure, the day's opening price, and the nearest unswept liquidity pool — with the expectation, drawn directly from Module 9's Power of 3, that price may first sweep liquidity on one side before delivering its real move in the biased direction. Bullish and Bearish Conditions are the specific, checkable criteria supporting each type of bias, both at the broad level (structure, opening price, liquidity) and the execution level (a PD array retracement confirmed by a lower-timeframe structure shift). The module closes with a single, repeatable procedure for combining all of this into one explicit, written daily directional statement — with a neutral or unclear bias treated as an entirely valid and professionally correct outcome when the evidence does not support a clean directional call.</w:t>
      </w:r>
    </w:p>
    <w:p w14:paraId="6EF3575C">
      <w:pPr>
        <w:pStyle w:val="3"/>
        <w:spacing w:before="360" w:after="160"/>
      </w:pPr>
      <w:r>
        <w:rPr>
          <w:b/>
          <w:bCs/>
          <w:color w:val="1B2A4A"/>
          <w:sz w:val="26"/>
          <w:szCs w:val="26"/>
        </w:rPr>
        <w:t>Concept Relationships</w:t>
      </w:r>
    </w:p>
    <w:p w14:paraId="49D97B16">
      <w:pPr>
        <w:spacing w:after="160" w:line="288" w:lineRule="auto"/>
      </w:pPr>
      <w:r>
        <w:rPr>
          <w:b w:val="0"/>
          <w:bCs w:val="0"/>
          <w:i w:val="0"/>
          <w:iCs w:val="0"/>
          <w:sz w:val="22"/>
          <w:szCs w:val="22"/>
        </w:rPr>
        <w:t>Bias is the general concept. HTF Bias and Daily Bias are its two most commonly applied, nested layers. Bullish Conditions and Bearish Conditions are the specific evidence checklists supporting each direction. Establishing Daily Directional Expectation is the consolidated, ordered procedure combining all of the above into a single, concrete output.</w:t>
      </w:r>
    </w:p>
    <w:p w14:paraId="037FB696">
      <w:pPr>
        <w:pStyle w:val="3"/>
        <w:spacing w:before="360" w:after="160"/>
      </w:pPr>
      <w:r>
        <w:rPr>
          <w:b/>
          <w:bCs/>
          <w:color w:val="1B2A4A"/>
          <w:sz w:val="26"/>
          <w:szCs w:val="26"/>
        </w:rPr>
        <w:t>Practical Chart Exercise</w:t>
      </w:r>
    </w:p>
    <w:p w14:paraId="16963F3F">
      <w:pPr>
        <w:spacing w:after="160" w:line="288" w:lineRule="auto"/>
      </w:pPr>
      <w:r>
        <w:rPr>
          <w:b w:val="0"/>
          <w:bCs w:val="0"/>
          <w:i w:val="0"/>
          <w:iCs w:val="0"/>
          <w:sz w:val="22"/>
          <w:szCs w:val="22"/>
        </w:rPr>
        <w:t>Given the following information — Monthly open: 4500, current price: 4620. Weekly open: 4580, current price: 4620. Daily chart: recent bullish Market Structure Shift. Current price above yesterday's open. Unswept sell-side liquidity resting below yesterday's low — determine the HTF bias, determine the daily bias, identify which specific bullish conditions from this module's checklist are satisfied, and write a single explicit daily directional statement combining all of this information, including a named liquidity target and an expected session for the main move.</w:t>
      </w:r>
    </w:p>
    <w:p w14:paraId="5A2A1508">
      <w:pPr>
        <w:pStyle w:val="3"/>
        <w:spacing w:before="360" w:after="160"/>
      </w:pPr>
      <w:r>
        <w:rPr>
          <w:b/>
          <w:bCs/>
          <w:color w:val="1B2A4A"/>
          <w:sz w:val="26"/>
          <w:szCs w:val="26"/>
        </w:rPr>
        <w:t>Self-Test Questions</w:t>
      </w:r>
    </w:p>
    <w:p w14:paraId="6961D13A">
      <w:pPr>
        <w:pStyle w:val="16"/>
        <w:numPr>
          <w:ilvl w:val="0"/>
          <w:numId w:val="1"/>
        </w:numPr>
        <w:spacing w:after="80" w:line="276" w:lineRule="auto"/>
      </w:pPr>
      <w:r>
        <w:rPr>
          <w:sz w:val="22"/>
          <w:szCs w:val="22"/>
        </w:rPr>
        <w:t>Why does ICT-focused teaching emphasize that daily bias is not about predicting every single day correctly, but about having a repeatable method for forming the expectation?</w:t>
      </w:r>
    </w:p>
    <w:p w14:paraId="70BCAC89">
      <w:pPr>
        <w:pStyle w:val="16"/>
        <w:numPr>
          <w:ilvl w:val="0"/>
          <w:numId w:val="1"/>
        </w:numPr>
        <w:spacing w:after="80" w:line="276" w:lineRule="auto"/>
      </w:pPr>
      <w:r>
        <w:rPr>
          <w:sz w:val="22"/>
          <w:szCs w:val="22"/>
        </w:rPr>
        <w:t>What two specific reference prices are used to establish HTF Bias?</w:t>
      </w:r>
    </w:p>
    <w:p w14:paraId="3786F464">
      <w:pPr>
        <w:pStyle w:val="16"/>
        <w:numPr>
          <w:ilvl w:val="0"/>
          <w:numId w:val="1"/>
        </w:numPr>
        <w:spacing w:after="80" w:line="276" w:lineRule="auto"/>
      </w:pPr>
      <w:r>
        <w:rPr>
          <w:sz w:val="22"/>
          <w:szCs w:val="22"/>
        </w:rPr>
        <w:t>What three factors are combined to establish Daily Bias?</w:t>
      </w:r>
    </w:p>
    <w:p w14:paraId="5A901B69">
      <w:pPr>
        <w:pStyle w:val="16"/>
        <w:numPr>
          <w:ilvl w:val="0"/>
          <w:numId w:val="1"/>
        </w:numPr>
        <w:spacing w:after="80" w:line="276" w:lineRule="auto"/>
      </w:pPr>
      <w:r>
        <w:rPr>
          <w:sz w:val="22"/>
          <w:szCs w:val="22"/>
        </w:rPr>
        <w:t>What is the difference between the bias-level bullish conditions and the execution-level bullish conditions?</w:t>
      </w:r>
    </w:p>
    <w:p w14:paraId="2DDAB9AB">
      <w:pPr>
        <w:pStyle w:val="16"/>
        <w:numPr>
          <w:ilvl w:val="0"/>
          <w:numId w:val="1"/>
        </w:numPr>
        <w:spacing w:after="80" w:line="276" w:lineRule="auto"/>
      </w:pPr>
      <w:r>
        <w:rPr>
          <w:sz w:val="22"/>
          <w:szCs w:val="22"/>
        </w:rPr>
        <w:t>Why is a neutral or unclear bias treated as a valid, professionally appropriate outcome rather than a failure of the bias-forming process?</w:t>
      </w:r>
    </w:p>
    <w:p w14:paraId="21B94391">
      <w:pPr>
        <w:pStyle w:val="3"/>
        <w:spacing w:before="360" w:after="160"/>
      </w:pPr>
      <w:r>
        <w:rPr>
          <w:b/>
          <w:bCs/>
          <w:color w:val="1B2A4A"/>
          <w:sz w:val="26"/>
          <w:szCs w:val="26"/>
        </w:rPr>
        <w:t>Common Misconceptions</w:t>
      </w:r>
    </w:p>
    <w:p w14:paraId="23E13225">
      <w:pPr>
        <w:pStyle w:val="16"/>
        <w:numPr>
          <w:ilvl w:val="0"/>
          <w:numId w:val="2"/>
        </w:numPr>
        <w:spacing w:after="80" w:line="276" w:lineRule="auto"/>
      </w:pPr>
      <w:r>
        <w:rPr>
          <w:sz w:val="22"/>
          <w:szCs w:val="22"/>
        </w:rPr>
        <w:t>Believing bias is a prediction that must be correct every single day for the framework to be considered valid.</w:t>
      </w:r>
    </w:p>
    <w:p w14:paraId="44112CC4">
      <w:pPr>
        <w:pStyle w:val="16"/>
        <w:numPr>
          <w:ilvl w:val="0"/>
          <w:numId w:val="2"/>
        </w:numPr>
        <w:spacing w:after="80" w:line="276" w:lineRule="auto"/>
      </w:pPr>
      <w:r>
        <w:rPr>
          <w:sz w:val="22"/>
          <w:szCs w:val="22"/>
        </w:rPr>
        <w:t>Forming a directional call based on only one piece of evidence (such as price being above the daily open) while ignoring structure and liquidity.</w:t>
      </w:r>
    </w:p>
    <w:p w14:paraId="0AEAE284">
      <w:pPr>
        <w:pStyle w:val="16"/>
        <w:numPr>
          <w:ilvl w:val="0"/>
          <w:numId w:val="2"/>
        </w:numPr>
        <w:spacing w:after="80" w:line="276" w:lineRule="auto"/>
      </w:pPr>
      <w:r>
        <w:rPr>
          <w:sz w:val="22"/>
          <w:szCs w:val="22"/>
        </w:rPr>
        <w:t>Treating an established bias as permanent, rather than being willing to update it after a genuine, confirmed structural shift.</w:t>
      </w:r>
    </w:p>
    <w:p w14:paraId="0AA0E31E">
      <w:pPr>
        <w:pStyle w:val="16"/>
        <w:numPr>
          <w:ilvl w:val="0"/>
          <w:numId w:val="2"/>
        </w:numPr>
        <w:spacing w:after="80" w:line="276" w:lineRule="auto"/>
      </w:pPr>
      <w:r>
        <w:rPr>
          <w:sz w:val="22"/>
          <w:szCs w:val="22"/>
        </w:rPr>
        <w:t>Believing a trader must always produce a bullish or bearish call, rather than accepting neutral/unclear as a legitimate, disciplined outcome.</w:t>
      </w:r>
    </w:p>
    <w:p w14:paraId="4E8ECAF8">
      <w:pPr>
        <w:pStyle w:val="3"/>
        <w:spacing w:before="360" w:after="160"/>
      </w:pPr>
      <w:r>
        <w:rPr>
          <w:b/>
          <w:bCs/>
          <w:color w:val="1B2A4A"/>
          <w:sz w:val="26"/>
          <w:szCs w:val="26"/>
        </w:rPr>
        <w:t>Research Sources</w:t>
      </w:r>
    </w:p>
    <w:p w14:paraId="59CDE5FF">
      <w:pPr>
        <w:pStyle w:val="16"/>
        <w:numPr>
          <w:ilvl w:val="0"/>
          <w:numId w:val="2"/>
        </w:numPr>
        <w:spacing w:after="80" w:line="276" w:lineRule="auto"/>
      </w:pPr>
      <w:r>
        <w:rPr>
          <w:sz w:val="22"/>
          <w:szCs w:val="22"/>
        </w:rPr>
        <w:t>arongroups.co — "ICT Daily Bias: Complete Guide to Market Direction and Liquidity Analysis" and "How to Identify the Daily Bias and Trade in the Market's Direction."</w:t>
      </w:r>
    </w:p>
    <w:p w14:paraId="36C3BF94">
      <w:pPr>
        <w:pStyle w:val="16"/>
        <w:numPr>
          <w:ilvl w:val="0"/>
          <w:numId w:val="2"/>
        </w:numPr>
        <w:spacing w:after="80" w:line="276" w:lineRule="auto"/>
      </w:pPr>
      <w:r>
        <w:rPr>
          <w:sz w:val="22"/>
          <w:szCs w:val="22"/>
        </w:rPr>
        <w:t>tradingfinder.com — "What is the Daily Bias? Identifying Market Direction in the ICT Method."</w:t>
      </w:r>
    </w:p>
    <w:p w14:paraId="5BD7C370">
      <w:pPr>
        <w:pStyle w:val="16"/>
        <w:numPr>
          <w:ilvl w:val="0"/>
          <w:numId w:val="2"/>
        </w:numPr>
        <w:spacing w:after="80" w:line="276" w:lineRule="auto"/>
      </w:pPr>
      <w:r>
        <w:rPr>
          <w:sz w:val="22"/>
          <w:szCs w:val="22"/>
        </w:rPr>
        <w:t>forexfactory.com (TFlab thread) — "ICT Daily Bias Training."</w:t>
      </w:r>
    </w:p>
    <w:p w14:paraId="50F061A9">
      <w:pPr>
        <w:pStyle w:val="16"/>
        <w:numPr>
          <w:ilvl w:val="0"/>
          <w:numId w:val="2"/>
        </w:numPr>
        <w:spacing w:after="80" w:line="276" w:lineRule="auto"/>
      </w:pPr>
      <w:r>
        <w:rPr>
          <w:sz w:val="22"/>
          <w:szCs w:val="22"/>
        </w:rPr>
        <w:t>writofinance.com — "A Complete guide to ICT Daily Bias Trading" and "ICT Time and Price Theory – SMC Foundational Concept."</w:t>
      </w:r>
    </w:p>
    <w:p w14:paraId="3B8029AB">
      <w:pPr>
        <w:pStyle w:val="16"/>
        <w:numPr>
          <w:ilvl w:val="0"/>
          <w:numId w:val="2"/>
        </w:numPr>
        <w:spacing w:after="80" w:line="276" w:lineRule="auto"/>
      </w:pPr>
      <w:r>
        <w:rPr>
          <w:sz w:val="22"/>
          <w:szCs w:val="22"/>
        </w:rPr>
        <w:t>innercircletrader.net — "ICT Daily Bias Explained," "ICT Daily Bias Trick — Single-Timeframe MSS Bias Method," and "ICT Weekly Profiles — 12 Patterns to Identify the Weekly High &amp; Low."</w:t>
      </w:r>
    </w:p>
    <w:p w14:paraId="11C59F2D">
      <w:pPr>
        <w:pStyle w:val="16"/>
        <w:numPr>
          <w:ilvl w:val="0"/>
          <w:numId w:val="2"/>
        </w:numPr>
        <w:spacing w:after="80" w:line="276" w:lineRule="auto"/>
      </w:pPr>
      <w:r>
        <w:rPr>
          <w:sz w:val="22"/>
          <w:szCs w:val="22"/>
        </w:rPr>
        <w:t>backtrex.com — "ICT Method: Michael Huddleston's Inner Circle Trader Guide."</w:t>
      </w:r>
    </w:p>
    <w:p w14:paraId="3397F34B">
      <w:pPr>
        <w:pStyle w:val="16"/>
        <w:numPr>
          <w:ilvl w:val="0"/>
          <w:numId w:val="2"/>
        </w:numPr>
        <w:spacing w:after="80" w:line="276" w:lineRule="auto"/>
      </w:pPr>
      <w:r>
        <w:rPr>
          <w:sz w:val="22"/>
          <w:szCs w:val="22"/>
        </w:rPr>
        <w:t>theinnercircletraders.com — "ICT 2022 Model: The Core Teaching Framework."</w:t>
      </w:r>
    </w:p>
    <w:p w14:paraId="280DC515">
      <w:pPr>
        <w:pStyle w:val="16"/>
        <w:numPr>
          <w:ilvl w:val="0"/>
          <w:numId w:val="2"/>
        </w:numPr>
        <w:spacing w:after="80" w:line="276" w:lineRule="auto"/>
      </w:pPr>
      <w:r>
        <w:rPr>
          <w:sz w:val="22"/>
          <w:szCs w:val="22"/>
        </w:rPr>
        <w:t>grandalgo.com — "ICT Trading Strategy: The Complete Playbook From Bias to Entry."</w:t>
      </w:r>
    </w:p>
    <w:p w14:paraId="43E2CFE7">
      <w:pPr>
        <w:pStyle w:val="16"/>
        <w:numPr>
          <w:ilvl w:val="0"/>
          <w:numId w:val="2"/>
        </w:numPr>
        <w:spacing w:after="80" w:line="276" w:lineRule="auto"/>
      </w:pPr>
      <w:r>
        <w:rPr>
          <w:sz w:val="22"/>
          <w:szCs w:val="22"/>
        </w:rPr>
        <w:t>citytradersimperium.com — "Daily Bias In ICT Trading: How To Find It &amp; Trade It."</w:t>
      </w:r>
    </w:p>
    <w:p w14:paraId="55BE45A5">
      <w:pPr>
        <w:pStyle w:val="16"/>
        <w:numPr>
          <w:ilvl w:val="0"/>
          <w:numId w:val="2"/>
        </w:numPr>
        <w:spacing w:after="80" w:line="276" w:lineRule="auto"/>
      </w:pPr>
      <w:r>
        <w:rPr>
          <w:sz w:val="22"/>
          <w:szCs w:val="22"/>
        </w:rPr>
        <w:t>Note: as in prior modules, this research pass relied on cross-checked secondary/tutorial documentation rather than direct ICT primary-source video transcripts, which were not accessible in this environment. Direct attribution to Michael J. Huddleston for the core daily bias philosophy is repeated consistently across a large number of independent sources.</w:t>
      </w:r>
    </w:p>
    <w:p w14:paraId="7E947B4D">
      <w:pPr>
        <w:pStyle w:val="16"/>
        <w:numPr>
          <w:ilvl w:val="0"/>
          <w:numId w:val="0"/>
        </w:numPr>
        <w:spacing w:after="80" w:line="276" w:lineRule="auto"/>
        <w:rPr>
          <w:sz w:val="22"/>
          <w:szCs w:val="22"/>
        </w:rPr>
      </w:pPr>
    </w:p>
    <w:p w14:paraId="3BE00CD3">
      <w:pPr>
        <w:pStyle w:val="16"/>
        <w:numPr>
          <w:ilvl w:val="0"/>
          <w:numId w:val="0"/>
        </w:numPr>
        <w:spacing w:after="80" w:line="276" w:lineRule="auto"/>
        <w:rPr>
          <w:sz w:val="22"/>
          <w:szCs w:val="22"/>
        </w:rPr>
      </w:pPr>
    </w:p>
    <w:p w14:paraId="25E8F005">
      <w:pPr>
        <w:pStyle w:val="16"/>
        <w:numPr>
          <w:ilvl w:val="0"/>
          <w:numId w:val="0"/>
        </w:numPr>
        <w:spacing w:after="80" w:line="276" w:lineRule="auto"/>
        <w:rPr>
          <w:sz w:val="22"/>
          <w:szCs w:val="22"/>
        </w:rPr>
      </w:pPr>
    </w:p>
    <w:p w14:paraId="3AD8D37A">
      <w:pPr>
        <w:pStyle w:val="16"/>
        <w:numPr>
          <w:ilvl w:val="0"/>
          <w:numId w:val="0"/>
        </w:numPr>
        <w:spacing w:after="80" w:line="276" w:lineRule="auto"/>
        <w:rPr>
          <w:sz w:val="22"/>
          <w:szCs w:val="22"/>
        </w:rPr>
      </w:pPr>
    </w:p>
    <w:p w14:paraId="131BCF95">
      <w:pPr>
        <w:pStyle w:val="16"/>
        <w:numPr>
          <w:ilvl w:val="0"/>
          <w:numId w:val="0"/>
        </w:numPr>
        <w:spacing w:after="80" w:line="276" w:lineRule="auto"/>
        <w:rPr>
          <w:sz w:val="22"/>
          <w:szCs w:val="22"/>
        </w:rPr>
      </w:pPr>
    </w:p>
    <w:p w14:paraId="4CCBC742">
      <w:pPr>
        <w:pStyle w:val="16"/>
        <w:numPr>
          <w:ilvl w:val="0"/>
          <w:numId w:val="0"/>
        </w:numPr>
        <w:spacing w:after="80" w:line="276" w:lineRule="auto"/>
        <w:rPr>
          <w:sz w:val="22"/>
          <w:szCs w:val="22"/>
        </w:rPr>
      </w:pPr>
    </w:p>
    <w:p w14:paraId="5BBD5FE5">
      <w:pPr>
        <w:pStyle w:val="16"/>
        <w:numPr>
          <w:ilvl w:val="0"/>
          <w:numId w:val="0"/>
        </w:numPr>
        <w:spacing w:after="80" w:line="276" w:lineRule="auto"/>
        <w:rPr>
          <w:sz w:val="22"/>
          <w:szCs w:val="22"/>
        </w:rPr>
      </w:pPr>
    </w:p>
    <w:p w14:paraId="462AF23B">
      <w:pPr>
        <w:pStyle w:val="16"/>
        <w:numPr>
          <w:ilvl w:val="0"/>
          <w:numId w:val="0"/>
        </w:numPr>
        <w:spacing w:after="80" w:line="276" w:lineRule="auto"/>
        <w:rPr>
          <w:sz w:val="22"/>
          <w:szCs w:val="22"/>
        </w:rPr>
      </w:pPr>
    </w:p>
    <w:p w14:paraId="7932C2BC">
      <w:pPr>
        <w:pStyle w:val="16"/>
        <w:numPr>
          <w:ilvl w:val="0"/>
          <w:numId w:val="0"/>
        </w:numPr>
        <w:spacing w:after="80" w:line="276" w:lineRule="auto"/>
        <w:rPr>
          <w:sz w:val="22"/>
          <w:szCs w:val="22"/>
        </w:rPr>
      </w:pPr>
    </w:p>
    <w:p w14:paraId="2B762F8B">
      <w:pPr>
        <w:pStyle w:val="16"/>
        <w:numPr>
          <w:ilvl w:val="0"/>
          <w:numId w:val="0"/>
        </w:numPr>
        <w:spacing w:after="80" w:line="276" w:lineRule="auto"/>
        <w:rPr>
          <w:sz w:val="22"/>
          <w:szCs w:val="22"/>
        </w:rPr>
      </w:pPr>
    </w:p>
    <w:p w14:paraId="416F787E">
      <w:pPr>
        <w:pStyle w:val="16"/>
        <w:numPr>
          <w:ilvl w:val="0"/>
          <w:numId w:val="0"/>
        </w:numPr>
        <w:spacing w:after="80" w:line="276" w:lineRule="auto"/>
        <w:rPr>
          <w:sz w:val="22"/>
          <w:szCs w:val="22"/>
        </w:rPr>
      </w:pPr>
    </w:p>
    <w:p w14:paraId="72840FEB">
      <w:pPr>
        <w:pStyle w:val="16"/>
        <w:numPr>
          <w:ilvl w:val="0"/>
          <w:numId w:val="0"/>
        </w:numPr>
        <w:spacing w:after="80" w:line="276" w:lineRule="auto"/>
        <w:rPr>
          <w:sz w:val="22"/>
          <w:szCs w:val="22"/>
        </w:rPr>
      </w:pPr>
    </w:p>
    <w:p w14:paraId="6EDE37AE">
      <w:pPr>
        <w:pStyle w:val="16"/>
        <w:numPr>
          <w:ilvl w:val="0"/>
          <w:numId w:val="0"/>
        </w:numPr>
        <w:spacing w:after="80" w:line="276" w:lineRule="auto"/>
        <w:rPr>
          <w:sz w:val="22"/>
          <w:szCs w:val="22"/>
        </w:rPr>
      </w:pPr>
    </w:p>
    <w:p w14:paraId="72081A79">
      <w:pPr>
        <w:pStyle w:val="16"/>
        <w:numPr>
          <w:ilvl w:val="0"/>
          <w:numId w:val="0"/>
        </w:numPr>
        <w:spacing w:after="80" w:line="276" w:lineRule="auto"/>
        <w:rPr>
          <w:sz w:val="22"/>
          <w:szCs w:val="22"/>
        </w:rPr>
      </w:pPr>
    </w:p>
    <w:p w14:paraId="6C1D687F">
      <w:pPr>
        <w:pStyle w:val="16"/>
        <w:numPr>
          <w:ilvl w:val="0"/>
          <w:numId w:val="0"/>
        </w:numPr>
        <w:spacing w:after="80" w:line="276" w:lineRule="auto"/>
        <w:rPr>
          <w:sz w:val="22"/>
          <w:szCs w:val="22"/>
        </w:rPr>
      </w:pPr>
    </w:p>
    <w:p w14:paraId="5F755F9C">
      <w:pPr>
        <w:pStyle w:val="16"/>
        <w:numPr>
          <w:ilvl w:val="0"/>
          <w:numId w:val="0"/>
        </w:numPr>
        <w:spacing w:after="80" w:line="276" w:lineRule="auto"/>
        <w:rPr>
          <w:sz w:val="22"/>
          <w:szCs w:val="22"/>
        </w:rPr>
      </w:pPr>
    </w:p>
    <w:p w14:paraId="7252F370">
      <w:pPr>
        <w:pStyle w:val="16"/>
        <w:numPr>
          <w:ilvl w:val="0"/>
          <w:numId w:val="0"/>
        </w:numPr>
        <w:spacing w:after="80" w:line="276" w:lineRule="auto"/>
        <w:rPr>
          <w:sz w:val="22"/>
          <w:szCs w:val="22"/>
        </w:rPr>
      </w:pPr>
    </w:p>
    <w:p w14:paraId="7F68CEF4">
      <w:pPr>
        <w:pStyle w:val="16"/>
        <w:numPr>
          <w:ilvl w:val="0"/>
          <w:numId w:val="0"/>
        </w:numPr>
        <w:spacing w:after="80" w:line="276" w:lineRule="auto"/>
        <w:rPr>
          <w:sz w:val="22"/>
          <w:szCs w:val="22"/>
        </w:rPr>
      </w:pPr>
    </w:p>
    <w:p w14:paraId="57B94BFA">
      <w:pPr>
        <w:pStyle w:val="16"/>
        <w:numPr>
          <w:ilvl w:val="0"/>
          <w:numId w:val="0"/>
        </w:numPr>
        <w:spacing w:after="80" w:line="276" w:lineRule="auto"/>
        <w:rPr>
          <w:sz w:val="22"/>
          <w:szCs w:val="22"/>
        </w:rPr>
      </w:pPr>
    </w:p>
    <w:p w14:paraId="5EEB382A">
      <w:pPr>
        <w:pStyle w:val="16"/>
        <w:numPr>
          <w:ilvl w:val="0"/>
          <w:numId w:val="0"/>
        </w:numPr>
        <w:spacing w:after="80" w:line="276" w:lineRule="auto"/>
        <w:rPr>
          <w:sz w:val="22"/>
          <w:szCs w:val="22"/>
        </w:rPr>
      </w:pPr>
    </w:p>
    <w:p w14:paraId="5B9047F6">
      <w:pPr>
        <w:pStyle w:val="16"/>
        <w:numPr>
          <w:ilvl w:val="0"/>
          <w:numId w:val="0"/>
        </w:numPr>
        <w:spacing w:after="80" w:line="276" w:lineRule="auto"/>
        <w:rPr>
          <w:sz w:val="22"/>
          <w:szCs w:val="22"/>
        </w:rPr>
      </w:pPr>
    </w:p>
    <w:p w14:paraId="1903C767">
      <w:pPr>
        <w:pStyle w:val="16"/>
        <w:numPr>
          <w:ilvl w:val="0"/>
          <w:numId w:val="0"/>
        </w:numPr>
        <w:spacing w:after="80" w:line="276" w:lineRule="auto"/>
        <w:rPr>
          <w:sz w:val="22"/>
          <w:szCs w:val="22"/>
        </w:rPr>
      </w:pPr>
    </w:p>
    <w:p w14:paraId="156ECDC0">
      <w:pPr>
        <w:pStyle w:val="16"/>
        <w:numPr>
          <w:ilvl w:val="0"/>
          <w:numId w:val="0"/>
        </w:numPr>
        <w:spacing w:after="80" w:line="276" w:lineRule="auto"/>
        <w:rPr>
          <w:sz w:val="22"/>
          <w:szCs w:val="22"/>
        </w:rPr>
      </w:pPr>
    </w:p>
    <w:p w14:paraId="26E0E42D">
      <w:pPr>
        <w:pStyle w:val="16"/>
        <w:numPr>
          <w:ilvl w:val="0"/>
          <w:numId w:val="0"/>
        </w:numPr>
        <w:spacing w:after="80" w:line="276" w:lineRule="auto"/>
        <w:rPr>
          <w:sz w:val="22"/>
          <w:szCs w:val="22"/>
        </w:rPr>
      </w:pPr>
    </w:p>
    <w:p w14:paraId="16D65AB3">
      <w:pPr>
        <w:pStyle w:val="16"/>
        <w:numPr>
          <w:ilvl w:val="0"/>
          <w:numId w:val="0"/>
        </w:numPr>
        <w:spacing w:after="80" w:line="276" w:lineRule="auto"/>
        <w:rPr>
          <w:sz w:val="22"/>
          <w:szCs w:val="22"/>
        </w:rPr>
      </w:pPr>
    </w:p>
    <w:p w14:paraId="4923B060">
      <w:pPr>
        <w:pStyle w:val="16"/>
        <w:numPr>
          <w:ilvl w:val="0"/>
          <w:numId w:val="0"/>
        </w:numPr>
        <w:spacing w:after="80" w:line="276" w:lineRule="auto"/>
        <w:rPr>
          <w:sz w:val="22"/>
          <w:szCs w:val="22"/>
        </w:rPr>
      </w:pPr>
    </w:p>
    <w:p w14:paraId="156196B3">
      <w:pPr>
        <w:pStyle w:val="16"/>
        <w:numPr>
          <w:ilvl w:val="0"/>
          <w:numId w:val="0"/>
        </w:numPr>
        <w:spacing w:after="80" w:line="276" w:lineRule="auto"/>
        <w:rPr>
          <w:sz w:val="22"/>
          <w:szCs w:val="22"/>
        </w:rPr>
      </w:pPr>
    </w:p>
    <w:p w14:paraId="54354DC9">
      <w:pPr>
        <w:pStyle w:val="16"/>
        <w:numPr>
          <w:ilvl w:val="0"/>
          <w:numId w:val="0"/>
        </w:numPr>
        <w:spacing w:after="80" w:line="276" w:lineRule="auto"/>
        <w:rPr>
          <w:sz w:val="22"/>
          <w:szCs w:val="22"/>
        </w:rPr>
      </w:pPr>
    </w:p>
    <w:p w14:paraId="466B95D7">
      <w:r>
        <w:br w:type="page"/>
      </w:r>
    </w:p>
    <w:p w14:paraId="748558DA">
      <w:pPr>
        <w:pStyle w:val="2"/>
        <w:pBdr>
          <w:bottom w:val="single" w:color="1B2A4A" w:sz="12" w:space="4"/>
        </w:pBdr>
        <w:spacing w:before="480" w:after="240"/>
      </w:pPr>
      <w:r>
        <w:rPr>
          <w:b/>
          <w:bCs/>
          <w:color w:val="1B2A4A"/>
          <w:sz w:val="34"/>
          <w:szCs w:val="34"/>
        </w:rPr>
        <w:t>MODULE 11</w:t>
      </w:r>
    </w:p>
    <w:p w14:paraId="6D0F8852">
      <w:pPr>
        <w:spacing w:after="300"/>
      </w:pPr>
      <w:r>
        <w:rPr>
          <w:b/>
          <w:bCs/>
          <w:color w:val="9A7B2E"/>
          <w:sz w:val="30"/>
          <w:szCs w:val="30"/>
        </w:rPr>
        <w:t>ICT Buy Model</w:t>
      </w:r>
    </w:p>
    <w:p w14:paraId="6124B805">
      <w:pPr>
        <w:spacing w:after="160" w:line="288" w:lineRule="auto"/>
      </w:pPr>
      <w:r>
        <w:rPr>
          <w:b w:val="0"/>
          <w:bCs w:val="0"/>
          <w:i w:val="0"/>
          <w:iCs w:val="0"/>
          <w:sz w:val="22"/>
          <w:szCs w:val="22"/>
        </w:rPr>
        <w:t>Every module so far has introduced one tool at a time. This module introduces no new vocabulary at all — instead, it assembles ten modules' worth of tools into a single, complete, bullish trade sequence, following the same eleven-step structure ICT-focused sources describe with remarkable consistency, under various names (the 2022 Model, the Market Maker Buy Model, the Reversal Sequence, and others).</w:t>
      </w:r>
    </w:p>
    <w:p w14:paraId="74F54867">
      <w:pPr>
        <w:spacing w:after="160" w:line="288" w:lineRule="auto"/>
      </w:pPr>
      <w:r>
        <w:rPr>
          <w:b w:val="0"/>
          <w:bCs w:val="0"/>
          <w:i w:val="0"/>
          <w:iCs w:val="0"/>
          <w:sz w:val="22"/>
          <w:szCs w:val="22"/>
        </w:rPr>
        <w:t>This module is structured differently from the ones before it. Rather than eleven separate full concept chapters — which would simply repeat Modules 3 through 7 under new headings — each step below is presented briefly, with a clear statement of what happens and, critically, why that specific step matters within the overall logic of the sequence. A single, complete, fully worked numeric example then walks through all eleven steps end to end.</w:t>
      </w:r>
    </w:p>
    <w:p w14:paraId="5FA47353">
      <w:pPr>
        <w:spacing w:after="160" w:line="288" w:lineRule="auto"/>
      </w:pPr>
      <w:r>
        <w:rPr>
          <w:b w:val="0"/>
          <w:bCs w:val="0"/>
          <w:i w:val="0"/>
          <w:iCs w:val="0"/>
          <w:sz w:val="22"/>
          <w:szCs w:val="22"/>
        </w:rPr>
        <w:t>This module assumes full fluency with every earlier module in this book. If any individual step below feels unfamiliar, the module and concept it was originally drawn from is named explicitly, so you can return to that material before continuing.</w:t>
      </w:r>
    </w:p>
    <w:p w14:paraId="4443D002">
      <w:r>
        <w:br w:type="page"/>
      </w:r>
    </w:p>
    <w:p w14:paraId="1337CD4A">
      <w:pPr>
        <w:pStyle w:val="3"/>
        <w:spacing w:before="360" w:after="160"/>
      </w:pPr>
      <w:r>
        <w:rPr>
          <w:b/>
          <w:bCs/>
          <w:color w:val="1B2A4A"/>
          <w:sz w:val="26"/>
          <w:szCs w:val="26"/>
        </w:rPr>
        <w:t>The Buy Model Sequence</w:t>
      </w:r>
    </w:p>
    <w:p w14:paraId="6DBE94A6">
      <w:pPr>
        <w:spacing w:after="160" w:line="288" w:lineRule="auto"/>
      </w:pPr>
      <w:r>
        <w:rPr>
          <w:b w:val="0"/>
          <w:bCs w:val="0"/>
          <w:i w:val="0"/>
          <w:iCs w:val="0"/>
          <w:sz w:val="22"/>
          <w:szCs w:val="22"/>
        </w:rPr>
        <w:t>The eleven steps in this module form one continuous logical chain, not eleven independent checks. The diagram below shows the full sequence at a glance before each step is explained individually.</w:t>
      </w:r>
    </w:p>
    <w:p w14:paraId="72EA9B97">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HTF BULLISH CONTEXT</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IDENTIFY SELL-SIDE LIQUIDITY (SSL)</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LIQUIDITY SWEEP (of SSL)</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BULLISH DISPLACEMENT</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BULLISH MARKET STRUCTURE SHIFT</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FVG / ORDER BLOCK (left behind by displacement)</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RETRACEMENT (price pulls back toward the FVG/OB)</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OTE  (62%–79% zone confirms the FVG/OB location)</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ENTRY ZONE (specific price finalized)</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ENTRY (order placed, stop set beyond the swept low)</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TARGET LIQUIDITY (buy-side liquidity above)</w:t>
      </w:r>
    </w:p>
    <w:p w14:paraId="2DE9A4C8">
      <w:pPr>
        <w:spacing w:after="160" w:line="288" w:lineRule="auto"/>
      </w:pPr>
      <w:r>
        <w:rPr>
          <w:b w:val="0"/>
          <w:bCs w:val="0"/>
          <w:i w:val="0"/>
          <w:iCs w:val="0"/>
          <w:sz w:val="22"/>
          <w:szCs w:val="22"/>
        </w:rPr>
        <w:t>Each arrow in this chain represents a dependency, not just a sequence in time. A Fair Value Gap without a preceding sweep and displacement is just a gap (Module 5's qualification). A Market Structure Shift without a preceding sweep is a weaker, less-confirmed shift (Module 3). An entry without a defined target is not a complete trade idea at all. The explanations below focus specifically on why each link in this chain depends on the one before it.</w:t>
      </w:r>
    </w:p>
    <w:p w14:paraId="4530909B">
      <w:r>
        <w:br w:type="page"/>
      </w:r>
    </w:p>
    <w:p w14:paraId="36DDD27E">
      <w:pPr>
        <w:pStyle w:val="2"/>
        <w:pBdr>
          <w:bottom w:val="single" w:color="1B2A4A" w:sz="12" w:space="4"/>
        </w:pBdr>
        <w:spacing w:before="480" w:after="240"/>
      </w:pPr>
      <w:r>
        <w:rPr>
          <w:b/>
          <w:bCs/>
          <w:color w:val="1B2A4A"/>
          <w:sz w:val="34"/>
          <w:szCs w:val="34"/>
        </w:rPr>
        <w:t>The Eleven Steps</w:t>
      </w:r>
    </w:p>
    <w:p w14:paraId="56950F61">
      <w:pPr>
        <w:pStyle w:val="3"/>
        <w:spacing w:before="360" w:after="160"/>
      </w:pPr>
      <w:r>
        <w:rPr>
          <w:b/>
          <w:bCs/>
          <w:color w:val="1B2A4A"/>
          <w:sz w:val="26"/>
          <w:szCs w:val="26"/>
        </w:rPr>
        <w:t>Step 1 — Identify HTF Bullish Context</w:t>
      </w:r>
    </w:p>
    <w:p w14:paraId="2DA172DF">
      <w:pPr>
        <w:spacing w:after="160" w:line="288" w:lineRule="auto"/>
      </w:pPr>
      <w:r>
        <w:rPr>
          <w:b w:val="0"/>
          <w:bCs w:val="0"/>
          <w:i w:val="0"/>
          <w:iCs w:val="0"/>
          <w:sz w:val="22"/>
          <w:szCs w:val="22"/>
        </w:rPr>
        <w:t>Before looking at any lower-timeframe chart, confirm that the higher timeframe (commonly the daily and 4-hour charts) shows bullish market structure — a pattern of higher highs and higher lows — and/or a recently confirmed bullish HTF Market Structure Shift. Also check the instrument's position within its higher-timeframe dealing range: a bullish setup is considered stronger when current price sits in the discount half (below the 50% equilibrium) of that range.</w:t>
      </w:r>
    </w:p>
    <w:p w14:paraId="2B0AA017">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Every source reviewed for this book treats higher-timeframe context as the non-negotiable first filter. A lower-timeframe bullish setup taken against a bearish or unclear higher-timeframe picture is described consistently as low-probability, "fighting the bigger picture," or simply not worth taking. Establishing bullish HTF context first ensures that every subsequent step in this sequence is being read in the direction institutions are more likely to be net-supporting, rather than against it.</w:t>
      </w:r>
    </w:p>
    <w:p w14:paraId="0FA1C6B2">
      <w:pPr>
        <w:spacing w:after="160" w:line="288" w:lineRule="auto"/>
      </w:pPr>
      <w:r>
        <w:rPr>
          <w:b w:val="0"/>
          <w:bCs w:val="0"/>
          <w:i/>
          <w:iCs/>
          <w:sz w:val="22"/>
          <w:szCs w:val="22"/>
        </w:rPr>
        <w:t>Originally defined in: Module 10 (Bias) and Module 3 (Market Structure).</w:t>
      </w:r>
    </w:p>
    <w:p w14:paraId="770CA521">
      <w:pPr>
        <w:pStyle w:val="3"/>
        <w:spacing w:before="360" w:after="160"/>
      </w:pPr>
      <w:r>
        <w:rPr>
          <w:b/>
          <w:bCs/>
          <w:color w:val="1B2A4A"/>
          <w:sz w:val="26"/>
          <w:szCs w:val="26"/>
        </w:rPr>
        <w:t>Step 2 — Identify Sell-Side Liquidity</w:t>
      </w:r>
    </w:p>
    <w:p w14:paraId="2B2475AB">
      <w:pPr>
        <w:spacing w:after="160" w:line="288" w:lineRule="auto"/>
      </w:pPr>
      <w:r>
        <w:rPr>
          <w:b w:val="0"/>
          <w:bCs w:val="0"/>
          <w:i w:val="0"/>
          <w:iCs w:val="0"/>
          <w:sz w:val="22"/>
          <w:szCs w:val="22"/>
        </w:rPr>
        <w:t>With bullish HTF context established, locate the nearest significant sell-side liquidity pool below current price — commonly a recent swing low, equal lows, the Asian session low, or the previous day's low.</w:t>
      </w:r>
    </w:p>
    <w:p w14:paraId="4824013E">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In a bullish setup, this resting pool of sell-stop orders is exactly the liquidity this framework expects price to reach for before the real bullish move begins (per the Power of 3 logic from Module 9: accumulation, then a manipulation dip into this pool, then bullish distribution). Marking it in advance turns a vague expectation ("price might dip first") into a specific, watchable price level.</w:t>
      </w:r>
    </w:p>
    <w:p w14:paraId="22E5080C">
      <w:pPr>
        <w:spacing w:after="160" w:line="288" w:lineRule="auto"/>
      </w:pPr>
      <w:r>
        <w:rPr>
          <w:b w:val="0"/>
          <w:bCs w:val="0"/>
          <w:i/>
          <w:iCs/>
          <w:sz w:val="22"/>
          <w:szCs w:val="22"/>
        </w:rPr>
        <w:t>Originally defined in: Module 4 (Liquidity).</w:t>
      </w:r>
    </w:p>
    <w:p w14:paraId="7A0BE5B4">
      <w:pPr>
        <w:pStyle w:val="3"/>
        <w:spacing w:before="360" w:after="160"/>
      </w:pPr>
      <w:r>
        <w:rPr>
          <w:b/>
          <w:bCs/>
          <w:color w:val="1B2A4A"/>
          <w:sz w:val="26"/>
          <w:szCs w:val="26"/>
        </w:rPr>
        <w:t>Step 3 — Liquidity Sweep</w:t>
      </w:r>
    </w:p>
    <w:p w14:paraId="47BBE0DD">
      <w:pPr>
        <w:spacing w:after="160" w:line="288" w:lineRule="auto"/>
      </w:pPr>
      <w:r>
        <w:rPr>
          <w:b w:val="0"/>
          <w:bCs w:val="0"/>
          <w:i w:val="0"/>
          <w:iCs w:val="0"/>
          <w:sz w:val="22"/>
          <w:szCs w:val="22"/>
        </w:rPr>
        <w:t>Wait for price to actually trade through the marked sell-side liquidity level — ideally with a sharp, brief wick or short-lived push below it, rather than a slow grind — and then for signs of a reversal back above that level.</w:t>
      </w:r>
    </w:p>
    <w:p w14:paraId="70415EEE">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This is described across nearly every source reviewed as non-negotiable: "no sweep, no trade." The sweep is the specific evidence that the liquidity this framework expects institutions to need has actually been collected. Without it, an eventual bullish move is just an ordinary breakout with no particular reason to expect it was preceded by engineered manipulation — the entire logical basis for expecting a high-quality reversal here would be missing.</w:t>
      </w:r>
    </w:p>
    <w:p w14:paraId="100DA542">
      <w:pPr>
        <w:spacing w:after="160" w:line="288" w:lineRule="auto"/>
      </w:pPr>
      <w:r>
        <w:rPr>
          <w:b w:val="0"/>
          <w:bCs w:val="0"/>
          <w:i/>
          <w:iCs/>
          <w:sz w:val="22"/>
          <w:szCs w:val="22"/>
        </w:rPr>
        <w:t>Originally defined in: Module 4 (Liquidity) and Module 9 (Power of 3 — Manipulation).</w:t>
      </w:r>
    </w:p>
    <w:p w14:paraId="5156BF0B">
      <w:pPr>
        <w:pStyle w:val="3"/>
        <w:spacing w:before="360" w:after="160"/>
      </w:pPr>
      <w:r>
        <w:rPr>
          <w:b/>
          <w:bCs/>
          <w:color w:val="1B2A4A"/>
          <w:sz w:val="26"/>
          <w:szCs w:val="26"/>
        </w:rPr>
        <w:t>Step 4 — Bullish Displacement</w:t>
      </w:r>
    </w:p>
    <w:p w14:paraId="35518F00">
      <w:pPr>
        <w:spacing w:after="160" w:line="288" w:lineRule="auto"/>
      </w:pPr>
      <w:r>
        <w:rPr>
          <w:b w:val="0"/>
          <w:bCs w:val="0"/>
          <w:i w:val="0"/>
          <w:iCs w:val="0"/>
          <w:sz w:val="22"/>
          <w:szCs w:val="22"/>
        </w:rPr>
        <w:t>Following the sweep, watch for a fast, forceful, large-bodied bullish move away from the swept low — not a slow, overlapping drift back upward.</w:t>
      </w:r>
    </w:p>
    <w:p w14:paraId="40B16A30">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Displacement is the evidence that order flow has genuinely flipped rather than the market simply drifting back to a fair price after a brief overshoot. Multiple sources are explicit that a slow, weak move away from the sweep is much lower-confidence evidence than a strong, impulsive one; displacement is also the specific mechanical event that will create the Fair Value Gap used as the entry zone in Step 6.</w:t>
      </w:r>
    </w:p>
    <w:p w14:paraId="5FD838CF">
      <w:pPr>
        <w:spacing w:after="160" w:line="288" w:lineRule="auto"/>
      </w:pPr>
      <w:r>
        <w:rPr>
          <w:b w:val="0"/>
          <w:bCs w:val="0"/>
          <w:i/>
          <w:iCs/>
          <w:sz w:val="22"/>
          <w:szCs w:val="22"/>
        </w:rPr>
        <w:t>Originally defined in: Module 5 (Displacement &amp; Imbalance).</w:t>
      </w:r>
    </w:p>
    <w:p w14:paraId="3C3368CF">
      <w:pPr>
        <w:pStyle w:val="3"/>
        <w:spacing w:before="360" w:after="160"/>
      </w:pPr>
      <w:r>
        <w:rPr>
          <w:b/>
          <w:bCs/>
          <w:color w:val="1B2A4A"/>
          <w:sz w:val="26"/>
          <w:szCs w:val="26"/>
        </w:rPr>
        <w:t>Step 5 — Bullish MSS</w:t>
      </w:r>
    </w:p>
    <w:p w14:paraId="01DFC64E">
      <w:pPr>
        <w:spacing w:after="160" w:line="288" w:lineRule="auto"/>
      </w:pPr>
      <w:r>
        <w:rPr>
          <w:b w:val="0"/>
          <w:bCs w:val="0"/>
          <w:i w:val="0"/>
          <w:iCs w:val="0"/>
          <w:sz w:val="22"/>
          <w:szCs w:val="22"/>
        </w:rPr>
        <w:t>Confirm that the bullish displacement move actually breaks a meaningful, relevant short-term swing high — not an insignificant micro-high — with a genuine candle-body close beyond it, on a lower timeframe such as the 5-minute or 15-minute chart.</w:t>
      </w:r>
    </w:p>
    <w:p w14:paraId="474CFCA1">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The Market Structure Shift is what distinguishes a genuine reversal from a liquidity sweep that simply continues in the original (bearish) direction after a brief pause. Several sources describe this as the step that finally answers the question the sweep and displacement only raised: is order flow actually changing, or was this just a deeper-than-usual dip within a continuing downtrend? Requiring the break to be of a "meaningful" swing (not a trivial one-candle high) filters out weak, low-conviction shifts.</w:t>
      </w:r>
    </w:p>
    <w:p w14:paraId="0ED56499">
      <w:pPr>
        <w:spacing w:after="160" w:line="288" w:lineRule="auto"/>
      </w:pPr>
      <w:r>
        <w:rPr>
          <w:b w:val="0"/>
          <w:bCs w:val="0"/>
          <w:i/>
          <w:iCs/>
          <w:sz w:val="22"/>
          <w:szCs w:val="22"/>
        </w:rPr>
        <w:t>Originally defined in: Module 3 (Market Structure Shift).</w:t>
      </w:r>
    </w:p>
    <w:p w14:paraId="29436D88">
      <w:pPr>
        <w:pStyle w:val="3"/>
        <w:spacing w:before="360" w:after="160"/>
      </w:pPr>
      <w:r>
        <w:rPr>
          <w:b/>
          <w:bCs/>
          <w:color w:val="1B2A4A"/>
          <w:sz w:val="26"/>
          <w:szCs w:val="26"/>
        </w:rPr>
        <w:t>Step 6 — FVG / Order Block</w:t>
      </w:r>
    </w:p>
    <w:p w14:paraId="0A0F86A8">
      <w:pPr>
        <w:spacing w:after="160" w:line="288" w:lineRule="auto"/>
      </w:pPr>
      <w:r>
        <w:rPr>
          <w:b w:val="0"/>
          <w:bCs w:val="0"/>
          <w:i w:val="0"/>
          <w:iCs w:val="0"/>
          <w:sz w:val="22"/>
          <w:szCs w:val="22"/>
        </w:rPr>
        <w:t>Locate the Fair Value Gap left behind by the displacement candle(s) from Step 4, and check whether a bullish Order Block (the last bearish candle immediately before that displacement) sits at or near the same price zone.</w:t>
      </w:r>
    </w:p>
    <w:p w14:paraId="0128463F">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This zone — not the current market price — is where this framework specifies an entry should actually be planned. Multiple sources are explicit that the FVG itself is not the reason for the trade (the sweep and displacement are); the FVG is simply the specific, precise location the entry will be placed at. When an Order Block overlaps with the FVG, this confluence (Module 6) is treated as meaningfully strengthening the zone.</w:t>
      </w:r>
    </w:p>
    <w:p w14:paraId="65CC6522">
      <w:pPr>
        <w:spacing w:after="160" w:line="288" w:lineRule="auto"/>
      </w:pPr>
      <w:r>
        <w:rPr>
          <w:b w:val="0"/>
          <w:bCs w:val="0"/>
          <w:i/>
          <w:iCs/>
          <w:sz w:val="22"/>
          <w:szCs w:val="22"/>
        </w:rPr>
        <w:t>Originally defined in: Module 5 (Fair Value Gap) and Module 6 (Order Block).</w:t>
      </w:r>
    </w:p>
    <w:p w14:paraId="39EB5A8B">
      <w:pPr>
        <w:pStyle w:val="3"/>
        <w:spacing w:before="360" w:after="160"/>
      </w:pPr>
      <w:r>
        <w:rPr>
          <w:b/>
          <w:bCs/>
          <w:color w:val="1B2A4A"/>
          <w:sz w:val="26"/>
          <w:szCs w:val="26"/>
        </w:rPr>
        <w:t>Step 7 — Retracement</w:t>
      </w:r>
    </w:p>
    <w:p w14:paraId="09C824A1">
      <w:pPr>
        <w:spacing w:after="160" w:line="288" w:lineRule="auto"/>
      </w:pPr>
      <w:r>
        <w:rPr>
          <w:b w:val="0"/>
          <w:bCs w:val="0"/>
          <w:i w:val="0"/>
          <w:iCs w:val="0"/>
          <w:sz w:val="22"/>
          <w:szCs w:val="22"/>
        </w:rPr>
        <w:t>Wait, without entering, for price to actually pull back down from the highs made after the MSS, traveling back toward the FVG/Order Block zone identified in Step 6.</w:t>
      </w:r>
    </w:p>
    <w:p w14:paraId="36F740AA">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Entering immediately when the MSS is confirmed means chasing price at a worse price with a wider, less favorable stop-loss. Waiting for the retracement is what allows the entry to be placed close to the original point of reversal, keeping risk tightly defined (per Module 7's risk-to-reward logic) rather than entering at an arbitrary, already-extended price.</w:t>
      </w:r>
    </w:p>
    <w:p w14:paraId="438905DC">
      <w:pPr>
        <w:spacing w:after="160" w:line="288" w:lineRule="auto"/>
      </w:pPr>
      <w:r>
        <w:rPr>
          <w:b w:val="0"/>
          <w:bCs w:val="0"/>
          <w:i/>
          <w:iCs/>
          <w:sz w:val="22"/>
          <w:szCs w:val="22"/>
        </w:rPr>
        <w:t>Originally defined in: Module 1 (Retracement) and Module 7 (Retracement into OTE).</w:t>
      </w:r>
    </w:p>
    <w:p w14:paraId="49D65584">
      <w:pPr>
        <w:pStyle w:val="3"/>
        <w:spacing w:before="360" w:after="160"/>
      </w:pPr>
      <w:r>
        <w:rPr>
          <w:b/>
          <w:bCs/>
          <w:color w:val="1B2A4A"/>
          <w:sz w:val="26"/>
          <w:szCs w:val="26"/>
        </w:rPr>
        <w:t>Step 8 — OTE</w:t>
      </w:r>
    </w:p>
    <w:p w14:paraId="483FE8D0">
      <w:pPr>
        <w:spacing w:after="160" w:line="288" w:lineRule="auto"/>
      </w:pPr>
      <w:r>
        <w:rPr>
          <w:b w:val="0"/>
          <w:bCs w:val="0"/>
          <w:i w:val="0"/>
          <w:iCs w:val="0"/>
          <w:sz w:val="22"/>
          <w:szCs w:val="22"/>
        </w:rPr>
        <w:t>Apply a Fibonacci retracement to the impulse leg created by the displacement (from the swept low up to the high made before the retracement began), and check whether the FVG/Order Block zone from Step 6 falls within, or close to, the 62%–79% OTE band, ideally near the 70.5% sweet spot.</w:t>
      </w:r>
    </w:p>
    <w:p w14:paraId="41397E24">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This step cross-checks the PD array-based entry zone (Step 6) against an entirely independent tool (Fibonacci retracement). When both methods point to the same price — a PD array confluence combined with OTE confluence — this is treated across ICT-focused sources as a substantially higher-confidence setup than either tool would represent alone.</w:t>
      </w:r>
    </w:p>
    <w:p w14:paraId="1B9F6056">
      <w:pPr>
        <w:spacing w:after="160" w:line="288" w:lineRule="auto"/>
      </w:pPr>
      <w:r>
        <w:rPr>
          <w:b w:val="0"/>
          <w:bCs w:val="0"/>
          <w:i/>
          <w:iCs/>
          <w:sz w:val="22"/>
          <w:szCs w:val="22"/>
        </w:rPr>
        <w:t>Originally defined in: Module 7 (Fibonacci &amp; OTE).</w:t>
      </w:r>
    </w:p>
    <w:p w14:paraId="0CAD957A">
      <w:pPr>
        <w:pStyle w:val="3"/>
        <w:spacing w:before="360" w:after="160"/>
      </w:pPr>
      <w:r>
        <w:rPr>
          <w:b/>
          <w:bCs/>
          <w:color w:val="1B2A4A"/>
          <w:sz w:val="26"/>
          <w:szCs w:val="26"/>
        </w:rPr>
        <w:t>Step 9 — Entry Zone</w:t>
      </w:r>
    </w:p>
    <w:p w14:paraId="426F2C16">
      <w:pPr>
        <w:spacing w:after="160" w:line="288" w:lineRule="auto"/>
      </w:pPr>
      <w:r>
        <w:rPr>
          <w:b w:val="0"/>
          <w:bCs w:val="0"/>
          <w:i w:val="0"/>
          <w:iCs w:val="0"/>
          <w:sz w:val="22"/>
          <w:szCs w:val="22"/>
        </w:rPr>
        <w:t>Finalize the specific entry price, typically at or near the midpoint of the FVG (its Consequent Encroachment) or at the boundary of the Order Block, within the confirmed OTE band.</w:t>
      </w:r>
    </w:p>
    <w:p w14:paraId="2E271D59">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This step converts everything confirmed so far — direction, liquidity, displacement, structure, and two independent confluence checks — into one specific, plannable price, rather than a general area of interest. A specific entry zone is also what allows a specific, calculable stop-loss and risk amount to be defined before the trade is placed.</w:t>
      </w:r>
    </w:p>
    <w:p w14:paraId="673C4704">
      <w:pPr>
        <w:spacing w:after="160" w:line="288" w:lineRule="auto"/>
      </w:pPr>
      <w:r>
        <w:rPr>
          <w:b w:val="0"/>
          <w:bCs w:val="0"/>
          <w:i/>
          <w:iCs/>
          <w:sz w:val="22"/>
          <w:szCs w:val="22"/>
        </w:rPr>
        <w:t>Originally defined in: Module 7 (Entry Zone) and Module 6 (PD Arrays).</w:t>
      </w:r>
    </w:p>
    <w:p w14:paraId="65F834F2">
      <w:pPr>
        <w:pStyle w:val="3"/>
        <w:spacing w:before="360" w:after="160"/>
      </w:pPr>
      <w:r>
        <w:rPr>
          <w:b/>
          <w:bCs/>
          <w:color w:val="1B2A4A"/>
          <w:sz w:val="26"/>
          <w:szCs w:val="26"/>
        </w:rPr>
        <w:t>Step 10 — Entry</w:t>
      </w:r>
    </w:p>
    <w:p w14:paraId="0FDC0171">
      <w:pPr>
        <w:spacing w:after="160" w:line="288" w:lineRule="auto"/>
      </w:pPr>
      <w:r>
        <w:rPr>
          <w:b w:val="0"/>
          <w:bCs w:val="0"/>
          <w:i w:val="0"/>
          <w:iCs w:val="0"/>
          <w:sz w:val="22"/>
          <w:szCs w:val="22"/>
        </w:rPr>
        <w:t>Place the entry — either as a resting limit order at the entry zone, or as a market entry once price reaches the zone and shows an additional lower-timeframe confirmation signal (such as a 1-minute bullish MSS or a rejection candle). Set the stop-loss just beyond the low of the liquidity sweep from Step 3, and calculate position size from the resulting risk distance.</w:t>
      </w:r>
    </w:p>
    <w:p w14:paraId="05956A83">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The stop-loss placement is directly tied to the specific evidence this sequence was built on: if price closes back below the swept low, the entire premise of the trade (that the sweep was genuine manipulation followed by real reversal, not just a pause in an ongoing downtrend) is invalidated. Placing the stop there, rather than at an arbitrary distance, keeps the stop tied to a specific, falsifiable piece of the trade's logic.</w:t>
      </w:r>
    </w:p>
    <w:p w14:paraId="2F66D29C">
      <w:pPr>
        <w:spacing w:after="160" w:line="288" w:lineRule="auto"/>
      </w:pPr>
      <w:r>
        <w:rPr>
          <w:b w:val="0"/>
          <w:bCs w:val="0"/>
          <w:i/>
          <w:iCs/>
          <w:sz w:val="22"/>
          <w:szCs w:val="22"/>
        </w:rPr>
        <w:t>Originally defined in: New synthesis of Modules 1–10.</w:t>
      </w:r>
    </w:p>
    <w:p w14:paraId="29180FA6">
      <w:pPr>
        <w:pStyle w:val="3"/>
        <w:spacing w:before="360" w:after="160"/>
      </w:pPr>
      <w:r>
        <w:rPr>
          <w:b/>
          <w:bCs/>
          <w:color w:val="1B2A4A"/>
          <w:sz w:val="26"/>
          <w:szCs w:val="26"/>
        </w:rPr>
        <w:t>Step 11 — Target Liquidity</w:t>
      </w:r>
    </w:p>
    <w:p w14:paraId="504D3CA7">
      <w:pPr>
        <w:spacing w:after="160" w:line="288" w:lineRule="auto"/>
      </w:pPr>
      <w:r>
        <w:rPr>
          <w:b w:val="0"/>
          <w:bCs w:val="0"/>
          <w:i w:val="0"/>
          <w:iCs w:val="0"/>
          <w:sz w:val="22"/>
          <w:szCs w:val="22"/>
        </w:rPr>
        <w:t>Set the primary profit target at the nearest significant buy-side liquidity pool above current price — commonly the high created during the displacement itself, a prior day/week high, or equal highs — with secondary, further targets at additional higher-timeframe buy-side liquidity pools beyond that.</w:t>
      </w:r>
    </w:p>
    <w:p w14:paraId="5E78B170">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This closes the loop the entire sequence was built around: the trade is not aimed at an arbitrary price or a fixed number of points, but specifically at the next pool of resting liquidity this framework expects price to be drawn toward, using the exact same liquidity-pool logic from Module 4 that identified the sell-side target back in Step 2 — only now applied to the opposite side of the market as the objective rather than the trap.</w:t>
      </w:r>
    </w:p>
    <w:p w14:paraId="6CA4E5A8">
      <w:pPr>
        <w:spacing w:after="160" w:line="288" w:lineRule="auto"/>
      </w:pPr>
      <w:r>
        <w:rPr>
          <w:b w:val="0"/>
          <w:bCs w:val="0"/>
          <w:i/>
          <w:iCs/>
          <w:sz w:val="22"/>
          <w:szCs w:val="22"/>
        </w:rPr>
        <w:t>Originally defined in: Module 4 (Buy-Side Liquidity).</w:t>
      </w:r>
    </w:p>
    <w:p w14:paraId="73DC1BBA">
      <w:r>
        <w:br w:type="page"/>
      </w:r>
    </w:p>
    <w:p w14:paraId="715013F3">
      <w:pPr>
        <w:pStyle w:val="2"/>
        <w:pBdr>
          <w:bottom w:val="single" w:color="1B2A4A" w:sz="12" w:space="4"/>
        </w:pBdr>
        <w:spacing w:before="480" w:after="240"/>
      </w:pPr>
      <w:r>
        <w:rPr>
          <w:b/>
          <w:bCs/>
          <w:color w:val="1B2A4A"/>
          <w:sz w:val="34"/>
          <w:szCs w:val="34"/>
        </w:rPr>
        <w:t>Complete Worked Example</w:t>
      </w:r>
    </w:p>
    <w:p w14:paraId="1FD7BA1C">
      <w:pPr>
        <w:spacing w:after="160" w:line="288" w:lineRule="auto"/>
      </w:pPr>
      <w:r>
        <w:rPr>
          <w:b w:val="0"/>
          <w:bCs w:val="0"/>
          <w:i w:val="0"/>
          <w:iCs w:val="0"/>
          <w:sz w:val="22"/>
          <w:szCs w:val="22"/>
        </w:rPr>
        <w:t>The following fully worked numeric example adapts a bullish EUR/USD sequence documented in ICT-focused secondary sources, walking through all eleven steps above using one continuous, realistic set of price levels.</w:t>
      </w:r>
    </w:p>
    <w:p w14:paraId="043FD714">
      <w:pPr>
        <w:pStyle w:val="3"/>
        <w:spacing w:before="360" w:after="160"/>
      </w:pPr>
      <w:r>
        <w:rPr>
          <w:b/>
          <w:bCs/>
          <w:color w:val="1B2A4A"/>
          <w:sz w:val="26"/>
          <w:szCs w:val="26"/>
        </w:rPr>
        <w:t>The Sequence, Step by Step</w:t>
      </w:r>
    </w:p>
    <w:p w14:paraId="7D3AD5E3">
      <w:pPr>
        <w:pStyle w:val="16"/>
        <w:numPr>
          <w:ilvl w:val="0"/>
          <w:numId w:val="1"/>
        </w:numPr>
        <w:spacing w:after="80" w:line="276" w:lineRule="auto"/>
      </w:pPr>
      <w:r>
        <w:rPr>
          <w:sz w:val="22"/>
          <w:szCs w:val="22"/>
        </w:rPr>
        <w:t>HTF Context (Step 1): The daily and weekly charts show EUR/USD in an established uptrend, with price currently sitting in the discount half of the weekly dealing range. A weekly equal-highs level at 1.09420 stands out above as the macro draw on liquidity. Daily bias is bullish.</w:t>
      </w:r>
    </w:p>
    <w:p w14:paraId="612009CF">
      <w:pPr>
        <w:pStyle w:val="16"/>
        <w:numPr>
          <w:ilvl w:val="0"/>
          <w:numId w:val="1"/>
        </w:numPr>
        <w:spacing w:after="80" w:line="276" w:lineRule="auto"/>
      </w:pPr>
      <w:r>
        <w:rPr>
          <w:sz w:val="22"/>
          <w:szCs w:val="22"/>
        </w:rPr>
        <w:t>Sell-Side Liquidity (Step 2): The Asian session has built a range with a low at 1.08120 (SSL). The prior day's low at 1.08050 sits just beneath it as a secondary layer of sell-side liquidity.</w:t>
      </w:r>
    </w:p>
    <w:p w14:paraId="7D3038C2">
      <w:pPr>
        <w:pStyle w:val="16"/>
        <w:numPr>
          <w:ilvl w:val="0"/>
          <w:numId w:val="1"/>
        </w:numPr>
        <w:spacing w:after="80" w:line="276" w:lineRule="auto"/>
      </w:pPr>
      <w:r>
        <w:rPr>
          <w:sz w:val="22"/>
          <w:szCs w:val="22"/>
        </w:rPr>
        <w:t>Liquidity Sweep (Step 3): At 2:18 AM ET, during the London Open Kill Zone, price pushes below 1.08120 and continues down to 1.08042 — sweeping both the Asian low and the prior-day-low liquidity layer in one move.</w:t>
      </w:r>
    </w:p>
    <w:p w14:paraId="4C3FAB81">
      <w:pPr>
        <w:pStyle w:val="16"/>
        <w:numPr>
          <w:ilvl w:val="0"/>
          <w:numId w:val="1"/>
        </w:numPr>
        <w:spacing w:after="80" w:line="276" w:lineRule="auto"/>
      </w:pPr>
      <w:r>
        <w:rPr>
          <w:sz w:val="22"/>
          <w:szCs w:val="22"/>
        </w:rPr>
        <w:t>Bullish Displacement (Step 4): At 2:22 AM ET, a large bullish candle moves price from 1.08042 to 1.08185 — a strong, large-bodied, fast move with minimal wick, in sharp contrast to the quieter price action before it.</w:t>
      </w:r>
    </w:p>
    <w:p w14:paraId="27559CFB">
      <w:pPr>
        <w:pStyle w:val="16"/>
        <w:numPr>
          <w:ilvl w:val="0"/>
          <w:numId w:val="1"/>
        </w:numPr>
        <w:spacing w:after="80" w:line="276" w:lineRule="auto"/>
      </w:pPr>
      <w:r>
        <w:rPr>
          <w:sz w:val="22"/>
          <w:szCs w:val="22"/>
        </w:rPr>
        <w:t>Bullish MSS (Step 5): This displacement candle closes above the most recent relevant short-term high on the 5-minute chart, confirming a bullish Market Structure Shift.</w:t>
      </w:r>
    </w:p>
    <w:p w14:paraId="30E9EA95">
      <w:pPr>
        <w:pStyle w:val="16"/>
        <w:numPr>
          <w:ilvl w:val="0"/>
          <w:numId w:val="1"/>
        </w:numPr>
        <w:spacing w:after="80" w:line="276" w:lineRule="auto"/>
      </w:pPr>
      <w:r>
        <w:rPr>
          <w:sz w:val="22"/>
          <w:szCs w:val="22"/>
        </w:rPr>
        <w:t>FVG / Order Block (Step 6): The displacement candle leaves a Fair Value Gap spanning 1.08095–1.08142. The last bearish candle immediately before the displacement (a bullish Order Block) sits at approximately 1.08080–1.08095, just beneath the FVG.</w:t>
      </w:r>
    </w:p>
    <w:p w14:paraId="7DAD5E4D">
      <w:pPr>
        <w:pStyle w:val="16"/>
        <w:numPr>
          <w:ilvl w:val="0"/>
          <w:numId w:val="1"/>
        </w:numPr>
        <w:spacing w:after="80" w:line="276" w:lineRule="auto"/>
      </w:pPr>
      <w:r>
        <w:rPr>
          <w:sz w:val="22"/>
          <w:szCs w:val="22"/>
        </w:rPr>
        <w:t>Retracement (Step 7): Price continues briefly higher after the MSS, then begins retracing back down toward the 1.08095–1.08142 zone.</w:t>
      </w:r>
    </w:p>
    <w:p w14:paraId="6FC5557D">
      <w:pPr>
        <w:pStyle w:val="16"/>
        <w:numPr>
          <w:ilvl w:val="0"/>
          <w:numId w:val="1"/>
        </w:numPr>
        <w:spacing w:after="80" w:line="276" w:lineRule="auto"/>
      </w:pPr>
      <w:r>
        <w:rPr>
          <w:sz w:val="22"/>
          <w:szCs w:val="22"/>
        </w:rPr>
        <w:t>OTE (Step 8): A Fibonacci retracement drawn on the impulse leg (from the 1.08042 low to the post-MSS high) places the 62%–79% OTE band in close alignment with the FVG/Order Block zone, with the 70.5% sweet spot sitting at approximately 1.08118 — coinciding closely with the midpoint of the FVG.</w:t>
      </w:r>
    </w:p>
    <w:p w14:paraId="6D966525">
      <w:pPr>
        <w:pStyle w:val="16"/>
        <w:numPr>
          <w:ilvl w:val="0"/>
          <w:numId w:val="1"/>
        </w:numPr>
        <w:spacing w:after="80" w:line="276" w:lineRule="auto"/>
      </w:pPr>
      <w:r>
        <w:rPr>
          <w:sz w:val="22"/>
          <w:szCs w:val="22"/>
        </w:rPr>
        <w:t>Entry Zone (Step 9): The entry zone is finalized at 1.08118 (the FVG midpoint / Consequent Encroachment), which is inside both the FVG and the OTE band — a two-tool confluence.</w:t>
      </w:r>
    </w:p>
    <w:p w14:paraId="1371B919">
      <w:pPr>
        <w:pStyle w:val="16"/>
        <w:numPr>
          <w:ilvl w:val="0"/>
          <w:numId w:val="1"/>
        </w:numPr>
        <w:spacing w:after="80" w:line="276" w:lineRule="auto"/>
      </w:pPr>
      <w:r>
        <w:rPr>
          <w:sz w:val="22"/>
          <w:szCs w:val="22"/>
        </w:rPr>
        <w:t>Entry (Step 10): A limit order is placed at 1.08118. The stop-loss is placed at 1.08030, a small buffer beneath the swept low of 1.08042 — the level whose failure would invalidate the entire premise of the trade.</w:t>
      </w:r>
    </w:p>
    <w:p w14:paraId="420A69D8">
      <w:pPr>
        <w:pStyle w:val="16"/>
        <w:numPr>
          <w:ilvl w:val="0"/>
          <w:numId w:val="1"/>
        </w:numPr>
        <w:spacing w:after="80" w:line="276" w:lineRule="auto"/>
      </w:pPr>
      <w:r>
        <w:rPr>
          <w:sz w:val="22"/>
          <w:szCs w:val="22"/>
        </w:rPr>
        <w:t>Target Liquidity (Step 11): The primary target is the high made during the displacement itself, near 1.08185, with a secondary target at the weekly equal-highs level of 1.09420 identified back in Step 1 — the original macro draw on liquidity this entire bullish thesis was built around.</w:t>
      </w:r>
    </w:p>
    <w:p w14:paraId="1B246E00">
      <w:pPr>
        <w:pStyle w:val="3"/>
        <w:spacing w:before="360" w:after="160"/>
      </w:pPr>
      <w:r>
        <w:rPr>
          <w:b/>
          <w:bCs/>
          <w:color w:val="1B2A4A"/>
          <w:sz w:val="26"/>
          <w:szCs w:val="26"/>
        </w:rPr>
        <w:t>Risk and Reward</w:t>
      </w:r>
    </w:p>
    <w:p w14:paraId="7BA165F6">
      <w:pPr>
        <w:spacing w:after="160" w:line="288" w:lineRule="auto"/>
      </w:pPr>
      <w:r>
        <w:rPr>
          <w:b w:val="0"/>
          <w:bCs w:val="0"/>
          <w:i w:val="0"/>
          <w:iCs w:val="0"/>
          <w:sz w:val="22"/>
          <w:szCs w:val="22"/>
        </w:rPr>
        <w:t>Risk on this trade is approximately 88 pips (1.08118 entry to 1.08030 stop). The nearer target of 1.08185 offers a modest reward on its own, but the secondary target of 1.09420 — over 1,300 pips away — offers a substantially larger reward relative to the defined risk, illustrating why ICT-focused sources describe this method as producing a naturally asymmetric risk-to-reward profile: a tight, well-defined stop paired with a comparatively distant, liquidity-based target.</w:t>
      </w:r>
    </w:p>
    <w:p w14:paraId="1E7D874A">
      <w:pPr>
        <w:pStyle w:val="3"/>
        <w:spacing w:before="360" w:after="160"/>
      </w:pPr>
      <w:r>
        <w:rPr>
          <w:b/>
          <w:bCs/>
          <w:color w:val="1B2A4A"/>
          <w:sz w:val="26"/>
          <w:szCs w:val="26"/>
        </w:rPr>
        <w:t>Invalidation</w:t>
      </w:r>
    </w:p>
    <w:p w14:paraId="2546132D">
      <w:pPr>
        <w:pBdr>
          <w:left w:val="single" w:color="7A2E2E" w:sz="24" w:space="8"/>
        </w:pBdr>
        <w:shd w:val="clear" w:fill="EFEFEF"/>
        <w:spacing w:before="160" w:after="200"/>
        <w:ind w:left="200"/>
      </w:pPr>
      <w:r>
        <w:rPr>
          <w:b/>
          <w:bCs/>
          <w:color w:val="7A2E2E"/>
          <w:sz w:val="21"/>
          <w:szCs w:val="21"/>
        </w:rPr>
        <w:t xml:space="preserve">This idea is invalidated if: </w:t>
      </w:r>
      <w:r>
        <w:rPr>
          <w:sz w:val="21"/>
          <w:szCs w:val="21"/>
        </w:rPr>
        <w:t>This trade idea is invalidated if price closes decisively back below 1.08042 (the swept low) after the entry is taken, or if, before the entry is even reached, price fails to produce a genuine bullish Market Structure Shift following the sweep — in which case the move down through 1.08120/1.08050 should instead be read as a genuine breakdown continuation, not manipulation, and no bullish trade should be taken at all.</w:t>
      </w:r>
    </w:p>
    <w:p w14:paraId="36DC7231">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1.09420  &lt;- secondary target (weekly EQH, macro draw on liquidity)</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1.08185  &lt;- primary target (displacement high)</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 xml:space="preserve">   | (bullish displacement + MSS)</w:t>
      </w:r>
      <w:r>
        <w:rPr>
          <w:rFonts w:ascii="Consolas" w:hAnsi="Consolas" w:eastAsia="Consolas" w:cs="Consolas"/>
          <w:sz w:val="19"/>
          <w:szCs w:val="19"/>
        </w:rPr>
        <w:br w:type="textWrapping"/>
      </w:r>
      <w:r>
        <w:rPr>
          <w:rFonts w:ascii="Consolas" w:hAnsi="Consolas" w:eastAsia="Consolas" w:cs="Consolas"/>
          <w:sz w:val="19"/>
          <w:szCs w:val="19"/>
        </w:rPr>
        <w:t>1.08118  &lt;- ENTRY (FVG midpoint / 70.5% OTE)</w:t>
      </w:r>
      <w:r>
        <w:rPr>
          <w:rFonts w:ascii="Consolas" w:hAnsi="Consolas" w:eastAsia="Consolas" w:cs="Consolas"/>
          <w:sz w:val="19"/>
          <w:szCs w:val="19"/>
        </w:rPr>
        <w:br w:type="textWrapping"/>
      </w:r>
      <w:r>
        <w:rPr>
          <w:rFonts w:ascii="Consolas" w:hAnsi="Consolas" w:eastAsia="Consolas" w:cs="Consolas"/>
          <w:sz w:val="19"/>
          <w:szCs w:val="19"/>
        </w:rPr>
        <w:t>1.08095–1.08142  &lt;- Fair Value Gap zone</w:t>
      </w:r>
      <w:r>
        <w:rPr>
          <w:rFonts w:ascii="Consolas" w:hAnsi="Consolas" w:eastAsia="Consolas" w:cs="Consolas"/>
          <w:sz w:val="19"/>
          <w:szCs w:val="19"/>
        </w:rPr>
        <w:br w:type="textWrapping"/>
      </w:r>
      <w:r>
        <w:rPr>
          <w:rFonts w:ascii="Consolas" w:hAnsi="Consolas" w:eastAsia="Consolas" w:cs="Consolas"/>
          <w:sz w:val="19"/>
          <w:szCs w:val="19"/>
        </w:rPr>
        <w:t>1.08080–1.08095  &lt;- bullish Order Block</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1.08042  &lt;- swept low (Judas Swing low)</w:t>
      </w:r>
      <w:r>
        <w:rPr>
          <w:rFonts w:ascii="Consolas" w:hAnsi="Consolas" w:eastAsia="Consolas" w:cs="Consolas"/>
          <w:sz w:val="19"/>
          <w:szCs w:val="19"/>
        </w:rPr>
        <w:br w:type="textWrapping"/>
      </w:r>
      <w:r>
        <w:rPr>
          <w:rFonts w:ascii="Consolas" w:hAnsi="Consolas" w:eastAsia="Consolas" w:cs="Consolas"/>
          <w:sz w:val="19"/>
          <w:szCs w:val="19"/>
        </w:rPr>
        <w:t>1.08030  &lt;- STOP LOSS</w:t>
      </w:r>
      <w:r>
        <w:rPr>
          <w:rFonts w:ascii="Consolas" w:hAnsi="Consolas" w:eastAsia="Consolas" w:cs="Consolas"/>
          <w:sz w:val="19"/>
          <w:szCs w:val="19"/>
        </w:rPr>
        <w:br w:type="textWrapping"/>
      </w:r>
      <w:r>
        <w:rPr>
          <w:rFonts w:ascii="Consolas" w:hAnsi="Consolas" w:eastAsia="Consolas" w:cs="Consolas"/>
          <w:sz w:val="19"/>
          <w:szCs w:val="19"/>
        </w:rPr>
        <w:t>1.08050  &lt;- prior day low (SSL layer 2)</w:t>
      </w:r>
      <w:r>
        <w:rPr>
          <w:rFonts w:ascii="Consolas" w:hAnsi="Consolas" w:eastAsia="Consolas" w:cs="Consolas"/>
          <w:sz w:val="19"/>
          <w:szCs w:val="19"/>
        </w:rPr>
        <w:br w:type="textWrapping"/>
      </w:r>
      <w:r>
        <w:rPr>
          <w:rFonts w:ascii="Consolas" w:hAnsi="Consolas" w:eastAsia="Consolas" w:cs="Consolas"/>
          <w:sz w:val="19"/>
          <w:szCs w:val="19"/>
        </w:rPr>
        <w:t>1.08120  &lt;- Asian session low (SSL layer 1)</w:t>
      </w:r>
    </w:p>
    <w:p w14:paraId="0039A42C">
      <w:pPr>
        <w:spacing w:after="160" w:line="288" w:lineRule="auto"/>
      </w:pPr>
      <w:r>
        <w:rPr>
          <w:b w:val="0"/>
          <w:bCs w:val="0"/>
          <w:i w:val="0"/>
          <w:iCs w:val="0"/>
          <w:sz w:val="22"/>
          <w:szCs w:val="22"/>
        </w:rPr>
        <w:t>This diagram reads from bottom to top: price sweeps down through both sell-side liquidity layers to 1.08042, displaces upward with a strong candle, leaves behind an Order Block and Fair Value Gap, retraces back into that zone (confirmed by OTE) for entry at 1.08118, and is aimed first at the nearby displacement high and ultimately at the much larger weekly liquidity target.</w:t>
      </w:r>
    </w:p>
    <w:p w14:paraId="10845407">
      <w:r>
        <w:br w:type="page"/>
      </w:r>
    </w:p>
    <w:p w14:paraId="59123B20">
      <w:pPr>
        <w:pStyle w:val="2"/>
        <w:pBdr>
          <w:bottom w:val="single" w:color="1B2A4A" w:sz="12" w:space="4"/>
        </w:pBdr>
        <w:spacing w:before="480" w:after="240"/>
      </w:pPr>
      <w:r>
        <w:rPr>
          <w:b/>
          <w:bCs/>
          <w:color w:val="1B2A4A"/>
          <w:sz w:val="34"/>
          <w:szCs w:val="34"/>
        </w:rPr>
        <w:t>How These Concepts Connect</w:t>
      </w:r>
    </w:p>
    <w:p w14:paraId="0EED2047">
      <w:pPr>
        <w:spacing w:after="160" w:line="288" w:lineRule="auto"/>
      </w:pPr>
      <w:r>
        <w:rPr>
          <w:b w:val="0"/>
          <w:bCs w:val="0"/>
          <w:i w:val="0"/>
          <w:iCs w:val="0"/>
          <w:sz w:val="22"/>
          <w:szCs w:val="22"/>
        </w:rPr>
        <w:t>This entire module is a single connected chain, which is precisely the point: no individual step in the ICT Buy Model is meant to function as a standalone signal. A liquidity sweep without confirming displacement is just a wick. Displacement without a resulting structure shift is just a fast candle. A structure shift without a PD array to retrace into gives no specific, low-risk entry price. An entry without a defined stop and target beyond the sweep is not a complete, risk-managed trade idea at all.</w:t>
      </w:r>
    </w:p>
    <w:p w14:paraId="3B2F9E4F">
      <w:pPr>
        <w:spacing w:after="160" w:line="288" w:lineRule="auto"/>
      </w:pPr>
      <w:r>
        <w:rPr>
          <w:b w:val="0"/>
          <w:bCs w:val="0"/>
          <w:i w:val="0"/>
          <w:iCs w:val="0"/>
          <w:sz w:val="22"/>
          <w:szCs w:val="22"/>
        </w:rPr>
        <w:t>Notice, too, that every single step in this chain was already fully defined in an earlier module — this module's only genuinely new contribution is the specific order and dependency logic connecting them. This is deliberate: ICT-focused sources across the board describe their various named models (the 2022 Model, the Market Maker Buy Model, and others) as variations on this exact same underlying sequence, not as fundamentally different systems.</w:t>
      </w:r>
    </w:p>
    <w:p w14:paraId="283FAFDA">
      <w:pPr>
        <w:pStyle w:val="2"/>
        <w:pBdr>
          <w:bottom w:val="single" w:color="1B2A4A" w:sz="12" w:space="4"/>
        </w:pBdr>
        <w:spacing w:before="480" w:after="240"/>
      </w:pPr>
      <w:r>
        <w:rPr>
          <w:b/>
          <w:bCs/>
          <w:color w:val="1B2A4A"/>
          <w:sz w:val="34"/>
          <w:szCs w:val="34"/>
        </w:rPr>
        <w:t>What You Should Now Be Able to Do</w:t>
      </w:r>
    </w:p>
    <w:p w14:paraId="4BD16A2D">
      <w:pPr>
        <w:pStyle w:val="16"/>
        <w:numPr>
          <w:ilvl w:val="0"/>
          <w:numId w:val="1"/>
        </w:numPr>
        <w:spacing w:after="80" w:line="276" w:lineRule="auto"/>
      </w:pPr>
      <w:r>
        <w:rPr>
          <w:sz w:val="22"/>
          <w:szCs w:val="22"/>
        </w:rPr>
        <w:t>list all eleven steps of the ICT Buy Model in the correct order, from memory</w:t>
      </w:r>
    </w:p>
    <w:p w14:paraId="6B66550E">
      <w:pPr>
        <w:pStyle w:val="16"/>
        <w:numPr>
          <w:ilvl w:val="0"/>
          <w:numId w:val="1"/>
        </w:numPr>
        <w:spacing w:after="80" w:line="276" w:lineRule="auto"/>
      </w:pPr>
      <w:r>
        <w:rPr>
          <w:sz w:val="22"/>
          <w:szCs w:val="22"/>
        </w:rPr>
        <w:t>explain, for each step, specifically why it depends on the step before it</w:t>
      </w:r>
    </w:p>
    <w:p w14:paraId="32D2C2E8">
      <w:pPr>
        <w:pStyle w:val="16"/>
        <w:numPr>
          <w:ilvl w:val="0"/>
          <w:numId w:val="1"/>
        </w:numPr>
        <w:spacing w:after="80" w:line="276" w:lineRule="auto"/>
      </w:pPr>
      <w:r>
        <w:rPr>
          <w:sz w:val="22"/>
          <w:szCs w:val="22"/>
        </w:rPr>
        <w:t>identify each of the eleven steps on a real or hypothetical bullish price chart</w:t>
      </w:r>
    </w:p>
    <w:p w14:paraId="6FBD8FDC">
      <w:pPr>
        <w:pStyle w:val="16"/>
        <w:numPr>
          <w:ilvl w:val="0"/>
          <w:numId w:val="1"/>
        </w:numPr>
        <w:spacing w:after="80" w:line="276" w:lineRule="auto"/>
      </w:pPr>
      <w:r>
        <w:rPr>
          <w:sz w:val="22"/>
          <w:szCs w:val="22"/>
        </w:rPr>
        <w:t>construct a complete worked bullish trade idea from a simple set of price levels, including entry, stop-loss, and both a primary and secondary target</w:t>
      </w:r>
    </w:p>
    <w:p w14:paraId="47437162">
      <w:pPr>
        <w:pStyle w:val="16"/>
        <w:numPr>
          <w:ilvl w:val="0"/>
          <w:numId w:val="1"/>
        </w:numPr>
        <w:spacing w:after="80" w:line="276" w:lineRule="auto"/>
      </w:pPr>
      <w:r>
        <w:rPr>
          <w:sz w:val="22"/>
          <w:szCs w:val="22"/>
        </w:rPr>
        <w:t>explain why this sequence produces a naturally asymmetric risk-to-reward profile</w:t>
      </w:r>
    </w:p>
    <w:p w14:paraId="7A20900E">
      <w:pPr>
        <w:pStyle w:val="16"/>
        <w:numPr>
          <w:ilvl w:val="0"/>
          <w:numId w:val="1"/>
        </w:numPr>
        <w:spacing w:after="80" w:line="276" w:lineRule="auto"/>
      </w:pPr>
      <w:r>
        <w:rPr>
          <w:sz w:val="22"/>
          <w:szCs w:val="22"/>
        </w:rPr>
        <w:t>state the specific conditions under which a suspected Buy Model sequence should be invalidated and abandoned</w:t>
      </w:r>
    </w:p>
    <w:p w14:paraId="75AF2F8F">
      <w:r>
        <w:br w:type="page"/>
      </w:r>
    </w:p>
    <w:p w14:paraId="425D9E43">
      <w:pPr>
        <w:pStyle w:val="2"/>
        <w:pBdr>
          <w:bottom w:val="single" w:color="1B2A4A" w:sz="12" w:space="4"/>
        </w:pBdr>
        <w:spacing w:before="480" w:after="240"/>
      </w:pPr>
      <w:r>
        <w:rPr>
          <w:b/>
          <w:bCs/>
          <w:color w:val="1B2A4A"/>
          <w:sz w:val="34"/>
          <w:szCs w:val="34"/>
        </w:rPr>
        <w:t>Module Review</w:t>
      </w:r>
    </w:p>
    <w:p w14:paraId="34C6224C">
      <w:pPr>
        <w:pStyle w:val="3"/>
        <w:spacing w:before="360" w:after="160"/>
      </w:pPr>
      <w:r>
        <w:rPr>
          <w:b/>
          <w:bCs/>
          <w:color w:val="1B2A4A"/>
          <w:sz w:val="26"/>
          <w:szCs w:val="26"/>
        </w:rPr>
        <w:t>Key Terms</w:t>
      </w:r>
    </w:p>
    <w:p w14:paraId="43011497">
      <w:pPr>
        <w:pStyle w:val="16"/>
        <w:numPr>
          <w:ilvl w:val="0"/>
          <w:numId w:val="1"/>
        </w:numPr>
        <w:spacing w:after="80" w:line="276" w:lineRule="auto"/>
      </w:pPr>
      <w:r>
        <w:rPr>
          <w:sz w:val="22"/>
          <w:szCs w:val="22"/>
        </w:rPr>
        <w:t>HTF Bullish Context</w:t>
      </w:r>
    </w:p>
    <w:p w14:paraId="64F48E43">
      <w:pPr>
        <w:pStyle w:val="16"/>
        <w:numPr>
          <w:ilvl w:val="0"/>
          <w:numId w:val="1"/>
        </w:numPr>
        <w:spacing w:after="80" w:line="276" w:lineRule="auto"/>
      </w:pPr>
      <w:r>
        <w:rPr>
          <w:sz w:val="22"/>
          <w:szCs w:val="22"/>
        </w:rPr>
        <w:t>Sell-Side Liquidity (SSL)</w:t>
      </w:r>
    </w:p>
    <w:p w14:paraId="3047883F">
      <w:pPr>
        <w:pStyle w:val="16"/>
        <w:numPr>
          <w:ilvl w:val="0"/>
          <w:numId w:val="1"/>
        </w:numPr>
        <w:spacing w:after="80" w:line="276" w:lineRule="auto"/>
      </w:pPr>
      <w:r>
        <w:rPr>
          <w:sz w:val="22"/>
          <w:szCs w:val="22"/>
        </w:rPr>
        <w:t>Liquidity Sweep</w:t>
      </w:r>
    </w:p>
    <w:p w14:paraId="536AC61B">
      <w:pPr>
        <w:pStyle w:val="16"/>
        <w:numPr>
          <w:ilvl w:val="0"/>
          <w:numId w:val="1"/>
        </w:numPr>
        <w:spacing w:after="80" w:line="276" w:lineRule="auto"/>
      </w:pPr>
      <w:r>
        <w:rPr>
          <w:sz w:val="22"/>
          <w:szCs w:val="22"/>
        </w:rPr>
        <w:t>Bullish Displacement</w:t>
      </w:r>
    </w:p>
    <w:p w14:paraId="66FD9844">
      <w:pPr>
        <w:pStyle w:val="16"/>
        <w:numPr>
          <w:ilvl w:val="0"/>
          <w:numId w:val="1"/>
        </w:numPr>
        <w:spacing w:after="80" w:line="276" w:lineRule="auto"/>
      </w:pPr>
      <w:r>
        <w:rPr>
          <w:sz w:val="22"/>
          <w:szCs w:val="22"/>
        </w:rPr>
        <w:t>Bullish Market Structure Shift (MSS)</w:t>
      </w:r>
    </w:p>
    <w:p w14:paraId="26B87D58">
      <w:pPr>
        <w:pStyle w:val="16"/>
        <w:numPr>
          <w:ilvl w:val="0"/>
          <w:numId w:val="1"/>
        </w:numPr>
        <w:spacing w:after="80" w:line="276" w:lineRule="auto"/>
      </w:pPr>
      <w:r>
        <w:rPr>
          <w:sz w:val="22"/>
          <w:szCs w:val="22"/>
        </w:rPr>
        <w:t>Fair Value Gap / Order Block</w:t>
      </w:r>
    </w:p>
    <w:p w14:paraId="2AE7549F">
      <w:pPr>
        <w:pStyle w:val="16"/>
        <w:numPr>
          <w:ilvl w:val="0"/>
          <w:numId w:val="1"/>
        </w:numPr>
        <w:spacing w:after="80" w:line="276" w:lineRule="auto"/>
      </w:pPr>
      <w:r>
        <w:rPr>
          <w:sz w:val="22"/>
          <w:szCs w:val="22"/>
        </w:rPr>
        <w:t>Retracement</w:t>
      </w:r>
    </w:p>
    <w:p w14:paraId="5283F073">
      <w:pPr>
        <w:pStyle w:val="16"/>
        <w:numPr>
          <w:ilvl w:val="0"/>
          <w:numId w:val="1"/>
        </w:numPr>
        <w:spacing w:after="80" w:line="276" w:lineRule="auto"/>
      </w:pPr>
      <w:r>
        <w:rPr>
          <w:sz w:val="22"/>
          <w:szCs w:val="22"/>
        </w:rPr>
        <w:t>OTE (62%–79%)</w:t>
      </w:r>
    </w:p>
    <w:p w14:paraId="4FEDB0BD">
      <w:pPr>
        <w:pStyle w:val="16"/>
        <w:numPr>
          <w:ilvl w:val="0"/>
          <w:numId w:val="1"/>
        </w:numPr>
        <w:spacing w:after="80" w:line="276" w:lineRule="auto"/>
      </w:pPr>
      <w:r>
        <w:rPr>
          <w:sz w:val="22"/>
          <w:szCs w:val="22"/>
        </w:rPr>
        <w:t>Entry Zone</w:t>
      </w:r>
    </w:p>
    <w:p w14:paraId="3197962F">
      <w:pPr>
        <w:pStyle w:val="16"/>
        <w:numPr>
          <w:ilvl w:val="0"/>
          <w:numId w:val="1"/>
        </w:numPr>
        <w:spacing w:after="80" w:line="276" w:lineRule="auto"/>
      </w:pPr>
      <w:r>
        <w:rPr>
          <w:sz w:val="22"/>
          <w:szCs w:val="22"/>
        </w:rPr>
        <w:t>Entry</w:t>
      </w:r>
    </w:p>
    <w:p w14:paraId="2A57B545">
      <w:pPr>
        <w:pStyle w:val="16"/>
        <w:numPr>
          <w:ilvl w:val="0"/>
          <w:numId w:val="1"/>
        </w:numPr>
        <w:spacing w:after="80" w:line="276" w:lineRule="auto"/>
      </w:pPr>
      <w:r>
        <w:rPr>
          <w:sz w:val="22"/>
          <w:szCs w:val="22"/>
        </w:rPr>
        <w:t>Target Liquidity</w:t>
      </w:r>
    </w:p>
    <w:p w14:paraId="2969F28B">
      <w:pPr>
        <w:pStyle w:val="16"/>
        <w:numPr>
          <w:ilvl w:val="0"/>
          <w:numId w:val="1"/>
        </w:numPr>
        <w:spacing w:after="80" w:line="276" w:lineRule="auto"/>
      </w:pPr>
      <w:r>
        <w:rPr>
          <w:sz w:val="22"/>
          <w:szCs w:val="22"/>
        </w:rPr>
        <w:t>Invalidation</w:t>
      </w:r>
    </w:p>
    <w:p w14:paraId="0B3B3B13">
      <w:pPr>
        <w:pStyle w:val="3"/>
        <w:spacing w:before="360" w:after="160"/>
      </w:pPr>
      <w:r>
        <w:rPr>
          <w:b/>
          <w:bCs/>
          <w:color w:val="1B2A4A"/>
          <w:sz w:val="26"/>
          <w:szCs w:val="26"/>
        </w:rPr>
        <w:t>Beginner Summary</w:t>
      </w:r>
    </w:p>
    <w:p w14:paraId="5362C6F1">
      <w:pPr>
        <w:spacing w:after="160" w:line="288" w:lineRule="auto"/>
      </w:pPr>
      <w:r>
        <w:rPr>
          <w:b w:val="0"/>
          <w:bCs w:val="0"/>
          <w:i w:val="0"/>
          <w:iCs w:val="0"/>
          <w:sz w:val="22"/>
          <w:szCs w:val="22"/>
        </w:rPr>
        <w:t>The ICT Buy Model is a single, connected eleven-step sequence, not eleven separate ideas. It begins by confirming bullish higher-timeframe context, then identifies a specific sell-side liquidity pool the framework expects price to dip into before its real move. Once that pool is genuinely swept, the model looks for strong bullish displacement, confirmed by a Market Structure Shift, which together create a Fair Value Gap (often reinforced by a nearby Order Block). Price is expected to retrace back into this zone — ideally confirmed by the OTE 62%–79% band — providing a specific, low-risk entry price. A stop-loss is placed just beyond the swept low, and the trade is aimed at the nearest buy-side liquidity pool above, with further, larger targets beyond that. Every step depends on the one before it; skipping a step (for example, entering on the sweep alone, without waiting for displacement and a confirmed structure shift) is described consistently across sources as one of the most common and costly mistakes a trader can make with this model.</w:t>
      </w:r>
    </w:p>
    <w:p w14:paraId="3BF05A66">
      <w:pPr>
        <w:pStyle w:val="3"/>
        <w:spacing w:before="360" w:after="160"/>
      </w:pPr>
      <w:r>
        <w:rPr>
          <w:b/>
          <w:bCs/>
          <w:color w:val="1B2A4A"/>
          <w:sz w:val="26"/>
          <w:szCs w:val="26"/>
        </w:rPr>
        <w:t>Concept Relationships</w:t>
      </w:r>
    </w:p>
    <w:p w14:paraId="183261CF">
      <w:pPr>
        <w:spacing w:after="160" w:line="288" w:lineRule="auto"/>
      </w:pPr>
      <w:r>
        <w:rPr>
          <w:b w:val="0"/>
          <w:bCs w:val="0"/>
          <w:i w:val="0"/>
          <w:iCs w:val="0"/>
          <w:sz w:val="22"/>
          <w:szCs w:val="22"/>
        </w:rPr>
        <w:t>Steps 1–2 (HTF Context, SSL) establish where and why a bullish reversal might occur. Steps 3–5 (Sweep, Displacement, MSS) confirm that it is actually happening. Steps 6–9 (FVG/OB, Retracement, OTE, Entry Zone) pinpoint exactly where to act. Steps 10–11 (Entry, Target Liquidity) define the complete, risk-managed trade itself.</w:t>
      </w:r>
    </w:p>
    <w:p w14:paraId="70B67B77">
      <w:pPr>
        <w:pStyle w:val="3"/>
        <w:spacing w:before="360" w:after="160"/>
      </w:pPr>
      <w:r>
        <w:rPr>
          <w:b/>
          <w:bCs/>
          <w:color w:val="1B2A4A"/>
          <w:sz w:val="26"/>
          <w:szCs w:val="26"/>
        </w:rPr>
        <w:t>Practical Chart Exercise</w:t>
      </w:r>
    </w:p>
    <w:p w14:paraId="2B461E25">
      <w:pPr>
        <w:spacing w:after="160" w:line="288" w:lineRule="auto"/>
      </w:pPr>
      <w:r>
        <w:rPr>
          <w:b w:val="0"/>
          <w:bCs w:val="0"/>
          <w:i w:val="0"/>
          <w:iCs w:val="0"/>
          <w:sz w:val="22"/>
          <w:szCs w:val="22"/>
        </w:rPr>
        <w:t>Using the following simplified price sequence — HTF bullish structure already confirmed. SSL marked at 50 (equal lows). Price sweeps down to 48, then a large bullish candle moves price from 48 to 58, breaking a short-term high at 54 on the 5-minute chart. This displacement leaves an FVG between 51 and 55, with a bullish Order Block at 49–51. Price retraces to 52 before continuing to 70 — walk through all eleven Buy Model steps using these numbers, stating the specific price for each of the entry zone, the stop-loss, and at least one target.</w:t>
      </w:r>
    </w:p>
    <w:p w14:paraId="4B80AAC3">
      <w:pPr>
        <w:pStyle w:val="3"/>
        <w:spacing w:before="360" w:after="160"/>
      </w:pPr>
      <w:r>
        <w:rPr>
          <w:b/>
          <w:bCs/>
          <w:color w:val="1B2A4A"/>
          <w:sz w:val="26"/>
          <w:szCs w:val="26"/>
        </w:rPr>
        <w:t>Self-Test Questions</w:t>
      </w:r>
    </w:p>
    <w:p w14:paraId="3EF22461">
      <w:pPr>
        <w:pStyle w:val="16"/>
        <w:numPr>
          <w:ilvl w:val="0"/>
          <w:numId w:val="2"/>
        </w:numPr>
        <w:spacing w:after="80" w:line="276" w:lineRule="auto"/>
      </w:pPr>
      <w:r>
        <w:rPr>
          <w:sz w:val="22"/>
          <w:szCs w:val="22"/>
        </w:rPr>
        <w:t>Why must Step 1 (HTF bullish context) be confirmed before any of the later steps are considered?</w:t>
      </w:r>
    </w:p>
    <w:p w14:paraId="1935A723">
      <w:pPr>
        <w:pStyle w:val="16"/>
        <w:numPr>
          <w:ilvl w:val="0"/>
          <w:numId w:val="2"/>
        </w:numPr>
        <w:spacing w:after="80" w:line="276" w:lineRule="auto"/>
      </w:pPr>
      <w:r>
        <w:rPr>
          <w:sz w:val="22"/>
          <w:szCs w:val="22"/>
        </w:rPr>
        <w:t>What specific evidence distinguishes a genuine liquidity sweep (Step 3) from an ordinary pullback?</w:t>
      </w:r>
    </w:p>
    <w:p w14:paraId="7DA8BC2C">
      <w:pPr>
        <w:pStyle w:val="16"/>
        <w:numPr>
          <w:ilvl w:val="0"/>
          <w:numId w:val="2"/>
        </w:numPr>
        <w:spacing w:after="80" w:line="276" w:lineRule="auto"/>
      </w:pPr>
      <w:r>
        <w:rPr>
          <w:sz w:val="22"/>
          <w:szCs w:val="22"/>
        </w:rPr>
        <w:t>Why is displacement (Step 4) required before a structure shift (Step 5) is considered reliable?</w:t>
      </w:r>
    </w:p>
    <w:p w14:paraId="62CD1CFB">
      <w:pPr>
        <w:pStyle w:val="16"/>
        <w:numPr>
          <w:ilvl w:val="0"/>
          <w:numId w:val="2"/>
        </w:numPr>
        <w:spacing w:after="80" w:line="276" w:lineRule="auto"/>
      </w:pPr>
      <w:r>
        <w:rPr>
          <w:sz w:val="22"/>
          <w:szCs w:val="22"/>
        </w:rPr>
        <w:t>Why does the model wait for a retracement (Step 7) rather than entering immediately after the MSS is confirmed?</w:t>
      </w:r>
    </w:p>
    <w:p w14:paraId="1368CDF4">
      <w:pPr>
        <w:pStyle w:val="16"/>
        <w:numPr>
          <w:ilvl w:val="0"/>
          <w:numId w:val="2"/>
        </w:numPr>
        <w:spacing w:after="80" w:line="276" w:lineRule="auto"/>
      </w:pPr>
      <w:r>
        <w:rPr>
          <w:sz w:val="22"/>
          <w:szCs w:val="22"/>
        </w:rPr>
        <w:t>Where, specifically, is the stop-loss placed in this model, and why is it placed there rather than at an arbitrary distance from the entry?</w:t>
      </w:r>
    </w:p>
    <w:p w14:paraId="08D342A3">
      <w:pPr>
        <w:pStyle w:val="3"/>
        <w:spacing w:before="360" w:after="160"/>
      </w:pPr>
      <w:r>
        <w:rPr>
          <w:b/>
          <w:bCs/>
          <w:color w:val="1B2A4A"/>
          <w:sz w:val="26"/>
          <w:szCs w:val="26"/>
        </w:rPr>
        <w:t>Common Misconceptions</w:t>
      </w:r>
    </w:p>
    <w:p w14:paraId="3F008E48">
      <w:pPr>
        <w:pStyle w:val="16"/>
        <w:numPr>
          <w:ilvl w:val="0"/>
          <w:numId w:val="1"/>
        </w:numPr>
        <w:spacing w:after="80" w:line="276" w:lineRule="auto"/>
      </w:pPr>
      <w:r>
        <w:rPr>
          <w:sz w:val="22"/>
          <w:szCs w:val="22"/>
        </w:rPr>
        <w:t>Believing any one of the eleven steps, taken alone, is sufficient grounds for an entry.</w:t>
      </w:r>
    </w:p>
    <w:p w14:paraId="71FB66C1">
      <w:pPr>
        <w:pStyle w:val="16"/>
        <w:numPr>
          <w:ilvl w:val="0"/>
          <w:numId w:val="1"/>
        </w:numPr>
        <w:spacing w:after="80" w:line="276" w:lineRule="auto"/>
      </w:pPr>
      <w:r>
        <w:rPr>
          <w:sz w:val="22"/>
          <w:szCs w:val="22"/>
        </w:rPr>
        <w:t>Entering on the liquidity sweep itself, before displacement and a confirmed structure shift have occurred.</w:t>
      </w:r>
    </w:p>
    <w:p w14:paraId="5FB6E619">
      <w:pPr>
        <w:pStyle w:val="16"/>
        <w:numPr>
          <w:ilvl w:val="0"/>
          <w:numId w:val="1"/>
        </w:numPr>
        <w:spacing w:after="80" w:line="276" w:lineRule="auto"/>
      </w:pPr>
      <w:r>
        <w:rPr>
          <w:sz w:val="22"/>
          <w:szCs w:val="22"/>
        </w:rPr>
        <w:t>Ignoring higher-timeframe context (Step 1) and taking a lower-timeframe Buy Model setup that contradicts it.</w:t>
      </w:r>
    </w:p>
    <w:p w14:paraId="283C0149">
      <w:pPr>
        <w:pStyle w:val="16"/>
        <w:numPr>
          <w:ilvl w:val="0"/>
          <w:numId w:val="1"/>
        </w:numPr>
        <w:spacing w:after="80" w:line="276" w:lineRule="auto"/>
      </w:pPr>
      <w:r>
        <w:rPr>
          <w:sz w:val="22"/>
          <w:szCs w:val="22"/>
        </w:rPr>
        <w:t>Placing a stop-loss at an arbitrary distance rather than specifically beyond the swept low that the entire trade idea depends on.</w:t>
      </w:r>
    </w:p>
    <w:p w14:paraId="7F612C85">
      <w:pPr>
        <w:pStyle w:val="3"/>
        <w:spacing w:before="360" w:after="160"/>
      </w:pPr>
      <w:r>
        <w:rPr>
          <w:b/>
          <w:bCs/>
          <w:color w:val="1B2A4A"/>
          <w:sz w:val="26"/>
          <w:szCs w:val="26"/>
        </w:rPr>
        <w:t>Research Sources</w:t>
      </w:r>
    </w:p>
    <w:p w14:paraId="73A3A5C9">
      <w:pPr>
        <w:pStyle w:val="16"/>
        <w:numPr>
          <w:ilvl w:val="0"/>
          <w:numId w:val="1"/>
        </w:numPr>
        <w:spacing w:after="80" w:line="276" w:lineRule="auto"/>
      </w:pPr>
      <w:r>
        <w:rPr>
          <w:sz w:val="22"/>
          <w:szCs w:val="22"/>
        </w:rPr>
        <w:t>ictkillzone.com — "ICT Liquidity: Buy Side, Sell Side and Sweeps Explained" (source of the adapted EUR/USD worked numeric example).</w:t>
      </w:r>
    </w:p>
    <w:p w14:paraId="32C1FD71">
      <w:pPr>
        <w:pStyle w:val="16"/>
        <w:numPr>
          <w:ilvl w:val="0"/>
          <w:numId w:val="1"/>
        </w:numPr>
        <w:spacing w:after="80" w:line="276" w:lineRule="auto"/>
      </w:pPr>
      <w:r>
        <w:rPr>
          <w:sz w:val="22"/>
          <w:szCs w:val="22"/>
        </w:rPr>
        <w:t>fxnx.com — "ICT Market Maker Buy Model (MMBM): A Step-by-Step Guide" and "ICT Market Maker Model: Master Institutional Trading."</w:t>
      </w:r>
    </w:p>
    <w:p w14:paraId="4DADD37F">
      <w:pPr>
        <w:pStyle w:val="16"/>
        <w:numPr>
          <w:ilvl w:val="0"/>
          <w:numId w:val="1"/>
        </w:numPr>
        <w:spacing w:after="80" w:line="276" w:lineRule="auto"/>
      </w:pPr>
      <w:r>
        <w:rPr>
          <w:sz w:val="22"/>
          <w:szCs w:val="22"/>
        </w:rPr>
        <w:t>smartmoneytrader.co — "ICT Market Maker Buy Model - Complete Trading Guide" (seven-point MMBM checklist).</w:t>
      </w:r>
    </w:p>
    <w:p w14:paraId="74C62329">
      <w:pPr>
        <w:pStyle w:val="16"/>
        <w:numPr>
          <w:ilvl w:val="0"/>
          <w:numId w:val="1"/>
        </w:numPr>
        <w:spacing w:after="80" w:line="276" w:lineRule="auto"/>
      </w:pPr>
      <w:r>
        <w:rPr>
          <w:sz w:val="22"/>
          <w:szCs w:val="22"/>
        </w:rPr>
        <w:t>quantum-algo.com — "ICT 2022 Model 2026 — Complete Step-by-Step Guide."</w:t>
      </w:r>
    </w:p>
    <w:p w14:paraId="4DF9948D">
      <w:pPr>
        <w:pStyle w:val="16"/>
        <w:numPr>
          <w:ilvl w:val="0"/>
          <w:numId w:val="1"/>
        </w:numPr>
        <w:spacing w:after="80" w:line="276" w:lineRule="auto"/>
      </w:pPr>
      <w:r>
        <w:rPr>
          <w:sz w:val="22"/>
          <w:szCs w:val="22"/>
        </w:rPr>
        <w:t>innercircletrader.net — "Complete ICT Trading Strategy 2022" and "ICT Bread and Butter Buy-Setup — 4-Session Intraday Bullish Model."</w:t>
      </w:r>
    </w:p>
    <w:p w14:paraId="5D101657">
      <w:pPr>
        <w:pStyle w:val="16"/>
        <w:numPr>
          <w:ilvl w:val="0"/>
          <w:numId w:val="1"/>
        </w:numPr>
        <w:spacing w:after="80" w:line="276" w:lineRule="auto"/>
      </w:pPr>
      <w:r>
        <w:rPr>
          <w:sz w:val="22"/>
          <w:szCs w:val="22"/>
        </w:rPr>
        <w:t>backtrex.com — "ICT Market Structure Shift (MSS): Complete Guide" (multi-timeframe confluence).</w:t>
      </w:r>
    </w:p>
    <w:p w14:paraId="71E50445">
      <w:pPr>
        <w:pStyle w:val="16"/>
        <w:numPr>
          <w:ilvl w:val="0"/>
          <w:numId w:val="1"/>
        </w:numPr>
        <w:spacing w:after="80" w:line="276" w:lineRule="auto"/>
      </w:pPr>
      <w:r>
        <w:rPr>
          <w:sz w:val="22"/>
          <w:szCs w:val="22"/>
        </w:rPr>
        <w:t>arongroups.co — "What Is Liquidity in ICT?", "ICT Reversal Sequence Strategy," and "ICT Scalping Strategy: Fast Intraday Entry Model."</w:t>
      </w:r>
    </w:p>
    <w:p w14:paraId="6285FAA2">
      <w:pPr>
        <w:pStyle w:val="16"/>
        <w:numPr>
          <w:ilvl w:val="0"/>
          <w:numId w:val="1"/>
        </w:numPr>
        <w:spacing w:after="80" w:line="276" w:lineRule="auto"/>
      </w:pPr>
      <w:r>
        <w:rPr>
          <w:sz w:val="22"/>
          <w:szCs w:val="22"/>
        </w:rPr>
        <w:t>grandalgo.com — "ICT Trading Strategy: The Complete Playbook From Bias to Entry" (five-step bias/target/sweep/entry/management framing).</w:t>
      </w:r>
    </w:p>
    <w:p w14:paraId="105959B7">
      <w:pPr>
        <w:pStyle w:val="16"/>
        <w:numPr>
          <w:ilvl w:val="0"/>
          <w:numId w:val="1"/>
        </w:numPr>
        <w:spacing w:after="80" w:line="276" w:lineRule="auto"/>
      </w:pPr>
      <w:r>
        <w:rPr>
          <w:sz w:val="22"/>
          <w:szCs w:val="22"/>
        </w:rPr>
        <w:t>Note: as in prior modules, this research pass relied on cross-checked secondary/tutorial documentation rather than direct ICT primary-source video transcripts, which were not accessible in this environment. The eleven-step sequence itself is exceptionally consistently corroborated, appearing under several different named variations (2022 Model, Market Maker Buy Model, Reversal Sequence) across a very large number of independent sources.</w:t>
      </w:r>
    </w:p>
    <w:p w14:paraId="30F7AB42">
      <w:pPr>
        <w:pStyle w:val="16"/>
        <w:numPr>
          <w:ilvl w:val="0"/>
          <w:numId w:val="0"/>
        </w:numPr>
        <w:spacing w:after="80" w:line="276" w:lineRule="auto"/>
        <w:rPr>
          <w:sz w:val="22"/>
          <w:szCs w:val="22"/>
        </w:rPr>
      </w:pPr>
    </w:p>
    <w:p w14:paraId="7455C6C2">
      <w:pPr>
        <w:pStyle w:val="16"/>
        <w:numPr>
          <w:ilvl w:val="0"/>
          <w:numId w:val="0"/>
        </w:numPr>
        <w:spacing w:after="80" w:line="276" w:lineRule="auto"/>
        <w:rPr>
          <w:sz w:val="22"/>
          <w:szCs w:val="22"/>
        </w:rPr>
      </w:pPr>
    </w:p>
    <w:p w14:paraId="2A8EB905">
      <w:pPr>
        <w:pStyle w:val="16"/>
        <w:numPr>
          <w:ilvl w:val="0"/>
          <w:numId w:val="0"/>
        </w:numPr>
        <w:spacing w:after="80" w:line="276" w:lineRule="auto"/>
        <w:rPr>
          <w:sz w:val="22"/>
          <w:szCs w:val="22"/>
        </w:rPr>
      </w:pPr>
    </w:p>
    <w:p w14:paraId="14061933">
      <w:pPr>
        <w:pStyle w:val="16"/>
        <w:numPr>
          <w:ilvl w:val="0"/>
          <w:numId w:val="0"/>
        </w:numPr>
        <w:spacing w:after="80" w:line="276" w:lineRule="auto"/>
        <w:rPr>
          <w:sz w:val="22"/>
          <w:szCs w:val="22"/>
        </w:rPr>
      </w:pPr>
    </w:p>
    <w:p w14:paraId="632DED9F">
      <w:pPr>
        <w:pStyle w:val="16"/>
        <w:numPr>
          <w:ilvl w:val="0"/>
          <w:numId w:val="0"/>
        </w:numPr>
        <w:spacing w:after="80" w:line="276" w:lineRule="auto"/>
        <w:rPr>
          <w:sz w:val="22"/>
          <w:szCs w:val="22"/>
        </w:rPr>
      </w:pPr>
    </w:p>
    <w:p w14:paraId="36D118AB">
      <w:pPr>
        <w:pStyle w:val="16"/>
        <w:numPr>
          <w:ilvl w:val="0"/>
          <w:numId w:val="0"/>
        </w:numPr>
        <w:spacing w:after="80" w:line="276" w:lineRule="auto"/>
        <w:rPr>
          <w:sz w:val="22"/>
          <w:szCs w:val="22"/>
        </w:rPr>
      </w:pPr>
    </w:p>
    <w:p w14:paraId="5DDE5270">
      <w:pPr>
        <w:pStyle w:val="16"/>
        <w:numPr>
          <w:ilvl w:val="0"/>
          <w:numId w:val="0"/>
        </w:numPr>
        <w:spacing w:after="80" w:line="276" w:lineRule="auto"/>
        <w:rPr>
          <w:sz w:val="22"/>
          <w:szCs w:val="22"/>
        </w:rPr>
      </w:pPr>
    </w:p>
    <w:p w14:paraId="57AC3D5C">
      <w:pPr>
        <w:pStyle w:val="16"/>
        <w:numPr>
          <w:ilvl w:val="0"/>
          <w:numId w:val="0"/>
        </w:numPr>
        <w:spacing w:after="80" w:line="276" w:lineRule="auto"/>
        <w:rPr>
          <w:sz w:val="22"/>
          <w:szCs w:val="22"/>
        </w:rPr>
      </w:pPr>
    </w:p>
    <w:p w14:paraId="6941687F">
      <w:pPr>
        <w:pStyle w:val="16"/>
        <w:numPr>
          <w:ilvl w:val="0"/>
          <w:numId w:val="0"/>
        </w:numPr>
        <w:spacing w:after="80" w:line="276" w:lineRule="auto"/>
        <w:rPr>
          <w:sz w:val="22"/>
          <w:szCs w:val="22"/>
        </w:rPr>
      </w:pPr>
    </w:p>
    <w:p w14:paraId="67888F35">
      <w:pPr>
        <w:pStyle w:val="16"/>
        <w:numPr>
          <w:ilvl w:val="0"/>
          <w:numId w:val="0"/>
        </w:numPr>
        <w:spacing w:after="80" w:line="276" w:lineRule="auto"/>
        <w:rPr>
          <w:sz w:val="22"/>
          <w:szCs w:val="22"/>
        </w:rPr>
      </w:pPr>
    </w:p>
    <w:p w14:paraId="74BCFB3D">
      <w:pPr>
        <w:pStyle w:val="16"/>
        <w:numPr>
          <w:ilvl w:val="0"/>
          <w:numId w:val="0"/>
        </w:numPr>
        <w:spacing w:after="80" w:line="276" w:lineRule="auto"/>
        <w:rPr>
          <w:sz w:val="22"/>
          <w:szCs w:val="22"/>
        </w:rPr>
      </w:pPr>
    </w:p>
    <w:p w14:paraId="1F2B55DA">
      <w:pPr>
        <w:pStyle w:val="16"/>
        <w:numPr>
          <w:ilvl w:val="0"/>
          <w:numId w:val="0"/>
        </w:numPr>
        <w:spacing w:after="80" w:line="276" w:lineRule="auto"/>
        <w:rPr>
          <w:sz w:val="22"/>
          <w:szCs w:val="22"/>
        </w:rPr>
      </w:pPr>
    </w:p>
    <w:p w14:paraId="04A70931">
      <w:pPr>
        <w:pStyle w:val="16"/>
        <w:numPr>
          <w:ilvl w:val="0"/>
          <w:numId w:val="0"/>
        </w:numPr>
        <w:spacing w:after="80" w:line="276" w:lineRule="auto"/>
        <w:rPr>
          <w:sz w:val="22"/>
          <w:szCs w:val="22"/>
        </w:rPr>
      </w:pPr>
    </w:p>
    <w:p w14:paraId="363D2018">
      <w:pPr>
        <w:pStyle w:val="16"/>
        <w:numPr>
          <w:ilvl w:val="0"/>
          <w:numId w:val="0"/>
        </w:numPr>
        <w:spacing w:after="80" w:line="276" w:lineRule="auto"/>
        <w:rPr>
          <w:sz w:val="22"/>
          <w:szCs w:val="22"/>
        </w:rPr>
      </w:pPr>
    </w:p>
    <w:p w14:paraId="738F89C7">
      <w:pPr>
        <w:pStyle w:val="16"/>
        <w:numPr>
          <w:ilvl w:val="0"/>
          <w:numId w:val="0"/>
        </w:numPr>
        <w:spacing w:after="80" w:line="276" w:lineRule="auto"/>
        <w:rPr>
          <w:sz w:val="22"/>
          <w:szCs w:val="22"/>
        </w:rPr>
      </w:pPr>
    </w:p>
    <w:p w14:paraId="389AA647">
      <w:pPr>
        <w:pStyle w:val="16"/>
        <w:numPr>
          <w:ilvl w:val="0"/>
          <w:numId w:val="0"/>
        </w:numPr>
        <w:spacing w:after="80" w:line="276" w:lineRule="auto"/>
        <w:rPr>
          <w:sz w:val="22"/>
          <w:szCs w:val="22"/>
        </w:rPr>
      </w:pPr>
    </w:p>
    <w:p w14:paraId="1C871897">
      <w:pPr>
        <w:pStyle w:val="16"/>
        <w:numPr>
          <w:ilvl w:val="0"/>
          <w:numId w:val="0"/>
        </w:numPr>
        <w:spacing w:after="80" w:line="276" w:lineRule="auto"/>
        <w:rPr>
          <w:sz w:val="22"/>
          <w:szCs w:val="22"/>
        </w:rPr>
      </w:pPr>
    </w:p>
    <w:p w14:paraId="6B77AE76">
      <w:pPr>
        <w:pStyle w:val="16"/>
        <w:numPr>
          <w:ilvl w:val="0"/>
          <w:numId w:val="0"/>
        </w:numPr>
        <w:spacing w:after="80" w:line="276" w:lineRule="auto"/>
        <w:rPr>
          <w:sz w:val="22"/>
          <w:szCs w:val="22"/>
        </w:rPr>
      </w:pPr>
    </w:p>
    <w:p w14:paraId="24EDFD14">
      <w:pPr>
        <w:pStyle w:val="16"/>
        <w:numPr>
          <w:ilvl w:val="0"/>
          <w:numId w:val="0"/>
        </w:numPr>
        <w:spacing w:after="80" w:line="276" w:lineRule="auto"/>
        <w:rPr>
          <w:sz w:val="22"/>
          <w:szCs w:val="22"/>
        </w:rPr>
      </w:pPr>
    </w:p>
    <w:p w14:paraId="0E94DDAE">
      <w:pPr>
        <w:pStyle w:val="16"/>
        <w:numPr>
          <w:ilvl w:val="0"/>
          <w:numId w:val="0"/>
        </w:numPr>
        <w:spacing w:after="80" w:line="276" w:lineRule="auto"/>
        <w:rPr>
          <w:sz w:val="22"/>
          <w:szCs w:val="22"/>
        </w:rPr>
      </w:pPr>
    </w:p>
    <w:p w14:paraId="5CB8E5FF">
      <w:pPr>
        <w:pStyle w:val="16"/>
        <w:numPr>
          <w:ilvl w:val="0"/>
          <w:numId w:val="0"/>
        </w:numPr>
        <w:spacing w:after="80" w:line="276" w:lineRule="auto"/>
        <w:rPr>
          <w:sz w:val="22"/>
          <w:szCs w:val="22"/>
        </w:rPr>
      </w:pPr>
    </w:p>
    <w:p w14:paraId="78B573FE">
      <w:pPr>
        <w:pStyle w:val="16"/>
        <w:numPr>
          <w:ilvl w:val="0"/>
          <w:numId w:val="0"/>
        </w:numPr>
        <w:spacing w:after="80" w:line="276" w:lineRule="auto"/>
        <w:rPr>
          <w:sz w:val="22"/>
          <w:szCs w:val="22"/>
        </w:rPr>
      </w:pPr>
    </w:p>
    <w:p w14:paraId="49D875E3">
      <w:pPr>
        <w:pStyle w:val="16"/>
        <w:numPr>
          <w:ilvl w:val="0"/>
          <w:numId w:val="0"/>
        </w:numPr>
        <w:spacing w:after="80" w:line="276" w:lineRule="auto"/>
        <w:rPr>
          <w:sz w:val="22"/>
          <w:szCs w:val="22"/>
        </w:rPr>
      </w:pPr>
    </w:p>
    <w:p w14:paraId="6725A837">
      <w:pPr>
        <w:pStyle w:val="16"/>
        <w:numPr>
          <w:ilvl w:val="0"/>
          <w:numId w:val="0"/>
        </w:numPr>
        <w:spacing w:after="80" w:line="276" w:lineRule="auto"/>
        <w:rPr>
          <w:sz w:val="22"/>
          <w:szCs w:val="22"/>
        </w:rPr>
      </w:pPr>
    </w:p>
    <w:p w14:paraId="5C203E83">
      <w:pPr>
        <w:pStyle w:val="2"/>
        <w:pBdr>
          <w:bottom w:val="single" w:color="1B2A4A" w:sz="12" w:space="4"/>
        </w:pBdr>
        <w:spacing w:before="480" w:after="240"/>
      </w:pPr>
      <w:r>
        <w:rPr>
          <w:b/>
          <w:bCs/>
          <w:color w:val="1B2A4A"/>
          <w:sz w:val="34"/>
          <w:szCs w:val="34"/>
        </w:rPr>
        <w:t>MODULE 12</w:t>
      </w:r>
    </w:p>
    <w:p w14:paraId="326C4CD6">
      <w:pPr>
        <w:spacing w:after="300"/>
      </w:pPr>
      <w:r>
        <w:rPr>
          <w:b/>
          <w:bCs/>
          <w:color w:val="9A7B2E"/>
          <w:sz w:val="30"/>
          <w:szCs w:val="30"/>
        </w:rPr>
        <w:t>ICT Sell Model</w:t>
      </w:r>
    </w:p>
    <w:p w14:paraId="442622F6">
      <w:pPr>
        <w:spacing w:after="160" w:line="288" w:lineRule="auto"/>
      </w:pPr>
      <w:r>
        <w:rPr>
          <w:b w:val="0"/>
          <w:bCs w:val="0"/>
          <w:i w:val="0"/>
          <w:iCs w:val="0"/>
          <w:sz w:val="22"/>
          <w:szCs w:val="22"/>
        </w:rPr>
        <w:t>This module is the exact mirror of Module 11. ICT-focused sources are explicit that the bearish model is the inverse of the bullish one: the same eleven-step logical chain applies in full, with every direction reversed — buy-side liquidity replaces sell-side liquidity as the target to be swept, bearish displacement replaces bullish, and the eventual target becomes sell-side liquidity rather than buy-side.</w:t>
      </w:r>
    </w:p>
    <w:p w14:paraId="694584C6">
      <w:pPr>
        <w:spacing w:after="160" w:line="288" w:lineRule="auto"/>
      </w:pPr>
      <w:r>
        <w:rPr>
          <w:b w:val="0"/>
          <w:bCs w:val="0"/>
          <w:i w:val="0"/>
          <w:iCs w:val="0"/>
          <w:sz w:val="22"/>
          <w:szCs w:val="22"/>
        </w:rPr>
        <w:t>Because the underlying logic is identical to Module 11 (only the direction changes), this module again uses the walkthrough format rather than eleven separate full concept chapters, with a fresh, fully worked numeric example using a different instrument (gold, XAU/USD) so the pattern is demonstrated in a genuinely different context rather than a copy-pasted mirror image.</w:t>
      </w:r>
    </w:p>
    <w:p w14:paraId="0F80D097">
      <w:pPr>
        <w:spacing w:after="160" w:line="288" w:lineRule="auto"/>
      </w:pPr>
      <w:r>
        <w:rPr>
          <w:b w:val="0"/>
          <w:bCs w:val="0"/>
          <w:i w:val="0"/>
          <w:iCs w:val="0"/>
          <w:sz w:val="22"/>
          <w:szCs w:val="22"/>
        </w:rPr>
        <w:t>This module assumes full fluency with Module 11 and every module before it.</w:t>
      </w:r>
    </w:p>
    <w:p w14:paraId="5AF6D881">
      <w:r>
        <w:br w:type="page"/>
      </w:r>
    </w:p>
    <w:p w14:paraId="3C483BEB">
      <w:pPr>
        <w:pStyle w:val="3"/>
        <w:spacing w:before="360" w:after="160"/>
      </w:pPr>
      <w:r>
        <w:rPr>
          <w:b/>
          <w:bCs/>
          <w:color w:val="1B2A4A"/>
          <w:sz w:val="26"/>
          <w:szCs w:val="26"/>
        </w:rPr>
        <w:t>The Sell Model Sequence</w:t>
      </w:r>
    </w:p>
    <w:p w14:paraId="69277F0F">
      <w:pPr>
        <w:spacing w:after="160" w:line="288" w:lineRule="auto"/>
      </w:pPr>
      <w:r>
        <w:rPr>
          <w:b w:val="0"/>
          <w:bCs w:val="0"/>
          <w:i w:val="0"/>
          <w:iCs w:val="0"/>
          <w:sz w:val="22"/>
          <w:szCs w:val="22"/>
        </w:rPr>
        <w:t>As in Module 11, these eleven steps form one continuous logical chain. Compare this diagram directly against Module 11's — every step is the mirror image of its bullish counterpart.</w:t>
      </w:r>
    </w:p>
    <w:p w14:paraId="142827E2">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HTF BEARISH CONTEXT</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IDENTIFY BUY-SIDE LIQUIDITY (BSL)</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LIQUIDITY SWEEP (of BSL)</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BEARISH DISPLACEMENT</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BEARISH MARKET STRUCTURE SHIFT</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FVG / ORDER BLOCK (left behind by displacement)</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RETRACEMENT (price pulls back up toward the FVG/OB)</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OTE  (62%–79% zone confirms the FVG/OB location)</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ENTRY ZONE (specific price finalized)</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ENTRY (order placed, stop set beyond the swept high)</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TARGET LIQUIDITY (sell-side liquidity below)</w:t>
      </w:r>
    </w:p>
    <w:p w14:paraId="72C7E8ED">
      <w:pPr>
        <w:spacing w:after="160" w:line="288" w:lineRule="auto"/>
      </w:pPr>
      <w:r>
        <w:rPr>
          <w:b w:val="0"/>
          <w:bCs w:val="0"/>
          <w:i w:val="0"/>
          <w:iCs w:val="0"/>
          <w:sz w:val="22"/>
          <w:szCs w:val="22"/>
        </w:rPr>
        <w:t>Every dependency from Module 11 applies here unchanged, just reversed in direction: a Fair Value Gap without a preceding sweep and displacement is still just a gap; a Market Structure Shift without a preceding sweep is still a weaker, less-confirmed shift; an entry without a defined target is still not a complete trade idea.</w:t>
      </w:r>
    </w:p>
    <w:p w14:paraId="434C7896">
      <w:r>
        <w:br w:type="page"/>
      </w:r>
    </w:p>
    <w:p w14:paraId="232E3E51">
      <w:pPr>
        <w:pStyle w:val="2"/>
        <w:pBdr>
          <w:bottom w:val="single" w:color="1B2A4A" w:sz="12" w:space="4"/>
        </w:pBdr>
        <w:spacing w:before="480" w:after="240"/>
      </w:pPr>
      <w:r>
        <w:rPr>
          <w:b/>
          <w:bCs/>
          <w:color w:val="1B2A4A"/>
          <w:sz w:val="34"/>
          <w:szCs w:val="34"/>
        </w:rPr>
        <w:t>The Eleven Steps</w:t>
      </w:r>
    </w:p>
    <w:p w14:paraId="5225D6B5">
      <w:pPr>
        <w:pStyle w:val="3"/>
        <w:spacing w:before="360" w:after="160"/>
      </w:pPr>
      <w:r>
        <w:rPr>
          <w:b/>
          <w:bCs/>
          <w:color w:val="1B2A4A"/>
          <w:sz w:val="26"/>
          <w:szCs w:val="26"/>
        </w:rPr>
        <w:t>Step 1 — Identify HTF Bearish Context</w:t>
      </w:r>
    </w:p>
    <w:p w14:paraId="15664875">
      <w:pPr>
        <w:spacing w:after="160" w:line="288" w:lineRule="auto"/>
      </w:pPr>
      <w:r>
        <w:rPr>
          <w:b w:val="0"/>
          <w:bCs w:val="0"/>
          <w:i w:val="0"/>
          <w:iCs w:val="0"/>
          <w:sz w:val="22"/>
          <w:szCs w:val="22"/>
        </w:rPr>
        <w:t>Confirm the higher timeframe (daily and 4-hour) shows bearish market structure — a pattern of lower highs and lower lows — and/or a recently confirmed bearish HTF Market Structure Shift. Check that current price sits in the premium half (above the 50% equilibrium) of the relevant higher-timeframe dealing range.</w:t>
      </w:r>
    </w:p>
    <w:p w14:paraId="1E1E499C">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As with the Buy Model, every source reviewed treats this as the non-negotiable first filter. A bearish lower-timeframe setup taken against a bullish or unclear higher-timeframe picture is treated as low-probability. Confirming bearish HTF context first ensures every later step is read in the direction institutions are more likely to be net-supporting.</w:t>
      </w:r>
    </w:p>
    <w:p w14:paraId="5F9FAA6A">
      <w:pPr>
        <w:spacing w:after="160" w:line="288" w:lineRule="auto"/>
      </w:pPr>
      <w:r>
        <w:rPr>
          <w:b w:val="0"/>
          <w:bCs w:val="0"/>
          <w:i/>
          <w:iCs/>
          <w:sz w:val="22"/>
          <w:szCs w:val="22"/>
        </w:rPr>
        <w:t>Originally defined in: Module 10 (Bias) and Module 3 (Market Structure).</w:t>
      </w:r>
    </w:p>
    <w:p w14:paraId="69B3D312">
      <w:pPr>
        <w:pStyle w:val="3"/>
        <w:spacing w:before="360" w:after="160"/>
      </w:pPr>
      <w:r>
        <w:rPr>
          <w:b/>
          <w:bCs/>
          <w:color w:val="1B2A4A"/>
          <w:sz w:val="26"/>
          <w:szCs w:val="26"/>
        </w:rPr>
        <w:t>Step 2 — Identify Buy-Side Liquidity</w:t>
      </w:r>
    </w:p>
    <w:p w14:paraId="0F8A190A">
      <w:pPr>
        <w:spacing w:after="160" w:line="288" w:lineRule="auto"/>
      </w:pPr>
      <w:r>
        <w:rPr>
          <w:b w:val="0"/>
          <w:bCs w:val="0"/>
          <w:i w:val="0"/>
          <w:iCs w:val="0"/>
          <w:sz w:val="22"/>
          <w:szCs w:val="22"/>
        </w:rPr>
        <w:t>With bearish HTF context established, locate the nearest significant buy-side liquidity pool above current price — commonly a recent swing high, equal highs, the session high, or the previous day's high.</w:t>
      </w:r>
    </w:p>
    <w:p w14:paraId="217A911D">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In a bearish setup, this resting pool of buy-stop orders is exactly the liquidity this framework expects price to reach for before the real bearish move begins (per Module 9's Power of 3: accumulation, then a manipulation spike into this pool, then bearish distribution). Marking it in advance turns a vague expectation into a specific, watchable price level.</w:t>
      </w:r>
    </w:p>
    <w:p w14:paraId="2C55DB0D">
      <w:pPr>
        <w:spacing w:after="160" w:line="288" w:lineRule="auto"/>
      </w:pPr>
      <w:r>
        <w:rPr>
          <w:b w:val="0"/>
          <w:bCs w:val="0"/>
          <w:i/>
          <w:iCs/>
          <w:sz w:val="22"/>
          <w:szCs w:val="22"/>
        </w:rPr>
        <w:t>Originally defined in: Module 4 (Liquidity).</w:t>
      </w:r>
    </w:p>
    <w:p w14:paraId="0608A7D7">
      <w:pPr>
        <w:pStyle w:val="3"/>
        <w:spacing w:before="360" w:after="160"/>
      </w:pPr>
      <w:r>
        <w:rPr>
          <w:b/>
          <w:bCs/>
          <w:color w:val="1B2A4A"/>
          <w:sz w:val="26"/>
          <w:szCs w:val="26"/>
        </w:rPr>
        <w:t>Step 3 — Liquidity Sweep</w:t>
      </w:r>
    </w:p>
    <w:p w14:paraId="3750C6DD">
      <w:pPr>
        <w:spacing w:after="160" w:line="288" w:lineRule="auto"/>
      </w:pPr>
      <w:r>
        <w:rPr>
          <w:b w:val="0"/>
          <w:bCs w:val="0"/>
          <w:i w:val="0"/>
          <w:iCs w:val="0"/>
          <w:sz w:val="22"/>
          <w:szCs w:val="22"/>
        </w:rPr>
        <w:t>Wait for price to actually trade through the marked buy-side liquidity level — ideally with a sharp, brief spike above it rather than a slow grind — followed by signs of a reversal back below that level.</w:t>
      </w:r>
    </w:p>
    <w:p w14:paraId="1BED4F3F">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As in the Buy Model, this is described as non-negotiable: without a genuine sweep, an eventual bearish move is just an ordinary breakdown with no particular reason to expect it was preceded by engineered manipulation. The sweep is the specific evidence that the liquidity this framework expects institutions to need has actually been collected.</w:t>
      </w:r>
    </w:p>
    <w:p w14:paraId="03B79588">
      <w:pPr>
        <w:spacing w:after="160" w:line="288" w:lineRule="auto"/>
      </w:pPr>
      <w:r>
        <w:rPr>
          <w:b w:val="0"/>
          <w:bCs w:val="0"/>
          <w:i/>
          <w:iCs/>
          <w:sz w:val="22"/>
          <w:szCs w:val="22"/>
        </w:rPr>
        <w:t>Originally defined in: Module 4 (Liquidity) and Module 9 (Power of 3 — Manipulation).</w:t>
      </w:r>
    </w:p>
    <w:p w14:paraId="4A9348FB">
      <w:pPr>
        <w:pStyle w:val="3"/>
        <w:spacing w:before="360" w:after="160"/>
      </w:pPr>
      <w:r>
        <w:rPr>
          <w:b/>
          <w:bCs/>
          <w:color w:val="1B2A4A"/>
          <w:sz w:val="26"/>
          <w:szCs w:val="26"/>
        </w:rPr>
        <w:t>Step 4 — Bearish Displacement</w:t>
      </w:r>
    </w:p>
    <w:p w14:paraId="6B7EFF85">
      <w:pPr>
        <w:spacing w:after="160" w:line="288" w:lineRule="auto"/>
      </w:pPr>
      <w:r>
        <w:rPr>
          <w:b w:val="0"/>
          <w:bCs w:val="0"/>
          <w:i w:val="0"/>
          <w:iCs w:val="0"/>
          <w:sz w:val="22"/>
          <w:szCs w:val="22"/>
        </w:rPr>
        <w:t>Following the sweep, watch for a fast, forceful, large-bodied bearish move away from the swept high — not a slow, overlapping drift back downward.</w:t>
      </w:r>
    </w:p>
    <w:p w14:paraId="71E30200">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Displacement is the evidence that order flow has genuinely flipped rather than the market simply drifting back to a fair price after a brief overshoot. It is also the specific mechanical event that will create the Fair Value Gap used as the entry zone in Step 6.</w:t>
      </w:r>
    </w:p>
    <w:p w14:paraId="0E01CD92">
      <w:pPr>
        <w:spacing w:after="160" w:line="288" w:lineRule="auto"/>
      </w:pPr>
      <w:r>
        <w:rPr>
          <w:b w:val="0"/>
          <w:bCs w:val="0"/>
          <w:i/>
          <w:iCs/>
          <w:sz w:val="22"/>
          <w:szCs w:val="22"/>
        </w:rPr>
        <w:t>Originally defined in: Module 5 (Displacement &amp; Imbalance).</w:t>
      </w:r>
    </w:p>
    <w:p w14:paraId="79896540">
      <w:pPr>
        <w:pStyle w:val="3"/>
        <w:spacing w:before="360" w:after="160"/>
      </w:pPr>
      <w:r>
        <w:rPr>
          <w:b/>
          <w:bCs/>
          <w:color w:val="1B2A4A"/>
          <w:sz w:val="26"/>
          <w:szCs w:val="26"/>
        </w:rPr>
        <w:t>Step 5 — Bearish MSS</w:t>
      </w:r>
    </w:p>
    <w:p w14:paraId="21E413CA">
      <w:pPr>
        <w:spacing w:after="160" w:line="288" w:lineRule="auto"/>
      </w:pPr>
      <w:r>
        <w:rPr>
          <w:b w:val="0"/>
          <w:bCs w:val="0"/>
          <w:i w:val="0"/>
          <w:iCs w:val="0"/>
          <w:sz w:val="22"/>
          <w:szCs w:val="22"/>
        </w:rPr>
        <w:t>Confirm that the bearish displacement move actually breaks a meaningful, relevant short-term swing low — not an insignificant micro-low — with a genuine candle-body close beyond it, on a lower timeframe such as the 5-minute or 15-minute chart.</w:t>
      </w:r>
    </w:p>
    <w:p w14:paraId="00D983A7">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This is what distinguishes a genuine reversal from a liquidity sweep that simply continues in the original (bullish) direction after a brief pause. Requiring the break to be of a meaningful swing filters out weak, low-conviction shifts.</w:t>
      </w:r>
    </w:p>
    <w:p w14:paraId="06844387">
      <w:pPr>
        <w:spacing w:after="160" w:line="288" w:lineRule="auto"/>
      </w:pPr>
      <w:r>
        <w:rPr>
          <w:b w:val="0"/>
          <w:bCs w:val="0"/>
          <w:i/>
          <w:iCs/>
          <w:sz w:val="22"/>
          <w:szCs w:val="22"/>
        </w:rPr>
        <w:t>Originally defined in: Module 3 (Market Structure Shift).</w:t>
      </w:r>
    </w:p>
    <w:p w14:paraId="4307153A">
      <w:pPr>
        <w:pStyle w:val="3"/>
        <w:spacing w:before="360" w:after="160"/>
      </w:pPr>
      <w:r>
        <w:rPr>
          <w:b/>
          <w:bCs/>
          <w:color w:val="1B2A4A"/>
          <w:sz w:val="26"/>
          <w:szCs w:val="26"/>
        </w:rPr>
        <w:t>Step 6 — FVG / Order Block</w:t>
      </w:r>
    </w:p>
    <w:p w14:paraId="540B6A90">
      <w:pPr>
        <w:spacing w:after="160" w:line="288" w:lineRule="auto"/>
      </w:pPr>
      <w:r>
        <w:rPr>
          <w:b w:val="0"/>
          <w:bCs w:val="0"/>
          <w:i w:val="0"/>
          <w:iCs w:val="0"/>
          <w:sz w:val="22"/>
          <w:szCs w:val="22"/>
        </w:rPr>
        <w:t>Locate the Fair Value Gap left behind by the bearish displacement candle(s) from Step 4, and check whether a bearish Order Block (the last bullish candle immediately before that displacement) sits at or near the same price zone.</w:t>
      </w:r>
    </w:p>
    <w:p w14:paraId="484BD46D">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This zone — not the current market price — is where an entry should actually be planned. The FVG itself is not the reason for the trade; the sweep and displacement are. The FVG is simply the specific, precise location the entry will be placed at, and a nearby overlapping Order Block strengthens the zone further.</w:t>
      </w:r>
    </w:p>
    <w:p w14:paraId="6B0D9C1D">
      <w:pPr>
        <w:spacing w:after="160" w:line="288" w:lineRule="auto"/>
      </w:pPr>
      <w:r>
        <w:rPr>
          <w:b w:val="0"/>
          <w:bCs w:val="0"/>
          <w:i/>
          <w:iCs/>
          <w:sz w:val="22"/>
          <w:szCs w:val="22"/>
        </w:rPr>
        <w:t>Originally defined in: Module 5 (Fair Value Gap) and Module 6 (Order Block).</w:t>
      </w:r>
    </w:p>
    <w:p w14:paraId="197C239D">
      <w:pPr>
        <w:pStyle w:val="3"/>
        <w:spacing w:before="360" w:after="160"/>
      </w:pPr>
      <w:r>
        <w:rPr>
          <w:b/>
          <w:bCs/>
          <w:color w:val="1B2A4A"/>
          <w:sz w:val="26"/>
          <w:szCs w:val="26"/>
        </w:rPr>
        <w:t>Step 7 — Retracement</w:t>
      </w:r>
    </w:p>
    <w:p w14:paraId="2793B9BC">
      <w:pPr>
        <w:spacing w:after="160" w:line="288" w:lineRule="auto"/>
      </w:pPr>
      <w:r>
        <w:rPr>
          <w:b w:val="0"/>
          <w:bCs w:val="0"/>
          <w:i w:val="0"/>
          <w:iCs w:val="0"/>
          <w:sz w:val="22"/>
          <w:szCs w:val="22"/>
        </w:rPr>
        <w:t>Wait, without entering, for price to actually retrace back up from the lows made after the MSS, traveling back toward the FVG/Order Block zone identified in Step 6.</w:t>
      </w:r>
    </w:p>
    <w:p w14:paraId="0C4336B4">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Entering immediately when the MSS is confirmed means chasing price at a worse price with a wider stop-loss. Waiting for the retracement keeps risk tightly defined and the entry close to the original point of reversal.</w:t>
      </w:r>
    </w:p>
    <w:p w14:paraId="102D4C2F">
      <w:pPr>
        <w:spacing w:after="160" w:line="288" w:lineRule="auto"/>
      </w:pPr>
      <w:r>
        <w:rPr>
          <w:b w:val="0"/>
          <w:bCs w:val="0"/>
          <w:i/>
          <w:iCs/>
          <w:sz w:val="22"/>
          <w:szCs w:val="22"/>
        </w:rPr>
        <w:t>Originally defined in: Module 1 (Retracement) and Module 7 (Retracement into OTE).</w:t>
      </w:r>
    </w:p>
    <w:p w14:paraId="31C4F20A">
      <w:pPr>
        <w:pStyle w:val="3"/>
        <w:spacing w:before="360" w:after="160"/>
      </w:pPr>
      <w:r>
        <w:rPr>
          <w:b/>
          <w:bCs/>
          <w:color w:val="1B2A4A"/>
          <w:sz w:val="26"/>
          <w:szCs w:val="26"/>
        </w:rPr>
        <w:t>Step 8 — OTE</w:t>
      </w:r>
    </w:p>
    <w:p w14:paraId="60A895F0">
      <w:pPr>
        <w:spacing w:after="160" w:line="288" w:lineRule="auto"/>
      </w:pPr>
      <w:r>
        <w:rPr>
          <w:b w:val="0"/>
          <w:bCs w:val="0"/>
          <w:i w:val="0"/>
          <w:iCs w:val="0"/>
          <w:sz w:val="22"/>
          <w:szCs w:val="22"/>
        </w:rPr>
        <w:t>Apply a Fibonacci retracement to the impulse leg created by the displacement (from the swept high down to the low made before the retracement began), and check whether the FVG/Order Block zone from Step 6 falls within, or close to, the 62%–79% OTE band, ideally near the 70.5% sweet spot.</w:t>
      </w:r>
    </w:p>
    <w:p w14:paraId="5F425425">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This cross-checks the PD array-based entry zone against an independent tool. Confluence between the PD array and the OTE band is treated as a substantially higher-confidence setup than either alone.</w:t>
      </w:r>
    </w:p>
    <w:p w14:paraId="5C3B3947">
      <w:pPr>
        <w:spacing w:after="160" w:line="288" w:lineRule="auto"/>
      </w:pPr>
      <w:r>
        <w:rPr>
          <w:b w:val="0"/>
          <w:bCs w:val="0"/>
          <w:i/>
          <w:iCs/>
          <w:sz w:val="22"/>
          <w:szCs w:val="22"/>
        </w:rPr>
        <w:t>Originally defined in: Module 7 (Fibonacci &amp; OTE).</w:t>
      </w:r>
    </w:p>
    <w:p w14:paraId="7F46293F">
      <w:pPr>
        <w:pStyle w:val="3"/>
        <w:spacing w:before="360" w:after="160"/>
      </w:pPr>
      <w:r>
        <w:rPr>
          <w:b/>
          <w:bCs/>
          <w:color w:val="1B2A4A"/>
          <w:sz w:val="26"/>
          <w:szCs w:val="26"/>
        </w:rPr>
        <w:t>Step 9 — Entry Zone</w:t>
      </w:r>
    </w:p>
    <w:p w14:paraId="364F1BAC">
      <w:pPr>
        <w:spacing w:after="160" w:line="288" w:lineRule="auto"/>
      </w:pPr>
      <w:r>
        <w:rPr>
          <w:b w:val="0"/>
          <w:bCs w:val="0"/>
          <w:i w:val="0"/>
          <w:iCs w:val="0"/>
          <w:sz w:val="22"/>
          <w:szCs w:val="22"/>
        </w:rPr>
        <w:t>Finalize the specific entry price, typically at or near the midpoint of the FVG (its Consequent Encroachment) or at the boundary of the Order Block, within the confirmed OTE band.</w:t>
      </w:r>
    </w:p>
    <w:p w14:paraId="66604CFD">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This converts everything confirmed so far into one specific, plannable price, allowing a specific, calculable stop-loss and risk amount to be defined before the trade is placed.</w:t>
      </w:r>
    </w:p>
    <w:p w14:paraId="0A82BABE">
      <w:pPr>
        <w:spacing w:after="160" w:line="288" w:lineRule="auto"/>
      </w:pPr>
      <w:r>
        <w:rPr>
          <w:b w:val="0"/>
          <w:bCs w:val="0"/>
          <w:i/>
          <w:iCs/>
          <w:sz w:val="22"/>
          <w:szCs w:val="22"/>
        </w:rPr>
        <w:t>Originally defined in: Module 7 (Entry Zone) and Module 6 (PD Arrays).</w:t>
      </w:r>
    </w:p>
    <w:p w14:paraId="02A48285">
      <w:pPr>
        <w:pStyle w:val="3"/>
        <w:spacing w:before="360" w:after="160"/>
      </w:pPr>
      <w:r>
        <w:rPr>
          <w:b/>
          <w:bCs/>
          <w:color w:val="1B2A4A"/>
          <w:sz w:val="26"/>
          <w:szCs w:val="26"/>
        </w:rPr>
        <w:t>Step 10 — Entry</w:t>
      </w:r>
    </w:p>
    <w:p w14:paraId="7FE0E659">
      <w:pPr>
        <w:spacing w:after="160" w:line="288" w:lineRule="auto"/>
      </w:pPr>
      <w:r>
        <w:rPr>
          <w:b w:val="0"/>
          <w:bCs w:val="0"/>
          <w:i w:val="0"/>
          <w:iCs w:val="0"/>
          <w:sz w:val="22"/>
          <w:szCs w:val="22"/>
        </w:rPr>
        <w:t>Place the entry — either a resting limit order at the entry zone, or a market entry once price reaches the zone and shows an additional lower-timeframe confirmation signal (such as a 1-minute bearish MSS or a rejection candle). Set the stop-loss just beyond the high of the liquidity sweep from Step 3, and calculate position size from the resulting risk distance.</w:t>
      </w:r>
    </w:p>
    <w:p w14:paraId="7764B5D0">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The stop-loss is directly tied to the specific evidence this sequence was built on: if price closes back above the swept high, the premise of the trade (genuine manipulation followed by real reversal, not just a pause in an ongoing uptrend) is invalidated. Placing the stop there keeps it tied to a specific, falsifiable piece of the trade's logic.</w:t>
      </w:r>
    </w:p>
    <w:p w14:paraId="515DDB0C">
      <w:pPr>
        <w:spacing w:after="160" w:line="288" w:lineRule="auto"/>
      </w:pPr>
      <w:r>
        <w:rPr>
          <w:b w:val="0"/>
          <w:bCs w:val="0"/>
          <w:i/>
          <w:iCs/>
          <w:sz w:val="22"/>
          <w:szCs w:val="22"/>
        </w:rPr>
        <w:t>Originally defined in: New synthesis of Modules 1–10.</w:t>
      </w:r>
    </w:p>
    <w:p w14:paraId="459853FA">
      <w:pPr>
        <w:pStyle w:val="3"/>
        <w:spacing w:before="360" w:after="160"/>
      </w:pPr>
      <w:r>
        <w:rPr>
          <w:b/>
          <w:bCs/>
          <w:color w:val="1B2A4A"/>
          <w:sz w:val="26"/>
          <w:szCs w:val="26"/>
        </w:rPr>
        <w:t>Step 11 — Target Liquidity</w:t>
      </w:r>
    </w:p>
    <w:p w14:paraId="2543A607">
      <w:pPr>
        <w:spacing w:after="160" w:line="288" w:lineRule="auto"/>
      </w:pPr>
      <w:r>
        <w:rPr>
          <w:b w:val="0"/>
          <w:bCs w:val="0"/>
          <w:i w:val="0"/>
          <w:iCs w:val="0"/>
          <w:sz w:val="22"/>
          <w:szCs w:val="22"/>
        </w:rPr>
        <w:t>Set the primary profit target at the nearest significant sell-side liquidity pool below current price — commonly the low created during the displacement itself, a prior day/week low, or equal lows — with secondary, further targets at additional higher-timeframe sell-side liquidity pools beyond that.</w:t>
      </w:r>
    </w:p>
    <w:p w14:paraId="62DB09A3">
      <w:pPr>
        <w:pBdr>
          <w:left w:val="single" w:color="9A7B2E" w:sz="24" w:space="8"/>
        </w:pBdr>
        <w:shd w:val="clear" w:fill="EFEFEF"/>
        <w:spacing w:before="160" w:after="200"/>
        <w:ind w:left="200"/>
      </w:pPr>
      <w:r>
        <w:rPr>
          <w:b/>
          <w:bCs/>
          <w:color w:val="9A7B2E"/>
          <w:sz w:val="21"/>
          <w:szCs w:val="21"/>
        </w:rPr>
        <w:t xml:space="preserve">Why this step matters: </w:t>
      </w:r>
      <w:r>
        <w:rPr>
          <w:sz w:val="21"/>
          <w:szCs w:val="21"/>
        </w:rPr>
        <w:t>This closes the loop the sequence was built around: the trade is aimed specifically at the next pool of resting liquidity this framework expects price to be drawn toward, using the same liquidity-pool logic from Module 4 that identified the buy-side target back in Step 2 — now applied to the opposite side of the market as the objective.</w:t>
      </w:r>
    </w:p>
    <w:p w14:paraId="2E54E650">
      <w:pPr>
        <w:spacing w:after="160" w:line="288" w:lineRule="auto"/>
      </w:pPr>
      <w:r>
        <w:rPr>
          <w:b w:val="0"/>
          <w:bCs w:val="0"/>
          <w:i/>
          <w:iCs/>
          <w:sz w:val="22"/>
          <w:szCs w:val="22"/>
        </w:rPr>
        <w:t>Originally defined in: Module 4 (Sell-Side Liquidity).</w:t>
      </w:r>
    </w:p>
    <w:p w14:paraId="772FCEA1">
      <w:r>
        <w:br w:type="page"/>
      </w:r>
    </w:p>
    <w:p w14:paraId="4F607CF7">
      <w:pPr>
        <w:pStyle w:val="2"/>
        <w:pBdr>
          <w:bottom w:val="single" w:color="1B2A4A" w:sz="12" w:space="4"/>
        </w:pBdr>
        <w:spacing w:before="480" w:after="240"/>
      </w:pPr>
      <w:r>
        <w:rPr>
          <w:b/>
          <w:bCs/>
          <w:color w:val="1B2A4A"/>
          <w:sz w:val="34"/>
          <w:szCs w:val="34"/>
        </w:rPr>
        <w:t>Complete Worked Example</w:t>
      </w:r>
    </w:p>
    <w:p w14:paraId="0366D2E1">
      <w:pPr>
        <w:spacing w:after="160" w:line="288" w:lineRule="auto"/>
      </w:pPr>
      <w:r>
        <w:rPr>
          <w:b w:val="0"/>
          <w:bCs w:val="0"/>
          <w:i w:val="0"/>
          <w:iCs w:val="0"/>
          <w:sz w:val="22"/>
          <w:szCs w:val="22"/>
        </w:rPr>
        <w:t>The following fully worked numeric example adapts a bearish XAU/USD (gold) sequence documented in ICT-focused secondary sources, walking through all eleven steps using one continuous, realistic set of price levels.</w:t>
      </w:r>
    </w:p>
    <w:p w14:paraId="4D9DD896">
      <w:pPr>
        <w:pStyle w:val="3"/>
        <w:spacing w:before="360" w:after="160"/>
      </w:pPr>
      <w:r>
        <w:rPr>
          <w:b/>
          <w:bCs/>
          <w:color w:val="1B2A4A"/>
          <w:sz w:val="26"/>
          <w:szCs w:val="26"/>
        </w:rPr>
        <w:t>The Sequence, Step by Step</w:t>
      </w:r>
    </w:p>
    <w:p w14:paraId="1CE06146">
      <w:pPr>
        <w:pStyle w:val="16"/>
        <w:numPr>
          <w:ilvl w:val="0"/>
          <w:numId w:val="1"/>
        </w:numPr>
        <w:spacing w:after="80" w:line="276" w:lineRule="auto"/>
      </w:pPr>
      <w:r>
        <w:rPr>
          <w:sz w:val="22"/>
          <w:szCs w:val="22"/>
        </w:rPr>
        <w:t>HTF Context (Step 1): The daily and 4-hour charts show XAU/USD in a developing downtrend, with price currently sitting in the premium half of the daily dealing range following a multi-day rally. Daily bias is bearish.</w:t>
      </w:r>
    </w:p>
    <w:p w14:paraId="669BCE75">
      <w:pPr>
        <w:pStyle w:val="16"/>
        <w:numPr>
          <w:ilvl w:val="0"/>
          <w:numId w:val="1"/>
        </w:numPr>
        <w:spacing w:after="80" w:line="276" w:lineRule="auto"/>
      </w:pPr>
      <w:r>
        <w:rPr>
          <w:sz w:val="22"/>
          <w:szCs w:val="22"/>
        </w:rPr>
        <w:t>Buy-Side Liquidity (Step 2): The morning session has established a high at 2,652.00 (BSL), with the prior day's high at 2,654.50 sitting just above it as a secondary layer of buy-side liquidity.</w:t>
      </w:r>
    </w:p>
    <w:p w14:paraId="00F82F3E">
      <w:pPr>
        <w:pStyle w:val="16"/>
        <w:numPr>
          <w:ilvl w:val="0"/>
          <w:numId w:val="1"/>
        </w:numPr>
        <w:spacing w:after="80" w:line="276" w:lineRule="auto"/>
      </w:pPr>
      <w:r>
        <w:rPr>
          <w:sz w:val="22"/>
          <w:szCs w:val="22"/>
        </w:rPr>
        <w:t>Liquidity Sweep (Step 3): At 2:00 PM ET, price pushes up through 2,652.00 and continues to 2,655.80 — sweeping both the morning high and the prior-day-high liquidity layer in one move, before stalling.</w:t>
      </w:r>
    </w:p>
    <w:p w14:paraId="2D5807C7">
      <w:pPr>
        <w:pStyle w:val="16"/>
        <w:numPr>
          <w:ilvl w:val="0"/>
          <w:numId w:val="1"/>
        </w:numPr>
        <w:spacing w:after="80" w:line="276" w:lineRule="auto"/>
      </w:pPr>
      <w:r>
        <w:rPr>
          <w:sz w:val="22"/>
          <w:szCs w:val="22"/>
        </w:rPr>
        <w:t>Bearish Displacement (Step 4): A heavy, large-bodied bearish candle moves price from 2,655.80 down to 2,644.20 — a strong, fast move with minimal upper wick, sharply reversing the prior upward push.</w:t>
      </w:r>
    </w:p>
    <w:p w14:paraId="48C0E6D9">
      <w:pPr>
        <w:pStyle w:val="16"/>
        <w:numPr>
          <w:ilvl w:val="0"/>
          <w:numId w:val="1"/>
        </w:numPr>
        <w:spacing w:after="80" w:line="276" w:lineRule="auto"/>
      </w:pPr>
      <w:r>
        <w:rPr>
          <w:sz w:val="22"/>
          <w:szCs w:val="22"/>
        </w:rPr>
        <w:t>Bearish MSS (Step 5): This displacement candle closes below the most recent relevant short-term low on the 5-minute chart, confirming a bearish Market Structure Shift.</w:t>
      </w:r>
    </w:p>
    <w:p w14:paraId="00413C2A">
      <w:pPr>
        <w:pStyle w:val="16"/>
        <w:numPr>
          <w:ilvl w:val="0"/>
          <w:numId w:val="1"/>
        </w:numPr>
        <w:spacing w:after="80" w:line="276" w:lineRule="auto"/>
      </w:pPr>
      <w:r>
        <w:rPr>
          <w:sz w:val="22"/>
          <w:szCs w:val="22"/>
        </w:rPr>
        <w:t>FVG / Order Block (Step 6): The displacement candle leaves a Fair Value Gap spanning 2,648.30–2,651.60. The last bullish candle immediately before the displacement (a bearish Order Block) sits at approximately 2,651.60–2,653.40, just above the FVG.</w:t>
      </w:r>
    </w:p>
    <w:p w14:paraId="0B3D8312">
      <w:pPr>
        <w:pStyle w:val="16"/>
        <w:numPr>
          <w:ilvl w:val="0"/>
          <w:numId w:val="1"/>
        </w:numPr>
        <w:spacing w:after="80" w:line="276" w:lineRule="auto"/>
      </w:pPr>
      <w:r>
        <w:rPr>
          <w:sz w:val="22"/>
          <w:szCs w:val="22"/>
        </w:rPr>
        <w:t>Retracement (Step 7): Price continues briefly lower after the MSS, then begins retracing back up toward the 2,648.30–2,651.60 zone.</w:t>
      </w:r>
    </w:p>
    <w:p w14:paraId="2143AAB7">
      <w:pPr>
        <w:pStyle w:val="16"/>
        <w:numPr>
          <w:ilvl w:val="0"/>
          <w:numId w:val="1"/>
        </w:numPr>
        <w:spacing w:after="80" w:line="276" w:lineRule="auto"/>
      </w:pPr>
      <w:r>
        <w:rPr>
          <w:sz w:val="22"/>
          <w:szCs w:val="22"/>
        </w:rPr>
        <w:t>OTE (Step 8): A Fibonacci retracement drawn on the impulse leg (from the 2,655.80 high to the post-MSS low) places the 62%–79% OTE band in close alignment with the FVG/Order Block zone, with the 70.5% sweet spot sitting at approximately 2,650.10 — close to the midpoint of the FVG.</w:t>
      </w:r>
    </w:p>
    <w:p w14:paraId="60FAC814">
      <w:pPr>
        <w:pStyle w:val="16"/>
        <w:numPr>
          <w:ilvl w:val="0"/>
          <w:numId w:val="1"/>
        </w:numPr>
        <w:spacing w:after="80" w:line="276" w:lineRule="auto"/>
      </w:pPr>
      <w:r>
        <w:rPr>
          <w:sz w:val="22"/>
          <w:szCs w:val="22"/>
        </w:rPr>
        <w:t>Entry Zone (Step 9): The entry zone is finalized at 2,649.90 (near the FVG midpoint and the 70.5% OTE level), inside both the FVG and the OTE band — a two-tool confluence.</w:t>
      </w:r>
    </w:p>
    <w:p w14:paraId="2BFBAA65">
      <w:pPr>
        <w:pStyle w:val="16"/>
        <w:numPr>
          <w:ilvl w:val="0"/>
          <w:numId w:val="1"/>
        </w:numPr>
        <w:spacing w:after="80" w:line="276" w:lineRule="auto"/>
      </w:pPr>
      <w:r>
        <w:rPr>
          <w:sz w:val="22"/>
          <w:szCs w:val="22"/>
        </w:rPr>
        <w:t>Entry (Step 10): A limit order is placed at 2,649.90 (short). The stop-loss is placed at 2,656.40, a small buffer above the swept high of 2,655.80 — the level whose failure would invalidate the entire premise of the trade.</w:t>
      </w:r>
    </w:p>
    <w:p w14:paraId="612C8F3A">
      <w:pPr>
        <w:pStyle w:val="16"/>
        <w:numPr>
          <w:ilvl w:val="0"/>
          <w:numId w:val="1"/>
        </w:numPr>
        <w:spacing w:after="80" w:line="276" w:lineRule="auto"/>
      </w:pPr>
      <w:r>
        <w:rPr>
          <w:sz w:val="22"/>
          <w:szCs w:val="22"/>
        </w:rPr>
        <w:t>Target Liquidity (Step 11): The primary target is the low made during the displacement itself, near 2,644.20, with a secondary target at a significant sell-side liquidity pool from the prior week's low near 2,618.00 — a much larger, macro-level objective.</w:t>
      </w:r>
    </w:p>
    <w:p w14:paraId="382B816C">
      <w:pPr>
        <w:pStyle w:val="3"/>
        <w:spacing w:before="360" w:after="160"/>
      </w:pPr>
      <w:r>
        <w:rPr>
          <w:b/>
          <w:bCs/>
          <w:color w:val="1B2A4A"/>
          <w:sz w:val="26"/>
          <w:szCs w:val="26"/>
        </w:rPr>
        <w:t>Risk and Reward</w:t>
      </w:r>
    </w:p>
    <w:p w14:paraId="127B1F4D">
      <w:pPr>
        <w:spacing w:after="160" w:line="288" w:lineRule="auto"/>
      </w:pPr>
      <w:r>
        <w:rPr>
          <w:b w:val="0"/>
          <w:bCs w:val="0"/>
          <w:i w:val="0"/>
          <w:iCs w:val="0"/>
          <w:sz w:val="22"/>
          <w:szCs w:val="22"/>
        </w:rPr>
        <w:t>Risk on this trade is approximately 6.50 points (2,649.90 entry to 2,656.40 stop). The nearer target of 2,644.20 offers roughly 5.70 points of reward on its own, but the secondary target of 2,618.00 — over 31 points away — offers a substantially larger reward relative to the defined risk, again illustrating the naturally asymmetric risk-to-reward profile this method is designed to produce: a tight, well-defined stop paired with a comparatively distant, liquidity-based target.</w:t>
      </w:r>
    </w:p>
    <w:p w14:paraId="4099433F">
      <w:pPr>
        <w:pStyle w:val="3"/>
        <w:spacing w:before="360" w:after="160"/>
      </w:pPr>
      <w:r>
        <w:rPr>
          <w:b/>
          <w:bCs/>
          <w:color w:val="1B2A4A"/>
          <w:sz w:val="26"/>
          <w:szCs w:val="26"/>
        </w:rPr>
        <w:t>Invalidation</w:t>
      </w:r>
    </w:p>
    <w:p w14:paraId="66CC2656">
      <w:pPr>
        <w:pBdr>
          <w:left w:val="single" w:color="7A2E2E" w:sz="24" w:space="8"/>
        </w:pBdr>
        <w:shd w:val="clear" w:fill="EFEFEF"/>
        <w:spacing w:before="160" w:after="200"/>
        <w:ind w:left="200"/>
      </w:pPr>
      <w:r>
        <w:rPr>
          <w:b/>
          <w:bCs/>
          <w:color w:val="7A2E2E"/>
          <w:sz w:val="21"/>
          <w:szCs w:val="21"/>
        </w:rPr>
        <w:t xml:space="preserve">This idea is invalidated if: </w:t>
      </w:r>
      <w:r>
        <w:rPr>
          <w:sz w:val="21"/>
          <w:szCs w:val="21"/>
        </w:rPr>
        <w:t>This trade idea is invalidated if price closes decisively back above 2,655.80 (the swept high) after the entry is taken, or if, before the entry is even reached, price fails to produce a genuine bearish Market Structure Shift following the sweep — in which case the move up through 2,652.00/2,654.50 should instead be read as a genuine breakout continuation, not manipulation, and no bearish trade should be taken at all.</w:t>
      </w:r>
    </w:p>
    <w:p w14:paraId="4F096E5D">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2,655.80  &lt;- swept high (Judas Swing high)</w:t>
      </w:r>
      <w:r>
        <w:rPr>
          <w:rFonts w:ascii="Consolas" w:hAnsi="Consolas" w:eastAsia="Consolas" w:cs="Consolas"/>
          <w:sz w:val="19"/>
          <w:szCs w:val="19"/>
        </w:rPr>
        <w:br w:type="textWrapping"/>
      </w:r>
      <w:r>
        <w:rPr>
          <w:rFonts w:ascii="Consolas" w:hAnsi="Consolas" w:eastAsia="Consolas" w:cs="Consolas"/>
          <w:sz w:val="19"/>
          <w:szCs w:val="19"/>
        </w:rPr>
        <w:t>2,656.40  &lt;- STOP LOSS</w:t>
      </w:r>
      <w:r>
        <w:rPr>
          <w:rFonts w:ascii="Consolas" w:hAnsi="Consolas" w:eastAsia="Consolas" w:cs="Consolas"/>
          <w:sz w:val="19"/>
          <w:szCs w:val="19"/>
        </w:rPr>
        <w:br w:type="textWrapping"/>
      </w:r>
      <w:r>
        <w:rPr>
          <w:rFonts w:ascii="Consolas" w:hAnsi="Consolas" w:eastAsia="Consolas" w:cs="Consolas"/>
          <w:sz w:val="19"/>
          <w:szCs w:val="19"/>
        </w:rPr>
        <w:t>2,654.50  &lt;- prior day high (BSL layer 2)</w:t>
      </w:r>
      <w:r>
        <w:rPr>
          <w:rFonts w:ascii="Consolas" w:hAnsi="Consolas" w:eastAsia="Consolas" w:cs="Consolas"/>
          <w:sz w:val="19"/>
          <w:szCs w:val="19"/>
        </w:rPr>
        <w:br w:type="textWrapping"/>
      </w:r>
      <w:r>
        <w:rPr>
          <w:rFonts w:ascii="Consolas" w:hAnsi="Consolas" w:eastAsia="Consolas" w:cs="Consolas"/>
          <w:sz w:val="19"/>
          <w:szCs w:val="19"/>
        </w:rPr>
        <w:t>2,652.00  &lt;- morning session high (BSL layer 1)</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2,651.60–2,653.40  &lt;- bearish Order Block</w:t>
      </w:r>
      <w:r>
        <w:rPr>
          <w:rFonts w:ascii="Consolas" w:hAnsi="Consolas" w:eastAsia="Consolas" w:cs="Consolas"/>
          <w:sz w:val="19"/>
          <w:szCs w:val="19"/>
        </w:rPr>
        <w:br w:type="textWrapping"/>
      </w:r>
      <w:r>
        <w:rPr>
          <w:rFonts w:ascii="Consolas" w:hAnsi="Consolas" w:eastAsia="Consolas" w:cs="Consolas"/>
          <w:sz w:val="19"/>
          <w:szCs w:val="19"/>
        </w:rPr>
        <w:t>2,648.30–2,651.60  &lt;- Fair Value Gap zone</w:t>
      </w:r>
      <w:r>
        <w:rPr>
          <w:rFonts w:ascii="Consolas" w:hAnsi="Consolas" w:eastAsia="Consolas" w:cs="Consolas"/>
          <w:sz w:val="19"/>
          <w:szCs w:val="19"/>
        </w:rPr>
        <w:br w:type="textWrapping"/>
      </w:r>
      <w:r>
        <w:rPr>
          <w:rFonts w:ascii="Consolas" w:hAnsi="Consolas" w:eastAsia="Consolas" w:cs="Consolas"/>
          <w:sz w:val="19"/>
          <w:szCs w:val="19"/>
        </w:rPr>
        <w:t>2,649.90  &lt;- ENTRY (near FVG midpoint / 70.5% OTE)</w:t>
      </w:r>
      <w:r>
        <w:rPr>
          <w:rFonts w:ascii="Consolas" w:hAnsi="Consolas" w:eastAsia="Consolas" w:cs="Consolas"/>
          <w:sz w:val="19"/>
          <w:szCs w:val="19"/>
        </w:rPr>
        <w:br w:type="textWrapping"/>
      </w:r>
      <w:r>
        <w:rPr>
          <w:rFonts w:ascii="Consolas" w:hAnsi="Consolas" w:eastAsia="Consolas" w:cs="Consolas"/>
          <w:sz w:val="19"/>
          <w:szCs w:val="19"/>
        </w:rPr>
        <w:t xml:space="preserve">   | (bearish displacement + MSS)</w:t>
      </w:r>
      <w:r>
        <w:rPr>
          <w:rFonts w:ascii="Consolas" w:hAnsi="Consolas" w:eastAsia="Consolas" w:cs="Consolas"/>
          <w:sz w:val="19"/>
          <w:szCs w:val="19"/>
        </w:rPr>
        <w:br w:type="textWrapping"/>
      </w:r>
      <w:r>
        <w:rPr>
          <w:rFonts w:ascii="Consolas" w:hAnsi="Consolas" w:eastAsia="Consolas" w:cs="Consolas"/>
          <w:sz w:val="19"/>
          <w:szCs w:val="19"/>
        </w:rPr>
        <w:t xml:space="preserve">   v</w:t>
      </w:r>
      <w:r>
        <w:rPr>
          <w:rFonts w:ascii="Consolas" w:hAnsi="Consolas" w:eastAsia="Consolas" w:cs="Consolas"/>
          <w:sz w:val="19"/>
          <w:szCs w:val="19"/>
        </w:rPr>
        <w:br w:type="textWrapping"/>
      </w:r>
      <w:r>
        <w:rPr>
          <w:rFonts w:ascii="Consolas" w:hAnsi="Consolas" w:eastAsia="Consolas" w:cs="Consolas"/>
          <w:sz w:val="19"/>
          <w:szCs w:val="19"/>
        </w:rPr>
        <w:t>2,644.20  &lt;- primary target (displacement low)</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 xml:space="preserve">   .</w:t>
      </w:r>
      <w:r>
        <w:rPr>
          <w:rFonts w:ascii="Consolas" w:hAnsi="Consolas" w:eastAsia="Consolas" w:cs="Consolas"/>
          <w:sz w:val="19"/>
          <w:szCs w:val="19"/>
        </w:rPr>
        <w:br w:type="textWrapping"/>
      </w:r>
      <w:r>
        <w:rPr>
          <w:rFonts w:ascii="Consolas" w:hAnsi="Consolas" w:eastAsia="Consolas" w:cs="Consolas"/>
          <w:sz w:val="19"/>
          <w:szCs w:val="19"/>
        </w:rPr>
        <w:t>2,618.00  &lt;- secondary target (prior week low, macro draw on liquidity)</w:t>
      </w:r>
    </w:p>
    <w:p w14:paraId="41236654">
      <w:pPr>
        <w:spacing w:after="160" w:line="288" w:lineRule="auto"/>
      </w:pPr>
      <w:r>
        <w:rPr>
          <w:b w:val="0"/>
          <w:bCs w:val="0"/>
          <w:i w:val="0"/>
          <w:iCs w:val="0"/>
          <w:sz w:val="22"/>
          <w:szCs w:val="22"/>
        </w:rPr>
        <w:t>This diagram reads from top to bottom: price sweeps up through both buy-side liquidity layers to 2,655.80, displaces downward with a strong candle, leaves behind an Order Block and Fair Value Gap, retraces back up into that zone (confirmed by OTE) for entry at 2,649.90, and is aimed first at the nearby displacement low and ultimately at the much larger prior-week liquidity target.</w:t>
      </w:r>
    </w:p>
    <w:p w14:paraId="597F9806">
      <w:r>
        <w:br w:type="page"/>
      </w:r>
    </w:p>
    <w:p w14:paraId="34381EE0">
      <w:pPr>
        <w:pStyle w:val="2"/>
        <w:pBdr>
          <w:bottom w:val="single" w:color="1B2A4A" w:sz="12" w:space="4"/>
        </w:pBdr>
        <w:spacing w:before="480" w:after="240"/>
      </w:pPr>
      <w:r>
        <w:rPr>
          <w:b/>
          <w:bCs/>
          <w:color w:val="1B2A4A"/>
          <w:sz w:val="34"/>
          <w:szCs w:val="34"/>
        </w:rPr>
        <w:t>How These Concepts Connect</w:t>
      </w:r>
    </w:p>
    <w:p w14:paraId="4CFAE456">
      <w:pPr>
        <w:spacing w:after="160" w:line="288" w:lineRule="auto"/>
      </w:pPr>
      <w:r>
        <w:rPr>
          <w:b w:val="0"/>
          <w:bCs w:val="0"/>
          <w:i w:val="0"/>
          <w:iCs w:val="0"/>
          <w:sz w:val="22"/>
          <w:szCs w:val="22"/>
        </w:rPr>
        <w:t>As with Module 11, this entire module is a single connected chain in which no individual step functions as a standalone signal. The specific value of studying the Sell Model immediately after the Buy Model is to confirm, through direct comparison, that this is genuinely one symmetric framework rather than two unrelated systems: every dependency, every piece of reasoning, and every source of confidence transfers directly across, with only the direction of each step reversed.</w:t>
      </w:r>
    </w:p>
    <w:p w14:paraId="211B7F38">
      <w:pPr>
        <w:spacing w:after="160" w:line="288" w:lineRule="auto"/>
      </w:pPr>
      <w:r>
        <w:rPr>
          <w:b w:val="0"/>
          <w:bCs w:val="0"/>
          <w:i w:val="0"/>
          <w:iCs w:val="0"/>
          <w:sz w:val="22"/>
          <w:szCs w:val="22"/>
        </w:rPr>
        <w:t>This symmetry is also a practical safeguard: a trader who understands the Buy Model only, without equally internalizing its bearish mirror, risks unconsciously favoring long setups regardless of what higher-timeframe bias actually indicates — one of the beginner mistakes flagged repeatedly throughout this book.</w:t>
      </w:r>
    </w:p>
    <w:p w14:paraId="275EF29C">
      <w:pPr>
        <w:pStyle w:val="2"/>
        <w:pBdr>
          <w:bottom w:val="single" w:color="1B2A4A" w:sz="12" w:space="4"/>
        </w:pBdr>
        <w:spacing w:before="480" w:after="240"/>
      </w:pPr>
      <w:r>
        <w:rPr>
          <w:b/>
          <w:bCs/>
          <w:color w:val="1B2A4A"/>
          <w:sz w:val="34"/>
          <w:szCs w:val="34"/>
        </w:rPr>
        <w:t>What You Should Now Be Able to Do</w:t>
      </w:r>
    </w:p>
    <w:p w14:paraId="7ADD5B9C">
      <w:pPr>
        <w:pStyle w:val="16"/>
        <w:numPr>
          <w:ilvl w:val="0"/>
          <w:numId w:val="1"/>
        </w:numPr>
        <w:spacing w:after="80" w:line="276" w:lineRule="auto"/>
      </w:pPr>
      <w:r>
        <w:rPr>
          <w:sz w:val="22"/>
          <w:szCs w:val="22"/>
        </w:rPr>
        <w:t>list all eleven steps of the ICT Sell Model in the correct order, from memory</w:t>
      </w:r>
    </w:p>
    <w:p w14:paraId="572EE3FA">
      <w:pPr>
        <w:pStyle w:val="16"/>
        <w:numPr>
          <w:ilvl w:val="0"/>
          <w:numId w:val="1"/>
        </w:numPr>
        <w:spacing w:after="80" w:line="276" w:lineRule="auto"/>
      </w:pPr>
      <w:r>
        <w:rPr>
          <w:sz w:val="22"/>
          <w:szCs w:val="22"/>
        </w:rPr>
        <w:t>explain how each Sell Model step mirrors its corresponding Buy Model step from Module 11</w:t>
      </w:r>
    </w:p>
    <w:p w14:paraId="409BC4C9">
      <w:pPr>
        <w:pStyle w:val="16"/>
        <w:numPr>
          <w:ilvl w:val="0"/>
          <w:numId w:val="1"/>
        </w:numPr>
        <w:spacing w:after="80" w:line="276" w:lineRule="auto"/>
      </w:pPr>
      <w:r>
        <w:rPr>
          <w:sz w:val="22"/>
          <w:szCs w:val="22"/>
        </w:rPr>
        <w:t>identify each of the eleven steps on a real or hypothetical bearish price chart</w:t>
      </w:r>
    </w:p>
    <w:p w14:paraId="70FD91BD">
      <w:pPr>
        <w:pStyle w:val="16"/>
        <w:numPr>
          <w:ilvl w:val="0"/>
          <w:numId w:val="1"/>
        </w:numPr>
        <w:spacing w:after="80" w:line="276" w:lineRule="auto"/>
      </w:pPr>
      <w:r>
        <w:rPr>
          <w:sz w:val="22"/>
          <w:szCs w:val="22"/>
        </w:rPr>
        <w:t>construct a complete worked bearish trade idea from a simple set of price levels, including entry, stop-loss, and both a primary and secondary target</w:t>
      </w:r>
    </w:p>
    <w:p w14:paraId="2F23F460">
      <w:pPr>
        <w:pStyle w:val="16"/>
        <w:numPr>
          <w:ilvl w:val="0"/>
          <w:numId w:val="1"/>
        </w:numPr>
        <w:spacing w:after="80" w:line="276" w:lineRule="auto"/>
      </w:pPr>
      <w:r>
        <w:rPr>
          <w:sz w:val="22"/>
          <w:szCs w:val="22"/>
        </w:rPr>
        <w:t>explain why studying both models together helps guard against an unconscious long-only bias</w:t>
      </w:r>
    </w:p>
    <w:p w14:paraId="600A0C81">
      <w:pPr>
        <w:pStyle w:val="16"/>
        <w:numPr>
          <w:ilvl w:val="0"/>
          <w:numId w:val="1"/>
        </w:numPr>
        <w:spacing w:after="80" w:line="276" w:lineRule="auto"/>
      </w:pPr>
      <w:r>
        <w:rPr>
          <w:sz w:val="22"/>
          <w:szCs w:val="22"/>
        </w:rPr>
        <w:t>state the specific conditions under which a suspected Sell Model sequence should be invalidated and abandoned</w:t>
      </w:r>
    </w:p>
    <w:p w14:paraId="2667E404">
      <w:r>
        <w:br w:type="page"/>
      </w:r>
    </w:p>
    <w:p w14:paraId="4A9DD374">
      <w:pPr>
        <w:pStyle w:val="2"/>
        <w:pBdr>
          <w:bottom w:val="single" w:color="1B2A4A" w:sz="12" w:space="4"/>
        </w:pBdr>
        <w:spacing w:before="480" w:after="240"/>
      </w:pPr>
      <w:r>
        <w:rPr>
          <w:b/>
          <w:bCs/>
          <w:color w:val="1B2A4A"/>
          <w:sz w:val="34"/>
          <w:szCs w:val="34"/>
        </w:rPr>
        <w:t>Module Review</w:t>
      </w:r>
    </w:p>
    <w:p w14:paraId="71DBB9DC">
      <w:pPr>
        <w:pStyle w:val="3"/>
        <w:spacing w:before="360" w:after="160"/>
      </w:pPr>
      <w:r>
        <w:rPr>
          <w:b/>
          <w:bCs/>
          <w:color w:val="1B2A4A"/>
          <w:sz w:val="26"/>
          <w:szCs w:val="26"/>
        </w:rPr>
        <w:t>Key Terms</w:t>
      </w:r>
    </w:p>
    <w:p w14:paraId="08919C1E">
      <w:pPr>
        <w:pStyle w:val="16"/>
        <w:numPr>
          <w:ilvl w:val="0"/>
          <w:numId w:val="1"/>
        </w:numPr>
        <w:spacing w:after="80" w:line="276" w:lineRule="auto"/>
      </w:pPr>
      <w:r>
        <w:rPr>
          <w:sz w:val="22"/>
          <w:szCs w:val="22"/>
        </w:rPr>
        <w:t>HTF Bearish Context</w:t>
      </w:r>
    </w:p>
    <w:p w14:paraId="7972596F">
      <w:pPr>
        <w:pStyle w:val="16"/>
        <w:numPr>
          <w:ilvl w:val="0"/>
          <w:numId w:val="1"/>
        </w:numPr>
        <w:spacing w:after="80" w:line="276" w:lineRule="auto"/>
      </w:pPr>
      <w:r>
        <w:rPr>
          <w:sz w:val="22"/>
          <w:szCs w:val="22"/>
        </w:rPr>
        <w:t>Buy-Side Liquidity (BSL)</w:t>
      </w:r>
    </w:p>
    <w:p w14:paraId="4C49A1E2">
      <w:pPr>
        <w:pStyle w:val="16"/>
        <w:numPr>
          <w:ilvl w:val="0"/>
          <w:numId w:val="1"/>
        </w:numPr>
        <w:spacing w:after="80" w:line="276" w:lineRule="auto"/>
      </w:pPr>
      <w:r>
        <w:rPr>
          <w:sz w:val="22"/>
          <w:szCs w:val="22"/>
        </w:rPr>
        <w:t>Liquidity Sweep</w:t>
      </w:r>
    </w:p>
    <w:p w14:paraId="6DA7B43A">
      <w:pPr>
        <w:pStyle w:val="16"/>
        <w:numPr>
          <w:ilvl w:val="0"/>
          <w:numId w:val="1"/>
        </w:numPr>
        <w:spacing w:after="80" w:line="276" w:lineRule="auto"/>
      </w:pPr>
      <w:r>
        <w:rPr>
          <w:sz w:val="22"/>
          <w:szCs w:val="22"/>
        </w:rPr>
        <w:t>Bearish Displacement</w:t>
      </w:r>
    </w:p>
    <w:p w14:paraId="77A60FAC">
      <w:pPr>
        <w:pStyle w:val="16"/>
        <w:numPr>
          <w:ilvl w:val="0"/>
          <w:numId w:val="1"/>
        </w:numPr>
        <w:spacing w:after="80" w:line="276" w:lineRule="auto"/>
      </w:pPr>
      <w:r>
        <w:rPr>
          <w:sz w:val="22"/>
          <w:szCs w:val="22"/>
        </w:rPr>
        <w:t>Bearish Market Structure Shift (MSS)</w:t>
      </w:r>
    </w:p>
    <w:p w14:paraId="2556F65C">
      <w:pPr>
        <w:pStyle w:val="16"/>
        <w:numPr>
          <w:ilvl w:val="0"/>
          <w:numId w:val="1"/>
        </w:numPr>
        <w:spacing w:after="80" w:line="276" w:lineRule="auto"/>
      </w:pPr>
      <w:r>
        <w:rPr>
          <w:sz w:val="22"/>
          <w:szCs w:val="22"/>
        </w:rPr>
        <w:t>Fair Value Gap / Order Block</w:t>
      </w:r>
    </w:p>
    <w:p w14:paraId="1DF7B38C">
      <w:pPr>
        <w:pStyle w:val="16"/>
        <w:numPr>
          <w:ilvl w:val="0"/>
          <w:numId w:val="1"/>
        </w:numPr>
        <w:spacing w:after="80" w:line="276" w:lineRule="auto"/>
      </w:pPr>
      <w:r>
        <w:rPr>
          <w:sz w:val="22"/>
          <w:szCs w:val="22"/>
        </w:rPr>
        <w:t>Retracement</w:t>
      </w:r>
    </w:p>
    <w:p w14:paraId="6D3A44ED">
      <w:pPr>
        <w:pStyle w:val="16"/>
        <w:numPr>
          <w:ilvl w:val="0"/>
          <w:numId w:val="1"/>
        </w:numPr>
        <w:spacing w:after="80" w:line="276" w:lineRule="auto"/>
      </w:pPr>
      <w:r>
        <w:rPr>
          <w:sz w:val="22"/>
          <w:szCs w:val="22"/>
        </w:rPr>
        <w:t>OTE (62%–79%)</w:t>
      </w:r>
    </w:p>
    <w:p w14:paraId="6885CE08">
      <w:pPr>
        <w:pStyle w:val="16"/>
        <w:numPr>
          <w:ilvl w:val="0"/>
          <w:numId w:val="1"/>
        </w:numPr>
        <w:spacing w:after="80" w:line="276" w:lineRule="auto"/>
      </w:pPr>
      <w:r>
        <w:rPr>
          <w:sz w:val="22"/>
          <w:szCs w:val="22"/>
        </w:rPr>
        <w:t>Entry Zone</w:t>
      </w:r>
    </w:p>
    <w:p w14:paraId="384B8870">
      <w:pPr>
        <w:pStyle w:val="16"/>
        <w:numPr>
          <w:ilvl w:val="0"/>
          <w:numId w:val="1"/>
        </w:numPr>
        <w:spacing w:after="80" w:line="276" w:lineRule="auto"/>
      </w:pPr>
      <w:r>
        <w:rPr>
          <w:sz w:val="22"/>
          <w:szCs w:val="22"/>
        </w:rPr>
        <w:t>Entry</w:t>
      </w:r>
    </w:p>
    <w:p w14:paraId="571167CE">
      <w:pPr>
        <w:pStyle w:val="16"/>
        <w:numPr>
          <w:ilvl w:val="0"/>
          <w:numId w:val="1"/>
        </w:numPr>
        <w:spacing w:after="80" w:line="276" w:lineRule="auto"/>
      </w:pPr>
      <w:r>
        <w:rPr>
          <w:sz w:val="22"/>
          <w:szCs w:val="22"/>
        </w:rPr>
        <w:t>Target Liquidity</w:t>
      </w:r>
    </w:p>
    <w:p w14:paraId="2E1AA84B">
      <w:pPr>
        <w:pStyle w:val="16"/>
        <w:numPr>
          <w:ilvl w:val="0"/>
          <w:numId w:val="1"/>
        </w:numPr>
        <w:spacing w:after="80" w:line="276" w:lineRule="auto"/>
      </w:pPr>
      <w:r>
        <w:rPr>
          <w:sz w:val="22"/>
          <w:szCs w:val="22"/>
        </w:rPr>
        <w:t>Invalidation</w:t>
      </w:r>
    </w:p>
    <w:p w14:paraId="4BC9A407">
      <w:pPr>
        <w:pStyle w:val="3"/>
        <w:spacing w:before="360" w:after="160"/>
      </w:pPr>
      <w:r>
        <w:rPr>
          <w:b/>
          <w:bCs/>
          <w:color w:val="1B2A4A"/>
          <w:sz w:val="26"/>
          <w:szCs w:val="26"/>
        </w:rPr>
        <w:t>Beginner Summary</w:t>
      </w:r>
    </w:p>
    <w:p w14:paraId="358744F9">
      <w:pPr>
        <w:spacing w:after="160" w:line="288" w:lineRule="auto"/>
      </w:pPr>
      <w:r>
        <w:rPr>
          <w:b w:val="0"/>
          <w:bCs w:val="0"/>
          <w:i w:val="0"/>
          <w:iCs w:val="0"/>
          <w:sz w:val="22"/>
          <w:szCs w:val="22"/>
        </w:rPr>
        <w:t>The ICT Sell Model is the exact mirror of the Buy Model from Module 11. It begins by confirming bearish higher-timeframe context, then identifies a specific buy-side liquidity pool the framework expects price to spike into before its real move down. Once that pool is genuinely swept, the model looks for strong bearish displacement, confirmed by a Market Structure Shift, which together create a Fair Value Gap (often reinforced by a nearby bearish Order Block). Price is expected to retrace back up into this zone — ideally confirmed by the OTE 62%–79% band — providing a specific, low-risk short entry price. A stop-loss is placed just beyond the swept high, and the trade is aimed at the nearest sell-side liquidity pool below, with further, larger targets beyond that.</w:t>
      </w:r>
    </w:p>
    <w:p w14:paraId="58149705">
      <w:pPr>
        <w:pStyle w:val="3"/>
        <w:spacing w:before="360" w:after="160"/>
      </w:pPr>
      <w:r>
        <w:rPr>
          <w:b/>
          <w:bCs/>
          <w:color w:val="1B2A4A"/>
          <w:sz w:val="26"/>
          <w:szCs w:val="26"/>
        </w:rPr>
        <w:t>Concept Relationships</w:t>
      </w:r>
    </w:p>
    <w:p w14:paraId="43CE6BEE">
      <w:pPr>
        <w:spacing w:after="160" w:line="288" w:lineRule="auto"/>
      </w:pPr>
      <w:r>
        <w:rPr>
          <w:b w:val="0"/>
          <w:bCs w:val="0"/>
          <w:i w:val="0"/>
          <w:iCs w:val="0"/>
          <w:sz w:val="22"/>
          <w:szCs w:val="22"/>
        </w:rPr>
        <w:t>Steps 1–2 (HTF Context, BSL) establish where and why a bearish reversal might occur. Steps 3–5 (Sweep, Displacement, MSS) confirm that it is actually happening. Steps 6–9 (FVG/OB, Retracement, OTE, Entry Zone) pinpoint exactly where to act. Steps 10–11 (Entry, Target Liquidity) define the complete, risk-managed short trade itself — the precise mirror of Module 11's structure.</w:t>
      </w:r>
    </w:p>
    <w:p w14:paraId="2915CF5D">
      <w:pPr>
        <w:pStyle w:val="3"/>
        <w:spacing w:before="360" w:after="160"/>
      </w:pPr>
      <w:r>
        <w:rPr>
          <w:b/>
          <w:bCs/>
          <w:color w:val="1B2A4A"/>
          <w:sz w:val="26"/>
          <w:szCs w:val="26"/>
        </w:rPr>
        <w:t>Practical Chart Exercise</w:t>
      </w:r>
    </w:p>
    <w:p w14:paraId="0DA46E4D">
      <w:pPr>
        <w:spacing w:after="160" w:line="288" w:lineRule="auto"/>
      </w:pPr>
      <w:r>
        <w:rPr>
          <w:b w:val="0"/>
          <w:bCs w:val="0"/>
          <w:i w:val="0"/>
          <w:iCs w:val="0"/>
          <w:sz w:val="22"/>
          <w:szCs w:val="22"/>
        </w:rPr>
        <w:t>Using the following simplified price sequence — HTF bearish structure already confirmed. BSL marked at 70 (equal highs). Price sweeps up to 72, then a large bearish candle moves price from 72 to 60, breaking a short-term low at 64 on the 5-minute chart. This displacement leaves an FVG between 61 and 65, with a bearish Order Block at 65–67. Price retraces to 63 before continuing to 45 — walk through all eleven Sell Model steps using these numbers, stating the specific price for each of the entry zone, the stop-loss, and at least one target.</w:t>
      </w:r>
    </w:p>
    <w:p w14:paraId="3D131262">
      <w:pPr>
        <w:pStyle w:val="3"/>
        <w:spacing w:before="360" w:after="160"/>
      </w:pPr>
      <w:r>
        <w:rPr>
          <w:b/>
          <w:bCs/>
          <w:color w:val="1B2A4A"/>
          <w:sz w:val="26"/>
          <w:szCs w:val="26"/>
        </w:rPr>
        <w:t>Self-Test Questions</w:t>
      </w:r>
    </w:p>
    <w:p w14:paraId="3B80F9CA">
      <w:pPr>
        <w:pStyle w:val="16"/>
        <w:numPr>
          <w:ilvl w:val="0"/>
          <w:numId w:val="2"/>
        </w:numPr>
        <w:spacing w:after="80" w:line="276" w:lineRule="auto"/>
      </w:pPr>
      <w:r>
        <w:rPr>
          <w:sz w:val="22"/>
          <w:szCs w:val="22"/>
        </w:rPr>
        <w:t>What is the mirrored equivalent, in the Sell Model, of the Buy Model's sell-side liquidity target?</w:t>
      </w:r>
    </w:p>
    <w:p w14:paraId="03957771">
      <w:pPr>
        <w:pStyle w:val="16"/>
        <w:numPr>
          <w:ilvl w:val="0"/>
          <w:numId w:val="2"/>
        </w:numPr>
        <w:spacing w:after="80" w:line="276" w:lineRule="auto"/>
      </w:pPr>
      <w:r>
        <w:rPr>
          <w:sz w:val="22"/>
          <w:szCs w:val="22"/>
        </w:rPr>
        <w:t>Why does the Sell Model still require genuine displacement, rather than accepting a slow drift downward after the buy-side sweep?</w:t>
      </w:r>
    </w:p>
    <w:p w14:paraId="4744F4F0">
      <w:pPr>
        <w:pStyle w:val="16"/>
        <w:numPr>
          <w:ilvl w:val="0"/>
          <w:numId w:val="2"/>
        </w:numPr>
        <w:spacing w:after="80" w:line="276" w:lineRule="auto"/>
      </w:pPr>
      <w:r>
        <w:rPr>
          <w:sz w:val="22"/>
          <w:szCs w:val="22"/>
        </w:rPr>
        <w:t>Where is the stop-loss placed in the Sell Model, and why?</w:t>
      </w:r>
    </w:p>
    <w:p w14:paraId="656ED499">
      <w:pPr>
        <w:pStyle w:val="16"/>
        <w:numPr>
          <w:ilvl w:val="0"/>
          <w:numId w:val="2"/>
        </w:numPr>
        <w:spacing w:after="80" w:line="276" w:lineRule="auto"/>
      </w:pPr>
      <w:r>
        <w:rPr>
          <w:sz w:val="22"/>
          <w:szCs w:val="22"/>
        </w:rPr>
        <w:t>What is the mirrored equivalent, in the Sell Model, of the OTE 62%–79% band's role in the Buy Model?</w:t>
      </w:r>
    </w:p>
    <w:p w14:paraId="5223FB29">
      <w:pPr>
        <w:pStyle w:val="16"/>
        <w:numPr>
          <w:ilvl w:val="0"/>
          <w:numId w:val="2"/>
        </w:numPr>
        <w:spacing w:after="80" w:line="276" w:lineRule="auto"/>
      </w:pPr>
      <w:r>
        <w:rPr>
          <w:sz w:val="22"/>
          <w:szCs w:val="22"/>
        </w:rPr>
        <w:t>Why is it valuable to study the Sell Model immediately after the Buy Model, rather than treating them as unrelated strategies?</w:t>
      </w:r>
    </w:p>
    <w:p w14:paraId="0335EAC3">
      <w:pPr>
        <w:pStyle w:val="3"/>
        <w:spacing w:before="360" w:after="160"/>
      </w:pPr>
      <w:r>
        <w:rPr>
          <w:b/>
          <w:bCs/>
          <w:color w:val="1B2A4A"/>
          <w:sz w:val="26"/>
          <w:szCs w:val="26"/>
        </w:rPr>
        <w:t>Common Misconceptions</w:t>
      </w:r>
    </w:p>
    <w:p w14:paraId="79184FC2">
      <w:pPr>
        <w:pStyle w:val="16"/>
        <w:numPr>
          <w:ilvl w:val="0"/>
          <w:numId w:val="1"/>
        </w:numPr>
        <w:spacing w:after="80" w:line="276" w:lineRule="auto"/>
      </w:pPr>
      <w:r>
        <w:rPr>
          <w:sz w:val="22"/>
          <w:szCs w:val="22"/>
        </w:rPr>
        <w:t>Believing the Sell Model is a fundamentally different strategy from the Buy Model, rather than the same framework with direction reversed.</w:t>
      </w:r>
    </w:p>
    <w:p w14:paraId="52F4F6D1">
      <w:pPr>
        <w:pStyle w:val="16"/>
        <w:numPr>
          <w:ilvl w:val="0"/>
          <w:numId w:val="1"/>
        </w:numPr>
        <w:spacing w:after="80" w:line="276" w:lineRule="auto"/>
      </w:pPr>
      <w:r>
        <w:rPr>
          <w:sz w:val="22"/>
          <w:szCs w:val="22"/>
        </w:rPr>
        <w:t>Entering on the buy-side liquidity sweep alone, before bearish displacement and a confirmed structure shift have occurred.</w:t>
      </w:r>
    </w:p>
    <w:p w14:paraId="7FE8538A">
      <w:pPr>
        <w:pStyle w:val="16"/>
        <w:numPr>
          <w:ilvl w:val="0"/>
          <w:numId w:val="1"/>
        </w:numPr>
        <w:spacing w:after="80" w:line="276" w:lineRule="auto"/>
      </w:pPr>
      <w:r>
        <w:rPr>
          <w:sz w:val="22"/>
          <w:szCs w:val="22"/>
        </w:rPr>
        <w:t>Ignoring bearish higher-timeframe context and taking a lower-timeframe short setup that contradicts it.</w:t>
      </w:r>
    </w:p>
    <w:p w14:paraId="4C41DED6">
      <w:pPr>
        <w:pStyle w:val="16"/>
        <w:numPr>
          <w:ilvl w:val="0"/>
          <w:numId w:val="1"/>
        </w:numPr>
        <w:spacing w:after="80" w:line="276" w:lineRule="auto"/>
      </w:pPr>
      <w:r>
        <w:rPr>
          <w:sz w:val="22"/>
          <w:szCs w:val="22"/>
        </w:rPr>
        <w:t>Favoring long setups by habit even when the evidence and process clearly point to a bearish Sell Model instead.</w:t>
      </w:r>
    </w:p>
    <w:p w14:paraId="51477056">
      <w:pPr>
        <w:pStyle w:val="3"/>
        <w:spacing w:before="360" w:after="160"/>
      </w:pPr>
      <w:r>
        <w:rPr>
          <w:b/>
          <w:bCs/>
          <w:color w:val="1B2A4A"/>
          <w:sz w:val="26"/>
          <w:szCs w:val="26"/>
        </w:rPr>
        <w:t>Research Sources</w:t>
      </w:r>
    </w:p>
    <w:p w14:paraId="77E08BC7">
      <w:pPr>
        <w:pStyle w:val="16"/>
        <w:numPr>
          <w:ilvl w:val="0"/>
          <w:numId w:val="1"/>
        </w:numPr>
        <w:spacing w:after="80" w:line="276" w:lineRule="auto"/>
      </w:pPr>
      <w:r>
        <w:rPr>
          <w:sz w:val="22"/>
          <w:szCs w:val="22"/>
        </w:rPr>
        <w:t>liquidityscan.io — "ICT Silver Bullet Strategy Guide" (source of the adapted XAU/USD bearish worked numeric example).</w:t>
      </w:r>
    </w:p>
    <w:p w14:paraId="22029AC2">
      <w:pPr>
        <w:pStyle w:val="16"/>
        <w:numPr>
          <w:ilvl w:val="0"/>
          <w:numId w:val="1"/>
        </w:numPr>
        <w:spacing w:after="80" w:line="276" w:lineRule="auto"/>
      </w:pPr>
      <w:r>
        <w:rPr>
          <w:sz w:val="22"/>
          <w:szCs w:val="22"/>
        </w:rPr>
        <w:t>icttraders.net — "ICT 2022 Model: Complete Trading Strategy Explained Step by Step" (explicit bearish-model, inverse-of-bullish framing).</w:t>
      </w:r>
    </w:p>
    <w:p w14:paraId="093E9246">
      <w:pPr>
        <w:pStyle w:val="16"/>
        <w:numPr>
          <w:ilvl w:val="0"/>
          <w:numId w:val="1"/>
        </w:numPr>
        <w:spacing w:after="80" w:line="276" w:lineRule="auto"/>
      </w:pPr>
      <w:r>
        <w:rPr>
          <w:sz w:val="22"/>
          <w:szCs w:val="22"/>
        </w:rPr>
        <w:t>quantum-algo.com — "ICT 2022 Model 2026 — Complete Step-by-Step Guide" ("The model is fully symmetric. The only thing that changes is which liquidity gets swept first and which direction displacement travels.").</w:t>
      </w:r>
    </w:p>
    <w:p w14:paraId="210B0AFE">
      <w:pPr>
        <w:pStyle w:val="16"/>
        <w:numPr>
          <w:ilvl w:val="0"/>
          <w:numId w:val="1"/>
        </w:numPr>
        <w:spacing w:after="80" w:line="276" w:lineRule="auto"/>
      </w:pPr>
      <w:r>
        <w:rPr>
          <w:sz w:val="22"/>
          <w:szCs w:val="22"/>
        </w:rPr>
        <w:t>fxnx.com — "ICT Market Maker Buy Model (MMBM): A Step-by-Step Guide" (bearish MMSM referenced as inverse).</w:t>
      </w:r>
    </w:p>
    <w:p w14:paraId="623AD5A2">
      <w:pPr>
        <w:pStyle w:val="16"/>
        <w:numPr>
          <w:ilvl w:val="0"/>
          <w:numId w:val="1"/>
        </w:numPr>
        <w:spacing w:after="80" w:line="276" w:lineRule="auto"/>
      </w:pPr>
      <w:r>
        <w:rPr>
          <w:sz w:val="22"/>
          <w:szCs w:val="22"/>
        </w:rPr>
        <w:t>smartmoneytrader.co — "ICT Market Maker Buy Model - Complete Trading Guide" (explicit MMSM bearish-inverse checklist).</w:t>
      </w:r>
    </w:p>
    <w:p w14:paraId="7D76A6DB">
      <w:pPr>
        <w:pStyle w:val="16"/>
        <w:numPr>
          <w:ilvl w:val="0"/>
          <w:numId w:val="1"/>
        </w:numPr>
        <w:spacing w:after="80" w:line="276" w:lineRule="auto"/>
      </w:pPr>
      <w:r>
        <w:rPr>
          <w:sz w:val="22"/>
          <w:szCs w:val="22"/>
        </w:rPr>
        <w:t>Note: as in Module 11, this research pass relied on cross-checked secondary/tutorial documentation rather than direct ICT primary-source video transcripts, which were not accessible in this environment. The explicit bullish/bearish symmetry of this model is very consistently corroborated across independent sources.</w:t>
      </w:r>
    </w:p>
    <w:p w14:paraId="15B038AA">
      <w:pPr>
        <w:pStyle w:val="16"/>
        <w:numPr>
          <w:ilvl w:val="0"/>
          <w:numId w:val="0"/>
        </w:numPr>
        <w:spacing w:after="80" w:line="276" w:lineRule="auto"/>
        <w:rPr>
          <w:sz w:val="22"/>
          <w:szCs w:val="22"/>
        </w:rPr>
      </w:pPr>
    </w:p>
    <w:p w14:paraId="10F359CE">
      <w:pPr>
        <w:pStyle w:val="16"/>
        <w:numPr>
          <w:ilvl w:val="0"/>
          <w:numId w:val="0"/>
        </w:numPr>
        <w:spacing w:after="80" w:line="276" w:lineRule="auto"/>
        <w:rPr>
          <w:sz w:val="22"/>
          <w:szCs w:val="22"/>
        </w:rPr>
      </w:pPr>
    </w:p>
    <w:p w14:paraId="65F9FB2F">
      <w:pPr>
        <w:pStyle w:val="16"/>
        <w:numPr>
          <w:ilvl w:val="0"/>
          <w:numId w:val="0"/>
        </w:numPr>
        <w:spacing w:after="80" w:line="276" w:lineRule="auto"/>
        <w:rPr>
          <w:sz w:val="22"/>
          <w:szCs w:val="22"/>
        </w:rPr>
      </w:pPr>
    </w:p>
    <w:p w14:paraId="4352B691">
      <w:pPr>
        <w:pStyle w:val="16"/>
        <w:numPr>
          <w:ilvl w:val="0"/>
          <w:numId w:val="0"/>
        </w:numPr>
        <w:spacing w:after="80" w:line="276" w:lineRule="auto"/>
        <w:rPr>
          <w:sz w:val="22"/>
          <w:szCs w:val="22"/>
        </w:rPr>
      </w:pPr>
    </w:p>
    <w:p w14:paraId="17267C51">
      <w:pPr>
        <w:pStyle w:val="16"/>
        <w:numPr>
          <w:ilvl w:val="0"/>
          <w:numId w:val="0"/>
        </w:numPr>
        <w:spacing w:after="80" w:line="276" w:lineRule="auto"/>
        <w:rPr>
          <w:sz w:val="22"/>
          <w:szCs w:val="22"/>
        </w:rPr>
      </w:pPr>
    </w:p>
    <w:p w14:paraId="0248B57C">
      <w:pPr>
        <w:pStyle w:val="16"/>
        <w:numPr>
          <w:ilvl w:val="0"/>
          <w:numId w:val="0"/>
        </w:numPr>
        <w:spacing w:after="80" w:line="276" w:lineRule="auto"/>
        <w:rPr>
          <w:sz w:val="22"/>
          <w:szCs w:val="22"/>
        </w:rPr>
      </w:pPr>
    </w:p>
    <w:p w14:paraId="08762ED0">
      <w:pPr>
        <w:pStyle w:val="16"/>
        <w:numPr>
          <w:ilvl w:val="0"/>
          <w:numId w:val="0"/>
        </w:numPr>
        <w:spacing w:after="80" w:line="276" w:lineRule="auto"/>
        <w:rPr>
          <w:sz w:val="22"/>
          <w:szCs w:val="22"/>
        </w:rPr>
      </w:pPr>
    </w:p>
    <w:p w14:paraId="169635C3">
      <w:pPr>
        <w:pStyle w:val="16"/>
        <w:numPr>
          <w:ilvl w:val="0"/>
          <w:numId w:val="0"/>
        </w:numPr>
        <w:spacing w:after="80" w:line="276" w:lineRule="auto"/>
        <w:rPr>
          <w:sz w:val="22"/>
          <w:szCs w:val="22"/>
        </w:rPr>
      </w:pPr>
    </w:p>
    <w:p w14:paraId="7EBE1D8A">
      <w:pPr>
        <w:pStyle w:val="16"/>
        <w:numPr>
          <w:ilvl w:val="0"/>
          <w:numId w:val="0"/>
        </w:numPr>
        <w:spacing w:after="80" w:line="276" w:lineRule="auto"/>
        <w:rPr>
          <w:sz w:val="22"/>
          <w:szCs w:val="22"/>
        </w:rPr>
      </w:pPr>
    </w:p>
    <w:p w14:paraId="798BA92A">
      <w:pPr>
        <w:pStyle w:val="16"/>
        <w:numPr>
          <w:ilvl w:val="0"/>
          <w:numId w:val="0"/>
        </w:numPr>
        <w:spacing w:after="80" w:line="276" w:lineRule="auto"/>
        <w:rPr>
          <w:sz w:val="22"/>
          <w:szCs w:val="22"/>
        </w:rPr>
      </w:pPr>
    </w:p>
    <w:p w14:paraId="78DEF083">
      <w:pPr>
        <w:pStyle w:val="16"/>
        <w:numPr>
          <w:ilvl w:val="0"/>
          <w:numId w:val="0"/>
        </w:numPr>
        <w:spacing w:after="80" w:line="276" w:lineRule="auto"/>
        <w:rPr>
          <w:sz w:val="22"/>
          <w:szCs w:val="22"/>
        </w:rPr>
      </w:pPr>
    </w:p>
    <w:p w14:paraId="6C0011AF">
      <w:pPr>
        <w:pStyle w:val="16"/>
        <w:numPr>
          <w:ilvl w:val="0"/>
          <w:numId w:val="0"/>
        </w:numPr>
        <w:spacing w:after="80" w:line="276" w:lineRule="auto"/>
        <w:rPr>
          <w:sz w:val="22"/>
          <w:szCs w:val="22"/>
        </w:rPr>
      </w:pPr>
    </w:p>
    <w:p w14:paraId="4E544C70">
      <w:pPr>
        <w:pStyle w:val="16"/>
        <w:numPr>
          <w:ilvl w:val="0"/>
          <w:numId w:val="0"/>
        </w:numPr>
        <w:spacing w:after="80" w:line="276" w:lineRule="auto"/>
        <w:rPr>
          <w:sz w:val="22"/>
          <w:szCs w:val="22"/>
        </w:rPr>
      </w:pPr>
    </w:p>
    <w:p w14:paraId="661F74F6">
      <w:pPr>
        <w:pStyle w:val="16"/>
        <w:numPr>
          <w:ilvl w:val="0"/>
          <w:numId w:val="0"/>
        </w:numPr>
        <w:spacing w:after="80" w:line="276" w:lineRule="auto"/>
        <w:rPr>
          <w:sz w:val="22"/>
          <w:szCs w:val="22"/>
        </w:rPr>
      </w:pPr>
    </w:p>
    <w:p w14:paraId="5DF6A538">
      <w:pPr>
        <w:pStyle w:val="16"/>
        <w:numPr>
          <w:ilvl w:val="0"/>
          <w:numId w:val="0"/>
        </w:numPr>
        <w:spacing w:after="80" w:line="276" w:lineRule="auto"/>
        <w:rPr>
          <w:sz w:val="22"/>
          <w:szCs w:val="22"/>
        </w:rPr>
      </w:pPr>
    </w:p>
    <w:p w14:paraId="6B48EBA9">
      <w:pPr>
        <w:pStyle w:val="16"/>
        <w:numPr>
          <w:ilvl w:val="0"/>
          <w:numId w:val="0"/>
        </w:numPr>
        <w:spacing w:after="80" w:line="276" w:lineRule="auto"/>
        <w:rPr>
          <w:sz w:val="22"/>
          <w:szCs w:val="22"/>
        </w:rPr>
      </w:pPr>
    </w:p>
    <w:p w14:paraId="1C745F32">
      <w:pPr>
        <w:pStyle w:val="16"/>
        <w:numPr>
          <w:ilvl w:val="0"/>
          <w:numId w:val="0"/>
        </w:numPr>
        <w:spacing w:after="80" w:line="276" w:lineRule="auto"/>
        <w:rPr>
          <w:sz w:val="22"/>
          <w:szCs w:val="22"/>
        </w:rPr>
      </w:pPr>
    </w:p>
    <w:p w14:paraId="131E7041">
      <w:pPr>
        <w:pStyle w:val="16"/>
        <w:numPr>
          <w:ilvl w:val="0"/>
          <w:numId w:val="0"/>
        </w:numPr>
        <w:spacing w:after="80" w:line="276" w:lineRule="auto"/>
        <w:rPr>
          <w:sz w:val="22"/>
          <w:szCs w:val="22"/>
        </w:rPr>
      </w:pPr>
    </w:p>
    <w:p w14:paraId="63A9BA08">
      <w:pPr>
        <w:pStyle w:val="16"/>
        <w:numPr>
          <w:ilvl w:val="0"/>
          <w:numId w:val="0"/>
        </w:numPr>
        <w:spacing w:after="80" w:line="276" w:lineRule="auto"/>
        <w:rPr>
          <w:sz w:val="22"/>
          <w:szCs w:val="22"/>
        </w:rPr>
      </w:pPr>
    </w:p>
    <w:p w14:paraId="382745C1">
      <w:pPr>
        <w:pStyle w:val="16"/>
        <w:numPr>
          <w:ilvl w:val="0"/>
          <w:numId w:val="0"/>
        </w:numPr>
        <w:spacing w:after="80" w:line="276" w:lineRule="auto"/>
        <w:rPr>
          <w:sz w:val="22"/>
          <w:szCs w:val="22"/>
        </w:rPr>
      </w:pPr>
    </w:p>
    <w:p w14:paraId="0E8888BB">
      <w:pPr>
        <w:pStyle w:val="16"/>
        <w:numPr>
          <w:ilvl w:val="0"/>
          <w:numId w:val="0"/>
        </w:numPr>
        <w:spacing w:after="80" w:line="276" w:lineRule="auto"/>
        <w:rPr>
          <w:sz w:val="22"/>
          <w:szCs w:val="22"/>
        </w:rPr>
      </w:pPr>
    </w:p>
    <w:p w14:paraId="7F8B4331">
      <w:pPr>
        <w:pStyle w:val="16"/>
        <w:numPr>
          <w:ilvl w:val="0"/>
          <w:numId w:val="0"/>
        </w:numPr>
        <w:spacing w:after="80" w:line="276" w:lineRule="auto"/>
        <w:rPr>
          <w:sz w:val="22"/>
          <w:szCs w:val="22"/>
        </w:rPr>
      </w:pPr>
    </w:p>
    <w:p w14:paraId="080A630A">
      <w:pPr>
        <w:pStyle w:val="16"/>
        <w:numPr>
          <w:ilvl w:val="0"/>
          <w:numId w:val="0"/>
        </w:numPr>
        <w:spacing w:after="80" w:line="276" w:lineRule="auto"/>
        <w:rPr>
          <w:sz w:val="22"/>
          <w:szCs w:val="22"/>
        </w:rPr>
      </w:pPr>
    </w:p>
    <w:p w14:paraId="52D3CDCE">
      <w:pPr>
        <w:pStyle w:val="16"/>
        <w:numPr>
          <w:ilvl w:val="0"/>
          <w:numId w:val="0"/>
        </w:numPr>
        <w:spacing w:after="80" w:line="276" w:lineRule="auto"/>
        <w:rPr>
          <w:sz w:val="22"/>
          <w:szCs w:val="22"/>
        </w:rPr>
      </w:pPr>
    </w:p>
    <w:p w14:paraId="6C869F26">
      <w:pPr>
        <w:pStyle w:val="16"/>
        <w:numPr>
          <w:ilvl w:val="0"/>
          <w:numId w:val="0"/>
        </w:numPr>
        <w:spacing w:after="80" w:line="276" w:lineRule="auto"/>
        <w:rPr>
          <w:sz w:val="22"/>
          <w:szCs w:val="22"/>
        </w:rPr>
      </w:pPr>
    </w:p>
    <w:p w14:paraId="0E43AA3E">
      <w:pPr>
        <w:pStyle w:val="16"/>
        <w:numPr>
          <w:ilvl w:val="0"/>
          <w:numId w:val="0"/>
        </w:numPr>
        <w:spacing w:after="80" w:line="276" w:lineRule="auto"/>
        <w:rPr>
          <w:sz w:val="22"/>
          <w:szCs w:val="22"/>
        </w:rPr>
      </w:pPr>
    </w:p>
    <w:p w14:paraId="1EFFFF26">
      <w:pPr>
        <w:pStyle w:val="16"/>
        <w:numPr>
          <w:ilvl w:val="0"/>
          <w:numId w:val="0"/>
        </w:numPr>
        <w:spacing w:after="80" w:line="276" w:lineRule="auto"/>
        <w:rPr>
          <w:sz w:val="22"/>
          <w:szCs w:val="22"/>
        </w:rPr>
      </w:pPr>
    </w:p>
    <w:p w14:paraId="407FB374">
      <w:pPr>
        <w:pStyle w:val="16"/>
        <w:numPr>
          <w:ilvl w:val="0"/>
          <w:numId w:val="0"/>
        </w:numPr>
        <w:spacing w:after="80" w:line="276" w:lineRule="auto"/>
        <w:rPr>
          <w:sz w:val="22"/>
          <w:szCs w:val="22"/>
        </w:rPr>
      </w:pPr>
    </w:p>
    <w:p w14:paraId="5C660D0C">
      <w:pPr>
        <w:pStyle w:val="2"/>
        <w:pBdr>
          <w:bottom w:val="single" w:color="1B2A4A" w:sz="12" w:space="4"/>
        </w:pBdr>
        <w:spacing w:before="480" w:after="240"/>
      </w:pPr>
      <w:r>
        <w:rPr>
          <w:b/>
          <w:bCs/>
          <w:color w:val="1B2A4A"/>
          <w:sz w:val="34"/>
          <w:szCs w:val="34"/>
        </w:rPr>
        <w:t>MODULE 13</w:t>
      </w:r>
    </w:p>
    <w:p w14:paraId="445D6363">
      <w:pPr>
        <w:spacing w:after="300"/>
      </w:pPr>
      <w:r>
        <w:rPr>
          <w:b/>
          <w:bCs/>
          <w:color w:val="9A7B2E"/>
          <w:sz w:val="30"/>
          <w:szCs w:val="30"/>
        </w:rPr>
        <w:t>Daily Trading &amp; Scalping</w:t>
      </w:r>
    </w:p>
    <w:p w14:paraId="345020FB">
      <w:pPr>
        <w:spacing w:after="160" w:line="288" w:lineRule="auto"/>
      </w:pPr>
      <w:r>
        <w:rPr>
          <w:b w:val="0"/>
          <w:bCs w:val="0"/>
          <w:i w:val="0"/>
          <w:iCs w:val="0"/>
          <w:sz w:val="22"/>
          <w:szCs w:val="22"/>
        </w:rPr>
        <w:t>This final module does not introduce a single new analytical tool. Every concept it names - HTF analysis, daily bias, marking liquidity, session selection, LTF execution, model selection, scalping, execution, management, and review - was already fully defined somewhere in Modules 1 through 12. What this module adds is sequencing: a single, repeatable, time-ordered daily routine that turns twelve modules of individual tools into one coherent, practiced habit.</w:t>
      </w:r>
    </w:p>
    <w:p w14:paraId="29825292">
      <w:pPr>
        <w:spacing w:after="160" w:line="288" w:lineRule="auto"/>
      </w:pPr>
      <w:r>
        <w:rPr>
          <w:b w:val="0"/>
          <w:bCs w:val="0"/>
          <w:i w:val="0"/>
          <w:iCs w:val="0"/>
          <w:sz w:val="22"/>
          <w:szCs w:val="22"/>
        </w:rPr>
        <w:t>The chapter is organized around three phases that repeat every single trading day: Pre-Market (analysis and planning, before any trade is considered), Session (live monitoring and execution, during the chosen Kill Zone), and Post-Trade (review and journaling, after the session or day concludes). Each of the ten listed concepts for this module is placed within whichever of these three phases it belongs to.</w:t>
      </w:r>
    </w:p>
    <w:p w14:paraId="793A3807">
      <w:pPr>
        <w:spacing w:after="160" w:line="288" w:lineRule="auto"/>
      </w:pPr>
      <w:r>
        <w:rPr>
          <w:b w:val="0"/>
          <w:bCs w:val="0"/>
          <w:i w:val="0"/>
          <w:iCs w:val="0"/>
          <w:sz w:val="22"/>
          <w:szCs w:val="22"/>
        </w:rPr>
        <w:t>This is also, deliberately, the shortest module in this book relative to how much it covers - its job is consolidation, not new instruction. If any individual concept below feels unfamiliar, this book has already covered it in full elsewhere, and the relevant earlier module is named explicitly.</w:t>
      </w:r>
    </w:p>
    <w:p w14:paraId="42FF5266">
      <w:r>
        <w:br w:type="page"/>
      </w:r>
    </w:p>
    <w:p w14:paraId="6D6E553D">
      <w:pPr>
        <w:pStyle w:val="2"/>
        <w:pBdr>
          <w:bottom w:val="single" w:color="1B2A4A" w:sz="12" w:space="4"/>
        </w:pBdr>
        <w:spacing w:before="480" w:after="240"/>
      </w:pPr>
      <w:r>
        <w:rPr>
          <w:b/>
          <w:bCs/>
          <w:color w:val="1B2A4A"/>
          <w:sz w:val="34"/>
          <w:szCs w:val="34"/>
        </w:rPr>
        <w:t>PRE-MARKET</w:t>
      </w:r>
    </w:p>
    <w:p w14:paraId="3E131413">
      <w:pPr>
        <w:spacing w:after="160" w:line="288" w:lineRule="auto"/>
      </w:pPr>
      <w:r>
        <w:rPr>
          <w:b w:val="0"/>
          <w:bCs w:val="0"/>
          <w:i w:val="0"/>
          <w:iCs w:val="0"/>
          <w:sz w:val="22"/>
          <w:szCs w:val="22"/>
        </w:rPr>
        <w:t>The pre-market phase happens before any trade is considered - its entire purpose is analysis and planning, carried out with a clear head and no open position influencing judgment.</w:t>
      </w:r>
    </w:p>
    <w:p w14:paraId="7D7D2A09">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HTF ANALYSIS</w:t>
      </w:r>
      <w:r>
        <w:rPr>
          <w:rFonts w:ascii="Consolas" w:hAnsi="Consolas" w:eastAsia="Consolas" w:cs="Consolas"/>
          <w:sz w:val="19"/>
          <w:szCs w:val="19"/>
        </w:rPr>
        <w:br w:type="textWrapping"/>
      </w:r>
      <w:r>
        <w:rPr>
          <w:rFonts w:ascii="Consolas" w:hAnsi="Consolas" w:eastAsia="Consolas" w:cs="Consolas"/>
          <w:sz w:val="19"/>
          <w:szCs w:val="19"/>
        </w:rPr>
        <w:t xml:space="preserve">     v</w:t>
      </w:r>
      <w:r>
        <w:rPr>
          <w:rFonts w:ascii="Consolas" w:hAnsi="Consolas" w:eastAsia="Consolas" w:cs="Consolas"/>
          <w:sz w:val="19"/>
          <w:szCs w:val="19"/>
        </w:rPr>
        <w:br w:type="textWrapping"/>
      </w:r>
      <w:r>
        <w:rPr>
          <w:rFonts w:ascii="Consolas" w:hAnsi="Consolas" w:eastAsia="Consolas" w:cs="Consolas"/>
          <w:sz w:val="19"/>
          <w:szCs w:val="19"/>
        </w:rPr>
        <w:t>DAILY BIAS</w:t>
      </w:r>
      <w:r>
        <w:rPr>
          <w:rFonts w:ascii="Consolas" w:hAnsi="Consolas" w:eastAsia="Consolas" w:cs="Consolas"/>
          <w:sz w:val="19"/>
          <w:szCs w:val="19"/>
        </w:rPr>
        <w:br w:type="textWrapping"/>
      </w:r>
      <w:r>
        <w:rPr>
          <w:rFonts w:ascii="Consolas" w:hAnsi="Consolas" w:eastAsia="Consolas" w:cs="Consolas"/>
          <w:sz w:val="19"/>
          <w:szCs w:val="19"/>
        </w:rPr>
        <w:t xml:space="preserve">     v</w:t>
      </w:r>
      <w:r>
        <w:rPr>
          <w:rFonts w:ascii="Consolas" w:hAnsi="Consolas" w:eastAsia="Consolas" w:cs="Consolas"/>
          <w:sz w:val="19"/>
          <w:szCs w:val="19"/>
        </w:rPr>
        <w:br w:type="textWrapping"/>
      </w:r>
      <w:r>
        <w:rPr>
          <w:rFonts w:ascii="Consolas" w:hAnsi="Consolas" w:eastAsia="Consolas" w:cs="Consolas"/>
          <w:sz w:val="19"/>
          <w:szCs w:val="19"/>
        </w:rPr>
        <w:t>MAJOR LIQUIDITY</w:t>
      </w:r>
      <w:r>
        <w:rPr>
          <w:rFonts w:ascii="Consolas" w:hAnsi="Consolas" w:eastAsia="Consolas" w:cs="Consolas"/>
          <w:sz w:val="19"/>
          <w:szCs w:val="19"/>
        </w:rPr>
        <w:br w:type="textWrapping"/>
      </w:r>
      <w:r>
        <w:rPr>
          <w:rFonts w:ascii="Consolas" w:hAnsi="Consolas" w:eastAsia="Consolas" w:cs="Consolas"/>
          <w:sz w:val="19"/>
          <w:szCs w:val="19"/>
        </w:rPr>
        <w:t xml:space="preserve">     v</w:t>
      </w:r>
      <w:r>
        <w:rPr>
          <w:rFonts w:ascii="Consolas" w:hAnsi="Consolas" w:eastAsia="Consolas" w:cs="Consolas"/>
          <w:sz w:val="19"/>
          <w:szCs w:val="19"/>
        </w:rPr>
        <w:br w:type="textWrapping"/>
      </w:r>
      <w:r>
        <w:rPr>
          <w:rFonts w:ascii="Consolas" w:hAnsi="Consolas" w:eastAsia="Consolas" w:cs="Consolas"/>
          <w:sz w:val="19"/>
          <w:szCs w:val="19"/>
        </w:rPr>
        <w:t>PD ARRAYS</w:t>
      </w:r>
      <w:r>
        <w:rPr>
          <w:rFonts w:ascii="Consolas" w:hAnsi="Consolas" w:eastAsia="Consolas" w:cs="Consolas"/>
          <w:sz w:val="19"/>
          <w:szCs w:val="19"/>
        </w:rPr>
        <w:br w:type="textWrapping"/>
      </w:r>
      <w:r>
        <w:rPr>
          <w:rFonts w:ascii="Consolas" w:hAnsi="Consolas" w:eastAsia="Consolas" w:cs="Consolas"/>
          <w:sz w:val="19"/>
          <w:szCs w:val="19"/>
        </w:rPr>
        <w:t xml:space="preserve">     v</w:t>
      </w:r>
      <w:r>
        <w:rPr>
          <w:rFonts w:ascii="Consolas" w:hAnsi="Consolas" w:eastAsia="Consolas" w:cs="Consolas"/>
          <w:sz w:val="19"/>
          <w:szCs w:val="19"/>
        </w:rPr>
        <w:br w:type="textWrapping"/>
      </w:r>
      <w:r>
        <w:rPr>
          <w:rFonts w:ascii="Consolas" w:hAnsi="Consolas" w:eastAsia="Consolas" w:cs="Consolas"/>
          <w:sz w:val="19"/>
          <w:szCs w:val="19"/>
        </w:rPr>
        <w:t>SESSION EXPECTATIONS</w:t>
      </w:r>
    </w:p>
    <w:p w14:paraId="24DE2AAC">
      <w:pPr>
        <w:pStyle w:val="3"/>
        <w:spacing w:before="360" w:after="160"/>
      </w:pPr>
      <w:r>
        <w:rPr>
          <w:b/>
          <w:bCs/>
          <w:color w:val="1B2A4A"/>
          <w:sz w:val="26"/>
          <w:szCs w:val="26"/>
        </w:rPr>
        <w:t>HTF Analysis</w:t>
      </w:r>
    </w:p>
    <w:p w14:paraId="6B78D26C">
      <w:pPr>
        <w:spacing w:after="160" w:line="288" w:lineRule="auto"/>
      </w:pPr>
      <w:r>
        <w:rPr>
          <w:b w:val="0"/>
          <w:bCs w:val="0"/>
          <w:i w:val="0"/>
          <w:iCs w:val="0"/>
          <w:sz w:val="22"/>
          <w:szCs w:val="22"/>
        </w:rPr>
        <w:t>The trading day begins, before any lower-timeframe chart is opened, with a review of the daily and 4-hour (or weekly, for a longer-term view) charts: current market structure, the position of price within the relevant dealing range (premium or discount), and any unmitigated higher-timeframe liquidity or PD arrays. This step is a direct application of Module 10's HTF Bias process and should take a fixed, disciplined block of time — commonly cited across sources as somewhere between fifteen and ninety minutes depending on a trader's overall routine — rather than being rushed or skipped.</w:t>
      </w:r>
    </w:p>
    <w:p w14:paraId="614D64DE">
      <w:pPr>
        <w:pStyle w:val="3"/>
        <w:spacing w:before="360" w:after="160"/>
      </w:pPr>
      <w:r>
        <w:rPr>
          <w:b/>
          <w:bCs/>
          <w:color w:val="1B2A4A"/>
          <w:sz w:val="26"/>
          <w:szCs w:val="26"/>
        </w:rPr>
        <w:t>Daily Bias</w:t>
      </w:r>
    </w:p>
    <w:p w14:paraId="72329C6F">
      <w:pPr>
        <w:spacing w:after="160" w:line="288" w:lineRule="auto"/>
      </w:pPr>
      <w:r>
        <w:rPr>
          <w:b w:val="0"/>
          <w:bCs w:val="0"/>
          <w:i w:val="0"/>
          <w:iCs w:val="0"/>
          <w:sz w:val="22"/>
          <w:szCs w:val="22"/>
        </w:rPr>
        <w:t>From the HTF analysis, a single directional statement is formed for the day using Module 10's Daily Bias process: structure, the day's or prior day's opening price, and the nearest unswept liquidity, combined into one explicit bullish, bearish, or neutral call, ideally written down before the London or New York session begins.</w:t>
      </w:r>
    </w:p>
    <w:p w14:paraId="39C828E5">
      <w:pPr>
        <w:pStyle w:val="3"/>
        <w:spacing w:before="360" w:after="160"/>
      </w:pPr>
      <w:r>
        <w:rPr>
          <w:b/>
          <w:bCs/>
          <w:color w:val="1B2A4A"/>
          <w:sz w:val="26"/>
          <w:szCs w:val="26"/>
        </w:rPr>
        <w:t>Marking Liquidity</w:t>
      </w:r>
    </w:p>
    <w:p w14:paraId="4D814EF4">
      <w:pPr>
        <w:spacing w:after="160" w:line="288" w:lineRule="auto"/>
      </w:pPr>
      <w:r>
        <w:rPr>
          <w:b w:val="0"/>
          <w:bCs w:val="0"/>
          <w:i w:val="0"/>
          <w:iCs w:val="0"/>
          <w:sz w:val="22"/>
          <w:szCs w:val="22"/>
        </w:rPr>
        <w:t>With bias established, the specific liquidity levels most relevant to that bias are marked on the chart: the opposing liquidity pool expected to be swept first (Module 4), and the liquidity pool that will serve as the eventual profit target (also Module 4). This is the same marking process demonstrated in full in Modules 11 and 12's worked examples, done here as a standing daily habit rather than a one-off exercise.</w:t>
      </w:r>
    </w:p>
    <w:p w14:paraId="4527CF22">
      <w:pPr>
        <w:pStyle w:val="3"/>
        <w:spacing w:before="360" w:after="160"/>
      </w:pPr>
      <w:r>
        <w:rPr>
          <w:b/>
          <w:bCs/>
          <w:color w:val="1B2A4A"/>
          <w:sz w:val="26"/>
          <w:szCs w:val="26"/>
        </w:rPr>
        <w:t>Pre-Market Checklist</w:t>
      </w:r>
    </w:p>
    <w:p w14:paraId="37B255D2">
      <w:pPr>
        <w:pStyle w:val="16"/>
        <w:numPr>
          <w:ilvl w:val="0"/>
          <w:numId w:val="1"/>
        </w:numPr>
        <w:spacing w:after="80" w:line="276" w:lineRule="auto"/>
      </w:pPr>
      <w:r>
        <w:rPr>
          <w:sz w:val="22"/>
          <w:szCs w:val="22"/>
        </w:rPr>
        <w:t>Review HTF structure (daily/4-hour) and note current premium/discount position within the relevant dealing range.</w:t>
      </w:r>
    </w:p>
    <w:p w14:paraId="57E3B6C3">
      <w:pPr>
        <w:pStyle w:val="16"/>
        <w:numPr>
          <w:ilvl w:val="0"/>
          <w:numId w:val="1"/>
        </w:numPr>
        <w:spacing w:after="80" w:line="276" w:lineRule="auto"/>
      </w:pPr>
      <w:r>
        <w:rPr>
          <w:sz w:val="22"/>
          <w:szCs w:val="22"/>
        </w:rPr>
        <w:t>Establish daily bias (bullish, bearish, or neutral) using Module 10's process, writing it down explicitly.</w:t>
      </w:r>
    </w:p>
    <w:p w14:paraId="15263EC7">
      <w:pPr>
        <w:pStyle w:val="16"/>
        <w:numPr>
          <w:ilvl w:val="0"/>
          <w:numId w:val="1"/>
        </w:numPr>
        <w:spacing w:after="80" w:line="276" w:lineRule="auto"/>
      </w:pPr>
      <w:r>
        <w:rPr>
          <w:sz w:val="22"/>
          <w:szCs w:val="22"/>
        </w:rPr>
        <w:t>Mark major liquidity: the opposing pool expected to be swept, and the target pool the eventual move should be aimed at.</w:t>
      </w:r>
    </w:p>
    <w:p w14:paraId="3CB98BF1">
      <w:pPr>
        <w:pStyle w:val="16"/>
        <w:numPr>
          <w:ilvl w:val="0"/>
          <w:numId w:val="1"/>
        </w:numPr>
        <w:spacing w:after="80" w:line="276" w:lineRule="auto"/>
      </w:pPr>
      <w:r>
        <w:rPr>
          <w:sz w:val="22"/>
          <w:szCs w:val="22"/>
        </w:rPr>
        <w:t>Identify relevant PD arrays (Module 6) near current price that align with the day's bias.</w:t>
      </w:r>
    </w:p>
    <w:p w14:paraId="22B4A378">
      <w:pPr>
        <w:pStyle w:val="16"/>
        <w:numPr>
          <w:ilvl w:val="0"/>
          <w:numId w:val="1"/>
        </w:numPr>
        <w:spacing w:after="80" w:line="276" w:lineRule="auto"/>
      </w:pPr>
      <w:r>
        <w:rPr>
          <w:sz w:val="22"/>
          <w:szCs w:val="22"/>
        </w:rPr>
        <w:t>Set session expectations: which Kill Zone(s) will be actively watched, and which will be used only for observation (per Module 8/9's session mapping).</w:t>
      </w:r>
    </w:p>
    <w:p w14:paraId="18E38D81">
      <w:r>
        <w:br w:type="page"/>
      </w:r>
    </w:p>
    <w:p w14:paraId="4AE396FC">
      <w:pPr>
        <w:pStyle w:val="2"/>
        <w:pBdr>
          <w:bottom w:val="single" w:color="1B2A4A" w:sz="12" w:space="4"/>
        </w:pBdr>
        <w:spacing w:before="480" w:after="240"/>
      </w:pPr>
      <w:r>
        <w:rPr>
          <w:b/>
          <w:bCs/>
          <w:color w:val="1B2A4A"/>
          <w:sz w:val="34"/>
          <w:szCs w:val="34"/>
        </w:rPr>
        <w:t>SESSION</w:t>
      </w:r>
    </w:p>
    <w:p w14:paraId="53E6676F">
      <w:pPr>
        <w:spacing w:after="160" w:line="288" w:lineRule="auto"/>
      </w:pPr>
      <w:r>
        <w:rPr>
          <w:b w:val="0"/>
          <w:bCs w:val="0"/>
          <w:i w:val="0"/>
          <w:iCs w:val="0"/>
          <w:sz w:val="22"/>
          <w:szCs w:val="22"/>
        </w:rPr>
        <w:t>The session phase begins once the selected Kill Zone opens and continues until either a trade is taken and managed to its conclusion, or the window closes without a qualifying setup - in which case, per this book's repeated guidance, no trade is the correct and disciplined outcome.</w:t>
      </w:r>
    </w:p>
    <w:p w14:paraId="417CA32B">
      <w:pPr>
        <w:pBdr>
          <w:top w:val="single" w:color="CCCCCC" w:sz="4" w:space="4"/>
          <w:left w:val="single" w:color="CCCCCC" w:sz="4" w:space="4"/>
          <w:bottom w:val="single" w:color="CCCCCC" w:sz="4" w:space="4"/>
          <w:right w:val="single" w:color="CCCCCC" w:sz="4" w:space="4"/>
        </w:pBdr>
        <w:shd w:val="clear" w:fill="F5F5F0"/>
        <w:spacing w:before="120" w:after="200"/>
      </w:pPr>
      <w:r>
        <w:rPr>
          <w:rFonts w:ascii="Consolas" w:hAnsi="Consolas" w:eastAsia="Consolas" w:cs="Consolas"/>
          <w:sz w:val="19"/>
          <w:szCs w:val="19"/>
        </w:rPr>
        <w:t>OBSERVE PRICE</w:t>
      </w:r>
      <w:r>
        <w:rPr>
          <w:rFonts w:ascii="Consolas" w:hAnsi="Consolas" w:eastAsia="Consolas" w:cs="Consolas"/>
          <w:sz w:val="19"/>
          <w:szCs w:val="19"/>
        </w:rPr>
        <w:br w:type="textWrapping"/>
      </w:r>
      <w:r>
        <w:rPr>
          <w:rFonts w:ascii="Consolas" w:hAnsi="Consolas" w:eastAsia="Consolas" w:cs="Consolas"/>
          <w:sz w:val="19"/>
          <w:szCs w:val="19"/>
        </w:rPr>
        <w:t xml:space="preserve">     v</w:t>
      </w:r>
      <w:r>
        <w:rPr>
          <w:rFonts w:ascii="Consolas" w:hAnsi="Consolas" w:eastAsia="Consolas" w:cs="Consolas"/>
          <w:sz w:val="19"/>
          <w:szCs w:val="19"/>
        </w:rPr>
        <w:br w:type="textWrapping"/>
      </w:r>
      <w:r>
        <w:rPr>
          <w:rFonts w:ascii="Consolas" w:hAnsi="Consolas" w:eastAsia="Consolas" w:cs="Consolas"/>
          <w:sz w:val="19"/>
          <w:szCs w:val="19"/>
        </w:rPr>
        <w:t>LIQUIDITY EVENT</w:t>
      </w:r>
      <w:r>
        <w:rPr>
          <w:rFonts w:ascii="Consolas" w:hAnsi="Consolas" w:eastAsia="Consolas" w:cs="Consolas"/>
          <w:sz w:val="19"/>
          <w:szCs w:val="19"/>
        </w:rPr>
        <w:br w:type="textWrapping"/>
      </w:r>
      <w:r>
        <w:rPr>
          <w:rFonts w:ascii="Consolas" w:hAnsi="Consolas" w:eastAsia="Consolas" w:cs="Consolas"/>
          <w:sz w:val="19"/>
          <w:szCs w:val="19"/>
        </w:rPr>
        <w:t xml:space="preserve">     v</w:t>
      </w:r>
      <w:r>
        <w:rPr>
          <w:rFonts w:ascii="Consolas" w:hAnsi="Consolas" w:eastAsia="Consolas" w:cs="Consolas"/>
          <w:sz w:val="19"/>
          <w:szCs w:val="19"/>
        </w:rPr>
        <w:br w:type="textWrapping"/>
      </w:r>
      <w:r>
        <w:rPr>
          <w:rFonts w:ascii="Consolas" w:hAnsi="Consolas" w:eastAsia="Consolas" w:cs="Consolas"/>
          <w:sz w:val="19"/>
          <w:szCs w:val="19"/>
        </w:rPr>
        <w:t>DISPLACEMENT</w:t>
      </w:r>
      <w:r>
        <w:rPr>
          <w:rFonts w:ascii="Consolas" w:hAnsi="Consolas" w:eastAsia="Consolas" w:cs="Consolas"/>
          <w:sz w:val="19"/>
          <w:szCs w:val="19"/>
        </w:rPr>
        <w:br w:type="textWrapping"/>
      </w:r>
      <w:r>
        <w:rPr>
          <w:rFonts w:ascii="Consolas" w:hAnsi="Consolas" w:eastAsia="Consolas" w:cs="Consolas"/>
          <w:sz w:val="19"/>
          <w:szCs w:val="19"/>
        </w:rPr>
        <w:t xml:space="preserve">     v</w:t>
      </w:r>
      <w:r>
        <w:rPr>
          <w:rFonts w:ascii="Consolas" w:hAnsi="Consolas" w:eastAsia="Consolas" w:cs="Consolas"/>
          <w:sz w:val="19"/>
          <w:szCs w:val="19"/>
        </w:rPr>
        <w:br w:type="textWrapping"/>
      </w:r>
      <w:r>
        <w:rPr>
          <w:rFonts w:ascii="Consolas" w:hAnsi="Consolas" w:eastAsia="Consolas" w:cs="Consolas"/>
          <w:sz w:val="19"/>
          <w:szCs w:val="19"/>
        </w:rPr>
        <w:t>MSS</w:t>
      </w:r>
      <w:r>
        <w:rPr>
          <w:rFonts w:ascii="Consolas" w:hAnsi="Consolas" w:eastAsia="Consolas" w:cs="Consolas"/>
          <w:sz w:val="19"/>
          <w:szCs w:val="19"/>
        </w:rPr>
        <w:br w:type="textWrapping"/>
      </w:r>
      <w:r>
        <w:rPr>
          <w:rFonts w:ascii="Consolas" w:hAnsi="Consolas" w:eastAsia="Consolas" w:cs="Consolas"/>
          <w:sz w:val="19"/>
          <w:szCs w:val="19"/>
        </w:rPr>
        <w:t xml:space="preserve">     v</w:t>
      </w:r>
      <w:r>
        <w:rPr>
          <w:rFonts w:ascii="Consolas" w:hAnsi="Consolas" w:eastAsia="Consolas" w:cs="Consolas"/>
          <w:sz w:val="19"/>
          <w:szCs w:val="19"/>
        </w:rPr>
        <w:br w:type="textWrapping"/>
      </w:r>
      <w:r>
        <w:rPr>
          <w:rFonts w:ascii="Consolas" w:hAnsi="Consolas" w:eastAsia="Consolas" w:cs="Consolas"/>
          <w:sz w:val="19"/>
          <w:szCs w:val="19"/>
        </w:rPr>
        <w:t>ENTRY MODEL</w:t>
      </w:r>
    </w:p>
    <w:p w14:paraId="7FB3D6D0">
      <w:pPr>
        <w:pStyle w:val="3"/>
        <w:spacing w:before="360" w:after="160"/>
      </w:pPr>
      <w:r>
        <w:rPr>
          <w:b/>
          <w:bCs/>
          <w:color w:val="1B2A4A"/>
          <w:sz w:val="26"/>
          <w:szCs w:val="26"/>
        </w:rPr>
        <w:t>Selecting the Appropriate Session</w:t>
      </w:r>
    </w:p>
    <w:p w14:paraId="7493F466">
      <w:pPr>
        <w:spacing w:after="160" w:line="288" w:lineRule="auto"/>
      </w:pPr>
      <w:r>
        <w:rPr>
          <w:b w:val="0"/>
          <w:bCs w:val="0"/>
          <w:i w:val="0"/>
          <w:iCs w:val="0"/>
          <w:sz w:val="22"/>
          <w:szCs w:val="22"/>
        </w:rPr>
        <w:t>Using Module 8's session and Kill Zone vocabulary, a specific window (or windows) is chosen for active monitoring — commonly the London Open Kill Zone and/or the New York Open Kill Zone, with the Asian session reserved mainly for observation per Module 8's "How to Use Each Session" guidance. Sources note that not every session needs to be actively traded, and that concentrating attention on one or two high-probability windows, rather than monitoring continuously around the clock, is the more disciplined and sustainable approach.</w:t>
      </w:r>
    </w:p>
    <w:p w14:paraId="2C488EE3">
      <w:pPr>
        <w:pStyle w:val="3"/>
        <w:spacing w:before="360" w:after="160"/>
      </w:pPr>
      <w:r>
        <w:rPr>
          <w:b/>
          <w:bCs/>
          <w:color w:val="1B2A4A"/>
          <w:sz w:val="26"/>
          <w:szCs w:val="26"/>
        </w:rPr>
        <w:t>LTF Execution</w:t>
      </w:r>
    </w:p>
    <w:p w14:paraId="330019E4">
      <w:pPr>
        <w:spacing w:after="160" w:line="288" w:lineRule="auto"/>
      </w:pPr>
      <w:r>
        <w:rPr>
          <w:b w:val="0"/>
          <w:bCs w:val="0"/>
          <w:i w:val="0"/>
          <w:iCs w:val="0"/>
          <w:sz w:val="22"/>
          <w:szCs w:val="22"/>
        </w:rPr>
        <w:t>Once price approaches a marked liquidity level during the selected session, attention shifts to a lower timeframe (commonly the 5-minute, 3-minute, or 1-minute chart) to watch for the specific sequence from Modules 11 and 12: a liquidity sweep, followed by displacement, a Market Structure Shift, and a retracement into an FVG/Order Block, ideally confirmed by OTE. Sources are consistent that if any single piece of this sequence is missing, the setup should be skipped rather than forced.</w:t>
      </w:r>
    </w:p>
    <w:p w14:paraId="2BCAE038">
      <w:pPr>
        <w:pStyle w:val="3"/>
        <w:spacing w:before="360" w:after="160"/>
      </w:pPr>
      <w:r>
        <w:rPr>
          <w:b/>
          <w:bCs/>
          <w:color w:val="1B2A4A"/>
          <w:sz w:val="26"/>
          <w:szCs w:val="26"/>
        </w:rPr>
        <w:t>ICT Buy/Sell Model Selection</w:t>
      </w:r>
    </w:p>
    <w:p w14:paraId="14019689">
      <w:pPr>
        <w:spacing w:after="160" w:line="288" w:lineRule="auto"/>
      </w:pPr>
      <w:r>
        <w:rPr>
          <w:b w:val="0"/>
          <w:bCs w:val="0"/>
          <w:i w:val="0"/>
          <w:iCs w:val="0"/>
          <w:sz w:val="22"/>
          <w:szCs w:val="22"/>
        </w:rPr>
        <w:t>Based on the daily bias established earlier, the trader commits to looking only for the matching model — the ICT Buy Model (Module 11) if bias is bullish, or the ICT Sell Model (Module 12) if bias is bearish — and deliberately disregards setups pointing the opposite direction, consistent with the discipline Module 10 describes bias as being specifically designed to enforce.</w:t>
      </w:r>
    </w:p>
    <w:p w14:paraId="2A7CB313">
      <w:pPr>
        <w:pStyle w:val="3"/>
        <w:spacing w:before="360" w:after="160"/>
      </w:pPr>
      <w:r>
        <w:rPr>
          <w:b/>
          <w:bCs/>
          <w:color w:val="1B2A4A"/>
          <w:sz w:val="26"/>
          <w:szCs w:val="26"/>
        </w:rPr>
        <w:t>Daily Scalping</w:t>
      </w:r>
    </w:p>
    <w:p w14:paraId="579F4014">
      <w:pPr>
        <w:spacing w:after="160" w:line="288" w:lineRule="auto"/>
      </w:pPr>
      <w:r>
        <w:rPr>
          <w:b w:val="0"/>
          <w:bCs w:val="0"/>
          <w:i w:val="0"/>
          <w:iCs w:val="0"/>
          <w:sz w:val="22"/>
          <w:szCs w:val="22"/>
        </w:rPr>
        <w:t>For traders operating on a shorter time horizon within the day, the same Buy/Sell Model logic is applied with a smaller, single-impulse objective rather than a multi-day swing target: entering on a sweep-displacement-retracement-entry sequence and targeting only the next nearby liquidity pool, rather than a distant higher-timeframe level. Sources describe scalping as fragile — highly sensitive to spread, slippage, and news risk — and recommend a short, strictly enforced checklist (clear liquidity draw, a complete Sweep→Displace→Retrace→Enter sequence, a single-impulse objective, and a tight, clearly defined invalidation point) that is skipped entirely if any single piece is missing.</w:t>
      </w:r>
    </w:p>
    <w:p w14:paraId="53B8F1D5">
      <w:pPr>
        <w:pStyle w:val="3"/>
        <w:spacing w:before="360" w:after="160"/>
      </w:pPr>
      <w:r>
        <w:rPr>
          <w:b/>
          <w:bCs/>
          <w:color w:val="1B2A4A"/>
          <w:sz w:val="26"/>
          <w:szCs w:val="26"/>
        </w:rPr>
        <w:t>Trade Execution</w:t>
      </w:r>
    </w:p>
    <w:p w14:paraId="3627B431">
      <w:pPr>
        <w:spacing w:after="160" w:line="288" w:lineRule="auto"/>
      </w:pPr>
      <w:r>
        <w:rPr>
          <w:b w:val="0"/>
          <w:bCs w:val="0"/>
          <w:i w:val="0"/>
          <w:iCs w:val="0"/>
          <w:sz w:val="22"/>
          <w:szCs w:val="22"/>
        </w:rPr>
        <w:t>The specific mechanics of placing the trade: setting a limit order at the finalized entry zone (Module 7) or entering at market once a lower-timeframe confirmation fires, setting the stop-loss at the level defined by the sweep (Modules 11–12), setting the take-profit at the identified target liquidity, and calculating position size from the resulting risk distance and a predetermined maximum risk percentage per trade (commonly cited across sources as around 1%, rising to a maximum of about 2% only for higher-conviction setups).</w:t>
      </w:r>
    </w:p>
    <w:p w14:paraId="070FD66D">
      <w:pPr>
        <w:pStyle w:val="3"/>
        <w:spacing w:before="360" w:after="160"/>
      </w:pPr>
      <w:r>
        <w:rPr>
          <w:b/>
          <w:bCs/>
          <w:color w:val="1B2A4A"/>
          <w:sz w:val="26"/>
          <w:szCs w:val="26"/>
        </w:rPr>
        <w:t>Trade Management</w:t>
      </w:r>
    </w:p>
    <w:p w14:paraId="011CAA69">
      <w:pPr>
        <w:spacing w:after="160" w:line="288" w:lineRule="auto"/>
      </w:pPr>
      <w:r>
        <w:rPr>
          <w:b w:val="0"/>
          <w:bCs w:val="0"/>
          <w:i w:val="0"/>
          <w:iCs w:val="0"/>
          <w:sz w:val="22"/>
          <w:szCs w:val="22"/>
        </w:rPr>
        <w:t>Once in a trade, management includes monitoring for signs the original premise is failing (for example, price beginning to threaten the stop-loss level, or failing to displace as expected after reaching the entry zone), and predetermined rules for adjusting the stop to breakeven or scaling out partial profit at intermediate liquidity levels before the final target is reached. Sources emphasize that these rules should be decided in advance, before the trade is placed, rather than improvised emotionally while the trade is open.</w:t>
      </w:r>
    </w:p>
    <w:p w14:paraId="7512B00C">
      <w:pPr>
        <w:pStyle w:val="3"/>
        <w:spacing w:before="360" w:after="160"/>
      </w:pPr>
      <w:r>
        <w:rPr>
          <w:b/>
          <w:bCs/>
          <w:color w:val="1B2A4A"/>
          <w:sz w:val="26"/>
          <w:szCs w:val="26"/>
        </w:rPr>
        <w:t>Session Checklist</w:t>
      </w:r>
    </w:p>
    <w:p w14:paraId="20F611C9">
      <w:pPr>
        <w:pStyle w:val="16"/>
        <w:numPr>
          <w:ilvl w:val="0"/>
          <w:numId w:val="1"/>
        </w:numPr>
        <w:spacing w:after="80" w:line="276" w:lineRule="auto"/>
      </w:pPr>
      <w:r>
        <w:rPr>
          <w:sz w:val="22"/>
          <w:szCs w:val="22"/>
        </w:rPr>
        <w:t>Observe price as it approaches the marked liquidity level during the selected Kill Zone.</w:t>
      </w:r>
    </w:p>
    <w:p w14:paraId="08B02AB6">
      <w:pPr>
        <w:pStyle w:val="16"/>
        <w:numPr>
          <w:ilvl w:val="0"/>
          <w:numId w:val="1"/>
        </w:numPr>
        <w:spacing w:after="80" w:line="276" w:lineRule="auto"/>
      </w:pPr>
      <w:r>
        <w:rPr>
          <w:sz w:val="22"/>
          <w:szCs w:val="22"/>
        </w:rPr>
        <w:t>Watch for the liquidity event: a genuine sweep (not just a pullback) of the expected level.</w:t>
      </w:r>
    </w:p>
    <w:p w14:paraId="3F22C59C">
      <w:pPr>
        <w:pStyle w:val="16"/>
        <w:numPr>
          <w:ilvl w:val="0"/>
          <w:numId w:val="1"/>
        </w:numPr>
        <w:spacing w:after="80" w:line="276" w:lineRule="auto"/>
      </w:pPr>
      <w:r>
        <w:rPr>
          <w:sz w:val="22"/>
          <w:szCs w:val="22"/>
        </w:rPr>
        <w:t>Confirm displacement away from the sweep, and a resulting Market Structure Shift on the lower timeframe.</w:t>
      </w:r>
    </w:p>
    <w:p w14:paraId="54D400C0">
      <w:pPr>
        <w:pStyle w:val="16"/>
        <w:numPr>
          <w:ilvl w:val="0"/>
          <w:numId w:val="1"/>
        </w:numPr>
        <w:spacing w:after="80" w:line="276" w:lineRule="auto"/>
      </w:pPr>
      <w:r>
        <w:rPr>
          <w:sz w:val="22"/>
          <w:szCs w:val="22"/>
        </w:rPr>
        <w:t>Apply the matching entry model (Buy Model or Sell Model, per the day's bias) to finalize entry, stop, and target.</w:t>
      </w:r>
    </w:p>
    <w:p w14:paraId="7B727151">
      <w:pPr>
        <w:pBdr>
          <w:left w:val="single" w:color="7A2E2E" w:sz="24" w:space="8"/>
        </w:pBdr>
        <w:shd w:val="clear" w:fill="EFEFEF"/>
        <w:spacing w:before="160" w:after="200"/>
        <w:ind w:left="200"/>
      </w:pPr>
      <w:r>
        <w:rPr>
          <w:b/>
          <w:bCs/>
          <w:color w:val="7A2E2E"/>
          <w:sz w:val="21"/>
          <w:szCs w:val="21"/>
        </w:rPr>
        <w:t xml:space="preserve">Important qualification: </w:t>
      </w:r>
      <w:r>
        <w:rPr>
          <w:sz w:val="21"/>
          <w:szCs w:val="21"/>
        </w:rPr>
        <w:t>Sources reviewed for this module are consistent that if any single piece of this sequence is missing - no genuine sweep, no real displacement, no confirmed structure shift - the setup should be skipped entirely rather than forced. A trader who takes a trade missing one of these pieces is not using a weaker version of this framework; they are using a different, unvalidated approach that happens to share some of its vocabulary.</w:t>
      </w:r>
    </w:p>
    <w:p w14:paraId="7CED5501">
      <w:r>
        <w:br w:type="page"/>
      </w:r>
    </w:p>
    <w:p w14:paraId="09BE8BC8">
      <w:pPr>
        <w:pStyle w:val="2"/>
        <w:pBdr>
          <w:bottom w:val="single" w:color="1B2A4A" w:sz="12" w:space="4"/>
        </w:pBdr>
        <w:spacing w:before="480" w:after="240"/>
      </w:pPr>
      <w:r>
        <w:rPr>
          <w:b/>
          <w:bCs/>
          <w:color w:val="1B2A4A"/>
          <w:sz w:val="34"/>
          <w:szCs w:val="34"/>
        </w:rPr>
        <w:t>POST-TRADE</w:t>
      </w:r>
    </w:p>
    <w:p w14:paraId="20B158C0">
      <w:pPr>
        <w:spacing w:after="160" w:line="288" w:lineRule="auto"/>
      </w:pPr>
      <w:r>
        <w:rPr>
          <w:b w:val="0"/>
          <w:bCs w:val="0"/>
          <w:i w:val="0"/>
          <w:iCs w:val="0"/>
          <w:sz w:val="22"/>
          <w:szCs w:val="22"/>
        </w:rPr>
        <w:t>The post-trade phase happens after the session or trading day concludes, whether or not a trade was actually taken. Its purpose is honest, process-focused review - not simply tallying profit and loss, but checking whether the plan established in the pre-market phase was actually followed.</w:t>
      </w:r>
    </w:p>
    <w:p w14:paraId="31A3D43C">
      <w:pPr>
        <w:pStyle w:val="3"/>
        <w:spacing w:before="360" w:after="160"/>
      </w:pPr>
      <w:r>
        <w:rPr>
          <w:b/>
          <w:bCs/>
          <w:color w:val="1B2A4A"/>
          <w:sz w:val="26"/>
          <w:szCs w:val="26"/>
        </w:rPr>
        <w:t>Daily Review/Journaling</w:t>
      </w:r>
    </w:p>
    <w:p w14:paraId="3A2E0AA3">
      <w:pPr>
        <w:spacing w:after="160" w:line="288" w:lineRule="auto"/>
      </w:pPr>
      <w:r>
        <w:rPr>
          <w:b w:val="0"/>
          <w:bCs w:val="0"/>
          <w:i w:val="0"/>
          <w:iCs w:val="0"/>
          <w:sz w:val="22"/>
          <w:szCs w:val="22"/>
        </w:rPr>
        <w:t>After the session (or trading day) concludes, each trade is logged with its full context: the HTF bias and structure that motivated it, the specific liquidity swept, the session and Kill Zone it occurred in, the exact setup type (which model, which PD array), the entry, stop, and target, the actual result, and — critically — an honest note on any mistake made or lesson learned, including whether the trader adhered to their own plan regardless of the trade's outcome. Sources are consistent that this adherence-focused, process-oriented review (not just tracking profit and loss) is what allows a trader to identify which specific setups and conditions actually produce good results over time, distinct from what merely felt good or bad in the moment.</w:t>
      </w:r>
    </w:p>
    <w:p w14:paraId="21A38669">
      <w:pPr>
        <w:pStyle w:val="3"/>
        <w:spacing w:before="360" w:after="160"/>
      </w:pPr>
      <w:r>
        <w:rPr>
          <w:b/>
          <w:bCs/>
          <w:color w:val="1B2A4A"/>
          <w:sz w:val="26"/>
          <w:szCs w:val="26"/>
        </w:rPr>
        <w:t>What to Record for Every Trade (or No-Trade Day)</w:t>
      </w:r>
    </w:p>
    <w:p w14:paraId="4C4C0EF0">
      <w:pPr>
        <w:pStyle w:val="16"/>
        <w:numPr>
          <w:ilvl w:val="0"/>
          <w:numId w:val="1"/>
        </w:numPr>
        <w:spacing w:after="80" w:line="276" w:lineRule="auto"/>
      </w:pPr>
      <w:r>
        <w:rPr>
          <w:sz w:val="22"/>
          <w:szCs w:val="22"/>
        </w:rPr>
        <w:t>HTF context that was in place when the trade was taken</w:t>
      </w:r>
    </w:p>
    <w:p w14:paraId="335F67EE">
      <w:pPr>
        <w:pStyle w:val="16"/>
        <w:numPr>
          <w:ilvl w:val="0"/>
          <w:numId w:val="1"/>
        </w:numPr>
        <w:spacing w:after="80" w:line="276" w:lineRule="auto"/>
      </w:pPr>
      <w:r>
        <w:rPr>
          <w:sz w:val="22"/>
          <w:szCs w:val="22"/>
        </w:rPr>
        <w:t>The bias (bullish/bearish/neutral) and how it was determined</w:t>
      </w:r>
    </w:p>
    <w:p w14:paraId="37B1703C">
      <w:pPr>
        <w:pStyle w:val="16"/>
        <w:numPr>
          <w:ilvl w:val="0"/>
          <w:numId w:val="1"/>
        </w:numPr>
        <w:spacing w:after="80" w:line="276" w:lineRule="auto"/>
      </w:pPr>
      <w:r>
        <w:rPr>
          <w:sz w:val="22"/>
          <w:szCs w:val="22"/>
        </w:rPr>
        <w:t>The specific liquidity swept, and the target liquidity aimed at</w:t>
      </w:r>
    </w:p>
    <w:p w14:paraId="29C45345">
      <w:pPr>
        <w:pStyle w:val="16"/>
        <w:numPr>
          <w:ilvl w:val="0"/>
          <w:numId w:val="1"/>
        </w:numPr>
        <w:spacing w:after="80" w:line="276" w:lineRule="auto"/>
      </w:pPr>
      <w:r>
        <w:rPr>
          <w:sz w:val="22"/>
          <w:szCs w:val="22"/>
        </w:rPr>
        <w:t>The session/Kill Zone the setup occurred in</w:t>
      </w:r>
    </w:p>
    <w:p w14:paraId="13F84F9D">
      <w:pPr>
        <w:pStyle w:val="16"/>
        <w:numPr>
          <w:ilvl w:val="0"/>
          <w:numId w:val="1"/>
        </w:numPr>
        <w:spacing w:after="80" w:line="276" w:lineRule="auto"/>
      </w:pPr>
      <w:r>
        <w:rPr>
          <w:sz w:val="22"/>
          <w:szCs w:val="22"/>
        </w:rPr>
        <w:t>The specific setup/model used (Buy Model, Sell Model, or scalping variant)</w:t>
      </w:r>
    </w:p>
    <w:p w14:paraId="26493FCD">
      <w:pPr>
        <w:pStyle w:val="16"/>
        <w:numPr>
          <w:ilvl w:val="0"/>
          <w:numId w:val="1"/>
        </w:numPr>
        <w:spacing w:after="80" w:line="276" w:lineRule="auto"/>
      </w:pPr>
      <w:r>
        <w:rPr>
          <w:sz w:val="22"/>
          <w:szCs w:val="22"/>
        </w:rPr>
        <w:t>The exact entry, stop-loss, and target prices</w:t>
      </w:r>
    </w:p>
    <w:p w14:paraId="45B6CF96">
      <w:pPr>
        <w:pStyle w:val="16"/>
        <w:numPr>
          <w:ilvl w:val="0"/>
          <w:numId w:val="1"/>
        </w:numPr>
        <w:spacing w:after="80" w:line="276" w:lineRule="auto"/>
      </w:pPr>
      <w:r>
        <w:rPr>
          <w:sz w:val="22"/>
          <w:szCs w:val="22"/>
        </w:rPr>
        <w:t>The invalidation condition that was defined before entry</w:t>
      </w:r>
    </w:p>
    <w:p w14:paraId="34EB4B27">
      <w:pPr>
        <w:pStyle w:val="16"/>
        <w:numPr>
          <w:ilvl w:val="0"/>
          <w:numId w:val="1"/>
        </w:numPr>
        <w:spacing w:after="80" w:line="276" w:lineRule="auto"/>
      </w:pPr>
      <w:r>
        <w:rPr>
          <w:sz w:val="22"/>
          <w:szCs w:val="22"/>
        </w:rPr>
        <w:t>The actual result (win, loss, breakeven, or scratch)</w:t>
      </w:r>
    </w:p>
    <w:p w14:paraId="7C16AFF3">
      <w:pPr>
        <w:pStyle w:val="16"/>
        <w:numPr>
          <w:ilvl w:val="0"/>
          <w:numId w:val="1"/>
        </w:numPr>
        <w:spacing w:after="80" w:line="276" w:lineRule="auto"/>
      </w:pPr>
      <w:r>
        <w:rPr>
          <w:sz w:val="22"/>
          <w:szCs w:val="22"/>
        </w:rPr>
        <w:t>Any mistake made, including deviations from the plan even on winning trades</w:t>
      </w:r>
    </w:p>
    <w:p w14:paraId="6D738964">
      <w:pPr>
        <w:pStyle w:val="16"/>
        <w:numPr>
          <w:ilvl w:val="0"/>
          <w:numId w:val="1"/>
        </w:numPr>
        <w:spacing w:after="80" w:line="276" w:lineRule="auto"/>
      </w:pPr>
      <w:r>
        <w:rPr>
          <w:sz w:val="22"/>
          <w:szCs w:val="22"/>
        </w:rPr>
        <w:t>The specific lesson drawn, to be checked against future trades of the same type</w:t>
      </w:r>
    </w:p>
    <w:p w14:paraId="2AC8C885">
      <w:pPr>
        <w:spacing w:after="160" w:line="288" w:lineRule="auto"/>
      </w:pPr>
      <w:r>
        <w:rPr>
          <w:b w:val="0"/>
          <w:bCs w:val="0"/>
          <w:i w:val="0"/>
          <w:iCs w:val="0"/>
          <w:sz w:val="22"/>
          <w:szCs w:val="22"/>
        </w:rPr>
        <w:t>Sources reviewed for this module emphasize recording no-trade days with the same discipline as trade days: a day where the plan correctly identified no qualifying setup, and no trade was forced, is recorded as a process success, not as a wasted day.</w:t>
      </w:r>
    </w:p>
    <w:p w14:paraId="0FD27F3E">
      <w:r>
        <w:br w:type="page"/>
      </w:r>
    </w:p>
    <w:p w14:paraId="07029A82">
      <w:pPr>
        <w:pStyle w:val="2"/>
        <w:pBdr>
          <w:bottom w:val="single" w:color="1B2A4A" w:sz="12" w:space="4"/>
        </w:pBdr>
        <w:spacing w:before="480" w:after="240"/>
      </w:pPr>
      <w:r>
        <w:rPr>
          <w:b/>
          <w:bCs/>
          <w:color w:val="1B2A4A"/>
          <w:sz w:val="34"/>
          <w:szCs w:val="34"/>
        </w:rPr>
        <w:t>How These Concepts Connect</w:t>
      </w:r>
    </w:p>
    <w:p w14:paraId="08FBEB44">
      <w:pPr>
        <w:spacing w:after="160" w:line="288" w:lineRule="auto"/>
      </w:pPr>
      <w:r>
        <w:rPr>
          <w:b w:val="0"/>
          <w:bCs w:val="0"/>
          <w:i w:val="0"/>
          <w:iCs w:val="0"/>
          <w:sz w:val="22"/>
          <w:szCs w:val="22"/>
        </w:rPr>
        <w:t>This module's ten concepts are not ten separate skills to master - they are ten checkpoints along one continuous daily loop that repeats indefinitely: pre-market planning leads into session execution, which leads into post-trade review, which directly informs the next day's pre-market planning. Every earlier module in this book feeds into exactly one or more of these ten checkpoints: Modules 1-3 and 10 feed HTF Analysis and Daily Bias; Module 4 feeds Marking Liquidity; Modules 8 and 9 feed Selecting the Appropriate Session; Modules 3-7 feed LTF Execution; Modules 11-12 feed ICT Buy/Sell Model Selection and Daily Scalping; and the discipline threaded throughout this entire book - patience, waiting for confirmation, respecting invalidation - feeds Trade Execution, Trade Management, and Daily Review/Journaling.</w:t>
      </w:r>
    </w:p>
    <w:p w14:paraId="356D3F9B">
      <w:pPr>
        <w:spacing w:after="160" w:line="288" w:lineRule="auto"/>
      </w:pPr>
      <w:r>
        <w:rPr>
          <w:b w:val="0"/>
          <w:bCs w:val="0"/>
          <w:i w:val="0"/>
          <w:iCs w:val="0"/>
          <w:sz w:val="22"/>
          <w:szCs w:val="22"/>
        </w:rPr>
        <w:t>This closes the loop this book opened in Module 1. A reader who began this book with no ability to identify a swing high has, by this point, been given every tool needed to run this exact daily routine - not as a collection of separate facts, but as one integrated way of reading price.</w:t>
      </w:r>
    </w:p>
    <w:p w14:paraId="600E7784">
      <w:pPr>
        <w:pStyle w:val="2"/>
        <w:pBdr>
          <w:bottom w:val="single" w:color="1B2A4A" w:sz="12" w:space="4"/>
        </w:pBdr>
        <w:spacing w:before="480" w:after="240"/>
      </w:pPr>
      <w:r>
        <w:rPr>
          <w:b/>
          <w:bCs/>
          <w:color w:val="1B2A4A"/>
          <w:sz w:val="34"/>
          <w:szCs w:val="34"/>
        </w:rPr>
        <w:t>What You Should Now Be Able to Do</w:t>
      </w:r>
    </w:p>
    <w:p w14:paraId="699BE965">
      <w:pPr>
        <w:pStyle w:val="16"/>
        <w:numPr>
          <w:ilvl w:val="0"/>
          <w:numId w:val="1"/>
        </w:numPr>
        <w:spacing w:after="80" w:line="276" w:lineRule="auto"/>
      </w:pPr>
      <w:r>
        <w:rPr>
          <w:sz w:val="22"/>
          <w:szCs w:val="22"/>
        </w:rPr>
        <w:t>describe the three phases of the daily trading routine (Pre-Market, Session, Post-Trade) and what belongs in each</w:t>
      </w:r>
    </w:p>
    <w:p w14:paraId="42A7B513">
      <w:pPr>
        <w:pStyle w:val="16"/>
        <w:numPr>
          <w:ilvl w:val="0"/>
          <w:numId w:val="1"/>
        </w:numPr>
        <w:spacing w:after="80" w:line="276" w:lineRule="auto"/>
      </w:pPr>
      <w:r>
        <w:rPr>
          <w:sz w:val="22"/>
          <w:szCs w:val="22"/>
        </w:rPr>
        <w:t>run a complete pre-market routine, from HTF analysis through to a written daily bias statement and marked liquidity levels</w:t>
      </w:r>
    </w:p>
    <w:p w14:paraId="58F6D326">
      <w:pPr>
        <w:pStyle w:val="16"/>
        <w:numPr>
          <w:ilvl w:val="0"/>
          <w:numId w:val="1"/>
        </w:numPr>
        <w:spacing w:after="80" w:line="276" w:lineRule="auto"/>
      </w:pPr>
      <w:r>
        <w:rPr>
          <w:sz w:val="22"/>
          <w:szCs w:val="22"/>
        </w:rPr>
        <w:t>apply the correct entry model (Buy or Sell) during a live session based on the day's established bias</w:t>
      </w:r>
    </w:p>
    <w:p w14:paraId="0AED093B">
      <w:pPr>
        <w:pStyle w:val="16"/>
        <w:numPr>
          <w:ilvl w:val="0"/>
          <w:numId w:val="1"/>
        </w:numPr>
        <w:spacing w:after="80" w:line="276" w:lineRule="auto"/>
      </w:pPr>
      <w:r>
        <w:rPr>
          <w:sz w:val="22"/>
          <w:szCs w:val="22"/>
        </w:rPr>
        <w:t>explain why an incomplete setup (missing a genuine sweep, displacement, or structure shift) should be skipped rather than forced</w:t>
      </w:r>
    </w:p>
    <w:p w14:paraId="73858EA0">
      <w:pPr>
        <w:pStyle w:val="16"/>
        <w:numPr>
          <w:ilvl w:val="0"/>
          <w:numId w:val="1"/>
        </w:numPr>
        <w:spacing w:after="80" w:line="276" w:lineRule="auto"/>
      </w:pPr>
      <w:r>
        <w:rPr>
          <w:sz w:val="22"/>
          <w:szCs w:val="22"/>
        </w:rPr>
        <w:t>construct a complete trade journal entry, including context, exact levels, result, and an honestly assessed lesson</w:t>
      </w:r>
    </w:p>
    <w:p w14:paraId="09E52CD4">
      <w:pPr>
        <w:pStyle w:val="16"/>
        <w:numPr>
          <w:ilvl w:val="0"/>
          <w:numId w:val="1"/>
        </w:numPr>
        <w:spacing w:after="80" w:line="276" w:lineRule="auto"/>
      </w:pPr>
      <w:r>
        <w:rPr>
          <w:sz w:val="22"/>
          <w:szCs w:val="22"/>
        </w:rPr>
        <w:t>explain why a disciplined no-trade day should be recorded as a process success rather than a failure</w:t>
      </w:r>
    </w:p>
    <w:p w14:paraId="409C597D">
      <w:r>
        <w:br w:type="page"/>
      </w:r>
    </w:p>
    <w:p w14:paraId="6A63B4A2">
      <w:pPr>
        <w:pStyle w:val="2"/>
        <w:pBdr>
          <w:bottom w:val="single" w:color="1B2A4A" w:sz="12" w:space="4"/>
        </w:pBdr>
        <w:spacing w:before="480" w:after="240"/>
      </w:pPr>
      <w:r>
        <w:rPr>
          <w:b/>
          <w:bCs/>
          <w:color w:val="1B2A4A"/>
          <w:sz w:val="34"/>
          <w:szCs w:val="34"/>
        </w:rPr>
        <w:t>Module Review</w:t>
      </w:r>
    </w:p>
    <w:p w14:paraId="6F808825">
      <w:pPr>
        <w:pStyle w:val="3"/>
        <w:spacing w:before="360" w:after="160"/>
      </w:pPr>
      <w:r>
        <w:rPr>
          <w:b/>
          <w:bCs/>
          <w:color w:val="1B2A4A"/>
          <w:sz w:val="26"/>
          <w:szCs w:val="26"/>
        </w:rPr>
        <w:t>Key Terms</w:t>
      </w:r>
    </w:p>
    <w:p w14:paraId="45AB5E1A">
      <w:pPr>
        <w:pStyle w:val="16"/>
        <w:numPr>
          <w:ilvl w:val="0"/>
          <w:numId w:val="1"/>
        </w:numPr>
        <w:spacing w:after="80" w:line="276" w:lineRule="auto"/>
      </w:pPr>
      <w:r>
        <w:rPr>
          <w:sz w:val="22"/>
          <w:szCs w:val="22"/>
        </w:rPr>
        <w:t>HTF Analysis</w:t>
      </w:r>
    </w:p>
    <w:p w14:paraId="42A8C6D0">
      <w:pPr>
        <w:pStyle w:val="16"/>
        <w:numPr>
          <w:ilvl w:val="0"/>
          <w:numId w:val="1"/>
        </w:numPr>
        <w:spacing w:after="80" w:line="276" w:lineRule="auto"/>
      </w:pPr>
      <w:r>
        <w:rPr>
          <w:sz w:val="22"/>
          <w:szCs w:val="22"/>
        </w:rPr>
        <w:t>Daily Bias</w:t>
      </w:r>
    </w:p>
    <w:p w14:paraId="54A802A7">
      <w:pPr>
        <w:pStyle w:val="16"/>
        <w:numPr>
          <w:ilvl w:val="0"/>
          <w:numId w:val="1"/>
        </w:numPr>
        <w:spacing w:after="80" w:line="276" w:lineRule="auto"/>
      </w:pPr>
      <w:r>
        <w:rPr>
          <w:sz w:val="22"/>
          <w:szCs w:val="22"/>
        </w:rPr>
        <w:t>Marking Liquidity</w:t>
      </w:r>
    </w:p>
    <w:p w14:paraId="636337DE">
      <w:pPr>
        <w:pStyle w:val="16"/>
        <w:numPr>
          <w:ilvl w:val="0"/>
          <w:numId w:val="1"/>
        </w:numPr>
        <w:spacing w:after="80" w:line="276" w:lineRule="auto"/>
      </w:pPr>
      <w:r>
        <w:rPr>
          <w:sz w:val="22"/>
          <w:szCs w:val="22"/>
        </w:rPr>
        <w:t>Selecting the Appropriate Session</w:t>
      </w:r>
    </w:p>
    <w:p w14:paraId="38779B11">
      <w:pPr>
        <w:pStyle w:val="16"/>
        <w:numPr>
          <w:ilvl w:val="0"/>
          <w:numId w:val="1"/>
        </w:numPr>
        <w:spacing w:after="80" w:line="276" w:lineRule="auto"/>
      </w:pPr>
      <w:r>
        <w:rPr>
          <w:sz w:val="22"/>
          <w:szCs w:val="22"/>
        </w:rPr>
        <w:t>LTF Execution</w:t>
      </w:r>
    </w:p>
    <w:p w14:paraId="62C8DCE0">
      <w:pPr>
        <w:pStyle w:val="16"/>
        <w:numPr>
          <w:ilvl w:val="0"/>
          <w:numId w:val="1"/>
        </w:numPr>
        <w:spacing w:after="80" w:line="276" w:lineRule="auto"/>
      </w:pPr>
      <w:r>
        <w:rPr>
          <w:sz w:val="22"/>
          <w:szCs w:val="22"/>
        </w:rPr>
        <w:t>ICT Buy/Sell Model Selection</w:t>
      </w:r>
    </w:p>
    <w:p w14:paraId="06C7B28F">
      <w:pPr>
        <w:pStyle w:val="16"/>
        <w:numPr>
          <w:ilvl w:val="0"/>
          <w:numId w:val="1"/>
        </w:numPr>
        <w:spacing w:after="80" w:line="276" w:lineRule="auto"/>
      </w:pPr>
      <w:r>
        <w:rPr>
          <w:sz w:val="22"/>
          <w:szCs w:val="22"/>
        </w:rPr>
        <w:t>Daily Scalping</w:t>
      </w:r>
    </w:p>
    <w:p w14:paraId="3BCA0583">
      <w:pPr>
        <w:pStyle w:val="16"/>
        <w:numPr>
          <w:ilvl w:val="0"/>
          <w:numId w:val="1"/>
        </w:numPr>
        <w:spacing w:after="80" w:line="276" w:lineRule="auto"/>
      </w:pPr>
      <w:r>
        <w:rPr>
          <w:sz w:val="22"/>
          <w:szCs w:val="22"/>
        </w:rPr>
        <w:t>Trade Execution</w:t>
      </w:r>
    </w:p>
    <w:p w14:paraId="66CAC731">
      <w:pPr>
        <w:pStyle w:val="16"/>
        <w:numPr>
          <w:ilvl w:val="0"/>
          <w:numId w:val="1"/>
        </w:numPr>
        <w:spacing w:after="80" w:line="276" w:lineRule="auto"/>
      </w:pPr>
      <w:r>
        <w:rPr>
          <w:sz w:val="22"/>
          <w:szCs w:val="22"/>
        </w:rPr>
        <w:t>Trade Management</w:t>
      </w:r>
    </w:p>
    <w:p w14:paraId="32A6BCD4">
      <w:pPr>
        <w:pStyle w:val="16"/>
        <w:numPr>
          <w:ilvl w:val="0"/>
          <w:numId w:val="1"/>
        </w:numPr>
        <w:spacing w:after="80" w:line="276" w:lineRule="auto"/>
      </w:pPr>
      <w:r>
        <w:rPr>
          <w:sz w:val="22"/>
          <w:szCs w:val="22"/>
        </w:rPr>
        <w:t>Daily Review/Journaling</w:t>
      </w:r>
    </w:p>
    <w:p w14:paraId="72626C4F">
      <w:pPr>
        <w:pStyle w:val="16"/>
        <w:numPr>
          <w:ilvl w:val="0"/>
          <w:numId w:val="1"/>
        </w:numPr>
        <w:spacing w:after="80" w:line="276" w:lineRule="auto"/>
      </w:pPr>
      <w:r>
        <w:rPr>
          <w:sz w:val="22"/>
          <w:szCs w:val="22"/>
        </w:rPr>
        <w:t>Pre-Market / Session / Post-Trade</w:t>
      </w:r>
    </w:p>
    <w:p w14:paraId="529410BB">
      <w:pPr>
        <w:pStyle w:val="3"/>
        <w:spacing w:before="360" w:after="160"/>
      </w:pPr>
      <w:r>
        <w:rPr>
          <w:b/>
          <w:bCs/>
          <w:color w:val="1B2A4A"/>
          <w:sz w:val="26"/>
          <w:szCs w:val="26"/>
        </w:rPr>
        <w:t>Beginner Summary</w:t>
      </w:r>
    </w:p>
    <w:p w14:paraId="6D6FB3CC">
      <w:pPr>
        <w:spacing w:after="160" w:line="288" w:lineRule="auto"/>
      </w:pPr>
      <w:r>
        <w:rPr>
          <w:b w:val="0"/>
          <w:bCs w:val="0"/>
          <w:i w:val="0"/>
          <w:iCs w:val="0"/>
          <w:sz w:val="22"/>
          <w:szCs w:val="22"/>
        </w:rPr>
        <w:t>A trading day, under this framework, follows one repeatable three-phase loop. In the Pre-Market phase, the trader reviews higher-timeframe structure, establishes a written daily bias, marks the specific liquidity levels relevant to that bias, and decides which session(s) to actively watch. In the Session phase, the trader observes price during the chosen Kill Zone, waits for the complete sweep-displacement-structure-shift sequence, and applies the matching Buy or Sell Model to enter, manage, and exit the trade - or, just as often and just as correctly, takes no trade at all if the sequence never completes. In the Post-Trade phase, every trade (and every no-trade day) is logged in detail: the context that motivated it, the exact levels used, the actual result, and an honest lesson - feeding directly back into the next day's Pre-Market phase and closing the loop.</w:t>
      </w:r>
    </w:p>
    <w:p w14:paraId="718645CA">
      <w:pPr>
        <w:pStyle w:val="3"/>
        <w:spacing w:before="360" w:after="160"/>
      </w:pPr>
      <w:r>
        <w:rPr>
          <w:b/>
          <w:bCs/>
          <w:color w:val="1B2A4A"/>
          <w:sz w:val="26"/>
          <w:szCs w:val="26"/>
        </w:rPr>
        <w:t>Concept Relationships</w:t>
      </w:r>
    </w:p>
    <w:p w14:paraId="2109C1F2">
      <w:pPr>
        <w:spacing w:after="160" w:line="288" w:lineRule="auto"/>
      </w:pPr>
      <w:r>
        <w:rPr>
          <w:b w:val="0"/>
          <w:bCs w:val="0"/>
          <w:i w:val="0"/>
          <w:iCs w:val="0"/>
          <w:sz w:val="22"/>
          <w:szCs w:val="22"/>
        </w:rPr>
        <w:t>HTF Analysis, Daily Bias, and Marking Liquidity belong to the Pre-Market phase. Selecting the Appropriate Session, LTF Execution, ICT Buy/Sell Model Selection, Daily Scalping, Trade Execution, and Trade Management belong to the Session phase. Daily Review/Journaling belongs to the Post-Trade phase and feeds directly back into the next day's Pre-Market phase, making the whole routine cyclical rather than linear.</w:t>
      </w:r>
    </w:p>
    <w:p w14:paraId="09307345">
      <w:pPr>
        <w:pStyle w:val="3"/>
        <w:spacing w:before="360" w:after="160"/>
      </w:pPr>
      <w:r>
        <w:rPr>
          <w:b/>
          <w:bCs/>
          <w:color w:val="1B2A4A"/>
          <w:sz w:val="26"/>
          <w:szCs w:val="26"/>
        </w:rPr>
        <w:t>Practical Chart Exercise</w:t>
      </w:r>
    </w:p>
    <w:p w14:paraId="222042A7">
      <w:pPr>
        <w:spacing w:after="160" w:line="288" w:lineRule="auto"/>
      </w:pPr>
      <w:r>
        <w:rPr>
          <w:b w:val="0"/>
          <w:bCs w:val="0"/>
          <w:i w:val="0"/>
          <w:iCs w:val="0"/>
          <w:sz w:val="22"/>
          <w:szCs w:val="22"/>
        </w:rPr>
        <w:t>Write out a complete, hypothetical pre-market plan for a single trading day using a real or hypothetical instrument of your choosing: state the HTF structure you are assuming, write an explicit daily bias statement, name the specific liquidity levels you would mark, and state which session(s) you would actively watch versus only observe. Then write a matching post-trade journal entry assuming the setup played out exactly as planned, and a second journal entry assuming it did not complete (no genuine sweep occurred) and no trade was taken.</w:t>
      </w:r>
    </w:p>
    <w:p w14:paraId="7C075ABB">
      <w:pPr>
        <w:pStyle w:val="3"/>
        <w:spacing w:before="360" w:after="160"/>
      </w:pPr>
      <w:r>
        <w:rPr>
          <w:b/>
          <w:bCs/>
          <w:color w:val="1B2A4A"/>
          <w:sz w:val="26"/>
          <w:szCs w:val="26"/>
        </w:rPr>
        <w:t>Self-Test Questions</w:t>
      </w:r>
    </w:p>
    <w:p w14:paraId="2A95EEBD">
      <w:pPr>
        <w:pStyle w:val="16"/>
        <w:numPr>
          <w:ilvl w:val="0"/>
          <w:numId w:val="2"/>
        </w:numPr>
        <w:spacing w:after="80" w:line="276" w:lineRule="auto"/>
      </w:pPr>
      <w:r>
        <w:rPr>
          <w:sz w:val="22"/>
          <w:szCs w:val="22"/>
        </w:rPr>
        <w:t>What are the three phases of the daily trading routine described in this module, and what is the primary purpose of each?</w:t>
      </w:r>
    </w:p>
    <w:p w14:paraId="4DC66E1B">
      <w:pPr>
        <w:pStyle w:val="16"/>
        <w:numPr>
          <w:ilvl w:val="0"/>
          <w:numId w:val="2"/>
        </w:numPr>
        <w:spacing w:after="80" w:line="276" w:lineRule="auto"/>
      </w:pPr>
      <w:r>
        <w:rPr>
          <w:sz w:val="22"/>
          <w:szCs w:val="22"/>
        </w:rPr>
        <w:t>Why should HTF Analysis and Daily Bias be completed before the trading session begins, rather than during it?</w:t>
      </w:r>
    </w:p>
    <w:p w14:paraId="14688C94">
      <w:pPr>
        <w:pStyle w:val="16"/>
        <w:numPr>
          <w:ilvl w:val="0"/>
          <w:numId w:val="2"/>
        </w:numPr>
        <w:spacing w:after="80" w:line="276" w:lineRule="auto"/>
      </w:pPr>
      <w:r>
        <w:rPr>
          <w:sz w:val="22"/>
          <w:szCs w:val="22"/>
        </w:rPr>
        <w:t>What should a trader do if, during the Session phase, price approaches a marked liquidity level but never produces a genuine sweep and structure shift?</w:t>
      </w:r>
    </w:p>
    <w:p w14:paraId="0C5EC5AD">
      <w:pPr>
        <w:pStyle w:val="16"/>
        <w:numPr>
          <w:ilvl w:val="0"/>
          <w:numId w:val="2"/>
        </w:numPr>
        <w:spacing w:after="80" w:line="276" w:lineRule="auto"/>
      </w:pPr>
      <w:r>
        <w:rPr>
          <w:sz w:val="22"/>
          <w:szCs w:val="22"/>
        </w:rPr>
        <w:t>Why does this module recommend recording a disciplined no-trade day in the trading journal with the same care as an actual trade?</w:t>
      </w:r>
    </w:p>
    <w:p w14:paraId="0D0E5008">
      <w:pPr>
        <w:pStyle w:val="16"/>
        <w:numPr>
          <w:ilvl w:val="0"/>
          <w:numId w:val="2"/>
        </w:numPr>
        <w:spacing w:after="80" w:line="276" w:lineRule="auto"/>
      </w:pPr>
      <w:r>
        <w:rPr>
          <w:sz w:val="22"/>
          <w:szCs w:val="22"/>
        </w:rPr>
        <w:t>Name at least five specific pieces of information this module recommends recording for every trade.</w:t>
      </w:r>
    </w:p>
    <w:p w14:paraId="79660445">
      <w:pPr>
        <w:pStyle w:val="3"/>
        <w:spacing w:before="360" w:after="160"/>
      </w:pPr>
      <w:r>
        <w:rPr>
          <w:b/>
          <w:bCs/>
          <w:color w:val="1B2A4A"/>
          <w:sz w:val="26"/>
          <w:szCs w:val="26"/>
        </w:rPr>
        <w:t>Common Misconceptions</w:t>
      </w:r>
    </w:p>
    <w:p w14:paraId="3E74667F">
      <w:pPr>
        <w:pStyle w:val="16"/>
        <w:numPr>
          <w:ilvl w:val="0"/>
          <w:numId w:val="1"/>
        </w:numPr>
        <w:spacing w:after="80" w:line="276" w:lineRule="auto"/>
      </w:pPr>
      <w:r>
        <w:rPr>
          <w:sz w:val="22"/>
          <w:szCs w:val="22"/>
        </w:rPr>
        <w:t>Believing this daily routine is a new, separate strategy rather than a sequencing of everything covered in Modules 1 through 12.</w:t>
      </w:r>
    </w:p>
    <w:p w14:paraId="22A19D9F">
      <w:pPr>
        <w:pStyle w:val="16"/>
        <w:numPr>
          <w:ilvl w:val="0"/>
          <w:numId w:val="1"/>
        </w:numPr>
        <w:spacing w:after="80" w:line="276" w:lineRule="auto"/>
      </w:pPr>
      <w:r>
        <w:rPr>
          <w:sz w:val="22"/>
          <w:szCs w:val="22"/>
        </w:rPr>
        <w:t>Skipping the pre-market phase and attempting to establish bias and mark liquidity reactively, in the middle of a live session.</w:t>
      </w:r>
    </w:p>
    <w:p w14:paraId="6150620E">
      <w:pPr>
        <w:pStyle w:val="16"/>
        <w:numPr>
          <w:ilvl w:val="0"/>
          <w:numId w:val="1"/>
        </w:numPr>
        <w:spacing w:after="80" w:line="276" w:lineRule="auto"/>
      </w:pPr>
      <w:r>
        <w:rPr>
          <w:sz w:val="22"/>
          <w:szCs w:val="22"/>
        </w:rPr>
        <w:t>Forcing a trade when part of the sweep-displacement-structure-shift sequence is missing, rather than accepting a no-trade outcome.</w:t>
      </w:r>
    </w:p>
    <w:p w14:paraId="494F9512">
      <w:pPr>
        <w:pStyle w:val="16"/>
        <w:numPr>
          <w:ilvl w:val="0"/>
          <w:numId w:val="1"/>
        </w:numPr>
        <w:spacing w:after="80" w:line="276" w:lineRule="auto"/>
      </w:pPr>
      <w:r>
        <w:rPr>
          <w:sz w:val="22"/>
          <w:szCs w:val="22"/>
        </w:rPr>
        <w:t>Journaling only wins and losses (profit and loss) rather than the full context, process adherence, and lessons this module recommends recording.</w:t>
      </w:r>
    </w:p>
    <w:p w14:paraId="1DBCBB6F">
      <w:pPr>
        <w:pStyle w:val="3"/>
        <w:spacing w:before="360" w:after="160"/>
      </w:pPr>
      <w:r>
        <w:rPr>
          <w:b/>
          <w:bCs/>
          <w:color w:val="1B2A4A"/>
          <w:sz w:val="26"/>
          <w:szCs w:val="26"/>
        </w:rPr>
        <w:t>Research Sources</w:t>
      </w:r>
    </w:p>
    <w:p w14:paraId="1AAC539E">
      <w:pPr>
        <w:pStyle w:val="16"/>
        <w:numPr>
          <w:ilvl w:val="0"/>
          <w:numId w:val="1"/>
        </w:numPr>
        <w:spacing w:after="80" w:line="276" w:lineRule="auto"/>
      </w:pPr>
      <w:r>
        <w:rPr>
          <w:sz w:val="22"/>
          <w:szCs w:val="22"/>
        </w:rPr>
        <w:t>b2prime.com - "ICT Trading Checklist: Pre-Trade Preparation for Serious Traders" and "Top 5 ICT Trading Strategies for New and Pros."</w:t>
      </w:r>
    </w:p>
    <w:p w14:paraId="3FB6FCC9">
      <w:pPr>
        <w:pStyle w:val="16"/>
        <w:numPr>
          <w:ilvl w:val="0"/>
          <w:numId w:val="1"/>
        </w:numPr>
        <w:spacing w:after="80" w:line="276" w:lineRule="auto"/>
      </w:pPr>
      <w:r>
        <w:rPr>
          <w:sz w:val="22"/>
          <w:szCs w:val="22"/>
        </w:rPr>
        <w:t>arongroups.co - "ICT Scalping Strategy: Fast Intraday Entry Model."</w:t>
      </w:r>
    </w:p>
    <w:p w14:paraId="1C950DD1">
      <w:pPr>
        <w:pStyle w:val="16"/>
        <w:numPr>
          <w:ilvl w:val="0"/>
          <w:numId w:val="1"/>
        </w:numPr>
        <w:spacing w:after="80" w:line="276" w:lineRule="auto"/>
      </w:pPr>
      <w:r>
        <w:rPr>
          <w:sz w:val="22"/>
          <w:szCs w:val="22"/>
        </w:rPr>
        <w:t>innercircletrader.net - "ICT Scalping Strategy - 30 to 50 Pips a Day with OTE &amp; Killzones" and "Master ICT Silver Bullet Strategy - Times, Setup &amp; Free PDF."</w:t>
      </w:r>
    </w:p>
    <w:p w14:paraId="346E1658">
      <w:pPr>
        <w:pStyle w:val="16"/>
        <w:numPr>
          <w:ilvl w:val="0"/>
          <w:numId w:val="1"/>
        </w:numPr>
        <w:spacing w:after="80" w:line="276" w:lineRule="auto"/>
      </w:pPr>
      <w:r>
        <w:rPr>
          <w:sz w:val="22"/>
          <w:szCs w:val="22"/>
        </w:rPr>
        <w:t>forexfactory.com (TFlab thread) - "ICT Scalping Strategy: Master OTE Setups."</w:t>
      </w:r>
    </w:p>
    <w:p w14:paraId="70965471">
      <w:pPr>
        <w:pStyle w:val="16"/>
        <w:numPr>
          <w:ilvl w:val="0"/>
          <w:numId w:val="1"/>
        </w:numPr>
        <w:spacing w:after="80" w:line="276" w:lineRule="auto"/>
      </w:pPr>
      <w:r>
        <w:rPr>
          <w:sz w:val="22"/>
          <w:szCs w:val="22"/>
        </w:rPr>
        <w:t>journalplus.co - "How to Build a Daily Trading Routine That Actually Works" (R-multiple tracking, no-trade-day-as-success framing).</w:t>
      </w:r>
    </w:p>
    <w:p w14:paraId="5E14D728">
      <w:pPr>
        <w:pStyle w:val="16"/>
        <w:numPr>
          <w:ilvl w:val="0"/>
          <w:numId w:val="1"/>
        </w:numPr>
        <w:spacing w:after="80" w:line="276" w:lineRule="auto"/>
      </w:pPr>
      <w:r>
        <w:rPr>
          <w:sz w:val="22"/>
          <w:szCs w:val="22"/>
        </w:rPr>
        <w:t>tradezella.com - "Free Trading Checklist" and "Nasdaq ICT &amp; Order Flow Scalping Strategy (NQ)."</w:t>
      </w:r>
    </w:p>
    <w:p w14:paraId="4AF8E2CE">
      <w:pPr>
        <w:pStyle w:val="16"/>
        <w:numPr>
          <w:ilvl w:val="0"/>
          <w:numId w:val="1"/>
        </w:numPr>
        <w:spacing w:after="80" w:line="276" w:lineRule="auto"/>
      </w:pPr>
      <w:r>
        <w:rPr>
          <w:sz w:val="22"/>
          <w:szCs w:val="22"/>
        </w:rPr>
        <w:t>studocu.com - "Daily Trading Checklist" (ICT-focused pre-market/London/New York session checklist template).</w:t>
      </w:r>
    </w:p>
    <w:p w14:paraId="7681FF13">
      <w:pPr>
        <w:pStyle w:val="16"/>
        <w:numPr>
          <w:ilvl w:val="0"/>
          <w:numId w:val="1"/>
        </w:numPr>
        <w:spacing w:after="80" w:line="276" w:lineRule="auto"/>
      </w:pPr>
      <w:r>
        <w:rPr>
          <w:sz w:val="22"/>
          <w:szCs w:val="22"/>
        </w:rPr>
        <w:t>fortraders.com - "Checklist for Perfect Trade Entry and Exit" (pre-market SMART goal framing).</w:t>
      </w:r>
    </w:p>
    <w:p w14:paraId="0BF65C02">
      <w:pPr>
        <w:pStyle w:val="16"/>
        <w:numPr>
          <w:ilvl w:val="0"/>
          <w:numId w:val="1"/>
        </w:numPr>
        <w:spacing w:after="80" w:line="276" w:lineRule="auto"/>
      </w:pPr>
      <w:r>
        <w:rPr>
          <w:sz w:val="22"/>
          <w:szCs w:val="22"/>
        </w:rPr>
        <w:t>Note: as in prior modules, this research pass relied on cross-checked secondary/tutorial documentation rather than direct ICT primary-source video transcripts, which were not accessible in this environment. The three-phase daily structure and the emphasis on process-focused journaling (rather than pure profit/loss tracking) are very consistently corroborated across independent sources.</w:t>
      </w:r>
    </w:p>
    <w:p w14:paraId="677C5E3F">
      <w:pPr>
        <w:pStyle w:val="16"/>
        <w:numPr>
          <w:ilvl w:val="0"/>
          <w:numId w:val="0"/>
        </w:numPr>
        <w:spacing w:after="80" w:line="276" w:lineRule="auto"/>
        <w:rPr>
          <w:sz w:val="22"/>
          <w:szCs w:val="22"/>
        </w:rPr>
      </w:pPr>
    </w:p>
    <w:p w14:paraId="639509D8">
      <w:pPr>
        <w:pStyle w:val="16"/>
        <w:numPr>
          <w:ilvl w:val="0"/>
          <w:numId w:val="0"/>
        </w:numPr>
        <w:spacing w:after="80" w:line="276" w:lineRule="auto"/>
        <w:rPr>
          <w:sz w:val="22"/>
          <w:szCs w:val="22"/>
        </w:rPr>
      </w:pPr>
    </w:p>
    <w:p w14:paraId="607C8DA8">
      <w:pPr>
        <w:pStyle w:val="16"/>
        <w:numPr>
          <w:ilvl w:val="0"/>
          <w:numId w:val="0"/>
        </w:numPr>
        <w:spacing w:after="80" w:line="276" w:lineRule="auto"/>
        <w:rPr>
          <w:sz w:val="22"/>
          <w:szCs w:val="22"/>
        </w:rPr>
      </w:pPr>
    </w:p>
    <w:p w14:paraId="232C539A">
      <w:pPr>
        <w:pStyle w:val="16"/>
        <w:numPr>
          <w:ilvl w:val="0"/>
          <w:numId w:val="0"/>
        </w:numPr>
        <w:spacing w:after="80" w:line="276" w:lineRule="auto"/>
        <w:rPr>
          <w:sz w:val="22"/>
          <w:szCs w:val="22"/>
        </w:rPr>
      </w:pPr>
    </w:p>
    <w:p w14:paraId="2ABAA019">
      <w:pPr>
        <w:pStyle w:val="16"/>
        <w:numPr>
          <w:ilvl w:val="0"/>
          <w:numId w:val="0"/>
        </w:numPr>
        <w:spacing w:after="80" w:line="276" w:lineRule="auto"/>
        <w:rPr>
          <w:sz w:val="22"/>
          <w:szCs w:val="22"/>
        </w:rPr>
      </w:pPr>
    </w:p>
    <w:p w14:paraId="78F8ED4A">
      <w:pPr>
        <w:pStyle w:val="16"/>
        <w:numPr>
          <w:ilvl w:val="0"/>
          <w:numId w:val="0"/>
        </w:numPr>
        <w:spacing w:after="80" w:line="276" w:lineRule="auto"/>
        <w:rPr>
          <w:sz w:val="22"/>
          <w:szCs w:val="22"/>
        </w:rPr>
      </w:pPr>
    </w:p>
    <w:p w14:paraId="2009874A">
      <w:pPr>
        <w:pStyle w:val="16"/>
        <w:numPr>
          <w:ilvl w:val="0"/>
          <w:numId w:val="0"/>
        </w:numPr>
        <w:spacing w:after="80" w:line="276" w:lineRule="auto"/>
        <w:rPr>
          <w:sz w:val="22"/>
          <w:szCs w:val="22"/>
        </w:rPr>
      </w:pPr>
    </w:p>
    <w:p w14:paraId="7025BAE9">
      <w:pPr>
        <w:pStyle w:val="16"/>
        <w:numPr>
          <w:ilvl w:val="0"/>
          <w:numId w:val="0"/>
        </w:numPr>
        <w:spacing w:after="80" w:line="276" w:lineRule="auto"/>
        <w:rPr>
          <w:sz w:val="22"/>
          <w:szCs w:val="22"/>
        </w:rPr>
      </w:pPr>
    </w:p>
    <w:p w14:paraId="7C9DBF53">
      <w:pPr>
        <w:pStyle w:val="16"/>
        <w:numPr>
          <w:ilvl w:val="0"/>
          <w:numId w:val="0"/>
        </w:numPr>
        <w:spacing w:after="80" w:line="276" w:lineRule="auto"/>
        <w:rPr>
          <w:sz w:val="22"/>
          <w:szCs w:val="22"/>
        </w:rPr>
      </w:pPr>
    </w:p>
    <w:p w14:paraId="3ED3477A">
      <w:pPr>
        <w:pStyle w:val="16"/>
        <w:numPr>
          <w:ilvl w:val="0"/>
          <w:numId w:val="0"/>
        </w:numPr>
        <w:spacing w:after="80" w:line="276" w:lineRule="auto"/>
        <w:rPr>
          <w:sz w:val="22"/>
          <w:szCs w:val="22"/>
        </w:rPr>
      </w:pPr>
    </w:p>
    <w:p w14:paraId="66DF0A27">
      <w:pPr>
        <w:pStyle w:val="16"/>
        <w:numPr>
          <w:ilvl w:val="0"/>
          <w:numId w:val="0"/>
        </w:numPr>
        <w:spacing w:after="80" w:line="276" w:lineRule="auto"/>
        <w:rPr>
          <w:sz w:val="22"/>
          <w:szCs w:val="22"/>
        </w:rPr>
      </w:pPr>
    </w:p>
    <w:p w14:paraId="5D1660B8">
      <w:pPr>
        <w:pStyle w:val="16"/>
        <w:numPr>
          <w:ilvl w:val="0"/>
          <w:numId w:val="0"/>
        </w:numPr>
        <w:spacing w:after="80" w:line="276" w:lineRule="auto"/>
        <w:rPr>
          <w:sz w:val="22"/>
          <w:szCs w:val="22"/>
        </w:rPr>
      </w:pPr>
    </w:p>
    <w:p w14:paraId="6151811A">
      <w:pPr>
        <w:pStyle w:val="16"/>
        <w:numPr>
          <w:ilvl w:val="0"/>
          <w:numId w:val="0"/>
        </w:numPr>
        <w:spacing w:after="80" w:line="276" w:lineRule="auto"/>
        <w:rPr>
          <w:sz w:val="22"/>
          <w:szCs w:val="22"/>
        </w:rPr>
      </w:pPr>
    </w:p>
    <w:p w14:paraId="691B127D">
      <w:pPr>
        <w:pStyle w:val="16"/>
        <w:numPr>
          <w:ilvl w:val="0"/>
          <w:numId w:val="0"/>
        </w:numPr>
        <w:spacing w:after="80" w:line="276" w:lineRule="auto"/>
        <w:rPr>
          <w:sz w:val="22"/>
          <w:szCs w:val="22"/>
        </w:rPr>
      </w:pPr>
    </w:p>
    <w:p w14:paraId="34F144DD">
      <w:pPr>
        <w:pStyle w:val="16"/>
        <w:numPr>
          <w:ilvl w:val="0"/>
          <w:numId w:val="0"/>
        </w:numPr>
        <w:spacing w:after="80" w:line="276" w:lineRule="auto"/>
        <w:rPr>
          <w:sz w:val="22"/>
          <w:szCs w:val="22"/>
        </w:rPr>
      </w:pPr>
    </w:p>
    <w:p w14:paraId="4DC7E2D6">
      <w:pPr>
        <w:pStyle w:val="16"/>
        <w:numPr>
          <w:ilvl w:val="0"/>
          <w:numId w:val="0"/>
        </w:numPr>
        <w:spacing w:after="80" w:line="276" w:lineRule="auto"/>
        <w:rPr>
          <w:sz w:val="22"/>
          <w:szCs w:val="22"/>
        </w:rPr>
      </w:pPr>
    </w:p>
    <w:p w14:paraId="2B8F7169">
      <w:pPr>
        <w:pStyle w:val="16"/>
        <w:numPr>
          <w:ilvl w:val="0"/>
          <w:numId w:val="0"/>
        </w:numPr>
        <w:spacing w:after="80" w:line="276" w:lineRule="auto"/>
        <w:rPr>
          <w:sz w:val="22"/>
          <w:szCs w:val="22"/>
        </w:rPr>
      </w:pPr>
    </w:p>
    <w:p w14:paraId="104E8D76">
      <w:pPr>
        <w:pStyle w:val="16"/>
        <w:numPr>
          <w:ilvl w:val="0"/>
          <w:numId w:val="0"/>
        </w:numPr>
        <w:spacing w:after="80" w:line="276" w:lineRule="auto"/>
        <w:rPr>
          <w:sz w:val="22"/>
          <w:szCs w:val="22"/>
        </w:rPr>
      </w:pPr>
    </w:p>
    <w:p w14:paraId="28472B23">
      <w:pPr>
        <w:pStyle w:val="16"/>
        <w:numPr>
          <w:ilvl w:val="0"/>
          <w:numId w:val="0"/>
        </w:numPr>
        <w:spacing w:after="80" w:line="276" w:lineRule="auto"/>
        <w:rPr>
          <w:sz w:val="22"/>
          <w:szCs w:val="22"/>
        </w:rPr>
      </w:pPr>
    </w:p>
    <w:p w14:paraId="57AD5A65">
      <w:pPr>
        <w:pStyle w:val="16"/>
        <w:numPr>
          <w:ilvl w:val="0"/>
          <w:numId w:val="0"/>
        </w:numPr>
        <w:spacing w:after="80" w:line="276" w:lineRule="auto"/>
        <w:rPr>
          <w:sz w:val="22"/>
          <w:szCs w:val="22"/>
        </w:rPr>
      </w:pPr>
    </w:p>
    <w:p w14:paraId="51EF8990">
      <w:pPr>
        <w:pStyle w:val="16"/>
        <w:numPr>
          <w:ilvl w:val="0"/>
          <w:numId w:val="0"/>
        </w:numPr>
        <w:spacing w:after="80" w:line="276" w:lineRule="auto"/>
        <w:rPr>
          <w:sz w:val="22"/>
          <w:szCs w:val="22"/>
        </w:rPr>
      </w:pPr>
    </w:p>
    <w:p w14:paraId="5C849546">
      <w:pPr>
        <w:pStyle w:val="16"/>
        <w:numPr>
          <w:ilvl w:val="0"/>
          <w:numId w:val="0"/>
        </w:numPr>
        <w:spacing w:after="80" w:line="276" w:lineRule="auto"/>
        <w:rPr>
          <w:sz w:val="22"/>
          <w:szCs w:val="22"/>
        </w:rPr>
      </w:pPr>
    </w:p>
    <w:p w14:paraId="2C4D1CF0">
      <w:pPr>
        <w:spacing w:after="120"/>
        <w:jc w:val="center"/>
      </w:pPr>
      <w:r>
        <w:rPr>
          <w:rFonts w:hint="default" w:cs="Arial"/>
          <w:b/>
          <w:bCs/>
          <w:sz w:val="28"/>
          <w:szCs w:val="28"/>
          <w:lang w:val="en-US"/>
        </w:rPr>
        <w:t>UNDERSTANDING ICT</w:t>
      </w:r>
    </w:p>
    <w:p w14:paraId="280B6EB9">
      <w:pPr>
        <w:spacing w:after="120"/>
        <w:jc w:val="center"/>
      </w:pPr>
      <w:r>
        <w:rPr>
          <w:rFonts w:hint="default" w:cs="Arial"/>
          <w:b/>
          <w:bCs/>
          <w:sz w:val="24"/>
          <w:szCs w:val="24"/>
          <w:lang w:val="en-US"/>
        </w:rPr>
        <w:t xml:space="preserve">FULL </w:t>
      </w:r>
      <w:r>
        <w:rPr>
          <w:rFonts w:ascii="Arial" w:hAnsi="Arial" w:eastAsia="Arial" w:cs="Arial"/>
          <w:b/>
          <w:bCs/>
          <w:sz w:val="24"/>
          <w:szCs w:val="24"/>
        </w:rPr>
        <w:t>INTERMEDIATE LEVEL</w:t>
      </w:r>
    </w:p>
    <w:p w14:paraId="54A972AE">
      <w:pPr>
        <w:spacing w:after="400"/>
        <w:jc w:val="center"/>
      </w:pPr>
      <w:r>
        <w:rPr>
          <w:rFonts w:ascii="Arial" w:hAnsi="Arial" w:eastAsia="Arial" w:cs="Arial"/>
          <w:b/>
          <w:bCs/>
          <w:sz w:val="36"/>
          <w:szCs w:val="36"/>
        </w:rPr>
        <w:t>MODULE 1</w:t>
      </w:r>
    </w:p>
    <w:p w14:paraId="04733D21">
      <w:pPr>
        <w:spacing w:after="200"/>
        <w:jc w:val="center"/>
      </w:pPr>
      <w:r>
        <w:rPr>
          <w:rFonts w:ascii="Arial" w:hAnsi="Arial" w:eastAsia="Arial" w:cs="Arial"/>
          <w:b/>
          <w:bCs/>
          <w:sz w:val="28"/>
          <w:szCs w:val="28"/>
        </w:rPr>
        <w:t>Advanced Market Structure &amp; Price Swings</w:t>
      </w:r>
    </w:p>
    <w:p w14:paraId="246A4550">
      <w:pPr>
        <w:spacing w:after="400"/>
        <w:jc w:val="center"/>
      </w:pPr>
      <w:r>
        <w:rPr>
          <w:rFonts w:ascii="Arial" w:hAnsi="Arial" w:eastAsia="Arial" w:cs="Arial"/>
          <w:i/>
          <w:iCs/>
          <w:sz w:val="20"/>
          <w:szCs w:val="20"/>
        </w:rPr>
        <w:t>Internal vs External Structure, Dealing Ranges, Swing Hierarchy, Expansion &amp; Contraction</w:t>
      </w:r>
    </w:p>
    <w:p w14:paraId="40EEBC21">
      <w:pPr>
        <w:pBdr>
          <w:left w:val="single" w:color="2E75B6" w:sz="24" w:space="8"/>
        </w:pBdr>
        <w:shd w:val="clear" w:fill="F5F5F5"/>
        <w:spacing w:before="120" w:after="200" w:line="276" w:lineRule="auto"/>
        <w:ind w:left="120"/>
      </w:pPr>
      <w:r>
        <w:rPr>
          <w:rFonts w:ascii="Arial" w:hAnsi="Arial" w:eastAsia="Arial" w:cs="Arial"/>
          <w:i/>
          <w:iCs/>
          <w:sz w:val="20"/>
          <w:szCs w:val="20"/>
        </w:rPr>
        <w:t>Prerequisite: The student has completed the ICT Beginner textbook. Basic swing highs/lows, higher-high/higher-low structure, Market Structure Shift (MSS), and simple liquidity concepts are assumed known. This module advances those foundations into hierarchical and multi-timeframe structure.</w:t>
      </w:r>
    </w:p>
    <w:p w14:paraId="69917EFA">
      <w:pPr>
        <w:pStyle w:val="2"/>
        <w:spacing w:before="360" w:after="240"/>
      </w:pPr>
      <w:r>
        <w:rPr>
          <w:rFonts w:ascii="Arial" w:hAnsi="Arial" w:eastAsia="Arial" w:cs="Arial"/>
          <w:b/>
          <w:bCs/>
          <w:sz w:val="32"/>
          <w:szCs w:val="32"/>
        </w:rPr>
        <w:t>Module Objectives</w:t>
      </w:r>
    </w:p>
    <w:p w14:paraId="3B4C33C1">
      <w:pPr>
        <w:spacing w:after="200" w:line="276" w:lineRule="auto"/>
      </w:pPr>
      <w:r>
        <w:rPr>
          <w:rFonts w:ascii="Arial" w:hAnsi="Arial" w:eastAsia="Arial" w:cs="Arial"/>
          <w:sz w:val="22"/>
          <w:szCs w:val="22"/>
        </w:rPr>
        <w:t>By the end of this module the intermediate student should be able to:</w:t>
      </w:r>
    </w:p>
    <w:p w14:paraId="4C361BD5">
      <w:pPr>
        <w:pStyle w:val="16"/>
        <w:numPr>
          <w:ilvl w:val="0"/>
          <w:numId w:val="1"/>
        </w:numPr>
        <w:spacing w:after="120" w:line="276" w:lineRule="auto"/>
      </w:pPr>
      <w:r>
        <w:rPr>
          <w:rFonts w:ascii="Arial" w:hAnsi="Arial" w:eastAsia="Arial" w:cs="Arial"/>
          <w:sz w:val="22"/>
          <w:szCs w:val="22"/>
        </w:rPr>
        <w:t>Distinguish internal structure from external structure on any given timeframe.</w:t>
      </w:r>
    </w:p>
    <w:p w14:paraId="72417AD1">
      <w:pPr>
        <w:pStyle w:val="16"/>
        <w:numPr>
          <w:ilvl w:val="0"/>
          <w:numId w:val="1"/>
        </w:numPr>
        <w:spacing w:after="120" w:line="276" w:lineRule="auto"/>
      </w:pPr>
      <w:r>
        <w:rPr>
          <w:rFonts w:ascii="Arial" w:hAnsi="Arial" w:eastAsia="Arial" w:cs="Arial"/>
          <w:sz w:val="22"/>
          <w:szCs w:val="22"/>
        </w:rPr>
        <w:t>Define and correctly identify a dealing range (including nested dealing ranges across timeframes).</w:t>
      </w:r>
    </w:p>
    <w:p w14:paraId="2CBABAC7">
      <w:pPr>
        <w:pStyle w:val="16"/>
        <w:numPr>
          <w:ilvl w:val="0"/>
          <w:numId w:val="1"/>
        </w:numPr>
        <w:spacing w:after="120" w:line="276" w:lineRule="auto"/>
      </w:pPr>
      <w:r>
        <w:rPr>
          <w:rFonts w:ascii="Arial" w:hAnsi="Arial" w:eastAsia="Arial" w:cs="Arial"/>
          <w:sz w:val="22"/>
          <w:szCs w:val="22"/>
        </w:rPr>
        <w:t>Classify swing points into short-term, intermediate-term and long-term highs and lows (STH/STL, ITH/ITL, LTH/LTL).</w:t>
      </w:r>
    </w:p>
    <w:p w14:paraId="0B07C3AD">
      <w:pPr>
        <w:pStyle w:val="16"/>
        <w:numPr>
          <w:ilvl w:val="0"/>
          <w:numId w:val="1"/>
        </w:numPr>
        <w:spacing w:after="120" w:line="276" w:lineRule="auto"/>
      </w:pPr>
      <w:r>
        <w:rPr>
          <w:rFonts w:ascii="Arial" w:hAnsi="Arial" w:eastAsia="Arial" w:cs="Arial"/>
          <w:sz w:val="22"/>
          <w:szCs w:val="22"/>
        </w:rPr>
        <w:t>Recognise expansion versus contraction phases and their implications for structure.</w:t>
      </w:r>
    </w:p>
    <w:p w14:paraId="2253375A">
      <w:pPr>
        <w:pStyle w:val="16"/>
        <w:numPr>
          <w:ilvl w:val="0"/>
          <w:numId w:val="1"/>
        </w:numPr>
        <w:spacing w:after="120" w:line="276" w:lineRule="auto"/>
      </w:pPr>
      <w:r>
        <w:rPr>
          <w:rFonts w:ascii="Arial" w:hAnsi="Arial" w:eastAsia="Arial" w:cs="Arial"/>
          <w:sz w:val="22"/>
          <w:szCs w:val="22"/>
        </w:rPr>
        <w:t>Differentiate structural continuation from structural failure.</w:t>
      </w:r>
    </w:p>
    <w:p w14:paraId="7036010B">
      <w:pPr>
        <w:pStyle w:val="16"/>
        <w:numPr>
          <w:ilvl w:val="0"/>
          <w:numId w:val="1"/>
        </w:numPr>
        <w:spacing w:after="120" w:line="276" w:lineRule="auto"/>
      </w:pPr>
      <w:r>
        <w:rPr>
          <w:rFonts w:ascii="Arial" w:hAnsi="Arial" w:eastAsia="Arial" w:cs="Arial"/>
          <w:sz w:val="22"/>
          <w:szCs w:val="22"/>
        </w:rPr>
        <w:t>Separate internal-range liquidity from external-range liquidity and understand their sequential relationship.</w:t>
      </w:r>
    </w:p>
    <w:p w14:paraId="295D9666">
      <w:pPr>
        <w:pStyle w:val="16"/>
        <w:numPr>
          <w:ilvl w:val="0"/>
          <w:numId w:val="1"/>
        </w:numPr>
        <w:spacing w:after="120" w:line="276" w:lineRule="auto"/>
      </w:pPr>
      <w:r>
        <w:rPr>
          <w:rFonts w:ascii="Arial" w:hAnsi="Arial" w:eastAsia="Arial" w:cs="Arial"/>
          <w:sz w:val="22"/>
          <w:szCs w:val="22"/>
        </w:rPr>
        <w:t>Read structure fractally across multiple timeframes without confusing noise with narrative.</w:t>
      </w:r>
    </w:p>
    <w:p w14:paraId="0A6C13F3">
      <w:pPr>
        <w:pStyle w:val="2"/>
        <w:spacing w:before="360" w:after="240"/>
      </w:pPr>
      <w:r>
        <w:rPr>
          <w:rFonts w:ascii="Arial" w:hAnsi="Arial" w:eastAsia="Arial" w:cs="Arial"/>
          <w:b/>
          <w:bCs/>
          <w:sz w:val="32"/>
          <w:szCs w:val="32"/>
        </w:rPr>
        <w:t>Introduction: Why Structure Must Be Hierarchical</w:t>
      </w:r>
    </w:p>
    <w:p w14:paraId="06C08413">
      <w:pPr>
        <w:spacing w:after="200" w:line="276" w:lineRule="auto"/>
      </w:pPr>
      <w:r>
        <w:rPr>
          <w:rFonts w:ascii="Arial" w:hAnsi="Arial" w:eastAsia="Arial" w:cs="Arial"/>
          <w:sz w:val="22"/>
          <w:szCs w:val="22"/>
        </w:rPr>
        <w:t>In the Beginner textbook, market structure was introduced as the sequence of swing highs and swing lows that define bullish or bearish conditions, together with the Market Structure Shift that signals a potential change in that sequence.</w:t>
      </w:r>
    </w:p>
    <w:p w14:paraId="27B6DE5B">
      <w:pPr>
        <w:spacing w:after="200" w:line="276" w:lineRule="auto"/>
      </w:pPr>
      <w:r>
        <w:rPr>
          <w:rFonts w:ascii="Arial" w:hAnsi="Arial" w:eastAsia="Arial" w:cs="Arial"/>
          <w:sz w:val="22"/>
          <w:szCs w:val="22"/>
        </w:rPr>
        <w:t>At the intermediate level the same price action is examined through additional lenses. Not every swing is equal. Some swings are local noise; others define the working range; still others set the higher-timeframe narrative. ICT teaching organises these differences through:</w:t>
      </w:r>
    </w:p>
    <w:p w14:paraId="679A2EA6">
      <w:pPr>
        <w:pStyle w:val="16"/>
        <w:numPr>
          <w:ilvl w:val="0"/>
          <w:numId w:val="1"/>
        </w:numPr>
        <w:spacing w:after="120" w:line="276" w:lineRule="auto"/>
      </w:pPr>
      <w:r>
        <w:rPr>
          <w:rFonts w:ascii="Arial" w:hAnsi="Arial" w:eastAsia="Arial" w:cs="Arial"/>
          <w:sz w:val="22"/>
          <w:szCs w:val="22"/>
        </w:rPr>
        <w:t>A hierarchy of swing points (short-term, intermediate-term, long-term).</w:t>
      </w:r>
    </w:p>
    <w:p w14:paraId="6ECCA2B9">
      <w:pPr>
        <w:pStyle w:val="16"/>
        <w:numPr>
          <w:ilvl w:val="0"/>
          <w:numId w:val="1"/>
        </w:numPr>
        <w:spacing w:after="120" w:line="276" w:lineRule="auto"/>
      </w:pPr>
      <w:r>
        <w:rPr>
          <w:rFonts w:ascii="Arial" w:hAnsi="Arial" w:eastAsia="Arial" w:cs="Arial"/>
          <w:sz w:val="22"/>
          <w:szCs w:val="22"/>
        </w:rPr>
        <w:t>The distinction between internal and external structure (and the related internal-range versus external-range liquidity).</w:t>
      </w:r>
    </w:p>
    <w:p w14:paraId="568F91CB">
      <w:pPr>
        <w:pStyle w:val="16"/>
        <w:numPr>
          <w:ilvl w:val="0"/>
          <w:numId w:val="1"/>
        </w:numPr>
        <w:spacing w:after="120" w:line="276" w:lineRule="auto"/>
      </w:pPr>
      <w:r>
        <w:rPr>
          <w:rFonts w:ascii="Arial" w:hAnsi="Arial" w:eastAsia="Arial" w:cs="Arial"/>
          <w:sz w:val="22"/>
          <w:szCs w:val="22"/>
        </w:rPr>
        <w:t>The dealing range as the active price container.</w:t>
      </w:r>
    </w:p>
    <w:p w14:paraId="0B9C2C40">
      <w:pPr>
        <w:pStyle w:val="16"/>
        <w:numPr>
          <w:ilvl w:val="0"/>
          <w:numId w:val="1"/>
        </w:numPr>
        <w:spacing w:after="120" w:line="276" w:lineRule="auto"/>
      </w:pPr>
      <w:r>
        <w:rPr>
          <w:rFonts w:ascii="Arial" w:hAnsi="Arial" w:eastAsia="Arial" w:cs="Arial"/>
          <w:sz w:val="22"/>
          <w:szCs w:val="22"/>
        </w:rPr>
        <w:t>The recognition of expansion and contraction phases inside that container.</w:t>
      </w:r>
    </w:p>
    <w:p w14:paraId="596096C2">
      <w:pPr>
        <w:spacing w:after="200" w:line="276" w:lineRule="auto"/>
      </w:pPr>
      <w:r>
        <w:rPr>
          <w:rFonts w:ascii="Arial" w:hAnsi="Arial" w:eastAsia="Arial" w:cs="Arial"/>
          <w:sz w:val="22"/>
          <w:szCs w:val="22"/>
        </w:rPr>
        <w:t>The practical goal is to stop reacting to every three-candle swing and instead identify which structural elements actually matter for bias, liquidity targeting and entry timing.</w:t>
      </w:r>
    </w:p>
    <w:p w14:paraId="36337386">
      <w:pPr>
        <w:pStyle w:val="2"/>
        <w:spacing w:before="360" w:after="240"/>
      </w:pPr>
      <w:r>
        <w:rPr>
          <w:rFonts w:ascii="Arial" w:hAnsi="Arial" w:eastAsia="Arial" w:cs="Arial"/>
          <w:b/>
          <w:bCs/>
          <w:sz w:val="32"/>
          <w:szCs w:val="32"/>
        </w:rPr>
        <w:t>1. Internal Structure vs External Structure</w:t>
      </w:r>
    </w:p>
    <w:p w14:paraId="599FFF32">
      <w:pPr>
        <w:pStyle w:val="3"/>
        <w:spacing w:before="280" w:after="180"/>
      </w:pPr>
      <w:r>
        <w:rPr>
          <w:rFonts w:ascii="Arial" w:hAnsi="Arial" w:eastAsia="Arial" w:cs="Arial"/>
          <w:b/>
          <w:bCs/>
          <w:sz w:val="26"/>
          <w:szCs w:val="26"/>
        </w:rPr>
        <w:t>1.1 ICT Definition</w:t>
      </w:r>
    </w:p>
    <w:p w14:paraId="1BFEF319">
      <w:pPr>
        <w:spacing w:after="200" w:line="276" w:lineRule="auto"/>
      </w:pPr>
      <w:r>
        <w:rPr>
          <w:rFonts w:ascii="Arial" w:hAnsi="Arial" w:eastAsia="Arial" w:cs="Arial"/>
          <w:sz w:val="22"/>
          <w:szCs w:val="22"/>
        </w:rPr>
        <w:t>External structure consists of the major swing highs and swing lows that define the boundaries of the current dealing range or the prevailing higher-timeframe trend. These are the pivots that, when broken with displacement, change the larger narrative.</w:t>
      </w:r>
    </w:p>
    <w:p w14:paraId="66018A37">
      <w:pPr>
        <w:spacing w:after="200" w:line="276" w:lineRule="auto"/>
      </w:pPr>
      <w:r>
        <w:rPr>
          <w:rFonts w:ascii="Arial" w:hAnsi="Arial" w:eastAsia="Arial" w:cs="Arial"/>
          <w:sz w:val="22"/>
          <w:szCs w:val="22"/>
        </w:rPr>
        <w:t>Internal structure consists of the smaller swings that form between two external pivots. Internal structure describes the path price takes while remaining inside the larger container.</w:t>
      </w:r>
    </w:p>
    <w:p w14:paraId="33136596">
      <w:pPr>
        <w:pStyle w:val="3"/>
        <w:spacing w:before="280" w:after="180"/>
      </w:pPr>
      <w:r>
        <w:rPr>
          <w:rFonts w:ascii="Arial" w:hAnsi="Arial" w:eastAsia="Arial" w:cs="Arial"/>
          <w:b/>
          <w:bCs/>
          <w:sz w:val="26"/>
          <w:szCs w:val="26"/>
        </w:rPr>
        <w:t>1.2 What Changed from Beginner Understanding</w:t>
      </w:r>
    </w:p>
    <w:p w14:paraId="1CE102B8">
      <w:pPr>
        <w:spacing w:after="200" w:line="276" w:lineRule="auto"/>
      </w:pPr>
      <w:r>
        <w:rPr>
          <w:rFonts w:ascii="Arial" w:hAnsi="Arial" w:eastAsia="Arial" w:cs="Arial"/>
          <w:sz w:val="22"/>
          <w:szCs w:val="22"/>
        </w:rPr>
        <w:t>Beginners treat every swing high or low as potentially equal. Intermediate practice requires the trader to ask: “Is this swing defining the range, or is it merely movement inside the range?” Breaking an internal swing is routine; breaking an external swing is narrative-changing.</w:t>
      </w:r>
    </w:p>
    <w:p w14:paraId="5C52780D">
      <w:pPr>
        <w:pStyle w:val="3"/>
        <w:spacing w:before="280" w:after="180"/>
      </w:pPr>
      <w:r>
        <w:rPr>
          <w:rFonts w:ascii="Arial" w:hAnsi="Arial" w:eastAsia="Arial" w:cs="Arial"/>
          <w:b/>
          <w:bCs/>
          <w:sz w:val="26"/>
          <w:szCs w:val="26"/>
        </w:rPr>
        <w:t>1.3 Why It Matters</w:t>
      </w:r>
    </w:p>
    <w:p w14:paraId="78C6439F">
      <w:pPr>
        <w:spacing w:after="200" w:line="276" w:lineRule="auto"/>
      </w:pPr>
      <w:r>
        <w:rPr>
          <w:rFonts w:ascii="Arial" w:hAnsi="Arial" w:eastAsia="Arial" w:cs="Arial"/>
          <w:sz w:val="22"/>
          <w:szCs w:val="22"/>
        </w:rPr>
        <w:t>Confusing internal breaks with external breaks is one of the most common sources of premature bias changes and over-trading. An internal Market Structure Shift may offer a lower-timeframe entry opportunity, but it does not automatically overturn the higher-timeframe dealing-range narrative.</w:t>
      </w:r>
    </w:p>
    <w:p w14:paraId="71ADD726">
      <w:pPr>
        <w:pStyle w:val="3"/>
        <w:spacing w:before="280" w:after="180"/>
      </w:pPr>
      <w:r>
        <w:rPr>
          <w:rFonts w:ascii="Arial" w:hAnsi="Arial" w:eastAsia="Arial" w:cs="Arial"/>
          <w:b/>
          <w:bCs/>
          <w:sz w:val="26"/>
          <w:szCs w:val="26"/>
        </w:rPr>
        <w:t>1.4 How to Identify</w:t>
      </w:r>
    </w:p>
    <w:p w14:paraId="78E0BE99">
      <w:pPr>
        <w:pStyle w:val="16"/>
        <w:numPr>
          <w:ilvl w:val="0"/>
          <w:numId w:val="2"/>
        </w:numPr>
        <w:spacing w:after="120" w:line="276" w:lineRule="auto"/>
      </w:pPr>
      <w:r>
        <w:rPr>
          <w:rFonts w:ascii="Arial" w:hAnsi="Arial" w:eastAsia="Arial" w:cs="Arial"/>
          <w:sz w:val="22"/>
          <w:szCs w:val="22"/>
        </w:rPr>
        <w:t>On the working timeframe, mark the most recent significant swing high and swing low that together contain the majority of recent price action. These are candidate external points.</w:t>
      </w:r>
    </w:p>
    <w:p w14:paraId="6C8C0F40">
      <w:pPr>
        <w:pStyle w:val="16"/>
        <w:numPr>
          <w:ilvl w:val="0"/>
          <w:numId w:val="2"/>
        </w:numPr>
        <w:spacing w:after="120" w:line="276" w:lineRule="auto"/>
      </w:pPr>
      <w:r>
        <w:rPr>
          <w:rFonts w:ascii="Arial" w:hAnsi="Arial" w:eastAsia="Arial" w:cs="Arial"/>
          <w:sz w:val="22"/>
          <w:szCs w:val="22"/>
        </w:rPr>
        <w:t>All swings that form strictly between those two points are internal.</w:t>
      </w:r>
    </w:p>
    <w:p w14:paraId="45064637">
      <w:pPr>
        <w:pStyle w:val="16"/>
        <w:numPr>
          <w:ilvl w:val="0"/>
          <w:numId w:val="2"/>
        </w:numPr>
        <w:spacing w:after="120" w:line="276" w:lineRule="auto"/>
      </w:pPr>
      <w:r>
        <w:rPr>
          <w:rFonts w:ascii="Arial" w:hAnsi="Arial" w:eastAsia="Arial" w:cs="Arial"/>
          <w:sz w:val="22"/>
          <w:szCs w:val="22"/>
        </w:rPr>
        <w:t>When price later expands beyond one of the external points and that expansion holds, the old external point is retired and a new dealing range is defined.</w:t>
      </w:r>
    </w:p>
    <w:p w14:paraId="41BE9682">
      <w:pPr>
        <w:pStyle w:val="3"/>
        <w:spacing w:before="280" w:after="180"/>
      </w:pPr>
      <w:r>
        <w:rPr>
          <w:rFonts w:ascii="Arial" w:hAnsi="Arial" w:eastAsia="Arial" w:cs="Arial"/>
          <w:b/>
          <w:bCs/>
          <w:sz w:val="26"/>
          <w:szCs w:val="26"/>
        </w:rPr>
        <w:t>1.5 Example</w:t>
      </w:r>
    </w:p>
    <w:p w14:paraId="35D2BBCA">
      <w:pPr>
        <w:spacing w:after="200" w:line="276" w:lineRule="auto"/>
      </w:pPr>
      <w:r>
        <w:rPr>
          <w:rFonts w:ascii="Arial" w:hAnsi="Arial" w:eastAsia="Arial" w:cs="Arial"/>
          <w:sz w:val="22"/>
          <w:szCs w:val="22"/>
        </w:rPr>
        <w:t>On a 1-hour chart, price establishes a clear high at 1.1000 and a clear low at 1.0800. Between these two levels, price prints several higher highs and higher lows. Those intermediate swings are internal structure. Only a decisive break and close beyond 1.1000 or 1.0800 (with displacement) alters the external structure.</w:t>
      </w:r>
    </w:p>
    <w:p w14:paraId="58E6B66B">
      <w:pPr>
        <w:pStyle w:val="3"/>
        <w:spacing w:before="280" w:after="180"/>
      </w:pPr>
      <w:r>
        <w:rPr>
          <w:rFonts w:ascii="Arial" w:hAnsi="Arial" w:eastAsia="Arial" w:cs="Arial"/>
          <w:b/>
          <w:bCs/>
          <w:sz w:val="26"/>
          <w:szCs w:val="26"/>
        </w:rPr>
        <w:t>1.6 Common Mistake</w:t>
      </w:r>
    </w:p>
    <w:p w14:paraId="60BAD336">
      <w:pPr>
        <w:pStyle w:val="16"/>
        <w:numPr>
          <w:ilvl w:val="0"/>
          <w:numId w:val="3"/>
        </w:numPr>
        <w:spacing w:after="120" w:line="276" w:lineRule="auto"/>
      </w:pPr>
      <w:r>
        <w:rPr>
          <w:rFonts w:ascii="Arial" w:hAnsi="Arial" w:eastAsia="Arial" w:cs="Arial"/>
          <w:sz w:val="22"/>
          <w:szCs w:val="22"/>
        </w:rPr>
        <w:t>Treating every lower-timeframe MSS as an external structural failure on the higher timeframe.</w:t>
      </w:r>
    </w:p>
    <w:p w14:paraId="748AE68B">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ICT’s 2022 Mentorship and related lectures distinguish internal-range behaviour from external-range liquidity runs. Community codifications of “internal vs external structure” map directly onto that teaching.</w:t>
      </w:r>
    </w:p>
    <w:p w14:paraId="4D3F1837">
      <w:pPr>
        <w:pStyle w:val="2"/>
        <w:spacing w:before="360" w:after="240"/>
      </w:pPr>
      <w:r>
        <w:rPr>
          <w:rFonts w:ascii="Arial" w:hAnsi="Arial" w:eastAsia="Arial" w:cs="Arial"/>
          <w:b/>
          <w:bCs/>
          <w:sz w:val="32"/>
          <w:szCs w:val="32"/>
        </w:rPr>
        <w:t>2. Internal Range and External Range</w:t>
      </w:r>
    </w:p>
    <w:p w14:paraId="7AE081B1">
      <w:pPr>
        <w:pStyle w:val="3"/>
        <w:spacing w:before="280" w:after="180"/>
      </w:pPr>
      <w:r>
        <w:rPr>
          <w:rFonts w:ascii="Arial" w:hAnsi="Arial" w:eastAsia="Arial" w:cs="Arial"/>
          <w:b/>
          <w:bCs/>
          <w:sz w:val="26"/>
          <w:szCs w:val="26"/>
        </w:rPr>
        <w:t>2.1 Definitions</w:t>
      </w:r>
    </w:p>
    <w:p w14:paraId="1874E2AC">
      <w:pPr>
        <w:spacing w:after="200" w:line="276" w:lineRule="auto"/>
      </w:pPr>
      <w:r>
        <w:rPr>
          <w:rFonts w:ascii="Arial" w:hAnsi="Arial" w:eastAsia="Arial" w:cs="Arial"/>
          <w:sz w:val="22"/>
          <w:szCs w:val="22"/>
        </w:rPr>
        <w:t>The internal range is the price territory lying strictly between the current dealing-range high and dealing-range low.</w:t>
      </w:r>
    </w:p>
    <w:p w14:paraId="7C6A8F83">
      <w:pPr>
        <w:spacing w:after="200" w:line="276" w:lineRule="auto"/>
      </w:pPr>
      <w:r>
        <w:rPr>
          <w:rFonts w:ascii="Arial" w:hAnsi="Arial" w:eastAsia="Arial" w:cs="Arial"/>
          <w:sz w:val="22"/>
          <w:szCs w:val="22"/>
        </w:rPr>
        <w:t>The external range (or external territory) is everything outside those two boundaries — above the range high or below the range low.</w:t>
      </w:r>
    </w:p>
    <w:p w14:paraId="6701F460">
      <w:pPr>
        <w:pStyle w:val="3"/>
        <w:spacing w:before="280" w:after="180"/>
      </w:pPr>
      <w:r>
        <w:rPr>
          <w:rFonts w:ascii="Arial" w:hAnsi="Arial" w:eastAsia="Arial" w:cs="Arial"/>
          <w:b/>
          <w:bCs/>
          <w:sz w:val="26"/>
          <w:szCs w:val="26"/>
        </w:rPr>
        <w:t>2.2 Relationship to Liquidity</w:t>
      </w:r>
    </w:p>
    <w:p w14:paraId="590E49D8">
      <w:pPr>
        <w:spacing w:after="200" w:line="276" w:lineRule="auto"/>
      </w:pPr>
      <w:r>
        <w:rPr>
          <w:rFonts w:ascii="Arial" w:hAnsi="Arial" w:eastAsia="Arial" w:cs="Arial"/>
          <w:sz w:val="22"/>
          <w:szCs w:val="22"/>
        </w:rPr>
        <w:t>Liquidity resting inside the dealing range is internal-range liquidity (IRL). Liquidity resting beyond the range boundaries is external-range liquidity (ERL).</w:t>
      </w:r>
    </w:p>
    <w:p w14:paraId="0CF87327">
      <w:pPr>
        <w:spacing w:after="200" w:line="276" w:lineRule="auto"/>
      </w:pPr>
      <w:r>
        <w:rPr>
          <w:rFonts w:ascii="Arial" w:hAnsi="Arial" w:eastAsia="Arial" w:cs="Arial"/>
          <w:sz w:val="22"/>
          <w:szCs w:val="22"/>
        </w:rPr>
        <w:t>A common ICT delivery sequence is: price expands to take external-range liquidity, then returns into the range to address internal-range liquidity (often Fair Value Gaps or Order Blocks), then expands again toward the opposite external liquidity. The reverse sequence (internal first, then external) also occurs and is equally important to recognise.</w:t>
      </w:r>
    </w:p>
    <w:p w14:paraId="56C73F2C">
      <w:pPr>
        <w:pStyle w:val="3"/>
        <w:spacing w:before="280" w:after="180"/>
      </w:pPr>
      <w:r>
        <w:rPr>
          <w:rFonts w:ascii="Arial" w:hAnsi="Arial" w:eastAsia="Arial" w:cs="Arial"/>
          <w:b/>
          <w:bCs/>
          <w:sz w:val="26"/>
          <w:szCs w:val="26"/>
        </w:rPr>
        <w:t>2.3 Practical Implication</w:t>
      </w:r>
    </w:p>
    <w:p w14:paraId="6CF92E16">
      <w:pPr>
        <w:spacing w:after="200" w:line="276" w:lineRule="auto"/>
      </w:pPr>
      <w:r>
        <w:rPr>
          <w:rFonts w:ascii="Arial" w:hAnsi="Arial" w:eastAsia="Arial" w:cs="Arial"/>
          <w:sz w:val="22"/>
          <w:szCs w:val="22"/>
        </w:rPr>
        <w:t>When the trader’s thesis is that price will expand to an external target, intermediate reactions at internal PD arrays are expected and should not automatically be read as reversal. Conversely, once external liquidity has been taken, the probability of a return into the range rises.</w:t>
      </w:r>
    </w:p>
    <w:p w14:paraId="1398935D">
      <w:pPr>
        <w:pStyle w:val="2"/>
        <w:spacing w:before="360" w:after="240"/>
      </w:pPr>
      <w:r>
        <w:rPr>
          <w:rFonts w:ascii="Arial" w:hAnsi="Arial" w:eastAsia="Arial" w:cs="Arial"/>
          <w:b/>
          <w:bCs/>
          <w:sz w:val="32"/>
          <w:szCs w:val="32"/>
        </w:rPr>
        <w:t>3. The Dealing Range</w:t>
      </w:r>
    </w:p>
    <w:p w14:paraId="539A1E9E">
      <w:pPr>
        <w:pStyle w:val="3"/>
        <w:spacing w:before="280" w:after="180"/>
      </w:pPr>
      <w:r>
        <w:rPr>
          <w:rFonts w:ascii="Arial" w:hAnsi="Arial" w:eastAsia="Arial" w:cs="Arial"/>
          <w:b/>
          <w:bCs/>
          <w:sz w:val="26"/>
          <w:szCs w:val="26"/>
        </w:rPr>
        <w:t>3.1 ICT Definition</w:t>
      </w:r>
    </w:p>
    <w:p w14:paraId="58696F45">
      <w:pPr>
        <w:spacing w:after="200" w:line="276" w:lineRule="auto"/>
      </w:pPr>
      <w:r>
        <w:rPr>
          <w:rFonts w:ascii="Arial" w:hAnsi="Arial" w:eastAsia="Arial" w:cs="Arial"/>
          <w:sz w:val="22"/>
          <w:szCs w:val="22"/>
        </w:rPr>
        <w:t>A dealing range is the price container defined by a meaningful swing high (range high) and a meaningful swing low (range low). Inside this container the market is understood to be “dealing” — oscillating between premium and discount relative to the 50 % equilibrium of the range.</w:t>
      </w:r>
    </w:p>
    <w:p w14:paraId="2C11AF9D">
      <w:pPr>
        <w:pStyle w:val="3"/>
        <w:spacing w:before="280" w:after="180"/>
      </w:pPr>
      <w:r>
        <w:rPr>
          <w:rFonts w:ascii="Arial" w:hAnsi="Arial" w:eastAsia="Arial" w:cs="Arial"/>
          <w:b/>
          <w:bCs/>
          <w:sz w:val="26"/>
          <w:szCs w:val="26"/>
        </w:rPr>
        <w:t>3.2 How to Identify</w:t>
      </w:r>
    </w:p>
    <w:p w14:paraId="221E4D8C">
      <w:pPr>
        <w:pStyle w:val="16"/>
        <w:numPr>
          <w:ilvl w:val="0"/>
          <w:numId w:val="4"/>
        </w:numPr>
        <w:spacing w:after="120" w:line="276" w:lineRule="auto"/>
      </w:pPr>
      <w:r>
        <w:rPr>
          <w:rFonts w:ascii="Arial" w:hAnsi="Arial" w:eastAsia="Arial" w:cs="Arial"/>
          <w:sz w:val="22"/>
          <w:szCs w:val="22"/>
        </w:rPr>
        <w:t>Locate the most recent pair of swing high and swing low that together frame the bulk of current price action on the chosen timeframe.</w:t>
      </w:r>
    </w:p>
    <w:p w14:paraId="6DDB1613">
      <w:pPr>
        <w:pStyle w:val="16"/>
        <w:numPr>
          <w:ilvl w:val="0"/>
          <w:numId w:val="4"/>
        </w:numPr>
        <w:spacing w:after="120" w:line="276" w:lineRule="auto"/>
      </w:pPr>
      <w:r>
        <w:rPr>
          <w:rFonts w:ascii="Arial" w:hAnsi="Arial" w:eastAsia="Arial" w:cs="Arial"/>
          <w:sz w:val="22"/>
          <w:szCs w:val="22"/>
        </w:rPr>
        <w:t>Confirm that both sides have been tested or that liquidity has been engineered at both extremes (a common ICT refinement is that a true interbank dealing range often follows the sweep of both buy-side and sell-side liquidity).</w:t>
      </w:r>
    </w:p>
    <w:p w14:paraId="2C74F11A">
      <w:pPr>
        <w:pStyle w:val="16"/>
        <w:numPr>
          <w:ilvl w:val="0"/>
          <w:numId w:val="4"/>
        </w:numPr>
        <w:spacing w:after="120" w:line="276" w:lineRule="auto"/>
      </w:pPr>
      <w:r>
        <w:rPr>
          <w:rFonts w:ascii="Arial" w:hAnsi="Arial" w:eastAsia="Arial" w:cs="Arial"/>
          <w:sz w:val="22"/>
          <w:szCs w:val="22"/>
        </w:rPr>
        <w:t>Mark the range high, the range low, and the precise 50 % midpoint (equilibrium).</w:t>
      </w:r>
    </w:p>
    <w:p w14:paraId="0508B0B9">
      <w:pPr>
        <w:pStyle w:val="16"/>
        <w:numPr>
          <w:ilvl w:val="0"/>
          <w:numId w:val="4"/>
        </w:numPr>
        <w:spacing w:after="120" w:line="276" w:lineRule="auto"/>
      </w:pPr>
      <w:r>
        <w:rPr>
          <w:rFonts w:ascii="Arial" w:hAnsi="Arial" w:eastAsia="Arial" w:cs="Arial"/>
          <w:sz w:val="22"/>
          <w:szCs w:val="22"/>
        </w:rPr>
        <w:t>Everything above equilibrium is premium; everything below is discount.</w:t>
      </w:r>
    </w:p>
    <w:p w14:paraId="016754B6">
      <w:pPr>
        <w:pStyle w:val="3"/>
        <w:spacing w:before="280" w:after="180"/>
      </w:pPr>
      <w:r>
        <w:rPr>
          <w:rFonts w:ascii="Arial" w:hAnsi="Arial" w:eastAsia="Arial" w:cs="Arial"/>
          <w:b/>
          <w:bCs/>
          <w:sz w:val="26"/>
          <w:szCs w:val="26"/>
        </w:rPr>
        <w:t>3.3 Nested Dealing Ranges</w:t>
      </w:r>
    </w:p>
    <w:p w14:paraId="5322038D">
      <w:pPr>
        <w:spacing w:after="200" w:line="276" w:lineRule="auto"/>
      </w:pPr>
      <w:r>
        <w:rPr>
          <w:rFonts w:ascii="Arial" w:hAnsi="Arial" w:eastAsia="Arial" w:cs="Arial"/>
          <w:sz w:val="22"/>
          <w:szCs w:val="22"/>
        </w:rPr>
        <w:t>Dealing ranges are fractal. A daily dealing range sits inside a weekly dealing range, which sits inside a monthly dealing range. The intermediate student learns to keep the higher-timeframe container in view while operating inside the lower-timeframe container. A long setup that is in discount on the daily range but in deep premium on the weekly range requires additional justification.</w:t>
      </w:r>
    </w:p>
    <w:p w14:paraId="2E15766E">
      <w:pPr>
        <w:pStyle w:val="3"/>
        <w:spacing w:before="280" w:after="180"/>
      </w:pPr>
      <w:r>
        <w:rPr>
          <w:rFonts w:ascii="Arial" w:hAnsi="Arial" w:eastAsia="Arial" w:cs="Arial"/>
          <w:b/>
          <w:bCs/>
          <w:sz w:val="26"/>
          <w:szCs w:val="26"/>
        </w:rPr>
        <w:t>3.4 Example</w:t>
      </w:r>
    </w:p>
    <w:p w14:paraId="63F07963">
      <w:pPr>
        <w:spacing w:after="200" w:line="276" w:lineRule="auto"/>
      </w:pPr>
      <w:r>
        <w:rPr>
          <w:rFonts w:ascii="Arial" w:hAnsi="Arial" w:eastAsia="Arial" w:cs="Arial"/>
          <w:sz w:val="22"/>
          <w:szCs w:val="22"/>
        </w:rPr>
        <w:t>Weekly range: 1.0500–1.1200, equilibrium 1.0850. Daily range currently active: 1.0900–1.1100, equilibrium 1.1000. A long sought on the daily chart at 1.0920 is in daily discount but still above weekly equilibrium. The trader must decide whether the weekly premium location is acceptable given the larger narrative.</w:t>
      </w:r>
    </w:p>
    <w:p w14:paraId="186CDC05">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ICT explicitly discusses the interbank dealing range and the importance of having swept both sides of liquidity in several mentorship lectures (including material around the 2022 series). The premium/discount division at 50 % is a consistent application across ICT chart examples.</w:t>
      </w:r>
    </w:p>
    <w:p w14:paraId="58FA0A20">
      <w:pPr>
        <w:pStyle w:val="2"/>
        <w:spacing w:before="360" w:after="240"/>
      </w:pPr>
      <w:r>
        <w:rPr>
          <w:rFonts w:ascii="Arial" w:hAnsi="Arial" w:eastAsia="Arial" w:cs="Arial"/>
          <w:b/>
          <w:bCs/>
          <w:sz w:val="32"/>
          <w:szCs w:val="32"/>
        </w:rPr>
        <w:t>4. Structural Swing Points: Short-Term, Intermediate-Term, Long-Term</w:t>
      </w:r>
    </w:p>
    <w:p w14:paraId="3F6E64A7">
      <w:pPr>
        <w:pStyle w:val="3"/>
        <w:spacing w:before="280" w:after="180"/>
      </w:pPr>
      <w:r>
        <w:rPr>
          <w:rFonts w:ascii="Arial" w:hAnsi="Arial" w:eastAsia="Arial" w:cs="Arial"/>
          <w:b/>
          <w:bCs/>
          <w:sz w:val="26"/>
          <w:szCs w:val="26"/>
        </w:rPr>
        <w:t>4.1 Hierarchy Overview</w:t>
      </w:r>
    </w:p>
    <w:p w14:paraId="0452EBA6">
      <w:pPr>
        <w:spacing w:after="200" w:line="276" w:lineRule="auto"/>
      </w:pPr>
      <w:r>
        <w:rPr>
          <w:rFonts w:ascii="Arial" w:hAnsi="Arial" w:eastAsia="Arial" w:cs="Arial"/>
          <w:sz w:val="22"/>
          <w:szCs w:val="22"/>
        </w:rPr>
        <w:t>ICT organises swing points into three nested degrees of significance:</w:t>
      </w:r>
    </w:p>
    <w:p w14:paraId="06DA5666">
      <w:pPr>
        <w:pStyle w:val="16"/>
        <w:numPr>
          <w:ilvl w:val="0"/>
          <w:numId w:val="1"/>
        </w:numPr>
        <w:spacing w:after="120" w:line="276" w:lineRule="auto"/>
      </w:pPr>
      <w:r>
        <w:rPr>
          <w:rFonts w:ascii="Arial" w:hAnsi="Arial" w:eastAsia="Arial" w:cs="Arial"/>
          <w:sz w:val="22"/>
          <w:szCs w:val="22"/>
        </w:rPr>
        <w:t>Short-Term High / Low (STH / STL) — the basic three-candle (or local) swing.</w:t>
      </w:r>
    </w:p>
    <w:p w14:paraId="2CCEA5B3">
      <w:pPr>
        <w:pStyle w:val="16"/>
        <w:numPr>
          <w:ilvl w:val="0"/>
          <w:numId w:val="1"/>
        </w:numPr>
        <w:spacing w:after="120" w:line="276" w:lineRule="auto"/>
      </w:pPr>
      <w:r>
        <w:rPr>
          <w:rFonts w:ascii="Arial" w:hAnsi="Arial" w:eastAsia="Arial" w:cs="Arial"/>
          <w:sz w:val="22"/>
          <w:szCs w:val="22"/>
        </w:rPr>
        <w:t>Intermediate-Term High / Low (ITH / ITL) — a short-term swing that is itself flanked by short-term swings on both sides, giving it greater weight.</w:t>
      </w:r>
    </w:p>
    <w:p w14:paraId="6E81E37B">
      <w:pPr>
        <w:pStyle w:val="16"/>
        <w:numPr>
          <w:ilvl w:val="0"/>
          <w:numId w:val="1"/>
        </w:numPr>
        <w:spacing w:after="120" w:line="276" w:lineRule="auto"/>
      </w:pPr>
      <w:r>
        <w:rPr>
          <w:rFonts w:ascii="Arial" w:hAnsi="Arial" w:eastAsia="Arial" w:cs="Arial"/>
          <w:sz w:val="22"/>
          <w:szCs w:val="22"/>
        </w:rPr>
        <w:t>Long-Term High / Low (LTH / LTL) — an intermediate-term swing that is itself flanked by intermediate-term swings, or that forms at a higher-timeframe PD array and therefore carries still greater structural importance.</w:t>
      </w:r>
    </w:p>
    <w:p w14:paraId="550A3E23">
      <w:pPr>
        <w:pStyle w:val="3"/>
        <w:spacing w:before="280" w:after="180"/>
      </w:pPr>
      <w:r>
        <w:rPr>
          <w:rFonts w:ascii="Arial" w:hAnsi="Arial" w:eastAsia="Arial" w:cs="Arial"/>
          <w:b/>
          <w:bCs/>
          <w:sz w:val="26"/>
          <w:szCs w:val="26"/>
        </w:rPr>
        <w:t>4.2 Short-Term High / Low (STH / STL)</w:t>
      </w:r>
    </w:p>
    <w:p w14:paraId="08A9D7BA">
      <w:pPr>
        <w:spacing w:after="200" w:line="276" w:lineRule="auto"/>
      </w:pPr>
      <w:r>
        <w:rPr>
          <w:rFonts w:ascii="Arial" w:hAnsi="Arial" w:eastAsia="Arial" w:cs="Arial"/>
          <w:sz w:val="22"/>
          <w:szCs w:val="22"/>
        </w:rPr>
        <w:t>A short-term high is a candle (or bar) whose high is higher than the highs of the candles immediately to its left and right. A short-term low is the mirror image. These are the most frequent pivots and form the raw material of structure.</w:t>
      </w:r>
    </w:p>
    <w:p w14:paraId="50A50C1C">
      <w:pPr>
        <w:pStyle w:val="3"/>
        <w:spacing w:before="280" w:after="180"/>
      </w:pPr>
      <w:r>
        <w:rPr>
          <w:rFonts w:ascii="Arial" w:hAnsi="Arial" w:eastAsia="Arial" w:cs="Arial"/>
          <w:b/>
          <w:bCs/>
          <w:sz w:val="26"/>
          <w:szCs w:val="26"/>
        </w:rPr>
        <w:t>4.3 Intermediate-Term High / Low (ITH / ITL)</w:t>
      </w:r>
    </w:p>
    <w:p w14:paraId="339E0AC4">
      <w:pPr>
        <w:spacing w:after="200" w:line="276" w:lineRule="auto"/>
      </w:pPr>
      <w:r>
        <w:rPr>
          <w:rFonts w:ascii="Arial" w:hAnsi="Arial" w:eastAsia="Arial" w:cs="Arial"/>
          <w:sz w:val="22"/>
          <w:szCs w:val="22"/>
        </w:rPr>
        <w:t>An intermediate-term high is a short-term high that has lower short-term highs on both its left and right. An intermediate-term low has higher short-term lows on both sides. The intermediate-term pivot therefore required multiple short-term swings to form and is more significant for bias and liquidity mapping.</w:t>
      </w:r>
    </w:p>
    <w:p w14:paraId="02980D3A">
      <w:pPr>
        <w:pStyle w:val="3"/>
        <w:spacing w:before="280" w:after="180"/>
      </w:pPr>
      <w:r>
        <w:rPr>
          <w:rFonts w:ascii="Arial" w:hAnsi="Arial" w:eastAsia="Arial" w:cs="Arial"/>
          <w:b/>
          <w:bCs/>
          <w:sz w:val="26"/>
          <w:szCs w:val="26"/>
        </w:rPr>
        <w:t>4.4 Long-Term High / Low (LTH / LTL)</w:t>
      </w:r>
    </w:p>
    <w:p w14:paraId="5E124BD0">
      <w:pPr>
        <w:spacing w:after="200" w:line="276" w:lineRule="auto"/>
      </w:pPr>
      <w:r>
        <w:rPr>
          <w:rFonts w:ascii="Arial" w:hAnsi="Arial" w:eastAsia="Arial" w:cs="Arial"/>
          <w:sz w:val="22"/>
          <w:szCs w:val="22"/>
        </w:rPr>
        <w:t>A long-term high is an intermediate-term high that has lower intermediate-term highs on both sides, or that coincides with a higher-timeframe key level (previous week high, monthly open, major PD array, etc.). Long-term pivots define the largest structural narrative on the chart being examined.</w:t>
      </w:r>
    </w:p>
    <w:p w14:paraId="00C383A0">
      <w:pPr>
        <w:pStyle w:val="3"/>
        <w:spacing w:before="280" w:after="180"/>
      </w:pPr>
      <w:r>
        <w:rPr>
          <w:rFonts w:ascii="Arial" w:hAnsi="Arial" w:eastAsia="Arial" w:cs="Arial"/>
          <w:b/>
          <w:bCs/>
          <w:sz w:val="26"/>
          <w:szCs w:val="26"/>
        </w:rPr>
        <w:t>4.5 Practical Use</w:t>
      </w:r>
    </w:p>
    <w:p w14:paraId="465AA33E">
      <w:pPr>
        <w:spacing w:after="200" w:line="276" w:lineRule="auto"/>
      </w:pPr>
      <w:r>
        <w:rPr>
          <w:rFonts w:ascii="Arial" w:hAnsi="Arial" w:eastAsia="Arial" w:cs="Arial"/>
          <w:sz w:val="22"/>
          <w:szCs w:val="22"/>
        </w:rPr>
        <w:t>Breaks of short-term structure are used for precise lower-timeframe entries. Breaks of intermediate-term structure carry more weight for confirming a Market Structure Shift. Breaks of long-term structure often signal a change in the higher-timeframe bias itself.</w:t>
      </w:r>
    </w:p>
    <w:p w14:paraId="4AA3A0E4">
      <w:pPr>
        <w:pStyle w:val="3"/>
        <w:spacing w:before="280" w:after="180"/>
      </w:pPr>
      <w:r>
        <w:rPr>
          <w:rFonts w:ascii="Arial" w:hAnsi="Arial" w:eastAsia="Arial" w:cs="Arial"/>
          <w:b/>
          <w:bCs/>
          <w:sz w:val="26"/>
          <w:szCs w:val="26"/>
        </w:rPr>
        <w:t>4.6 Visual Hierarchy</w:t>
      </w:r>
    </w:p>
    <w:p w14:paraId="7A8E2A76">
      <w:pPr>
        <w:spacing w:after="0" w:line="240" w:lineRule="auto"/>
      </w:pPr>
      <w:r>
        <w:rPr>
          <w:rFonts w:ascii="Courier New" w:hAnsi="Courier New" w:eastAsia="Courier New" w:cs="Courier New"/>
          <w:sz w:val="18"/>
          <w:szCs w:val="18"/>
        </w:rPr>
        <w:t>LTH ──────────────────────────────────</w:t>
      </w:r>
    </w:p>
    <w:p w14:paraId="21CF7842">
      <w:pPr>
        <w:spacing w:after="0" w:line="240" w:lineRule="auto"/>
      </w:pPr>
      <w:r>
        <w:rPr>
          <w:rFonts w:ascii="Courier New" w:hAnsi="Courier New" w:eastAsia="Courier New" w:cs="Courier New"/>
          <w:sz w:val="18"/>
          <w:szCs w:val="18"/>
        </w:rPr>
        <w:t xml:space="preserve">     \                              /</w:t>
      </w:r>
    </w:p>
    <w:p w14:paraId="3F9F993C">
      <w:pPr>
        <w:spacing w:after="0" w:line="240" w:lineRule="auto"/>
      </w:pPr>
      <w:r>
        <w:rPr>
          <w:rFonts w:ascii="Courier New" w:hAnsi="Courier New" w:eastAsia="Courier New" w:cs="Courier New"/>
          <w:sz w:val="18"/>
          <w:szCs w:val="18"/>
        </w:rPr>
        <w:t xml:space="preserve">      \   ITH                      /</w:t>
      </w:r>
    </w:p>
    <w:p w14:paraId="2A0D1510">
      <w:pPr>
        <w:spacing w:after="0" w:line="240" w:lineRule="auto"/>
      </w:pPr>
      <w:r>
        <w:rPr>
          <w:rFonts w:ascii="Courier New" w:hAnsi="Courier New" w:eastAsia="Courier New" w:cs="Courier New"/>
          <w:sz w:val="18"/>
          <w:szCs w:val="18"/>
        </w:rPr>
        <w:t xml:space="preserve">       \   /\    ITH             /</w:t>
      </w:r>
    </w:p>
    <w:p w14:paraId="3425FA09">
      <w:pPr>
        <w:spacing w:after="0" w:line="240" w:lineRule="auto"/>
      </w:pPr>
      <w:r>
        <w:rPr>
          <w:rFonts w:ascii="Courier New" w:hAnsi="Courier New" w:eastAsia="Courier New" w:cs="Courier New"/>
          <w:sz w:val="18"/>
          <w:szCs w:val="18"/>
        </w:rPr>
        <w:t xml:space="preserve">        \ /  \  /  \            /</w:t>
      </w:r>
    </w:p>
    <w:p w14:paraId="159A512A">
      <w:pPr>
        <w:spacing w:after="0" w:line="240" w:lineRule="auto"/>
      </w:pPr>
      <w:r>
        <w:rPr>
          <w:rFonts w:ascii="Courier New" w:hAnsi="Courier New" w:eastAsia="Courier New" w:cs="Courier New"/>
          <w:sz w:val="18"/>
          <w:szCs w:val="18"/>
        </w:rPr>
        <w:t xml:space="preserve">         X    \/    \          /</w:t>
      </w:r>
    </w:p>
    <w:p w14:paraId="60EEC412">
      <w:pPr>
        <w:spacing w:after="0" w:line="240" w:lineRule="auto"/>
      </w:pPr>
      <w:r>
        <w:rPr>
          <w:rFonts w:ascii="Courier New" w:hAnsi="Courier New" w:eastAsia="Courier New" w:cs="Courier New"/>
          <w:sz w:val="18"/>
          <w:szCs w:val="18"/>
        </w:rPr>
        <w:t xml:space="preserve">        / \         \        /</w:t>
      </w:r>
    </w:p>
    <w:p w14:paraId="59B39B5C">
      <w:pPr>
        <w:spacing w:after="0" w:line="240" w:lineRule="auto"/>
      </w:pPr>
      <w:r>
        <w:rPr>
          <w:rFonts w:ascii="Courier New" w:hAnsi="Courier New" w:eastAsia="Courier New" w:cs="Courier New"/>
          <w:sz w:val="18"/>
          <w:szCs w:val="18"/>
        </w:rPr>
        <w:t xml:space="preserve">       /   \         \      /</w:t>
      </w:r>
    </w:p>
    <w:p w14:paraId="273F1D77">
      <w:pPr>
        <w:spacing w:after="0" w:line="240" w:lineRule="auto"/>
      </w:pPr>
      <w:r>
        <w:rPr>
          <w:rFonts w:ascii="Courier New" w:hAnsi="Courier New" w:eastAsia="Courier New" w:cs="Courier New"/>
          <w:sz w:val="18"/>
          <w:szCs w:val="18"/>
        </w:rPr>
        <w:t xml:space="preserve">      /     STL       \    /</w:t>
      </w:r>
    </w:p>
    <w:p w14:paraId="7E7213CE">
      <w:pPr>
        <w:spacing w:after="0" w:line="240" w:lineRule="auto"/>
      </w:pPr>
      <w:r>
        <w:rPr>
          <w:rFonts w:ascii="Courier New" w:hAnsi="Courier New" w:eastAsia="Courier New" w:cs="Courier New"/>
          <w:sz w:val="18"/>
          <w:szCs w:val="18"/>
        </w:rPr>
        <w:t xml:space="preserve">     /                 \  /</w:t>
      </w:r>
    </w:p>
    <w:p w14:paraId="6CF061AF">
      <w:pPr>
        <w:spacing w:after="0" w:line="240" w:lineRule="auto"/>
      </w:pPr>
      <w:r>
        <w:rPr>
          <w:rFonts w:ascii="Courier New" w:hAnsi="Courier New" w:eastAsia="Courier New" w:cs="Courier New"/>
          <w:sz w:val="18"/>
          <w:szCs w:val="18"/>
        </w:rPr>
        <w:t>LTL ─────────────────────\/──────────</w:t>
      </w:r>
    </w:p>
    <w:p w14:paraId="1B9ADFA3">
      <w:pPr>
        <w:spacing w:after="200" w:line="276" w:lineRule="auto"/>
      </w:pPr>
      <w:r>
        <w:rPr>
          <w:rFonts w:ascii="Arial" w:hAnsi="Arial" w:eastAsia="Arial" w:cs="Arial"/>
          <w:sz w:val="22"/>
          <w:szCs w:val="22"/>
        </w:rPr>
        <w:t>The diagram is schematic. Real charts are less symmetrical, but the nesting principle remains: long-term pivots contain intermediate-term pivots, which contain short-term pivots.</w:t>
      </w:r>
    </w:p>
    <w:p w14:paraId="33F03C76">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The STH/STL → ITH/ITL → LTH/LTL hierarchy appears in ICT mentorship material and has been widely documented in community educational resources that reference those lectures. Exact three-candle definitions of short-term pivots are standard price-action practice refined by ICT’s emphasis on hierarchical importance.</w:t>
      </w:r>
    </w:p>
    <w:p w14:paraId="2003B823">
      <w:pPr>
        <w:pStyle w:val="2"/>
        <w:spacing w:before="360" w:after="240"/>
      </w:pPr>
      <w:r>
        <w:rPr>
          <w:rFonts w:ascii="Arial" w:hAnsi="Arial" w:eastAsia="Arial" w:cs="Arial"/>
          <w:b/>
          <w:bCs/>
          <w:sz w:val="32"/>
          <w:szCs w:val="32"/>
        </w:rPr>
        <w:t>5. Expansion and Contraction</w:t>
      </w:r>
    </w:p>
    <w:p w14:paraId="587149FB">
      <w:pPr>
        <w:pStyle w:val="3"/>
        <w:spacing w:before="280" w:after="180"/>
      </w:pPr>
      <w:r>
        <w:rPr>
          <w:rFonts w:ascii="Arial" w:hAnsi="Arial" w:eastAsia="Arial" w:cs="Arial"/>
          <w:b/>
          <w:bCs/>
          <w:sz w:val="26"/>
          <w:szCs w:val="26"/>
        </w:rPr>
        <w:t>5.1 Definitions</w:t>
      </w:r>
    </w:p>
    <w:p w14:paraId="6D2B00D2">
      <w:pPr>
        <w:spacing w:after="200" w:line="276" w:lineRule="auto"/>
      </w:pPr>
      <w:r>
        <w:rPr>
          <w:rFonts w:ascii="Arial" w:hAnsi="Arial" w:eastAsia="Arial" w:cs="Arial"/>
          <w:sz w:val="22"/>
          <w:szCs w:val="22"/>
        </w:rPr>
        <w:t>Expansion is the phase in which price moves forcefully away from a level of equilibrium or from a consolidation, creating large-range candles, displacement, and often Fair Value Gaps. Expansion reveals the market’s willingness to reprice.</w:t>
      </w:r>
    </w:p>
    <w:p w14:paraId="46F7B7A6">
      <w:pPr>
        <w:spacing w:after="200" w:line="276" w:lineRule="auto"/>
      </w:pPr>
      <w:r>
        <w:rPr>
          <w:rFonts w:ascii="Arial" w:hAnsi="Arial" w:eastAsia="Arial" w:cs="Arial"/>
          <w:sz w:val="22"/>
          <w:szCs w:val="22"/>
        </w:rPr>
        <w:t>Contraction is the phase in which price compresses, range contracts, volatility declines, and the market builds or rebalances inside a tighter container. Contraction often precedes the next expansion.</w:t>
      </w:r>
    </w:p>
    <w:p w14:paraId="1D66DAE9">
      <w:pPr>
        <w:pStyle w:val="3"/>
        <w:spacing w:before="280" w:after="180"/>
      </w:pPr>
      <w:r>
        <w:rPr>
          <w:rFonts w:ascii="Arial" w:hAnsi="Arial" w:eastAsia="Arial" w:cs="Arial"/>
          <w:b/>
          <w:bCs/>
          <w:sz w:val="26"/>
          <w:szCs w:val="26"/>
        </w:rPr>
        <w:t>5.2 Relationship to Structure</w:t>
      </w:r>
    </w:p>
    <w:p w14:paraId="244C5B52">
      <w:pPr>
        <w:spacing w:after="200" w:line="276" w:lineRule="auto"/>
      </w:pPr>
      <w:r>
        <w:rPr>
          <w:rFonts w:ascii="Arial" w:hAnsi="Arial" w:eastAsia="Arial" w:cs="Arial"/>
          <w:sz w:val="22"/>
          <w:szCs w:val="22"/>
        </w:rPr>
        <w:t>During expansion the market is typically creating or confirming external structure. During contraction the market is more often operating inside internal structure and addressing internal-range liquidity.</w:t>
      </w:r>
    </w:p>
    <w:p w14:paraId="09FBFB46">
      <w:pPr>
        <w:pStyle w:val="3"/>
        <w:spacing w:before="280" w:after="180"/>
      </w:pPr>
      <w:r>
        <w:rPr>
          <w:rFonts w:ascii="Arial" w:hAnsi="Arial" w:eastAsia="Arial" w:cs="Arial"/>
          <w:b/>
          <w:bCs/>
          <w:sz w:val="26"/>
          <w:szCs w:val="26"/>
        </w:rPr>
        <w:t>5.3 Practical Reading</w:t>
      </w:r>
    </w:p>
    <w:p w14:paraId="5831F885">
      <w:pPr>
        <w:spacing w:after="200" w:line="276" w:lineRule="auto"/>
      </w:pPr>
      <w:r>
        <w:rPr>
          <w:rFonts w:ascii="Arial" w:hAnsi="Arial" w:eastAsia="Arial" w:cs="Arial"/>
          <w:sz w:val="22"/>
          <w:szCs w:val="22"/>
        </w:rPr>
        <w:t>A trader who enters during deep contraction without evidence of expansion beginning is frequently caught in chop. A trader who recognises the first displacement candles of a new expansion can align with the developing structural direction.</w:t>
      </w:r>
    </w:p>
    <w:p w14:paraId="08E3442F">
      <w:pPr>
        <w:pStyle w:val="2"/>
        <w:spacing w:before="360" w:after="240"/>
      </w:pPr>
      <w:r>
        <w:rPr>
          <w:rFonts w:ascii="Arial" w:hAnsi="Arial" w:eastAsia="Arial" w:cs="Arial"/>
          <w:b/>
          <w:bCs/>
          <w:sz w:val="32"/>
          <w:szCs w:val="32"/>
        </w:rPr>
        <w:t>6. Structural Continuation vs Structural Failure</w:t>
      </w:r>
    </w:p>
    <w:p w14:paraId="63A613A5">
      <w:pPr>
        <w:pStyle w:val="3"/>
        <w:spacing w:before="280" w:after="180"/>
      </w:pPr>
      <w:r>
        <w:rPr>
          <w:rFonts w:ascii="Arial" w:hAnsi="Arial" w:eastAsia="Arial" w:cs="Arial"/>
          <w:b/>
          <w:bCs/>
          <w:sz w:val="26"/>
          <w:szCs w:val="26"/>
        </w:rPr>
        <w:t>6.1 Continuation</w:t>
      </w:r>
    </w:p>
    <w:p w14:paraId="060A3428">
      <w:pPr>
        <w:spacing w:after="200" w:line="276" w:lineRule="auto"/>
      </w:pPr>
      <w:r>
        <w:rPr>
          <w:rFonts w:ascii="Arial" w:hAnsi="Arial" w:eastAsia="Arial" w:cs="Arial"/>
          <w:sz w:val="22"/>
          <w:szCs w:val="22"/>
        </w:rPr>
        <w:t>Structural continuation occurs when price respects the existing sequence of highs and lows. In a bullish sequence, higher highs and higher lows continue to print; pullbacks hold above prior structural lows; displacements expand in the direction of the trend.</w:t>
      </w:r>
    </w:p>
    <w:p w14:paraId="72E9935E">
      <w:pPr>
        <w:pStyle w:val="3"/>
        <w:spacing w:before="280" w:after="180"/>
      </w:pPr>
      <w:r>
        <w:rPr>
          <w:rFonts w:ascii="Arial" w:hAnsi="Arial" w:eastAsia="Arial" w:cs="Arial"/>
          <w:b/>
          <w:bCs/>
          <w:sz w:val="26"/>
          <w:szCs w:val="26"/>
        </w:rPr>
        <w:t>6.2 Failure</w:t>
      </w:r>
    </w:p>
    <w:p w14:paraId="6FCF0C19">
      <w:pPr>
        <w:spacing w:after="200" w:line="276" w:lineRule="auto"/>
      </w:pPr>
      <w:r>
        <w:rPr>
          <w:rFonts w:ascii="Arial" w:hAnsi="Arial" w:eastAsia="Arial" w:cs="Arial"/>
          <w:sz w:val="22"/>
          <w:szCs w:val="22"/>
        </w:rPr>
        <w:t>Structural failure occurs when a key structural point is violated in a manner that invalidates the prior sequence. Classic examples include: a bullish sequence that breaks a significant higher low with displacement and closes below it; or a bearish sequence that breaks a significant lower high with displacement. The failure of intermediate-term or long-term structure carries more weight than the failure of short-term structure.</w:t>
      </w:r>
    </w:p>
    <w:p w14:paraId="5D607D9F">
      <w:pPr>
        <w:pStyle w:val="3"/>
        <w:spacing w:before="280" w:after="180"/>
      </w:pPr>
      <w:r>
        <w:rPr>
          <w:rFonts w:ascii="Arial" w:hAnsi="Arial" w:eastAsia="Arial" w:cs="Arial"/>
          <w:b/>
          <w:bCs/>
          <w:sz w:val="26"/>
          <w:szCs w:val="26"/>
        </w:rPr>
        <w:t>6.3 Intermediate Caution</w:t>
      </w:r>
    </w:p>
    <w:p w14:paraId="3D6F240E">
      <w:pPr>
        <w:spacing w:after="200" w:line="276" w:lineRule="auto"/>
      </w:pPr>
      <w:r>
        <w:rPr>
          <w:rFonts w:ascii="Arial" w:hAnsi="Arial" w:eastAsia="Arial" w:cs="Arial"/>
          <w:sz w:val="22"/>
          <w:szCs w:val="22"/>
        </w:rPr>
        <w:t>Not every internal swing failure is a structural failure of the larger narrative. The intermediate student learns to grade the significance of the broken pivot before changing bias.</w:t>
      </w:r>
    </w:p>
    <w:p w14:paraId="60204137">
      <w:pPr>
        <w:pStyle w:val="2"/>
        <w:spacing w:before="360" w:after="240"/>
      </w:pPr>
      <w:r>
        <w:rPr>
          <w:rFonts w:ascii="Arial" w:hAnsi="Arial" w:eastAsia="Arial" w:cs="Arial"/>
          <w:b/>
          <w:bCs/>
          <w:sz w:val="32"/>
          <w:szCs w:val="32"/>
        </w:rPr>
        <w:t>7. Internal-Range Liquidity vs External-Range Liquidity</w:t>
      </w:r>
    </w:p>
    <w:p w14:paraId="25E71575">
      <w:pPr>
        <w:pStyle w:val="3"/>
        <w:spacing w:before="280" w:after="180"/>
      </w:pPr>
      <w:r>
        <w:rPr>
          <w:rFonts w:ascii="Arial" w:hAnsi="Arial" w:eastAsia="Arial" w:cs="Arial"/>
          <w:b/>
          <w:bCs/>
          <w:sz w:val="26"/>
          <w:szCs w:val="26"/>
        </w:rPr>
        <w:t>7.1 Definitions (Recap and Expansion)</w:t>
      </w:r>
    </w:p>
    <w:p w14:paraId="0740EC38">
      <w:pPr>
        <w:spacing w:after="200" w:line="276" w:lineRule="auto"/>
      </w:pPr>
      <w:r>
        <w:rPr>
          <w:rFonts w:ascii="Arial" w:hAnsi="Arial" w:eastAsia="Arial" w:cs="Arial"/>
          <w:sz w:val="22"/>
          <w:szCs w:val="22"/>
        </w:rPr>
        <w:t>Internal-range liquidity (IRL) resides inside the current dealing range. Common forms include: short-term and intermediate-term swing highs/lows inside the range, equal highs/lows inside the range, Fair Value Gaps, and Order Blocks that have not yet been mitigated.</w:t>
      </w:r>
    </w:p>
    <w:p w14:paraId="52E8B693">
      <w:pPr>
        <w:spacing w:after="200" w:line="276" w:lineRule="auto"/>
      </w:pPr>
      <w:r>
        <w:rPr>
          <w:rFonts w:ascii="Arial" w:hAnsi="Arial" w:eastAsia="Arial" w:cs="Arial"/>
          <w:sz w:val="22"/>
          <w:szCs w:val="22"/>
        </w:rPr>
        <w:t>External-range liquidity (ERL) resides beyond the dealing-range boundaries — above the range high (buy-side) or below the range low (sell-side). These are typically the more significant pools that attract larger order-flow interest.</w:t>
      </w:r>
    </w:p>
    <w:p w14:paraId="2802F13A">
      <w:pPr>
        <w:pStyle w:val="3"/>
        <w:spacing w:before="280" w:after="180"/>
      </w:pPr>
      <w:r>
        <w:rPr>
          <w:rFonts w:ascii="Arial" w:hAnsi="Arial" w:eastAsia="Arial" w:cs="Arial"/>
          <w:b/>
          <w:bCs/>
          <w:sz w:val="26"/>
          <w:szCs w:val="26"/>
        </w:rPr>
        <w:t>7.2 Sequential Behaviour</w:t>
      </w:r>
    </w:p>
    <w:p w14:paraId="56AFDC5F">
      <w:pPr>
        <w:spacing w:after="200" w:line="276" w:lineRule="auto"/>
      </w:pPr>
      <w:r>
        <w:rPr>
          <w:rFonts w:ascii="Arial" w:hAnsi="Arial" w:eastAsia="Arial" w:cs="Arial"/>
          <w:sz w:val="22"/>
          <w:szCs w:val="22"/>
        </w:rPr>
        <w:t>ICT examples frequently show price moving from external liquidity to internal liquidity (or the reverse) as part of a complete delivery cycle. After external liquidity is taken, the market often returns to rebalance or mitigate internal inefficiencies before expanding toward the opposite external target.</w:t>
      </w:r>
    </w:p>
    <w:p w14:paraId="54FB3DF3">
      <w:pPr>
        <w:pStyle w:val="3"/>
        <w:spacing w:before="280" w:after="180"/>
      </w:pPr>
      <w:r>
        <w:rPr>
          <w:rFonts w:ascii="Arial" w:hAnsi="Arial" w:eastAsia="Arial" w:cs="Arial"/>
          <w:b/>
          <w:bCs/>
          <w:sz w:val="26"/>
          <w:szCs w:val="26"/>
        </w:rPr>
        <w:t>7.3 Practical Application</w:t>
      </w:r>
    </w:p>
    <w:p w14:paraId="4DF3A14B">
      <w:pPr>
        <w:spacing w:after="200" w:line="276" w:lineRule="auto"/>
      </w:pPr>
      <w:r>
        <w:rPr>
          <w:rFonts w:ascii="Arial" w:hAnsi="Arial" w:eastAsia="Arial" w:cs="Arial"/>
          <w:sz w:val="22"/>
          <w:szCs w:val="22"/>
        </w:rPr>
        <w:t>When mapping a trade, the intermediate student identifies both:</w:t>
      </w:r>
    </w:p>
    <w:p w14:paraId="494DB4A8">
      <w:pPr>
        <w:pStyle w:val="16"/>
        <w:numPr>
          <w:ilvl w:val="0"/>
          <w:numId w:val="1"/>
        </w:numPr>
        <w:spacing w:after="120" w:line="276" w:lineRule="auto"/>
      </w:pPr>
      <w:r>
        <w:rPr>
          <w:rFonts w:ascii="Arial" w:hAnsi="Arial" w:eastAsia="Arial" w:cs="Arial"/>
          <w:sz w:val="22"/>
          <w:szCs w:val="22"/>
        </w:rPr>
        <w:t>An internal-range objective (often used for partial profits or as a first target), and</w:t>
      </w:r>
    </w:p>
    <w:p w14:paraId="372E23FC">
      <w:pPr>
        <w:pStyle w:val="16"/>
        <w:numPr>
          <w:ilvl w:val="0"/>
          <w:numId w:val="1"/>
        </w:numPr>
        <w:spacing w:after="120" w:line="276" w:lineRule="auto"/>
      </w:pPr>
      <w:r>
        <w:rPr>
          <w:rFonts w:ascii="Arial" w:hAnsi="Arial" w:eastAsia="Arial" w:cs="Arial"/>
          <w:sz w:val="22"/>
          <w:szCs w:val="22"/>
        </w:rPr>
        <w:t>An external-range objective (the fuller thesis target).</w:t>
      </w:r>
    </w:p>
    <w:p w14:paraId="76965F5D">
      <w:pPr>
        <w:spacing w:after="200" w:line="276" w:lineRule="auto"/>
      </w:pPr>
      <w:r>
        <w:rPr>
          <w:rFonts w:ascii="Arial" w:hAnsi="Arial" w:eastAsia="Arial" w:cs="Arial"/>
          <w:sz w:val="22"/>
          <w:szCs w:val="22"/>
        </w:rPr>
        <w:t>This dual-target approach keeps the trader aligned with the fractal nature of liquidity delivery.</w:t>
      </w:r>
    </w:p>
    <w:p w14:paraId="291F8559">
      <w:pPr>
        <w:pStyle w:val="2"/>
        <w:spacing w:before="360" w:after="240"/>
      </w:pPr>
      <w:r>
        <w:rPr>
          <w:rFonts w:ascii="Arial" w:hAnsi="Arial" w:eastAsia="Arial" w:cs="Arial"/>
          <w:b/>
          <w:bCs/>
          <w:sz w:val="32"/>
          <w:szCs w:val="32"/>
        </w:rPr>
        <w:t>8. Structure Across Multiple Timeframes</w:t>
      </w:r>
    </w:p>
    <w:p w14:paraId="6A3FC5BA">
      <w:pPr>
        <w:pStyle w:val="3"/>
        <w:spacing w:before="280" w:after="180"/>
      </w:pPr>
      <w:r>
        <w:rPr>
          <w:rFonts w:ascii="Arial" w:hAnsi="Arial" w:eastAsia="Arial" w:cs="Arial"/>
          <w:b/>
          <w:bCs/>
          <w:sz w:val="26"/>
          <w:szCs w:val="26"/>
        </w:rPr>
        <w:t>8.1 Fractal Nature</w:t>
      </w:r>
    </w:p>
    <w:p w14:paraId="13D4CC6D">
      <w:pPr>
        <w:spacing w:after="200" w:line="276" w:lineRule="auto"/>
      </w:pPr>
      <w:r>
        <w:rPr>
          <w:rFonts w:ascii="Arial" w:hAnsi="Arial" w:eastAsia="Arial" w:cs="Arial"/>
          <w:sz w:val="22"/>
          <w:szCs w:val="22"/>
        </w:rPr>
        <w:t>Market structure is fractal: the same principles of short-term, intermediate-term and long-term pivots, internal versus external structure, and dealing ranges appear on every timeframe. What is external structure on a 15-minute chart is frequently internal structure on a 4-hour chart.</w:t>
      </w:r>
    </w:p>
    <w:p w14:paraId="12342431">
      <w:pPr>
        <w:pStyle w:val="3"/>
        <w:spacing w:before="280" w:after="180"/>
      </w:pPr>
      <w:r>
        <w:rPr>
          <w:rFonts w:ascii="Arial" w:hAnsi="Arial" w:eastAsia="Arial" w:cs="Arial"/>
          <w:b/>
          <w:bCs/>
          <w:sz w:val="26"/>
          <w:szCs w:val="26"/>
        </w:rPr>
        <w:t>8.2 Top-Down Discipline</w:t>
      </w:r>
    </w:p>
    <w:p w14:paraId="73F4E9B4">
      <w:pPr>
        <w:spacing w:after="200" w:line="276" w:lineRule="auto"/>
      </w:pPr>
      <w:r>
        <w:rPr>
          <w:rFonts w:ascii="Arial" w:hAnsi="Arial" w:eastAsia="Arial" w:cs="Arial"/>
          <w:sz w:val="22"/>
          <w:szCs w:val="22"/>
        </w:rPr>
        <w:t>The intermediate workflow is:</w:t>
      </w:r>
    </w:p>
    <w:p w14:paraId="03F672C2">
      <w:pPr>
        <w:pStyle w:val="16"/>
        <w:numPr>
          <w:ilvl w:val="0"/>
          <w:numId w:val="5"/>
        </w:numPr>
        <w:spacing w:after="120" w:line="276" w:lineRule="auto"/>
      </w:pPr>
      <w:r>
        <w:rPr>
          <w:rFonts w:ascii="Arial" w:hAnsi="Arial" w:eastAsia="Arial" w:cs="Arial"/>
          <w:sz w:val="22"/>
          <w:szCs w:val="22"/>
        </w:rPr>
        <w:t>Higher timeframe (daily / 4-hour): establish the large dealing range, the dominant external structure, and the primary liquidity draw.</w:t>
      </w:r>
    </w:p>
    <w:p w14:paraId="37CEF3A6">
      <w:pPr>
        <w:pStyle w:val="16"/>
        <w:numPr>
          <w:ilvl w:val="0"/>
          <w:numId w:val="5"/>
        </w:numPr>
        <w:spacing w:after="120" w:line="276" w:lineRule="auto"/>
      </w:pPr>
      <w:r>
        <w:rPr>
          <w:rFonts w:ascii="Arial" w:hAnsi="Arial" w:eastAsia="Arial" w:cs="Arial"/>
          <w:sz w:val="22"/>
          <w:szCs w:val="22"/>
        </w:rPr>
        <w:t>Intermediate timeframe (1-hour / 15-minute): refine the active dealing range, locate internal structure and the relevant PD arrays.</w:t>
      </w:r>
    </w:p>
    <w:p w14:paraId="7C106880">
      <w:pPr>
        <w:pStyle w:val="16"/>
        <w:numPr>
          <w:ilvl w:val="0"/>
          <w:numId w:val="5"/>
        </w:numPr>
        <w:spacing w:after="120" w:line="276" w:lineRule="auto"/>
      </w:pPr>
      <w:r>
        <w:rPr>
          <w:rFonts w:ascii="Arial" w:hAnsi="Arial" w:eastAsia="Arial" w:cs="Arial"/>
          <w:sz w:val="22"/>
          <w:szCs w:val="22"/>
        </w:rPr>
        <w:t>Lower timeframe (5-minute / 1-minute): time the entry after a lower-timeframe Market Structure Shift inside the higher-timeframe narrative.</w:t>
      </w:r>
    </w:p>
    <w:p w14:paraId="1BEB88D4">
      <w:pPr>
        <w:pStyle w:val="3"/>
        <w:spacing w:before="280" w:after="180"/>
      </w:pPr>
      <w:r>
        <w:rPr>
          <w:rFonts w:ascii="Arial" w:hAnsi="Arial" w:eastAsia="Arial" w:cs="Arial"/>
          <w:b/>
          <w:bCs/>
          <w:sz w:val="26"/>
          <w:szCs w:val="26"/>
        </w:rPr>
        <w:t>8.3 Conflict Resolution</w:t>
      </w:r>
    </w:p>
    <w:p w14:paraId="292E6779">
      <w:pPr>
        <w:spacing w:after="200" w:line="276" w:lineRule="auto"/>
      </w:pPr>
      <w:r>
        <w:rPr>
          <w:rFonts w:ascii="Arial" w:hAnsi="Arial" w:eastAsia="Arial" w:cs="Arial"/>
          <w:sz w:val="22"/>
          <w:szCs w:val="22"/>
        </w:rPr>
        <w:t>When timeframes conflict (for example, bullish internal structure on the 15-minute while the daily external structure remains bearish), the higher-timeframe narrative is given priority for bias. Lower-timeframe structure is used for timing, not for overriding the larger story.</w:t>
      </w:r>
    </w:p>
    <w:p w14:paraId="57203C83">
      <w:pPr>
        <w:pStyle w:val="2"/>
        <w:spacing w:before="360" w:after="240"/>
      </w:pPr>
      <w:r>
        <w:rPr>
          <w:rFonts w:ascii="Arial" w:hAnsi="Arial" w:eastAsia="Arial" w:cs="Arial"/>
          <w:b/>
          <w:bCs/>
          <w:sz w:val="32"/>
          <w:szCs w:val="32"/>
        </w:rPr>
        <w:t>Worked Example — Reading Hierarchical Structure</w:t>
      </w:r>
    </w:p>
    <w:p w14:paraId="6CA36D2D">
      <w:pPr>
        <w:spacing w:after="200" w:line="276" w:lineRule="auto"/>
      </w:pPr>
      <w:r>
        <w:rPr>
          <w:rFonts w:ascii="Arial" w:hAnsi="Arial" w:eastAsia="Arial" w:cs="Arial"/>
          <w:sz w:val="22"/>
          <w:szCs w:val="22"/>
        </w:rPr>
        <w:t>Context: EUR/USD, multi-day period.</w:t>
      </w:r>
    </w:p>
    <w:p w14:paraId="3F57488B">
      <w:pPr>
        <w:spacing w:after="200" w:line="276" w:lineRule="auto"/>
      </w:pPr>
      <w:r>
        <w:rPr>
          <w:rFonts w:ascii="Arial" w:hAnsi="Arial" w:eastAsia="Arial" w:cs="Arial"/>
          <w:sz w:val="22"/>
          <w:szCs w:val="22"/>
        </w:rPr>
        <w:t>On the daily chart a long-term low (LTL) formed near 1.0600 after a liquidity sweep, followed by a series of higher intermediate-term lows. The daily dealing range is currently 1.0600–1.0950.</w:t>
      </w:r>
    </w:p>
    <w:p w14:paraId="10E8D476">
      <w:pPr>
        <w:spacing w:after="200" w:line="276" w:lineRule="auto"/>
      </w:pPr>
      <w:r>
        <w:rPr>
          <w:rFonts w:ascii="Arial" w:hAnsi="Arial" w:eastAsia="Arial" w:cs="Arial"/>
          <w:sz w:val="22"/>
          <w:szCs w:val="22"/>
        </w:rPr>
        <w:t>On the 4-hour chart the most recent external high sits at 1.0920 and the external low at 1.0750. Inside this 4-hour dealing range, price has printed several short-term and intermediate-term swings. A recent intermediate-term low at 1.0780 was held, and price is expanding higher.</w:t>
      </w:r>
    </w:p>
    <w:p w14:paraId="7FA9637E">
      <w:pPr>
        <w:spacing w:after="200" w:line="276" w:lineRule="auto"/>
      </w:pPr>
      <w:r>
        <w:rPr>
          <w:rFonts w:ascii="Arial" w:hAnsi="Arial" w:eastAsia="Arial" w:cs="Arial"/>
          <w:sz w:val="22"/>
          <w:szCs w:val="22"/>
        </w:rPr>
        <w:t>On the 15-minute chart a short-term Market Structure Shift occurs after a small sell-side liquidity sweep. This LTF shift is used for entry timing, but it does not redefine the 4-hour or daily structure.</w:t>
      </w:r>
    </w:p>
    <w:p w14:paraId="345A2688">
      <w:pPr>
        <w:spacing w:after="200" w:line="276" w:lineRule="auto"/>
      </w:pPr>
      <w:r>
        <w:rPr>
          <w:rFonts w:ascii="Arial" w:hAnsi="Arial" w:eastAsia="Arial" w:cs="Arial"/>
          <w:sz w:val="22"/>
          <w:szCs w:val="22"/>
        </w:rPr>
        <w:t>Interpretation: The higher-timeframe structure remains bullish. The 4-hour dealing range is still intact. The 15-minute shift is an internal event that can be used for a long entry aiming first at internal-range liquidity (perhaps a 4-hour FVG) and ultimately at external-range liquidity above 1.0920.</w:t>
      </w:r>
    </w:p>
    <w:p w14:paraId="2086B62A">
      <w:pPr>
        <w:pStyle w:val="2"/>
        <w:spacing w:before="360" w:after="240"/>
      </w:pPr>
      <w:r>
        <w:rPr>
          <w:rFonts w:ascii="Arial" w:hAnsi="Arial" w:eastAsia="Arial" w:cs="Arial"/>
          <w:b/>
          <w:bCs/>
          <w:sz w:val="32"/>
          <w:szCs w:val="32"/>
        </w:rPr>
        <w:t>Visual Reference — Internal vs External Inside a Dealing Range</w:t>
      </w:r>
    </w:p>
    <w:p w14:paraId="66337B18">
      <w:pPr>
        <w:spacing w:after="0" w:line="240" w:lineRule="auto"/>
      </w:pPr>
      <w:r>
        <w:rPr>
          <w:rFonts w:ascii="Courier New" w:hAnsi="Courier New" w:eastAsia="Courier New" w:cs="Courier New"/>
          <w:sz w:val="18"/>
          <w:szCs w:val="18"/>
        </w:rPr>
        <w:t xml:space="preserve">          ERL (BSL above range high)</w:t>
      </w:r>
    </w:p>
    <w:p w14:paraId="12B8B07C">
      <w:pPr>
        <w:spacing w:after="0" w:line="240" w:lineRule="auto"/>
      </w:pPr>
      <w:r>
        <w:rPr>
          <w:rFonts w:ascii="Courier New" w:hAnsi="Courier New" w:eastAsia="Courier New" w:cs="Courier New"/>
          <w:sz w:val="18"/>
          <w:szCs w:val="18"/>
        </w:rPr>
        <w:t xml:space="preserve">    ─────────────────────────────────</w:t>
      </w:r>
    </w:p>
    <w:p w14:paraId="53F2D585">
      <w:pPr>
        <w:spacing w:after="0" w:line="240" w:lineRule="auto"/>
      </w:pPr>
      <w:r>
        <w:rPr>
          <w:rFonts w:ascii="Courier New" w:hAnsi="Courier New" w:eastAsia="Courier New" w:cs="Courier New"/>
          <w:sz w:val="18"/>
          <w:szCs w:val="18"/>
        </w:rPr>
        <w:t xml:space="preserve">    |  Range High (external pivot)  |</w:t>
      </w:r>
    </w:p>
    <w:p w14:paraId="74ABF8E2">
      <w:pPr>
        <w:spacing w:after="0" w:line="240" w:lineRule="auto"/>
      </w:pPr>
      <w:r>
        <w:rPr>
          <w:rFonts w:ascii="Courier New" w:hAnsi="Courier New" w:eastAsia="Courier New" w:cs="Courier New"/>
          <w:sz w:val="18"/>
          <w:szCs w:val="18"/>
        </w:rPr>
        <w:t xml:space="preserve">    |                               |</w:t>
      </w:r>
    </w:p>
    <w:p w14:paraId="5E402716">
      <w:pPr>
        <w:spacing w:after="0" w:line="240" w:lineRule="auto"/>
      </w:pPr>
      <w:r>
        <w:rPr>
          <w:rFonts w:ascii="Courier New" w:hAnsi="Courier New" w:eastAsia="Courier New" w:cs="Courier New"/>
          <w:sz w:val="18"/>
          <w:szCs w:val="18"/>
        </w:rPr>
        <w:t xml:space="preserve">    |   internal swings / IRL       |</w:t>
      </w:r>
    </w:p>
    <w:p w14:paraId="1D078BAE">
      <w:pPr>
        <w:spacing w:after="0" w:line="240" w:lineRule="auto"/>
      </w:pPr>
      <w:r>
        <w:rPr>
          <w:rFonts w:ascii="Courier New" w:hAnsi="Courier New" w:eastAsia="Courier New" w:cs="Courier New"/>
          <w:sz w:val="18"/>
          <w:szCs w:val="18"/>
        </w:rPr>
        <w:t xml:space="preserve">    |   (FVGs, OBs, ST/IT pivots)   |</w:t>
      </w:r>
    </w:p>
    <w:p w14:paraId="30EE80C5">
      <w:pPr>
        <w:spacing w:after="0" w:line="240" w:lineRule="auto"/>
      </w:pPr>
      <w:r>
        <w:rPr>
          <w:rFonts w:ascii="Courier New" w:hAnsi="Courier New" w:eastAsia="Courier New" w:cs="Courier New"/>
          <w:sz w:val="18"/>
          <w:szCs w:val="18"/>
        </w:rPr>
        <w:t xml:space="preserve">    |                               |</w:t>
      </w:r>
    </w:p>
    <w:p w14:paraId="379B4635">
      <w:pPr>
        <w:spacing w:after="0" w:line="240" w:lineRule="auto"/>
      </w:pPr>
      <w:r>
        <w:rPr>
          <w:rFonts w:ascii="Courier New" w:hAnsi="Courier New" w:eastAsia="Courier New" w:cs="Courier New"/>
          <w:sz w:val="18"/>
          <w:szCs w:val="18"/>
        </w:rPr>
        <w:t xml:space="preserve">    |──────── Equilibrium (50 %) ───|</w:t>
      </w:r>
    </w:p>
    <w:p w14:paraId="612D7655">
      <w:pPr>
        <w:spacing w:after="0" w:line="240" w:lineRule="auto"/>
      </w:pPr>
      <w:r>
        <w:rPr>
          <w:rFonts w:ascii="Courier New" w:hAnsi="Courier New" w:eastAsia="Courier New" w:cs="Courier New"/>
          <w:sz w:val="18"/>
          <w:szCs w:val="18"/>
        </w:rPr>
        <w:t xml:space="preserve">    |                               |</w:t>
      </w:r>
    </w:p>
    <w:p w14:paraId="15396613">
      <w:pPr>
        <w:spacing w:after="0" w:line="240" w:lineRule="auto"/>
      </w:pPr>
      <w:r>
        <w:rPr>
          <w:rFonts w:ascii="Courier New" w:hAnsi="Courier New" w:eastAsia="Courier New" w:cs="Courier New"/>
          <w:sz w:val="18"/>
          <w:szCs w:val="18"/>
        </w:rPr>
        <w:t xml:space="preserve">    |   internal swings / IRL       |</w:t>
      </w:r>
    </w:p>
    <w:p w14:paraId="2FD12F77">
      <w:pPr>
        <w:spacing w:after="0" w:line="240" w:lineRule="auto"/>
      </w:pPr>
      <w:r>
        <w:rPr>
          <w:rFonts w:ascii="Courier New" w:hAnsi="Courier New" w:eastAsia="Courier New" w:cs="Courier New"/>
          <w:sz w:val="18"/>
          <w:szCs w:val="18"/>
        </w:rPr>
        <w:t xml:space="preserve">    |                               |</w:t>
      </w:r>
    </w:p>
    <w:p w14:paraId="0E27AA76">
      <w:pPr>
        <w:spacing w:after="0" w:line="240" w:lineRule="auto"/>
      </w:pPr>
      <w:r>
        <w:rPr>
          <w:rFonts w:ascii="Courier New" w:hAnsi="Courier New" w:eastAsia="Courier New" w:cs="Courier New"/>
          <w:sz w:val="18"/>
          <w:szCs w:val="18"/>
        </w:rPr>
        <w:t xml:space="preserve">    |  Range Low (external pivot)   |</w:t>
      </w:r>
    </w:p>
    <w:p w14:paraId="5810E251">
      <w:pPr>
        <w:spacing w:after="0" w:line="240" w:lineRule="auto"/>
      </w:pPr>
      <w:r>
        <w:rPr>
          <w:rFonts w:ascii="Courier New" w:hAnsi="Courier New" w:eastAsia="Courier New" w:cs="Courier New"/>
          <w:sz w:val="18"/>
          <w:szCs w:val="18"/>
        </w:rPr>
        <w:t xml:space="preserve">    ─────────────────────────────────</w:t>
      </w:r>
    </w:p>
    <w:p w14:paraId="2CDEFF97">
      <w:pPr>
        <w:spacing w:after="0" w:line="240" w:lineRule="auto"/>
      </w:pPr>
      <w:r>
        <w:rPr>
          <w:rFonts w:ascii="Courier New" w:hAnsi="Courier New" w:eastAsia="Courier New" w:cs="Courier New"/>
          <w:sz w:val="18"/>
          <w:szCs w:val="18"/>
        </w:rPr>
        <w:t xml:space="preserve">          ERL (SSL below range low)</w:t>
      </w:r>
    </w:p>
    <w:p w14:paraId="45FBFF3A">
      <w:pPr>
        <w:spacing w:after="200" w:line="276" w:lineRule="auto"/>
      </w:pPr>
      <w:r>
        <w:rPr>
          <w:rFonts w:ascii="Arial" w:hAnsi="Arial" w:eastAsia="Arial" w:cs="Arial"/>
          <w:sz w:val="22"/>
          <w:szCs w:val="22"/>
        </w:rPr>
        <w:t>Price may expand to the upper ERL, return into the range to address IRL, then expand again toward the lower ERL (or the reverse). The dealing-range boundaries remain the primary external references until they are themselves broken and replaced.</w:t>
      </w:r>
    </w:p>
    <w:p w14:paraId="4444D65B">
      <w:pPr>
        <w:pStyle w:val="2"/>
        <w:spacing w:before="360" w:after="240"/>
      </w:pPr>
      <w:r>
        <w:rPr>
          <w:rFonts w:ascii="Arial" w:hAnsi="Arial" w:eastAsia="Arial" w:cs="Arial"/>
          <w:b/>
          <w:bCs/>
          <w:sz w:val="32"/>
          <w:szCs w:val="32"/>
        </w:rPr>
        <w:t>How These Concepts Connect</w:t>
      </w:r>
    </w:p>
    <w:p w14:paraId="7C2C26DA">
      <w:pPr>
        <w:spacing w:after="200" w:line="276" w:lineRule="auto"/>
      </w:pPr>
      <w:r>
        <w:rPr>
          <w:rFonts w:ascii="Arial" w:hAnsi="Arial" w:eastAsia="Arial" w:cs="Arial"/>
          <w:sz w:val="22"/>
          <w:szCs w:val="22"/>
        </w:rPr>
        <w:t>The hierarchy of swing points (ST / IT / LT) supplies the raw structural vocabulary. Internal versus external structure tells the trader which of those swings define the container and which are merely path. The dealing range formalises that container and supplies the premium/discount filter. Expansion and contraction describe the volatility regime inside the container. Internal-range versus external-range liquidity supplies the sequential targets. Multi-timeframe reading keeps every lower-timeframe decision subordinate to the higher-timeframe narrative.</w:t>
      </w:r>
    </w:p>
    <w:p w14:paraId="4EF2DD15">
      <w:pPr>
        <w:spacing w:after="200" w:line="276" w:lineRule="auto"/>
      </w:pPr>
      <w:r>
        <w:rPr>
          <w:rFonts w:ascii="Arial" w:hAnsi="Arial" w:eastAsia="Arial" w:cs="Arial"/>
          <w:sz w:val="22"/>
          <w:szCs w:val="22"/>
        </w:rPr>
        <w:t>Later modules will place liquidity engineering, displacement, PD arrays and session behaviour inside this structural framework. Without a clear structural map, those tools lack context.</w:t>
      </w:r>
    </w:p>
    <w:p w14:paraId="215DF3A9">
      <w:pPr>
        <w:pStyle w:val="2"/>
        <w:spacing w:before="360" w:after="240"/>
      </w:pPr>
      <w:r>
        <w:rPr>
          <w:rFonts w:ascii="Arial" w:hAnsi="Arial" w:eastAsia="Arial" w:cs="Arial"/>
          <w:b/>
          <w:bCs/>
          <w:sz w:val="32"/>
          <w:szCs w:val="32"/>
        </w:rPr>
        <w:t>What You Should Now Be Able to Do</w:t>
      </w:r>
    </w:p>
    <w:p w14:paraId="7E764A1D">
      <w:pPr>
        <w:pStyle w:val="16"/>
        <w:numPr>
          <w:ilvl w:val="0"/>
          <w:numId w:val="1"/>
        </w:numPr>
        <w:spacing w:after="120" w:line="276" w:lineRule="auto"/>
      </w:pPr>
      <w:r>
        <w:rPr>
          <w:rFonts w:ascii="Arial" w:hAnsi="Arial" w:eastAsia="Arial" w:cs="Arial"/>
          <w:sz w:val="22"/>
          <w:szCs w:val="22"/>
        </w:rPr>
        <w:t>Mark a dealing range on any timeframe and identify its equilibrium.</w:t>
      </w:r>
    </w:p>
    <w:p w14:paraId="237EAE30">
      <w:pPr>
        <w:pStyle w:val="16"/>
        <w:numPr>
          <w:ilvl w:val="0"/>
          <w:numId w:val="1"/>
        </w:numPr>
        <w:spacing w:after="120" w:line="276" w:lineRule="auto"/>
      </w:pPr>
      <w:r>
        <w:rPr>
          <w:rFonts w:ascii="Arial" w:hAnsi="Arial" w:eastAsia="Arial" w:cs="Arial"/>
          <w:sz w:val="22"/>
          <w:szCs w:val="22"/>
        </w:rPr>
        <w:t>Label short-term, intermediate-term and long-term highs and lows with reasonable consistency.</w:t>
      </w:r>
    </w:p>
    <w:p w14:paraId="71AFA70C">
      <w:pPr>
        <w:pStyle w:val="16"/>
        <w:numPr>
          <w:ilvl w:val="0"/>
          <w:numId w:val="1"/>
        </w:numPr>
        <w:spacing w:after="120" w:line="276" w:lineRule="auto"/>
      </w:pPr>
      <w:r>
        <w:rPr>
          <w:rFonts w:ascii="Arial" w:hAnsi="Arial" w:eastAsia="Arial" w:cs="Arial"/>
          <w:sz w:val="22"/>
          <w:szCs w:val="22"/>
        </w:rPr>
        <w:t>State whether a given swing break is internal or external relative to the active dealing range.</w:t>
      </w:r>
    </w:p>
    <w:p w14:paraId="7C6C592E">
      <w:pPr>
        <w:pStyle w:val="16"/>
        <w:numPr>
          <w:ilvl w:val="0"/>
          <w:numId w:val="1"/>
        </w:numPr>
        <w:spacing w:after="120" w:line="276" w:lineRule="auto"/>
      </w:pPr>
      <w:r>
        <w:rPr>
          <w:rFonts w:ascii="Arial" w:hAnsi="Arial" w:eastAsia="Arial" w:cs="Arial"/>
          <w:sz w:val="22"/>
          <w:szCs w:val="22"/>
        </w:rPr>
        <w:t>Distinguish expansion candles from contraction/consolidation behaviour.</w:t>
      </w:r>
    </w:p>
    <w:p w14:paraId="09440F48">
      <w:pPr>
        <w:pStyle w:val="16"/>
        <w:numPr>
          <w:ilvl w:val="0"/>
          <w:numId w:val="1"/>
        </w:numPr>
        <w:spacing w:after="120" w:line="276" w:lineRule="auto"/>
      </w:pPr>
      <w:r>
        <w:rPr>
          <w:rFonts w:ascii="Arial" w:hAnsi="Arial" w:eastAsia="Arial" w:cs="Arial"/>
          <w:sz w:val="22"/>
          <w:szCs w:val="22"/>
        </w:rPr>
        <w:t>Map at least one internal-range liquidity objective and one external-range liquidity objective for a developing move.</w:t>
      </w:r>
    </w:p>
    <w:p w14:paraId="505432AF">
      <w:pPr>
        <w:pStyle w:val="16"/>
        <w:numPr>
          <w:ilvl w:val="0"/>
          <w:numId w:val="1"/>
        </w:numPr>
        <w:spacing w:after="120" w:line="276" w:lineRule="auto"/>
      </w:pPr>
      <w:r>
        <w:rPr>
          <w:rFonts w:ascii="Arial" w:hAnsi="Arial" w:eastAsia="Arial" w:cs="Arial"/>
          <w:sz w:val="22"/>
          <w:szCs w:val="22"/>
        </w:rPr>
        <w:t>Explain why a lower-timeframe Market Structure Shift does not automatically change the higher-timeframe bias.</w:t>
      </w:r>
    </w:p>
    <w:p w14:paraId="4D2F4A7E">
      <w:pPr>
        <w:pStyle w:val="2"/>
        <w:spacing w:before="360" w:after="240"/>
      </w:pPr>
      <w:r>
        <w:rPr>
          <w:rFonts w:ascii="Arial" w:hAnsi="Arial" w:eastAsia="Arial" w:cs="Arial"/>
          <w:b/>
          <w:bCs/>
          <w:sz w:val="32"/>
          <w:szCs w:val="32"/>
        </w:rPr>
        <w:t>Module Review</w:t>
      </w:r>
    </w:p>
    <w:p w14:paraId="2D246AB4">
      <w:pPr>
        <w:pStyle w:val="3"/>
        <w:spacing w:before="280" w:after="180"/>
      </w:pPr>
      <w:r>
        <w:rPr>
          <w:rFonts w:ascii="Arial" w:hAnsi="Arial" w:eastAsia="Arial" w:cs="Arial"/>
          <w:b/>
          <w:bCs/>
          <w:sz w:val="26"/>
          <w:szCs w:val="26"/>
        </w:rPr>
        <w:t>Key Terms</w:t>
      </w:r>
    </w:p>
    <w:p w14:paraId="0EA742C2">
      <w:pPr>
        <w:pStyle w:val="16"/>
        <w:numPr>
          <w:ilvl w:val="0"/>
          <w:numId w:val="1"/>
        </w:numPr>
        <w:spacing w:after="120" w:line="276" w:lineRule="auto"/>
      </w:pPr>
      <w:r>
        <w:rPr>
          <w:rFonts w:ascii="Arial" w:hAnsi="Arial" w:eastAsia="Arial" w:cs="Arial"/>
          <w:sz w:val="22"/>
          <w:szCs w:val="22"/>
        </w:rPr>
        <w:t>Dealing range — price container defined by a significant swing high and swing low; 50 % = equilibrium.</w:t>
      </w:r>
    </w:p>
    <w:p w14:paraId="76622811">
      <w:pPr>
        <w:pStyle w:val="16"/>
        <w:numPr>
          <w:ilvl w:val="0"/>
          <w:numId w:val="1"/>
        </w:numPr>
        <w:spacing w:after="120" w:line="276" w:lineRule="auto"/>
      </w:pPr>
      <w:r>
        <w:rPr>
          <w:rFonts w:ascii="Arial" w:hAnsi="Arial" w:eastAsia="Arial" w:cs="Arial"/>
          <w:sz w:val="22"/>
          <w:szCs w:val="22"/>
        </w:rPr>
        <w:t>Internal structure — swings that form inside the dealing-range boundaries.</w:t>
      </w:r>
    </w:p>
    <w:p w14:paraId="4D56007E">
      <w:pPr>
        <w:pStyle w:val="16"/>
        <w:numPr>
          <w:ilvl w:val="0"/>
          <w:numId w:val="1"/>
        </w:numPr>
        <w:spacing w:after="120" w:line="276" w:lineRule="auto"/>
      </w:pPr>
      <w:r>
        <w:rPr>
          <w:rFonts w:ascii="Arial" w:hAnsi="Arial" w:eastAsia="Arial" w:cs="Arial"/>
          <w:sz w:val="22"/>
          <w:szCs w:val="22"/>
        </w:rPr>
        <w:t>External structure — the boundary pivots themselves and structure beyond them.</w:t>
      </w:r>
    </w:p>
    <w:p w14:paraId="6857289D">
      <w:pPr>
        <w:pStyle w:val="16"/>
        <w:numPr>
          <w:ilvl w:val="0"/>
          <w:numId w:val="1"/>
        </w:numPr>
        <w:spacing w:after="120" w:line="276" w:lineRule="auto"/>
      </w:pPr>
      <w:r>
        <w:rPr>
          <w:rFonts w:ascii="Arial" w:hAnsi="Arial" w:eastAsia="Arial" w:cs="Arial"/>
          <w:sz w:val="22"/>
          <w:szCs w:val="22"/>
        </w:rPr>
        <w:t>Internal-range liquidity (IRL) — liquidity residing inside the dealing range.</w:t>
      </w:r>
    </w:p>
    <w:p w14:paraId="285E285C">
      <w:pPr>
        <w:pStyle w:val="16"/>
        <w:numPr>
          <w:ilvl w:val="0"/>
          <w:numId w:val="1"/>
        </w:numPr>
        <w:spacing w:after="120" w:line="276" w:lineRule="auto"/>
      </w:pPr>
      <w:r>
        <w:rPr>
          <w:rFonts w:ascii="Arial" w:hAnsi="Arial" w:eastAsia="Arial" w:cs="Arial"/>
          <w:sz w:val="22"/>
          <w:szCs w:val="22"/>
        </w:rPr>
        <w:t>External-range liquidity (ERL) — liquidity residing beyond the dealing-range boundaries.</w:t>
      </w:r>
    </w:p>
    <w:p w14:paraId="224D6C7B">
      <w:pPr>
        <w:pStyle w:val="16"/>
        <w:numPr>
          <w:ilvl w:val="0"/>
          <w:numId w:val="1"/>
        </w:numPr>
        <w:spacing w:after="120" w:line="276" w:lineRule="auto"/>
      </w:pPr>
      <w:r>
        <w:rPr>
          <w:rFonts w:ascii="Arial" w:hAnsi="Arial" w:eastAsia="Arial" w:cs="Arial"/>
          <w:sz w:val="22"/>
          <w:szCs w:val="22"/>
        </w:rPr>
        <w:t>Short-term high/low (STH/STL) — basic local swing.</w:t>
      </w:r>
    </w:p>
    <w:p w14:paraId="50354F44">
      <w:pPr>
        <w:pStyle w:val="16"/>
        <w:numPr>
          <w:ilvl w:val="0"/>
          <w:numId w:val="1"/>
        </w:numPr>
        <w:spacing w:after="120" w:line="276" w:lineRule="auto"/>
      </w:pPr>
      <w:r>
        <w:rPr>
          <w:rFonts w:ascii="Arial" w:hAnsi="Arial" w:eastAsia="Arial" w:cs="Arial"/>
          <w:sz w:val="22"/>
          <w:szCs w:val="22"/>
        </w:rPr>
        <w:t>Intermediate-term high/low (ITH/ITL) — short-term swing flanked by short-term swings.</w:t>
      </w:r>
    </w:p>
    <w:p w14:paraId="470FCA72">
      <w:pPr>
        <w:pStyle w:val="16"/>
        <w:numPr>
          <w:ilvl w:val="0"/>
          <w:numId w:val="1"/>
        </w:numPr>
        <w:spacing w:after="120" w:line="276" w:lineRule="auto"/>
      </w:pPr>
      <w:r>
        <w:rPr>
          <w:rFonts w:ascii="Arial" w:hAnsi="Arial" w:eastAsia="Arial" w:cs="Arial"/>
          <w:sz w:val="22"/>
          <w:szCs w:val="22"/>
        </w:rPr>
        <w:t>Long-term high/low (LTH/LTL) — intermediate-term swing of highest significance, often at HTF levels.</w:t>
      </w:r>
    </w:p>
    <w:p w14:paraId="35BD8AF5">
      <w:pPr>
        <w:pStyle w:val="16"/>
        <w:numPr>
          <w:ilvl w:val="0"/>
          <w:numId w:val="1"/>
        </w:numPr>
        <w:spacing w:after="120" w:line="276" w:lineRule="auto"/>
      </w:pPr>
      <w:r>
        <w:rPr>
          <w:rFonts w:ascii="Arial" w:hAnsi="Arial" w:eastAsia="Arial" w:cs="Arial"/>
          <w:sz w:val="22"/>
          <w:szCs w:val="22"/>
        </w:rPr>
        <w:t>Expansion — forceful directional repricing away from equilibrium or consolidation.</w:t>
      </w:r>
    </w:p>
    <w:p w14:paraId="0C8DC6D1">
      <w:pPr>
        <w:pStyle w:val="16"/>
        <w:numPr>
          <w:ilvl w:val="0"/>
          <w:numId w:val="1"/>
        </w:numPr>
        <w:spacing w:after="120" w:line="276" w:lineRule="auto"/>
      </w:pPr>
      <w:r>
        <w:rPr>
          <w:rFonts w:ascii="Arial" w:hAnsi="Arial" w:eastAsia="Arial" w:cs="Arial"/>
          <w:sz w:val="22"/>
          <w:szCs w:val="22"/>
        </w:rPr>
        <w:t>Contraction — compression of range and volatility, often preceding expansion.</w:t>
      </w:r>
    </w:p>
    <w:p w14:paraId="287CE96E">
      <w:pPr>
        <w:pStyle w:val="16"/>
        <w:numPr>
          <w:ilvl w:val="0"/>
          <w:numId w:val="1"/>
        </w:numPr>
        <w:spacing w:after="120" w:line="276" w:lineRule="auto"/>
      </w:pPr>
      <w:r>
        <w:rPr>
          <w:rFonts w:ascii="Arial" w:hAnsi="Arial" w:eastAsia="Arial" w:cs="Arial"/>
          <w:sz w:val="22"/>
          <w:szCs w:val="22"/>
        </w:rPr>
        <w:t>Structural continuation — existing sequence of highs/lows remains intact.</w:t>
      </w:r>
    </w:p>
    <w:p w14:paraId="1C76B51A">
      <w:pPr>
        <w:pStyle w:val="16"/>
        <w:numPr>
          <w:ilvl w:val="0"/>
          <w:numId w:val="1"/>
        </w:numPr>
        <w:spacing w:after="120" w:line="276" w:lineRule="auto"/>
      </w:pPr>
      <w:r>
        <w:rPr>
          <w:rFonts w:ascii="Arial" w:hAnsi="Arial" w:eastAsia="Arial" w:cs="Arial"/>
          <w:sz w:val="22"/>
          <w:szCs w:val="22"/>
        </w:rPr>
        <w:t>Structural failure — key pivot violated in a manner that invalidates the prior sequence.</w:t>
      </w:r>
    </w:p>
    <w:p w14:paraId="4D3CF35F">
      <w:pPr>
        <w:pStyle w:val="3"/>
        <w:spacing w:before="280" w:after="180"/>
      </w:pPr>
      <w:r>
        <w:rPr>
          <w:rFonts w:ascii="Arial" w:hAnsi="Arial" w:eastAsia="Arial" w:cs="Arial"/>
          <w:b/>
          <w:bCs/>
          <w:sz w:val="26"/>
          <w:szCs w:val="26"/>
        </w:rPr>
        <w:t>Beginner Summary (Bridge)</w:t>
      </w:r>
    </w:p>
    <w:p w14:paraId="13C34158">
      <w:pPr>
        <w:spacing w:after="200" w:line="276" w:lineRule="auto"/>
      </w:pPr>
      <w:r>
        <w:rPr>
          <w:rFonts w:ascii="Arial" w:hAnsi="Arial" w:eastAsia="Arial" w:cs="Arial"/>
          <w:sz w:val="22"/>
          <w:szCs w:val="22"/>
        </w:rPr>
        <w:t>Beginner structure taught the sequence of highs and lows and the MSS. Intermediate structure adds hierarchy (which swings matter more), containers (dealing ranges), and the internal/external distinction so that the student no longer treats every swing as equally important.</w:t>
      </w:r>
    </w:p>
    <w:p w14:paraId="7FD7E993">
      <w:pPr>
        <w:pStyle w:val="3"/>
        <w:spacing w:before="280" w:after="180"/>
      </w:pPr>
      <w:r>
        <w:rPr>
          <w:rFonts w:ascii="Arial" w:hAnsi="Arial" w:eastAsia="Arial" w:cs="Arial"/>
          <w:b/>
          <w:bCs/>
          <w:sz w:val="26"/>
          <w:szCs w:val="26"/>
        </w:rPr>
        <w:t>Concept Relationships</w:t>
      </w:r>
    </w:p>
    <w:p w14:paraId="13D47A4A">
      <w:pPr>
        <w:spacing w:after="200" w:line="276" w:lineRule="auto"/>
      </w:pPr>
      <w:r>
        <w:rPr>
          <w:rFonts w:ascii="Arial" w:hAnsi="Arial" w:eastAsia="Arial" w:cs="Arial"/>
          <w:sz w:val="22"/>
          <w:szCs w:val="22"/>
        </w:rPr>
        <w:t>Swing hierarchy feeds the definition of internal versus external structure. External pivots define the dealing range. The dealing range organises premium/discount and hosts both IRL and ERL. Expansion/contraction describe how price moves inside or out of that range. Multi-timeframe application keeps the entire map coherent.</w:t>
      </w:r>
    </w:p>
    <w:p w14:paraId="2C3FB5B1">
      <w:pPr>
        <w:pStyle w:val="3"/>
        <w:spacing w:before="280" w:after="180"/>
      </w:pPr>
      <w:r>
        <w:rPr>
          <w:rFonts w:ascii="Arial" w:hAnsi="Arial" w:eastAsia="Arial" w:cs="Arial"/>
          <w:b/>
          <w:bCs/>
          <w:sz w:val="26"/>
          <w:szCs w:val="26"/>
        </w:rPr>
        <w:t>Practical Chart Exercise</w:t>
      </w:r>
    </w:p>
    <w:p w14:paraId="61414351">
      <w:pPr>
        <w:spacing w:after="200" w:line="276" w:lineRule="auto"/>
      </w:pPr>
      <w:r>
        <w:rPr>
          <w:rFonts w:ascii="Arial" w:hAnsi="Arial" w:eastAsia="Arial" w:cs="Arial"/>
          <w:sz w:val="22"/>
          <w:szCs w:val="22"/>
        </w:rPr>
        <w:t>Choose a liquid instrument and three timeframes (e.g., daily, 1-hour, 15-minute).</w:t>
      </w:r>
    </w:p>
    <w:p w14:paraId="09722614">
      <w:pPr>
        <w:pStyle w:val="16"/>
        <w:numPr>
          <w:ilvl w:val="0"/>
          <w:numId w:val="4"/>
        </w:numPr>
        <w:spacing w:after="120" w:line="276" w:lineRule="auto"/>
      </w:pPr>
      <w:r>
        <w:rPr>
          <w:rFonts w:ascii="Arial" w:hAnsi="Arial" w:eastAsia="Arial" w:cs="Arial"/>
          <w:sz w:val="22"/>
          <w:szCs w:val="22"/>
        </w:rPr>
        <w:t>On the daily chart mark the current dealing range, equilibrium, and the most obvious long-term pivots.</w:t>
      </w:r>
    </w:p>
    <w:p w14:paraId="725F3A4F">
      <w:pPr>
        <w:pStyle w:val="16"/>
        <w:numPr>
          <w:ilvl w:val="0"/>
          <w:numId w:val="4"/>
        </w:numPr>
        <w:spacing w:after="120" w:line="276" w:lineRule="auto"/>
      </w:pPr>
      <w:r>
        <w:rPr>
          <w:rFonts w:ascii="Arial" w:hAnsi="Arial" w:eastAsia="Arial" w:cs="Arial"/>
          <w:sz w:val="22"/>
          <w:szCs w:val="22"/>
        </w:rPr>
        <w:t>On the 1-hour chart mark the active dealing range and label several intermediate-term and short-term swings.</w:t>
      </w:r>
    </w:p>
    <w:p w14:paraId="1A1CA356">
      <w:pPr>
        <w:pStyle w:val="16"/>
        <w:numPr>
          <w:ilvl w:val="0"/>
          <w:numId w:val="4"/>
        </w:numPr>
        <w:spacing w:after="120" w:line="276" w:lineRule="auto"/>
      </w:pPr>
      <w:r>
        <w:rPr>
          <w:rFonts w:ascii="Arial" w:hAnsi="Arial" w:eastAsia="Arial" w:cs="Arial"/>
          <w:sz w:val="22"/>
          <w:szCs w:val="22"/>
        </w:rPr>
        <w:t>Identify one clear instance of expansion and one of contraction.</w:t>
      </w:r>
    </w:p>
    <w:p w14:paraId="618F7DCB">
      <w:pPr>
        <w:pStyle w:val="16"/>
        <w:numPr>
          <w:ilvl w:val="0"/>
          <w:numId w:val="4"/>
        </w:numPr>
        <w:spacing w:after="120" w:line="276" w:lineRule="auto"/>
      </w:pPr>
      <w:r>
        <w:rPr>
          <w:rFonts w:ascii="Arial" w:hAnsi="Arial" w:eastAsia="Arial" w:cs="Arial"/>
          <w:sz w:val="22"/>
          <w:szCs w:val="22"/>
        </w:rPr>
        <w:t>Map at least one internal-range liquidity pool and one external-range liquidity pool.</w:t>
      </w:r>
    </w:p>
    <w:p w14:paraId="5F525732">
      <w:pPr>
        <w:pStyle w:val="16"/>
        <w:numPr>
          <w:ilvl w:val="0"/>
          <w:numId w:val="4"/>
        </w:numPr>
        <w:spacing w:after="120" w:line="276" w:lineRule="auto"/>
      </w:pPr>
      <w:r>
        <w:rPr>
          <w:rFonts w:ascii="Arial" w:hAnsi="Arial" w:eastAsia="Arial" w:cs="Arial"/>
          <w:sz w:val="22"/>
          <w:szCs w:val="22"/>
        </w:rPr>
        <w:t>On the 15-minute chart locate a recent Market Structure Shift and decide whether it was internal or external relative to the 1-hour range.</w:t>
      </w:r>
    </w:p>
    <w:p w14:paraId="69D08D9F">
      <w:pPr>
        <w:pStyle w:val="16"/>
        <w:numPr>
          <w:ilvl w:val="0"/>
          <w:numId w:val="4"/>
        </w:numPr>
        <w:spacing w:after="120" w:line="276" w:lineRule="auto"/>
      </w:pPr>
      <w:r>
        <w:rPr>
          <w:rFonts w:ascii="Arial" w:hAnsi="Arial" w:eastAsia="Arial" w:cs="Arial"/>
          <w:sz w:val="22"/>
          <w:szCs w:val="22"/>
        </w:rPr>
        <w:t>Write a short paragraph explaining the current hierarchical structure and the most logical next liquidity objective.</w:t>
      </w:r>
    </w:p>
    <w:p w14:paraId="510805EF">
      <w:pPr>
        <w:pStyle w:val="3"/>
        <w:spacing w:before="280" w:after="180"/>
      </w:pPr>
      <w:r>
        <w:rPr>
          <w:rFonts w:ascii="Arial" w:hAnsi="Arial" w:eastAsia="Arial" w:cs="Arial"/>
          <w:b/>
          <w:bCs/>
          <w:sz w:val="26"/>
          <w:szCs w:val="26"/>
        </w:rPr>
        <w:t>Self-Test Questions</w:t>
      </w:r>
    </w:p>
    <w:p w14:paraId="1A2A1AC7">
      <w:pPr>
        <w:pStyle w:val="16"/>
        <w:numPr>
          <w:ilvl w:val="0"/>
          <w:numId w:val="4"/>
        </w:numPr>
        <w:spacing w:after="120" w:line="276" w:lineRule="auto"/>
      </w:pPr>
      <w:r>
        <w:rPr>
          <w:rFonts w:ascii="Arial" w:hAnsi="Arial" w:eastAsia="Arial" w:cs="Arial"/>
          <w:sz w:val="22"/>
          <w:szCs w:val="22"/>
        </w:rPr>
        <w:t>What is the primary difference between an intermediate-term low and a short-term low?</w:t>
      </w:r>
    </w:p>
    <w:p w14:paraId="1A047C57">
      <w:pPr>
        <w:pStyle w:val="16"/>
        <w:numPr>
          <w:ilvl w:val="0"/>
          <w:numId w:val="4"/>
        </w:numPr>
        <w:spacing w:after="120" w:line="276" w:lineRule="auto"/>
      </w:pPr>
      <w:r>
        <w:rPr>
          <w:rFonts w:ascii="Arial" w:hAnsi="Arial" w:eastAsia="Arial" w:cs="Arial"/>
          <w:sz w:val="22"/>
          <w:szCs w:val="22"/>
        </w:rPr>
        <w:t>If price breaks a short-term high inside a dealing range but the range high remains intact, has external structure failed?</w:t>
      </w:r>
    </w:p>
    <w:p w14:paraId="251ACED0">
      <w:pPr>
        <w:pStyle w:val="16"/>
        <w:numPr>
          <w:ilvl w:val="0"/>
          <w:numId w:val="4"/>
        </w:numPr>
        <w:spacing w:after="120" w:line="276" w:lineRule="auto"/>
      </w:pPr>
      <w:r>
        <w:rPr>
          <w:rFonts w:ascii="Arial" w:hAnsi="Arial" w:eastAsia="Arial" w:cs="Arial"/>
          <w:sz w:val="22"/>
          <w:szCs w:val="22"/>
        </w:rPr>
        <w:t>Why might a trader take partial profits at internal-range liquidity even when the thesis targets external-range liquidity?</w:t>
      </w:r>
    </w:p>
    <w:p w14:paraId="64FA37DA">
      <w:pPr>
        <w:pStyle w:val="16"/>
        <w:numPr>
          <w:ilvl w:val="0"/>
          <w:numId w:val="4"/>
        </w:numPr>
        <w:spacing w:after="120" w:line="276" w:lineRule="auto"/>
      </w:pPr>
      <w:r>
        <w:rPr>
          <w:rFonts w:ascii="Arial" w:hAnsi="Arial" w:eastAsia="Arial" w:cs="Arial"/>
          <w:sz w:val="22"/>
          <w:szCs w:val="22"/>
        </w:rPr>
        <w:t>How does the 50 % equilibrium of a dealing range influence trade direction selection?</w:t>
      </w:r>
    </w:p>
    <w:p w14:paraId="66CAA1DE">
      <w:pPr>
        <w:pStyle w:val="16"/>
        <w:numPr>
          <w:ilvl w:val="0"/>
          <w:numId w:val="4"/>
        </w:numPr>
        <w:spacing w:after="120" w:line="276" w:lineRule="auto"/>
      </w:pPr>
      <w:r>
        <w:rPr>
          <w:rFonts w:ascii="Arial" w:hAnsi="Arial" w:eastAsia="Arial" w:cs="Arial"/>
          <w:sz w:val="22"/>
          <w:szCs w:val="22"/>
        </w:rPr>
        <w:t>Describe a situation in which lower-timeframe bullish structure should be ignored.</w:t>
      </w:r>
    </w:p>
    <w:p w14:paraId="4EAEEF6B">
      <w:pPr>
        <w:pStyle w:val="16"/>
        <w:numPr>
          <w:ilvl w:val="0"/>
          <w:numId w:val="4"/>
        </w:numPr>
        <w:spacing w:after="120" w:line="276" w:lineRule="auto"/>
      </w:pPr>
      <w:r>
        <w:rPr>
          <w:rFonts w:ascii="Arial" w:hAnsi="Arial" w:eastAsia="Arial" w:cs="Arial"/>
          <w:sz w:val="22"/>
          <w:szCs w:val="22"/>
        </w:rPr>
        <w:t>What typically follows a successful run on external-range liquidity according to common ICT delivery sequences?</w:t>
      </w:r>
    </w:p>
    <w:p w14:paraId="55908552">
      <w:pPr>
        <w:pStyle w:val="3"/>
        <w:spacing w:before="280" w:after="180"/>
      </w:pPr>
      <w:r>
        <w:rPr>
          <w:rFonts w:ascii="Arial" w:hAnsi="Arial" w:eastAsia="Arial" w:cs="Arial"/>
          <w:b/>
          <w:bCs/>
          <w:sz w:val="26"/>
          <w:szCs w:val="26"/>
        </w:rPr>
        <w:t>Common Misconceptions</w:t>
      </w:r>
    </w:p>
    <w:p w14:paraId="0B6E90CF">
      <w:pPr>
        <w:pStyle w:val="16"/>
        <w:numPr>
          <w:ilvl w:val="0"/>
          <w:numId w:val="1"/>
        </w:numPr>
        <w:spacing w:after="120" w:line="276" w:lineRule="auto"/>
      </w:pPr>
      <w:r>
        <w:rPr>
          <w:rFonts w:ascii="Arial" w:hAnsi="Arial" w:eastAsia="Arial" w:cs="Arial"/>
          <w:sz w:val="22"/>
          <w:szCs w:val="22"/>
        </w:rPr>
        <w:t>“Every swing high/low is equally important.” — False. Hierarchy exists for a reason.</w:t>
      </w:r>
    </w:p>
    <w:p w14:paraId="2360997C">
      <w:pPr>
        <w:pStyle w:val="16"/>
        <w:numPr>
          <w:ilvl w:val="0"/>
          <w:numId w:val="1"/>
        </w:numPr>
        <w:spacing w:after="120" w:line="276" w:lineRule="auto"/>
      </w:pPr>
      <w:r>
        <w:rPr>
          <w:rFonts w:ascii="Arial" w:hAnsi="Arial" w:eastAsia="Arial" w:cs="Arial"/>
          <w:sz w:val="22"/>
          <w:szCs w:val="22"/>
        </w:rPr>
        <w:t>“A 5-minute MSS changes the daily bias.” — False. Timeframe priority must be respected.</w:t>
      </w:r>
    </w:p>
    <w:p w14:paraId="79AF21AE">
      <w:pPr>
        <w:pStyle w:val="16"/>
        <w:numPr>
          <w:ilvl w:val="0"/>
          <w:numId w:val="1"/>
        </w:numPr>
        <w:spacing w:after="120" w:line="276" w:lineRule="auto"/>
      </w:pPr>
      <w:r>
        <w:rPr>
          <w:rFonts w:ascii="Arial" w:hAnsi="Arial" w:eastAsia="Arial" w:cs="Arial"/>
          <w:sz w:val="22"/>
          <w:szCs w:val="22"/>
        </w:rPr>
        <w:t>“Once a dealing range is drawn it never changes.” — False. Ranges are updated when external structure expands and holds.</w:t>
      </w:r>
    </w:p>
    <w:p w14:paraId="67C5E2A5">
      <w:pPr>
        <w:pStyle w:val="16"/>
        <w:numPr>
          <w:ilvl w:val="0"/>
          <w:numId w:val="1"/>
        </w:numPr>
        <w:spacing w:after="120" w:line="276" w:lineRule="auto"/>
      </w:pPr>
      <w:r>
        <w:rPr>
          <w:rFonts w:ascii="Arial" w:hAnsi="Arial" w:eastAsia="Arial" w:cs="Arial"/>
          <w:sz w:val="22"/>
          <w:szCs w:val="22"/>
        </w:rPr>
        <w:t>“Internal liquidity is irrelevant.” — False. IRL often supplies the first targets and the rebalancing path.</w:t>
      </w:r>
    </w:p>
    <w:p w14:paraId="07D7616F">
      <w:pPr>
        <w:pStyle w:val="16"/>
        <w:numPr>
          <w:ilvl w:val="0"/>
          <w:numId w:val="1"/>
        </w:numPr>
        <w:spacing w:after="120" w:line="276" w:lineRule="auto"/>
      </w:pPr>
      <w:r>
        <w:rPr>
          <w:rFonts w:ascii="Arial" w:hAnsi="Arial" w:eastAsia="Arial" w:cs="Arial"/>
          <w:sz w:val="22"/>
          <w:szCs w:val="22"/>
        </w:rPr>
        <w:t>“Expansion means the trend will continue forever.” — False. Expansion is a phase; it eventually meets opposing liquidity or exhaustion.</w:t>
      </w:r>
    </w:p>
    <w:p w14:paraId="512256C2">
      <w:pPr>
        <w:pStyle w:val="3"/>
        <w:spacing w:before="280" w:after="180"/>
      </w:pPr>
      <w:r>
        <w:rPr>
          <w:rFonts w:ascii="Arial" w:hAnsi="Arial" w:eastAsia="Arial" w:cs="Arial"/>
          <w:b/>
          <w:bCs/>
          <w:sz w:val="26"/>
          <w:szCs w:val="26"/>
        </w:rPr>
        <w:t>Research Sources</w:t>
      </w:r>
    </w:p>
    <w:p w14:paraId="6EA9A383">
      <w:pPr>
        <w:spacing w:after="200" w:line="276" w:lineRule="auto"/>
      </w:pPr>
      <w:r>
        <w:rPr>
          <w:rFonts w:ascii="Arial" w:hAnsi="Arial" w:eastAsia="Arial" w:cs="Arial"/>
          <w:sz w:val="22"/>
          <w:szCs w:val="22"/>
        </w:rPr>
        <w:t>Primary orientation is taken from ICT’s discussions of the interbank dealing range, internal-range versus external-range liquidity, and hierarchical swing analysis appearing in the 2022 Mentorship and related public lectures. The short-term / intermediate-term / long-term swing hierarchy is consistently documented in community educational material that directly references those ICT presentations.</w:t>
      </w:r>
    </w:p>
    <w:p w14:paraId="1A8F1729">
      <w:pPr>
        <w:spacing w:after="200" w:line="276" w:lineRule="auto"/>
      </w:pPr>
      <w:r>
        <w:rPr>
          <w:rFonts w:ascii="Arial" w:hAnsi="Arial" w:eastAsia="Arial" w:cs="Arial"/>
          <w:sz w:val="22"/>
          <w:szCs w:val="22"/>
        </w:rPr>
        <w:t>Where community sources supply precise three-candle definitions or visual hierarchies, they are treated as helpful standardisations of ICT’s hierarchical intent rather than independent doctrine. The pedagogical emphasis remains on distinguishing noise from narrative and on keeping lower-timeframe structure subordinate to the higher-timeframe dealing range.</w:t>
      </w:r>
    </w:p>
    <w:p w14:paraId="67A0C48F">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Key references include ICT mentorship material on internal range liquidity and market structure shifts, lectures introducing the interbank dealing range, and chart examples demonstrating nested structure across timeframes.</w:t>
      </w:r>
    </w:p>
    <w:p w14:paraId="5AE6694F">
      <w:pPr>
        <w:pStyle w:val="2"/>
        <w:spacing w:before="360" w:after="240"/>
      </w:pPr>
      <w:r>
        <w:rPr>
          <w:rFonts w:ascii="Arial" w:hAnsi="Arial" w:eastAsia="Arial" w:cs="Arial"/>
          <w:b/>
          <w:bCs/>
          <w:sz w:val="32"/>
          <w:szCs w:val="32"/>
        </w:rPr>
        <w:t>Transition to Module 2</w:t>
      </w:r>
    </w:p>
    <w:p w14:paraId="48905388">
      <w:pPr>
        <w:spacing w:after="200" w:line="276" w:lineRule="auto"/>
        <w:rPr>
          <w:rFonts w:ascii="Arial" w:hAnsi="Arial" w:eastAsia="Arial" w:cs="Arial"/>
          <w:sz w:val="22"/>
          <w:szCs w:val="22"/>
        </w:rPr>
      </w:pPr>
      <w:r>
        <w:rPr>
          <w:rFonts w:ascii="Arial" w:hAnsi="Arial" w:eastAsia="Arial" w:cs="Arial"/>
          <w:sz w:val="22"/>
          <w:szCs w:val="22"/>
        </w:rPr>
        <w:t>Module 1 has established the structural map: hierarchical swings, dealing ranges, internal versus external distinctions, and multi-timeframe coherence. Module 2 (Advanced Liquidity Engineering) will place liquidity pools, relative equal highs/lows, liquidity draws, and sequential liquidity objectives inside that map. The student will move from “there is liquidity here” to “this is the relevant liquidity given the current dealing range and higher-timeframe narrative.”</w:t>
      </w:r>
    </w:p>
    <w:p w14:paraId="6FDA7831">
      <w:pPr>
        <w:spacing w:after="200" w:line="276" w:lineRule="auto"/>
        <w:rPr>
          <w:rFonts w:ascii="Arial" w:hAnsi="Arial" w:eastAsia="Arial" w:cs="Arial"/>
          <w:sz w:val="22"/>
          <w:szCs w:val="22"/>
        </w:rPr>
      </w:pPr>
    </w:p>
    <w:p w14:paraId="4E5E8790">
      <w:pPr>
        <w:spacing w:after="200" w:line="276" w:lineRule="auto"/>
        <w:rPr>
          <w:rFonts w:ascii="Arial" w:hAnsi="Arial" w:eastAsia="Arial" w:cs="Arial"/>
          <w:sz w:val="22"/>
          <w:szCs w:val="22"/>
        </w:rPr>
      </w:pPr>
    </w:p>
    <w:p w14:paraId="5774F70A">
      <w:pPr>
        <w:spacing w:after="120"/>
        <w:jc w:val="center"/>
      </w:pPr>
    </w:p>
    <w:p w14:paraId="3CF911E3">
      <w:pPr>
        <w:spacing w:after="400"/>
        <w:jc w:val="center"/>
      </w:pPr>
      <w:r>
        <w:rPr>
          <w:rFonts w:ascii="Arial" w:hAnsi="Arial" w:eastAsia="Arial" w:cs="Arial"/>
          <w:b/>
          <w:bCs/>
          <w:sz w:val="36"/>
          <w:szCs w:val="36"/>
        </w:rPr>
        <w:t>MODULE 2</w:t>
      </w:r>
    </w:p>
    <w:p w14:paraId="18651CCE">
      <w:pPr>
        <w:spacing w:after="200"/>
        <w:jc w:val="center"/>
      </w:pPr>
      <w:r>
        <w:rPr>
          <w:rFonts w:ascii="Arial" w:hAnsi="Arial" w:eastAsia="Arial" w:cs="Arial"/>
          <w:b/>
          <w:bCs/>
          <w:sz w:val="28"/>
          <w:szCs w:val="28"/>
        </w:rPr>
        <w:t>Advanced Liquidity Engineering</w:t>
      </w:r>
    </w:p>
    <w:p w14:paraId="47F954A2">
      <w:pPr>
        <w:spacing w:after="400"/>
        <w:jc w:val="center"/>
      </w:pPr>
      <w:r>
        <w:rPr>
          <w:rFonts w:ascii="Arial" w:hAnsi="Arial" w:eastAsia="Arial" w:cs="Arial"/>
          <w:i/>
          <w:iCs/>
          <w:sz w:val="20"/>
          <w:szCs w:val="20"/>
        </w:rPr>
        <w:t>Internal vs External Liquidity, Relative Equals, Liquidity Draws, Sequential Objectives &amp; Raid vs Continuation</w:t>
      </w:r>
    </w:p>
    <w:p w14:paraId="22718E77">
      <w:pPr>
        <w:pBdr>
          <w:left w:val="single" w:color="2E75B6" w:sz="24" w:space="8"/>
        </w:pBdr>
        <w:shd w:val="clear" w:fill="F5F5F5"/>
        <w:spacing w:before="120" w:after="200" w:line="276" w:lineRule="auto"/>
        <w:ind w:left="120"/>
      </w:pPr>
      <w:r>
        <w:rPr>
          <w:rFonts w:ascii="Arial" w:hAnsi="Arial" w:eastAsia="Arial" w:cs="Arial"/>
          <w:i/>
          <w:iCs/>
          <w:sz w:val="20"/>
          <w:szCs w:val="20"/>
        </w:rPr>
        <w:t>Prerequisite: Module 1 (Advanced Market Structure &amp; Price Swings) is assumed complete. The student already understands dealing ranges, internal vs external structure, hierarchical swings (ST/IT/LT), and the basic distinction between internal-range and external-range liquidity.</w:t>
      </w:r>
    </w:p>
    <w:p w14:paraId="6DB46713">
      <w:pPr>
        <w:pStyle w:val="2"/>
        <w:spacing w:before="360" w:after="240"/>
      </w:pPr>
      <w:r>
        <w:rPr>
          <w:rFonts w:ascii="Arial" w:hAnsi="Arial" w:eastAsia="Arial" w:cs="Arial"/>
          <w:b/>
          <w:bCs/>
          <w:sz w:val="32"/>
          <w:szCs w:val="32"/>
        </w:rPr>
        <w:t>Module Objectives</w:t>
      </w:r>
    </w:p>
    <w:p w14:paraId="6329D71E">
      <w:pPr>
        <w:spacing w:after="200" w:line="276" w:lineRule="auto"/>
      </w:pPr>
      <w:r>
        <w:rPr>
          <w:rFonts w:ascii="Arial" w:hAnsi="Arial" w:eastAsia="Arial" w:cs="Arial"/>
          <w:sz w:val="22"/>
          <w:szCs w:val="22"/>
        </w:rPr>
        <w:t>By the end of this module the intermediate student should be able to:</w:t>
      </w:r>
    </w:p>
    <w:p w14:paraId="7BAB7A69">
      <w:pPr>
        <w:pStyle w:val="16"/>
        <w:numPr>
          <w:ilvl w:val="0"/>
          <w:numId w:val="1"/>
        </w:numPr>
        <w:spacing w:after="120" w:line="276" w:lineRule="auto"/>
      </w:pPr>
      <w:r>
        <w:rPr>
          <w:rFonts w:ascii="Arial" w:hAnsi="Arial" w:eastAsia="Arial" w:cs="Arial"/>
          <w:sz w:val="22"/>
          <w:szCs w:val="22"/>
        </w:rPr>
        <w:t>Identify and prioritise buy-side and sell-side liquidity relative to the current dealing range and higher-timeframe narrative.</w:t>
      </w:r>
    </w:p>
    <w:p w14:paraId="310133EA">
      <w:pPr>
        <w:pStyle w:val="16"/>
        <w:numPr>
          <w:ilvl w:val="0"/>
          <w:numId w:val="1"/>
        </w:numPr>
        <w:spacing w:after="120" w:line="276" w:lineRule="auto"/>
      </w:pPr>
      <w:r>
        <w:rPr>
          <w:rFonts w:ascii="Arial" w:hAnsi="Arial" w:eastAsia="Arial" w:cs="Arial"/>
          <w:sz w:val="22"/>
          <w:szCs w:val="22"/>
        </w:rPr>
        <w:t>Recognise relative equal highs and relative equal lows as high-density liquidity pools.</w:t>
      </w:r>
    </w:p>
    <w:p w14:paraId="41D528CB">
      <w:pPr>
        <w:pStyle w:val="16"/>
        <w:numPr>
          <w:ilvl w:val="0"/>
          <w:numId w:val="1"/>
        </w:numPr>
        <w:spacing w:after="120" w:line="276" w:lineRule="auto"/>
      </w:pPr>
      <w:r>
        <w:rPr>
          <w:rFonts w:ascii="Arial" w:hAnsi="Arial" w:eastAsia="Arial" w:cs="Arial"/>
          <w:sz w:val="22"/>
          <w:szCs w:val="22"/>
        </w:rPr>
        <w:t>Classify liquidity by structural significance (short-term, intermediate-term, long-term).</w:t>
      </w:r>
    </w:p>
    <w:p w14:paraId="717362EB">
      <w:pPr>
        <w:pStyle w:val="16"/>
        <w:numPr>
          <w:ilvl w:val="0"/>
          <w:numId w:val="1"/>
        </w:numPr>
        <w:spacing w:after="120" w:line="276" w:lineRule="auto"/>
      </w:pPr>
      <w:r>
        <w:rPr>
          <w:rFonts w:ascii="Arial" w:hAnsi="Arial" w:eastAsia="Arial" w:cs="Arial"/>
          <w:sz w:val="22"/>
          <w:szCs w:val="22"/>
        </w:rPr>
        <w:t>Determine the current Draw on Liquidity (DOL) before a session begins.</w:t>
      </w:r>
    </w:p>
    <w:p w14:paraId="6D46D3CD">
      <w:pPr>
        <w:pStyle w:val="16"/>
        <w:numPr>
          <w:ilvl w:val="0"/>
          <w:numId w:val="1"/>
        </w:numPr>
        <w:spacing w:after="120" w:line="276" w:lineRule="auto"/>
      </w:pPr>
      <w:r>
        <w:rPr>
          <w:rFonts w:ascii="Arial" w:hAnsi="Arial" w:eastAsia="Arial" w:cs="Arial"/>
          <w:sz w:val="22"/>
          <w:szCs w:val="22"/>
        </w:rPr>
        <w:t>Select sequential liquidity objectives (IRL first, then ERL, or the reverse) consistent with the narrative.</w:t>
      </w:r>
    </w:p>
    <w:p w14:paraId="64321160">
      <w:pPr>
        <w:pStyle w:val="16"/>
        <w:numPr>
          <w:ilvl w:val="0"/>
          <w:numId w:val="1"/>
        </w:numPr>
        <w:spacing w:after="120" w:line="276" w:lineRule="auto"/>
      </w:pPr>
      <w:r>
        <w:rPr>
          <w:rFonts w:ascii="Arial" w:hAnsi="Arial" w:eastAsia="Arial" w:cs="Arial"/>
          <w:sz w:val="22"/>
          <w:szCs w:val="22"/>
        </w:rPr>
        <w:t>Distinguish a liquidity raid (stop-hunt / reversal context) from liquidity continuation (trend-aligned run).</w:t>
      </w:r>
    </w:p>
    <w:p w14:paraId="28DB0C6A">
      <w:pPr>
        <w:pStyle w:val="16"/>
        <w:numPr>
          <w:ilvl w:val="0"/>
          <w:numId w:val="1"/>
        </w:numPr>
        <w:spacing w:after="120" w:line="276" w:lineRule="auto"/>
      </w:pPr>
      <w:r>
        <w:rPr>
          <w:rFonts w:ascii="Arial" w:hAnsi="Arial" w:eastAsia="Arial" w:cs="Arial"/>
          <w:sz w:val="22"/>
          <w:szCs w:val="22"/>
        </w:rPr>
        <w:t>Filter which liquidity pools are most relevant and which should be ignored.</w:t>
      </w:r>
    </w:p>
    <w:p w14:paraId="637495F8">
      <w:pPr>
        <w:pStyle w:val="2"/>
        <w:spacing w:before="360" w:after="240"/>
      </w:pPr>
      <w:r>
        <w:rPr>
          <w:rFonts w:ascii="Arial" w:hAnsi="Arial" w:eastAsia="Arial" w:cs="Arial"/>
          <w:b/>
          <w:bCs/>
          <w:sz w:val="32"/>
          <w:szCs w:val="32"/>
        </w:rPr>
        <w:t>Introduction: From “There Is Liquidity” to “Which Liquidity Matters”</w:t>
      </w:r>
    </w:p>
    <w:p w14:paraId="0BCBDC5E">
      <w:pPr>
        <w:spacing w:after="200" w:line="276" w:lineRule="auto"/>
      </w:pPr>
      <w:r>
        <w:rPr>
          <w:rFonts w:ascii="Arial" w:hAnsi="Arial" w:eastAsia="Arial" w:cs="Arial"/>
          <w:sz w:val="22"/>
          <w:szCs w:val="22"/>
        </w:rPr>
        <w:t>In the Beginner textbook the student learned that liquidity pools form above swing highs (buy-side) and below swing lows (sell-side), and that price frequently runs these pools. Intermediate practice demands a higher standard: not every pool is the active objective, and not every run of a pool is a reversal signal.</w:t>
      </w:r>
    </w:p>
    <w:p w14:paraId="6B9C2D81">
      <w:pPr>
        <w:spacing w:after="200" w:line="276" w:lineRule="auto"/>
      </w:pPr>
      <w:r>
        <w:rPr>
          <w:rFonts w:ascii="Arial" w:hAnsi="Arial" w:eastAsia="Arial" w:cs="Arial"/>
          <w:sz w:val="22"/>
          <w:szCs w:val="22"/>
        </w:rPr>
        <w:t>This module teaches the student to answer four practical questions before any session:</w:t>
      </w:r>
    </w:p>
    <w:p w14:paraId="37D14373">
      <w:pPr>
        <w:pStyle w:val="16"/>
        <w:numPr>
          <w:ilvl w:val="0"/>
          <w:numId w:val="2"/>
        </w:numPr>
        <w:spacing w:after="120" w:line="276" w:lineRule="auto"/>
      </w:pPr>
      <w:r>
        <w:rPr>
          <w:rFonts w:ascii="Arial" w:hAnsi="Arial" w:eastAsia="Arial" w:cs="Arial"/>
          <w:sz w:val="22"/>
          <w:szCs w:val="22"/>
        </w:rPr>
        <w:t>Given the higher-timeframe narrative and the active dealing range, which side of liquidity is price most likely seeking?</w:t>
      </w:r>
    </w:p>
    <w:p w14:paraId="418F52DB">
      <w:pPr>
        <w:pStyle w:val="16"/>
        <w:numPr>
          <w:ilvl w:val="0"/>
          <w:numId w:val="2"/>
        </w:numPr>
        <w:spacing w:after="120" w:line="276" w:lineRule="auto"/>
      </w:pPr>
      <w:r>
        <w:rPr>
          <w:rFonts w:ascii="Arial" w:hAnsi="Arial" w:eastAsia="Arial" w:cs="Arial"/>
          <w:sz w:val="22"/>
          <w:szCs w:val="22"/>
        </w:rPr>
        <w:t>Is that liquidity internal or external to the current range?</w:t>
      </w:r>
    </w:p>
    <w:p w14:paraId="4CD6790F">
      <w:pPr>
        <w:pStyle w:val="16"/>
        <w:numPr>
          <w:ilvl w:val="0"/>
          <w:numId w:val="2"/>
        </w:numPr>
        <w:spacing w:after="120" w:line="276" w:lineRule="auto"/>
      </w:pPr>
      <w:r>
        <w:rPr>
          <w:rFonts w:ascii="Arial" w:hAnsi="Arial" w:eastAsia="Arial" w:cs="Arial"/>
          <w:sz w:val="22"/>
          <w:szCs w:val="22"/>
        </w:rPr>
        <w:t>What is the logical sequence of objectives (for example, take internal first, then expand to external)?</w:t>
      </w:r>
    </w:p>
    <w:p w14:paraId="172DD720">
      <w:pPr>
        <w:pStyle w:val="16"/>
        <w:numPr>
          <w:ilvl w:val="0"/>
          <w:numId w:val="2"/>
        </w:numPr>
        <w:spacing w:after="120" w:line="276" w:lineRule="auto"/>
      </w:pPr>
      <w:r>
        <w:rPr>
          <w:rFonts w:ascii="Arial" w:hAnsi="Arial" w:eastAsia="Arial" w:cs="Arial"/>
          <w:sz w:val="22"/>
          <w:szCs w:val="22"/>
        </w:rPr>
        <w:t>When price reaches a pool, is the expected behaviour a raid-and-reverse or a continuation through the pool?</w:t>
      </w:r>
    </w:p>
    <w:p w14:paraId="0B1DD870">
      <w:pPr>
        <w:spacing w:after="200" w:line="276" w:lineRule="auto"/>
      </w:pPr>
      <w:r>
        <w:rPr>
          <w:rFonts w:ascii="Arial" w:hAnsi="Arial" w:eastAsia="Arial" w:cs="Arial"/>
          <w:sz w:val="22"/>
          <w:szCs w:val="22"/>
        </w:rPr>
        <w:t>The goal is disciplined target selection and reduced noise.</w:t>
      </w:r>
    </w:p>
    <w:p w14:paraId="71B3710C">
      <w:pPr>
        <w:pStyle w:val="2"/>
        <w:spacing w:before="360" w:after="240"/>
      </w:pPr>
      <w:r>
        <w:rPr>
          <w:rFonts w:ascii="Arial" w:hAnsi="Arial" w:eastAsia="Arial" w:cs="Arial"/>
          <w:b/>
          <w:bCs/>
          <w:sz w:val="32"/>
          <w:szCs w:val="32"/>
        </w:rPr>
        <w:t>1. Buy-Side Liquidity and Sell-Side Liquidity (Intermediate Refinement)</w:t>
      </w:r>
    </w:p>
    <w:p w14:paraId="3F130A8E">
      <w:pPr>
        <w:pStyle w:val="3"/>
        <w:spacing w:before="280" w:after="180"/>
      </w:pPr>
      <w:r>
        <w:rPr>
          <w:rFonts w:ascii="Arial" w:hAnsi="Arial" w:eastAsia="Arial" w:cs="Arial"/>
          <w:b/>
          <w:bCs/>
          <w:sz w:val="26"/>
          <w:szCs w:val="26"/>
        </w:rPr>
        <w:t>1.1 Core Definitions (Unchanged)</w:t>
      </w:r>
    </w:p>
    <w:p w14:paraId="2BA0ABFD">
      <w:pPr>
        <w:spacing w:after="200" w:line="276" w:lineRule="auto"/>
      </w:pPr>
      <w:r>
        <w:rPr>
          <w:rFonts w:ascii="Arial" w:hAnsi="Arial" w:eastAsia="Arial" w:cs="Arial"/>
          <w:sz w:val="22"/>
          <w:szCs w:val="22"/>
        </w:rPr>
        <w:t>Buy-side liquidity (BSL) rests above swing highs, equal highs, previous-period highs and other obvious upside reference points. It consists primarily of buy-stop orders (short-covering stops and breakout buy entries).</w:t>
      </w:r>
    </w:p>
    <w:p w14:paraId="05C699C4">
      <w:pPr>
        <w:spacing w:after="200" w:line="276" w:lineRule="auto"/>
      </w:pPr>
      <w:r>
        <w:rPr>
          <w:rFonts w:ascii="Arial" w:hAnsi="Arial" w:eastAsia="Arial" w:cs="Arial"/>
          <w:sz w:val="22"/>
          <w:szCs w:val="22"/>
        </w:rPr>
        <w:t>Sell-side liquidity (SSL) rests below swing lows, equal lows, previous-period lows and other obvious downside reference points. It consists primarily of sell-stop orders (long-protective stops and breakout sell entries).</w:t>
      </w:r>
    </w:p>
    <w:p w14:paraId="56F1E0E0">
      <w:pPr>
        <w:pStyle w:val="3"/>
        <w:spacing w:before="280" w:after="180"/>
      </w:pPr>
      <w:r>
        <w:rPr>
          <w:rFonts w:ascii="Arial" w:hAnsi="Arial" w:eastAsia="Arial" w:cs="Arial"/>
          <w:b/>
          <w:bCs/>
          <w:sz w:val="26"/>
          <w:szCs w:val="26"/>
        </w:rPr>
        <w:t>1.2 Intermediate Emphasis</w:t>
      </w:r>
    </w:p>
    <w:p w14:paraId="36911455">
      <w:pPr>
        <w:spacing w:after="200" w:line="276" w:lineRule="auto"/>
      </w:pPr>
      <w:r>
        <w:rPr>
          <w:rFonts w:ascii="Arial" w:hAnsi="Arial" w:eastAsia="Arial" w:cs="Arial"/>
          <w:sz w:val="22"/>
          <w:szCs w:val="22"/>
        </w:rPr>
        <w:t>The location of the pool relative to the dealing-range equilibrium and the higher-timeframe bias determines its interpretive weight. A buy-side pool located deep in premium is a more natural target for a bearish narrative; a sell-side pool located deep in discount is a more natural target for a bullish narrative. Pools that sit against the higher-timeframe narrative require stronger confirmation before they are treated as primary objectives.</w:t>
      </w:r>
    </w:p>
    <w:p w14:paraId="2620EF3E">
      <w:pPr>
        <w:pStyle w:val="2"/>
        <w:spacing w:before="360" w:after="240"/>
      </w:pPr>
      <w:r>
        <w:rPr>
          <w:rFonts w:ascii="Arial" w:hAnsi="Arial" w:eastAsia="Arial" w:cs="Arial"/>
          <w:b/>
          <w:bCs/>
          <w:sz w:val="32"/>
          <w:szCs w:val="32"/>
        </w:rPr>
        <w:t>2. Relative Equal Highs and Relative Equal Lows</w:t>
      </w:r>
    </w:p>
    <w:p w14:paraId="06FE203E">
      <w:pPr>
        <w:pStyle w:val="3"/>
        <w:spacing w:before="280" w:after="180"/>
      </w:pPr>
      <w:r>
        <w:rPr>
          <w:rFonts w:ascii="Arial" w:hAnsi="Arial" w:eastAsia="Arial" w:cs="Arial"/>
          <w:b/>
          <w:bCs/>
          <w:sz w:val="26"/>
          <w:szCs w:val="26"/>
        </w:rPr>
        <w:t>2.1 Definition</w:t>
      </w:r>
    </w:p>
    <w:p w14:paraId="354AF6E6">
      <w:pPr>
        <w:spacing w:after="200" w:line="276" w:lineRule="auto"/>
      </w:pPr>
      <w:r>
        <w:rPr>
          <w:rFonts w:ascii="Arial" w:hAnsi="Arial" w:eastAsia="Arial" w:cs="Arial"/>
          <w:sz w:val="22"/>
          <w:szCs w:val="22"/>
        </w:rPr>
        <w:t>Relative equal highs (also called equal highs or EQH) occur when two or more swing highs form at approximately the same price level, creating a visually obvious horizontal cluster. Relative equal lows (EQL) are the mirror image on the downside.</w:t>
      </w:r>
    </w:p>
    <w:p w14:paraId="3FF6558A">
      <w:pPr>
        <w:pStyle w:val="3"/>
        <w:spacing w:before="280" w:after="180"/>
      </w:pPr>
      <w:r>
        <w:rPr>
          <w:rFonts w:ascii="Arial" w:hAnsi="Arial" w:eastAsia="Arial" w:cs="Arial"/>
          <w:b/>
          <w:bCs/>
          <w:sz w:val="26"/>
          <w:szCs w:val="26"/>
        </w:rPr>
        <w:t>2.2 Why They Matter</w:t>
      </w:r>
    </w:p>
    <w:p w14:paraId="124B05EB">
      <w:pPr>
        <w:spacing w:after="200" w:line="276" w:lineRule="auto"/>
      </w:pPr>
      <w:r>
        <w:rPr>
          <w:rFonts w:ascii="Arial" w:hAnsi="Arial" w:eastAsia="Arial" w:cs="Arial"/>
          <w:sz w:val="22"/>
          <w:szCs w:val="22"/>
        </w:rPr>
        <w:t>Each additional touch at the same level increases the concentration of resting stops and pending orders. Relative equals are therefore among the highest-density liquidity pools available on a chart. In ICT teaching they are treated as primary magnets rather than as classical “double-top resistance” or “double-bottom support.”</w:t>
      </w:r>
    </w:p>
    <w:p w14:paraId="2C482FB8">
      <w:pPr>
        <w:pStyle w:val="3"/>
        <w:spacing w:before="280" w:after="180"/>
      </w:pPr>
      <w:r>
        <w:rPr>
          <w:rFonts w:ascii="Arial" w:hAnsi="Arial" w:eastAsia="Arial" w:cs="Arial"/>
          <w:b/>
          <w:bCs/>
          <w:sz w:val="26"/>
          <w:szCs w:val="26"/>
        </w:rPr>
        <w:t>2.3 Identification Criteria</w:t>
      </w:r>
    </w:p>
    <w:p w14:paraId="2095EB8F">
      <w:pPr>
        <w:pStyle w:val="16"/>
        <w:numPr>
          <w:ilvl w:val="0"/>
          <w:numId w:val="1"/>
        </w:numPr>
        <w:spacing w:after="120" w:line="276" w:lineRule="auto"/>
      </w:pPr>
      <w:r>
        <w:rPr>
          <w:rFonts w:ascii="Arial" w:hAnsi="Arial" w:eastAsia="Arial" w:cs="Arial"/>
          <w:sz w:val="22"/>
          <w:szCs w:val="22"/>
        </w:rPr>
        <w:t>The highs (or lows) should be obvious at a glance; micro-swings that require zooming do not qualify.</w:t>
      </w:r>
    </w:p>
    <w:p w14:paraId="6B28970E">
      <w:pPr>
        <w:pStyle w:val="16"/>
        <w:numPr>
          <w:ilvl w:val="0"/>
          <w:numId w:val="1"/>
        </w:numPr>
        <w:spacing w:after="120" w:line="276" w:lineRule="auto"/>
      </w:pPr>
      <w:r>
        <w:rPr>
          <w:rFonts w:ascii="Arial" w:hAnsi="Arial" w:eastAsia="Arial" w:cs="Arial"/>
          <w:sz w:val="22"/>
          <w:szCs w:val="22"/>
        </w:rPr>
        <w:t>Separation in time matters: levels formed hours or days apart generally accumulate more stops than levels formed a few candles apart.</w:t>
      </w:r>
    </w:p>
    <w:p w14:paraId="5AB2FED9">
      <w:pPr>
        <w:pStyle w:val="16"/>
        <w:numPr>
          <w:ilvl w:val="0"/>
          <w:numId w:val="1"/>
        </w:numPr>
        <w:spacing w:after="120" w:line="276" w:lineRule="auto"/>
      </w:pPr>
      <w:r>
        <w:rPr>
          <w:rFonts w:ascii="Arial" w:hAnsi="Arial" w:eastAsia="Arial" w:cs="Arial"/>
          <w:sz w:val="22"/>
          <w:szCs w:val="22"/>
        </w:rPr>
        <w:t>Context matters: equals that form at session extremes, previous-day extremes, or higher-timeframe structural points carry extra weight.</w:t>
      </w:r>
    </w:p>
    <w:p w14:paraId="6C60D4EB">
      <w:pPr>
        <w:pStyle w:val="3"/>
        <w:spacing w:before="280" w:after="180"/>
      </w:pPr>
      <w:r>
        <w:rPr>
          <w:rFonts w:ascii="Arial" w:hAnsi="Arial" w:eastAsia="Arial" w:cs="Arial"/>
          <w:b/>
          <w:bCs/>
          <w:sz w:val="26"/>
          <w:szCs w:val="26"/>
        </w:rPr>
        <w:t>2.4 Practical Use</w:t>
      </w:r>
    </w:p>
    <w:p w14:paraId="2F5A4FB9">
      <w:pPr>
        <w:spacing w:after="200" w:line="276" w:lineRule="auto"/>
      </w:pPr>
      <w:r>
        <w:rPr>
          <w:rFonts w:ascii="Arial" w:hAnsi="Arial" w:eastAsia="Arial" w:cs="Arial"/>
          <w:sz w:val="22"/>
          <w:szCs w:val="22"/>
        </w:rPr>
        <w:t>Mark relative equal highs and lows on the higher and intermediate timeframes first. These become candidate Draw-on-Liquidity targets. On the lower timeframe the student watches for the actual sweep (raid) of the pool during a relevant session window.</w:t>
      </w:r>
    </w:p>
    <w:p w14:paraId="09FC560C">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Equal highs and equal lows as liquidity pools are a recurring theme in ICT chart examples and mentorship discussions of liquidity. Community resources consistently elevate them above single swing points because of stop density.</w:t>
      </w:r>
    </w:p>
    <w:p w14:paraId="1997B8CF">
      <w:pPr>
        <w:pStyle w:val="2"/>
        <w:spacing w:before="360" w:after="240"/>
      </w:pPr>
      <w:r>
        <w:rPr>
          <w:rFonts w:ascii="Arial" w:hAnsi="Arial" w:eastAsia="Arial" w:cs="Arial"/>
          <w:b/>
          <w:bCs/>
          <w:sz w:val="32"/>
          <w:szCs w:val="32"/>
        </w:rPr>
        <w:t>3. Short-Term, Intermediate-Term and Long-Term Liquidity</w:t>
      </w:r>
    </w:p>
    <w:p w14:paraId="560FF3E0">
      <w:pPr>
        <w:pStyle w:val="3"/>
        <w:spacing w:before="280" w:after="180"/>
      </w:pPr>
      <w:r>
        <w:rPr>
          <w:rFonts w:ascii="Arial" w:hAnsi="Arial" w:eastAsia="Arial" w:cs="Arial"/>
          <w:b/>
          <w:bCs/>
          <w:sz w:val="26"/>
          <w:szCs w:val="26"/>
        </w:rPr>
        <w:t>3.1 Mapping Hierarchy to Liquidity</w:t>
      </w:r>
    </w:p>
    <w:p w14:paraId="56008DAD">
      <w:pPr>
        <w:spacing w:after="200" w:line="276" w:lineRule="auto"/>
      </w:pPr>
      <w:r>
        <w:rPr>
          <w:rFonts w:ascii="Arial" w:hAnsi="Arial" w:eastAsia="Arial" w:cs="Arial"/>
          <w:sz w:val="22"/>
          <w:szCs w:val="22"/>
        </w:rPr>
        <w:t>Just as swings are hierarchical (Module 1), the liquidity that rests above or below those swings inherits the same hierarchy:</w:t>
      </w:r>
    </w:p>
    <w:p w14:paraId="2AB04E7F">
      <w:pPr>
        <w:pStyle w:val="16"/>
        <w:numPr>
          <w:ilvl w:val="0"/>
          <w:numId w:val="1"/>
        </w:numPr>
        <w:spacing w:after="120" w:line="276" w:lineRule="auto"/>
      </w:pPr>
      <w:r>
        <w:rPr>
          <w:rFonts w:ascii="Arial" w:hAnsi="Arial" w:eastAsia="Arial" w:cs="Arial"/>
          <w:sz w:val="22"/>
          <w:szCs w:val="22"/>
        </w:rPr>
        <w:t>Short-term liquidity — rests above short-term highs or below short-term lows. Frequently taken during normal intraday two-way traffic.</w:t>
      </w:r>
    </w:p>
    <w:p w14:paraId="42F77A4E">
      <w:pPr>
        <w:pStyle w:val="16"/>
        <w:numPr>
          <w:ilvl w:val="0"/>
          <w:numId w:val="1"/>
        </w:numPr>
        <w:spacing w:after="120" w:line="276" w:lineRule="auto"/>
      </w:pPr>
      <w:r>
        <w:rPr>
          <w:rFonts w:ascii="Arial" w:hAnsi="Arial" w:eastAsia="Arial" w:cs="Arial"/>
          <w:sz w:val="22"/>
          <w:szCs w:val="22"/>
        </w:rPr>
        <w:t>Intermediate-term liquidity — rests above intermediate-term highs or below intermediate-term lows. More significant; often the first serious objective after a dealing-range boundary is approached.</w:t>
      </w:r>
    </w:p>
    <w:p w14:paraId="05E4AE14">
      <w:pPr>
        <w:pStyle w:val="16"/>
        <w:numPr>
          <w:ilvl w:val="0"/>
          <w:numId w:val="1"/>
        </w:numPr>
        <w:spacing w:after="120" w:line="276" w:lineRule="auto"/>
      </w:pPr>
      <w:r>
        <w:rPr>
          <w:rFonts w:ascii="Arial" w:hAnsi="Arial" w:eastAsia="Arial" w:cs="Arial"/>
          <w:sz w:val="22"/>
          <w:szCs w:val="22"/>
        </w:rPr>
        <w:t>Long-term liquidity — rests above long-term highs or below long-term lows, or at previous-week / previous-month extremes. These are major narrative targets.</w:t>
      </w:r>
    </w:p>
    <w:p w14:paraId="24E89CED">
      <w:pPr>
        <w:pStyle w:val="3"/>
        <w:spacing w:before="280" w:after="180"/>
      </w:pPr>
      <w:r>
        <w:rPr>
          <w:rFonts w:ascii="Arial" w:hAnsi="Arial" w:eastAsia="Arial" w:cs="Arial"/>
          <w:b/>
          <w:bCs/>
          <w:sz w:val="26"/>
          <w:szCs w:val="26"/>
        </w:rPr>
        <w:t>3.2 Practical Filtering</w:t>
      </w:r>
    </w:p>
    <w:p w14:paraId="62218103">
      <w:pPr>
        <w:spacing w:after="200" w:line="276" w:lineRule="auto"/>
      </w:pPr>
      <w:r>
        <w:rPr>
          <w:rFonts w:ascii="Arial" w:hAnsi="Arial" w:eastAsia="Arial" w:cs="Arial"/>
          <w:sz w:val="22"/>
          <w:szCs w:val="22"/>
        </w:rPr>
        <w:t>A short-term liquidity pool inside a dealing range is usually an internal-range objective. A long-term liquidity pool beyond the dealing-range boundary is an external-range objective. Mixing the two without regard to hierarchy leads to premature profit-taking or unrealistic target expectations.</w:t>
      </w:r>
    </w:p>
    <w:p w14:paraId="63BCE014">
      <w:pPr>
        <w:pStyle w:val="2"/>
        <w:spacing w:before="360" w:after="240"/>
      </w:pPr>
      <w:r>
        <w:rPr>
          <w:rFonts w:ascii="Arial" w:hAnsi="Arial" w:eastAsia="Arial" w:cs="Arial"/>
          <w:b/>
          <w:bCs/>
          <w:sz w:val="32"/>
          <w:szCs w:val="32"/>
        </w:rPr>
        <w:t>4. Internal-Range Liquidity vs External-Range Liquidity (Deepened)</w:t>
      </w:r>
    </w:p>
    <w:p w14:paraId="2CA7322E">
      <w:pPr>
        <w:pStyle w:val="3"/>
        <w:spacing w:before="280" w:after="180"/>
      </w:pPr>
      <w:r>
        <w:rPr>
          <w:rFonts w:ascii="Arial" w:hAnsi="Arial" w:eastAsia="Arial" w:cs="Arial"/>
          <w:b/>
          <w:bCs/>
          <w:sz w:val="26"/>
          <w:szCs w:val="26"/>
        </w:rPr>
        <w:t>4.1 Recap from Module 1</w:t>
      </w:r>
    </w:p>
    <w:p w14:paraId="2E7BB88D">
      <w:pPr>
        <w:spacing w:after="200" w:line="276" w:lineRule="auto"/>
      </w:pPr>
      <w:r>
        <w:rPr>
          <w:rFonts w:ascii="Arial" w:hAnsi="Arial" w:eastAsia="Arial" w:cs="Arial"/>
          <w:sz w:val="22"/>
          <w:szCs w:val="22"/>
        </w:rPr>
        <w:t>Internal-range liquidity (IRL) resides inside the active dealing range. External-range liquidity (ERL) resides beyond the range high or range low.</w:t>
      </w:r>
    </w:p>
    <w:p w14:paraId="5542A474">
      <w:pPr>
        <w:pStyle w:val="3"/>
        <w:spacing w:before="280" w:after="180"/>
      </w:pPr>
      <w:r>
        <w:rPr>
          <w:rFonts w:ascii="Arial" w:hAnsi="Arial" w:eastAsia="Arial" w:cs="Arial"/>
          <w:b/>
          <w:bCs/>
          <w:sz w:val="26"/>
          <w:szCs w:val="26"/>
        </w:rPr>
        <w:t>4.2 Typical Contents</w:t>
      </w:r>
    </w:p>
    <w:p w14:paraId="7EF2C03E">
      <w:pPr>
        <w:spacing w:after="200" w:line="276" w:lineRule="auto"/>
      </w:pPr>
      <w:r>
        <w:rPr>
          <w:rFonts w:ascii="Arial" w:hAnsi="Arial" w:eastAsia="Arial" w:cs="Arial"/>
          <w:sz w:val="22"/>
          <w:szCs w:val="22"/>
        </w:rPr>
        <w:t>IRL commonly includes: Fair Value Gaps, unmitigated Order Blocks, short-term and intermediate-term swing points, relative equal highs/lows that formed inside the range, previous-day or session extremes that still lie inside the larger range.</w:t>
      </w:r>
    </w:p>
    <w:p w14:paraId="463A6151">
      <w:pPr>
        <w:spacing w:after="200" w:line="276" w:lineRule="auto"/>
      </w:pPr>
      <w:r>
        <w:rPr>
          <w:rFonts w:ascii="Arial" w:hAnsi="Arial" w:eastAsia="Arial" w:cs="Arial"/>
          <w:sz w:val="22"/>
          <w:szCs w:val="22"/>
        </w:rPr>
        <w:t>ERL commonly includes: the range high and range low themselves (and the stops beyond them), previous-week and previous-month extremes, long-term swing points, and any relative equal highs/lows that sit outside the current dealing range.</w:t>
      </w:r>
    </w:p>
    <w:p w14:paraId="522BCC11">
      <w:pPr>
        <w:pStyle w:val="3"/>
        <w:spacing w:before="280" w:after="180"/>
      </w:pPr>
      <w:r>
        <w:rPr>
          <w:rFonts w:ascii="Arial" w:hAnsi="Arial" w:eastAsia="Arial" w:cs="Arial"/>
          <w:b/>
          <w:bCs/>
          <w:sz w:val="26"/>
          <w:szCs w:val="26"/>
        </w:rPr>
        <w:t>4.3 Delivery Sequences</w:t>
      </w:r>
    </w:p>
    <w:p w14:paraId="321AC134">
      <w:pPr>
        <w:spacing w:after="200" w:line="276" w:lineRule="auto"/>
      </w:pPr>
      <w:r>
        <w:rPr>
          <w:rFonts w:ascii="Arial" w:hAnsi="Arial" w:eastAsia="Arial" w:cs="Arial"/>
          <w:sz w:val="22"/>
          <w:szCs w:val="22"/>
        </w:rPr>
        <w:t>Two frequent sequences appear in ICT examples:</w:t>
      </w:r>
    </w:p>
    <w:p w14:paraId="322C6169">
      <w:pPr>
        <w:pStyle w:val="16"/>
        <w:numPr>
          <w:ilvl w:val="0"/>
          <w:numId w:val="1"/>
        </w:numPr>
        <w:spacing w:after="120" w:line="276" w:lineRule="auto"/>
      </w:pPr>
      <w:r>
        <w:rPr>
          <w:rFonts w:ascii="Arial" w:hAnsi="Arial" w:eastAsia="Arial" w:cs="Arial"/>
          <w:sz w:val="22"/>
          <w:szCs w:val="22"/>
        </w:rPr>
        <w:t>ERL → IRL → ERL: Price raids one external pool, returns into the range to address internal inefficiencies or PD arrays, then expands toward the opposite external pool.</w:t>
      </w:r>
    </w:p>
    <w:p w14:paraId="1EDD2BCE">
      <w:pPr>
        <w:pStyle w:val="16"/>
        <w:numPr>
          <w:ilvl w:val="0"/>
          <w:numId w:val="1"/>
        </w:numPr>
        <w:spacing w:after="120" w:line="276" w:lineRule="auto"/>
      </w:pPr>
      <w:r>
        <w:rPr>
          <w:rFonts w:ascii="Arial" w:hAnsi="Arial" w:eastAsia="Arial" w:cs="Arial"/>
          <w:sz w:val="22"/>
          <w:szCs w:val="22"/>
        </w:rPr>
        <w:t>IRL → ERL: Price first clears internal objectives (or rebalances internal gaps) and then expands to the external target.</w:t>
      </w:r>
    </w:p>
    <w:p w14:paraId="57CBC8BE">
      <w:pPr>
        <w:spacing w:after="200" w:line="276" w:lineRule="auto"/>
      </w:pPr>
      <w:r>
        <w:rPr>
          <w:rFonts w:ascii="Arial" w:hAnsi="Arial" w:eastAsia="Arial" w:cs="Arial"/>
          <w:sz w:val="22"/>
          <w:szCs w:val="22"/>
        </w:rPr>
        <w:t>Recognising which sequence is in play prevents the trader from treating every internal reaction as a full reversal or every external raid as the end of the move.</w:t>
      </w:r>
    </w:p>
    <w:p w14:paraId="1BA72901">
      <w:pPr>
        <w:pStyle w:val="2"/>
        <w:spacing w:before="360" w:after="240"/>
      </w:pPr>
      <w:r>
        <w:rPr>
          <w:rFonts w:ascii="Arial" w:hAnsi="Arial" w:eastAsia="Arial" w:cs="Arial"/>
          <w:b/>
          <w:bCs/>
          <w:sz w:val="32"/>
          <w:szCs w:val="32"/>
        </w:rPr>
        <w:t>5. The Draw on Liquidity (DOL)</w:t>
      </w:r>
    </w:p>
    <w:p w14:paraId="3BBFE230">
      <w:pPr>
        <w:pStyle w:val="3"/>
        <w:spacing w:before="280" w:after="180"/>
      </w:pPr>
      <w:r>
        <w:rPr>
          <w:rFonts w:ascii="Arial" w:hAnsi="Arial" w:eastAsia="Arial" w:cs="Arial"/>
          <w:b/>
          <w:bCs/>
          <w:sz w:val="26"/>
          <w:szCs w:val="26"/>
        </w:rPr>
        <w:t>5.1 Definition</w:t>
      </w:r>
    </w:p>
    <w:p w14:paraId="3153439D">
      <w:pPr>
        <w:spacing w:after="200" w:line="276" w:lineRule="auto"/>
      </w:pPr>
      <w:r>
        <w:rPr>
          <w:rFonts w:ascii="Arial" w:hAnsi="Arial" w:eastAsia="Arial" w:cs="Arial"/>
          <w:sz w:val="22"/>
          <w:szCs w:val="22"/>
        </w:rPr>
        <w:t>The Draw on Liquidity is the specific liquidity pool (or sequence of pools) that the market is most likely seeking next, given the higher-timeframe narrative, the active dealing range, and the most recent liquidity event. It is the anticipatory target the trader defines before price arrives.</w:t>
      </w:r>
    </w:p>
    <w:p w14:paraId="731260AB">
      <w:pPr>
        <w:pStyle w:val="3"/>
        <w:spacing w:before="280" w:after="180"/>
      </w:pPr>
      <w:r>
        <w:rPr>
          <w:rFonts w:ascii="Arial" w:hAnsi="Arial" w:eastAsia="Arial" w:cs="Arial"/>
          <w:b/>
          <w:bCs/>
          <w:sz w:val="26"/>
          <w:szCs w:val="26"/>
        </w:rPr>
        <w:t>5.2 How to Determine the DOL (Practical Process)</w:t>
      </w:r>
    </w:p>
    <w:p w14:paraId="35591415">
      <w:pPr>
        <w:pStyle w:val="16"/>
        <w:numPr>
          <w:ilvl w:val="0"/>
          <w:numId w:val="3"/>
        </w:numPr>
        <w:spacing w:after="120" w:line="276" w:lineRule="auto"/>
      </w:pPr>
      <w:r>
        <w:rPr>
          <w:rFonts w:ascii="Arial" w:hAnsi="Arial" w:eastAsia="Arial" w:cs="Arial"/>
          <w:sz w:val="22"/>
          <w:szCs w:val="22"/>
        </w:rPr>
        <w:t>Establish higher-timeframe bias and the large dealing range (daily / 4-hour).</w:t>
      </w:r>
    </w:p>
    <w:p w14:paraId="7836B8BA">
      <w:pPr>
        <w:pStyle w:val="16"/>
        <w:numPr>
          <w:ilvl w:val="0"/>
          <w:numId w:val="3"/>
        </w:numPr>
        <w:spacing w:after="120" w:line="276" w:lineRule="auto"/>
      </w:pPr>
      <w:r>
        <w:rPr>
          <w:rFonts w:ascii="Arial" w:hAnsi="Arial" w:eastAsia="Arial" w:cs="Arial"/>
          <w:sz w:val="22"/>
          <w:szCs w:val="22"/>
        </w:rPr>
        <w:t>Mark the most obvious untouched or lightly tested pools: previous-day high/low, previous-week high/low, relative equal highs/lows, major swing points, and any large unfilled higher-timeframe Fair Value Gaps that act as magnets.</w:t>
      </w:r>
    </w:p>
    <w:p w14:paraId="66FF413D">
      <w:pPr>
        <w:pStyle w:val="16"/>
        <w:numPr>
          <w:ilvl w:val="0"/>
          <w:numId w:val="3"/>
        </w:numPr>
        <w:spacing w:after="120" w:line="276" w:lineRule="auto"/>
      </w:pPr>
      <w:r>
        <w:rPr>
          <w:rFonts w:ascii="Arial" w:hAnsi="Arial" w:eastAsia="Arial" w:cs="Arial"/>
          <w:sz w:val="22"/>
          <w:szCs w:val="22"/>
        </w:rPr>
        <w:t>Ask which side of liquidity is consistent with the bias and the current location relative to equilibrium. In discount with a bullish bias, the natural draw is usually buy-side above. In premium with a bearish bias, the natural draw is usually sell-side below.</w:t>
      </w:r>
    </w:p>
    <w:p w14:paraId="5C65A100">
      <w:pPr>
        <w:pStyle w:val="16"/>
        <w:numPr>
          <w:ilvl w:val="0"/>
          <w:numId w:val="3"/>
        </w:numPr>
        <w:spacing w:after="120" w:line="276" w:lineRule="auto"/>
      </w:pPr>
      <w:r>
        <w:rPr>
          <w:rFonts w:ascii="Arial" w:hAnsi="Arial" w:eastAsia="Arial" w:cs="Arial"/>
          <w:sz w:val="22"/>
          <w:szCs w:val="22"/>
        </w:rPr>
        <w:t>Decide whether the immediate objective is internal or external relative to the operating dealing range.</w:t>
      </w:r>
    </w:p>
    <w:p w14:paraId="6CA8FC69">
      <w:pPr>
        <w:pStyle w:val="16"/>
        <w:numPr>
          <w:ilvl w:val="0"/>
          <w:numId w:val="3"/>
        </w:numPr>
        <w:spacing w:after="120" w:line="276" w:lineRule="auto"/>
      </w:pPr>
      <w:r>
        <w:rPr>
          <w:rFonts w:ascii="Arial" w:hAnsi="Arial" w:eastAsia="Arial" w:cs="Arial"/>
          <w:sz w:val="22"/>
          <w:szCs w:val="22"/>
        </w:rPr>
        <w:t>Write the DOL down before the session. This becomes the primary target framework for the day.</w:t>
      </w:r>
    </w:p>
    <w:p w14:paraId="1EEB2305">
      <w:pPr>
        <w:pStyle w:val="3"/>
        <w:spacing w:before="280" w:after="180"/>
      </w:pPr>
      <w:r>
        <w:rPr>
          <w:rFonts w:ascii="Arial" w:hAnsi="Arial" w:eastAsia="Arial" w:cs="Arial"/>
          <w:b/>
          <w:bCs/>
          <w:sz w:val="26"/>
          <w:szCs w:val="26"/>
        </w:rPr>
        <w:t>5.3 Important Qualification</w:t>
      </w:r>
    </w:p>
    <w:p w14:paraId="27CF07B0">
      <w:pPr>
        <w:spacing w:after="200" w:line="276" w:lineRule="auto"/>
      </w:pPr>
      <w:r>
        <w:rPr>
          <w:rFonts w:ascii="Arial" w:hAnsi="Arial" w:eastAsia="Arial" w:cs="Arial"/>
          <w:sz w:val="22"/>
          <w:szCs w:val="22"/>
        </w:rPr>
        <w:t>The DOL is a reasoned expectation, not a guarantee. If price fails to progress toward the stated draw and instead expands in the opposite direction with displacement, the narrative must be reassessed.</w:t>
      </w:r>
    </w:p>
    <w:p w14:paraId="5AB6C9BE">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“Draw on liquidity” and the instruction to know the draw before engaging are central themes in ICT mentorship content. Public lectures and chart examples repeatedly emphasise identifying the next liquidity objective in advance.</w:t>
      </w:r>
    </w:p>
    <w:p w14:paraId="6591515D">
      <w:pPr>
        <w:pStyle w:val="2"/>
        <w:spacing w:before="360" w:after="240"/>
      </w:pPr>
      <w:r>
        <w:rPr>
          <w:rFonts w:ascii="Arial" w:hAnsi="Arial" w:eastAsia="Arial" w:cs="Arial"/>
          <w:b/>
          <w:bCs/>
          <w:sz w:val="32"/>
          <w:szCs w:val="32"/>
        </w:rPr>
        <w:t>6. Liquidity Target Selection</w:t>
      </w:r>
    </w:p>
    <w:p w14:paraId="09D21020">
      <w:pPr>
        <w:pStyle w:val="3"/>
        <w:spacing w:before="280" w:after="180"/>
      </w:pPr>
      <w:r>
        <w:rPr>
          <w:rFonts w:ascii="Arial" w:hAnsi="Arial" w:eastAsia="Arial" w:cs="Arial"/>
          <w:b/>
          <w:bCs/>
          <w:sz w:val="26"/>
          <w:szCs w:val="26"/>
        </w:rPr>
        <w:t>6.1 Priority Order (Practical Heuristic)</w:t>
      </w:r>
    </w:p>
    <w:p w14:paraId="189BB598">
      <w:pPr>
        <w:spacing w:after="200" w:line="276" w:lineRule="auto"/>
      </w:pPr>
      <w:r>
        <w:rPr>
          <w:rFonts w:ascii="Arial" w:hAnsi="Arial" w:eastAsia="Arial" w:cs="Arial"/>
          <w:sz w:val="22"/>
          <w:szCs w:val="22"/>
        </w:rPr>
        <w:t>When multiple pools compete, the following order of consideration is useful:</w:t>
      </w:r>
    </w:p>
    <w:p w14:paraId="035207CF">
      <w:pPr>
        <w:pStyle w:val="16"/>
        <w:numPr>
          <w:ilvl w:val="0"/>
          <w:numId w:val="2"/>
        </w:numPr>
        <w:spacing w:after="120" w:line="276" w:lineRule="auto"/>
      </w:pPr>
      <w:r>
        <w:rPr>
          <w:rFonts w:ascii="Arial" w:hAnsi="Arial" w:eastAsia="Arial" w:cs="Arial"/>
          <w:sz w:val="22"/>
          <w:szCs w:val="22"/>
        </w:rPr>
        <w:t>Higher-timeframe pools over lower-timeframe pools.</w:t>
      </w:r>
    </w:p>
    <w:p w14:paraId="1EA9051D">
      <w:pPr>
        <w:pStyle w:val="16"/>
        <w:numPr>
          <w:ilvl w:val="0"/>
          <w:numId w:val="2"/>
        </w:numPr>
        <w:spacing w:after="120" w:line="276" w:lineRule="auto"/>
      </w:pPr>
      <w:r>
        <w:rPr>
          <w:rFonts w:ascii="Arial" w:hAnsi="Arial" w:eastAsia="Arial" w:cs="Arial"/>
          <w:sz w:val="22"/>
          <w:szCs w:val="22"/>
        </w:rPr>
        <w:t>Relative equal highs/lows over single swing points of the same timeframe.</w:t>
      </w:r>
    </w:p>
    <w:p w14:paraId="3DCA704A">
      <w:pPr>
        <w:pStyle w:val="16"/>
        <w:numPr>
          <w:ilvl w:val="0"/>
          <w:numId w:val="2"/>
        </w:numPr>
        <w:spacing w:after="120" w:line="276" w:lineRule="auto"/>
      </w:pPr>
      <w:r>
        <w:rPr>
          <w:rFonts w:ascii="Arial" w:hAnsi="Arial" w:eastAsia="Arial" w:cs="Arial"/>
          <w:sz w:val="22"/>
          <w:szCs w:val="22"/>
        </w:rPr>
        <w:t>Pools that have not been tested (or have been only lightly tested) over pools that have already been raided multiple times.</w:t>
      </w:r>
    </w:p>
    <w:p w14:paraId="1B2022F9">
      <w:pPr>
        <w:pStyle w:val="16"/>
        <w:numPr>
          <w:ilvl w:val="0"/>
          <w:numId w:val="2"/>
        </w:numPr>
        <w:spacing w:after="120" w:line="276" w:lineRule="auto"/>
      </w:pPr>
      <w:r>
        <w:rPr>
          <w:rFonts w:ascii="Arial" w:hAnsi="Arial" w:eastAsia="Arial" w:cs="Arial"/>
          <w:sz w:val="22"/>
          <w:szCs w:val="22"/>
        </w:rPr>
        <w:t>Pools aligned with the higher-timeframe narrative and the current premium/discount location over pools that require price to move against the larger story.</w:t>
      </w:r>
    </w:p>
    <w:p w14:paraId="28A734E2">
      <w:pPr>
        <w:pStyle w:val="16"/>
        <w:numPr>
          <w:ilvl w:val="0"/>
          <w:numId w:val="2"/>
        </w:numPr>
        <w:spacing w:after="120" w:line="276" w:lineRule="auto"/>
      </w:pPr>
      <w:r>
        <w:rPr>
          <w:rFonts w:ascii="Arial" w:hAnsi="Arial" w:eastAsia="Arial" w:cs="Arial"/>
          <w:sz w:val="22"/>
          <w:szCs w:val="22"/>
        </w:rPr>
        <w:t>Pools that sit at or beyond dealing-range boundaries (ERL) as fuller thesis targets; internal pools (IRL) as intermediate or partial-profit objectives.</w:t>
      </w:r>
    </w:p>
    <w:p w14:paraId="401EC0E7">
      <w:pPr>
        <w:pStyle w:val="3"/>
        <w:spacing w:before="280" w:after="180"/>
      </w:pPr>
      <w:r>
        <w:rPr>
          <w:rFonts w:ascii="Arial" w:hAnsi="Arial" w:eastAsia="Arial" w:cs="Arial"/>
          <w:b/>
          <w:bCs/>
          <w:sz w:val="26"/>
          <w:szCs w:val="26"/>
        </w:rPr>
        <w:t>6.2 Dual-Target Habit</w:t>
      </w:r>
    </w:p>
    <w:p w14:paraId="15427D0E">
      <w:pPr>
        <w:spacing w:after="200" w:line="276" w:lineRule="auto"/>
      </w:pPr>
      <w:r>
        <w:rPr>
          <w:rFonts w:ascii="Arial" w:hAnsi="Arial" w:eastAsia="Arial" w:cs="Arial"/>
          <w:sz w:val="22"/>
          <w:szCs w:val="22"/>
        </w:rPr>
        <w:t>High-quality intermediate practice is to define both an internal-range target (T1) and an external-range target (T2) before entry. This keeps management decisions mechanical rather than emotional.</w:t>
      </w:r>
    </w:p>
    <w:p w14:paraId="4B490952">
      <w:pPr>
        <w:pStyle w:val="2"/>
        <w:spacing w:before="360" w:after="240"/>
      </w:pPr>
      <w:r>
        <w:rPr>
          <w:rFonts w:ascii="Arial" w:hAnsi="Arial" w:eastAsia="Arial" w:cs="Arial"/>
          <w:b/>
          <w:bCs/>
          <w:sz w:val="32"/>
          <w:szCs w:val="32"/>
        </w:rPr>
        <w:t>7. Sequential Liquidity Objectives</w:t>
      </w:r>
    </w:p>
    <w:p w14:paraId="69F04EF7">
      <w:pPr>
        <w:pStyle w:val="3"/>
        <w:spacing w:before="280" w:after="180"/>
      </w:pPr>
      <w:r>
        <w:rPr>
          <w:rFonts w:ascii="Arial" w:hAnsi="Arial" w:eastAsia="Arial" w:cs="Arial"/>
          <w:b/>
          <w:bCs/>
          <w:sz w:val="26"/>
          <w:szCs w:val="26"/>
        </w:rPr>
        <w:t>7.1 The Principle</w:t>
      </w:r>
    </w:p>
    <w:p w14:paraId="4A36805E">
      <w:pPr>
        <w:spacing w:after="200" w:line="276" w:lineRule="auto"/>
      </w:pPr>
      <w:r>
        <w:rPr>
          <w:rFonts w:ascii="Arial" w:hAnsi="Arial" w:eastAsia="Arial" w:cs="Arial"/>
          <w:sz w:val="22"/>
          <w:szCs w:val="22"/>
        </w:rPr>
        <w:t>Price does not usually jump from one major external pool to the opposite external pool without addressing intermediate objectives. Mapping the expected sequence reduces the temptation to exit too early or to hold through an unexpected internal reaction.</w:t>
      </w:r>
    </w:p>
    <w:p w14:paraId="7C671A37">
      <w:pPr>
        <w:pStyle w:val="3"/>
        <w:spacing w:before="280" w:after="180"/>
      </w:pPr>
      <w:r>
        <w:rPr>
          <w:rFonts w:ascii="Arial" w:hAnsi="Arial" w:eastAsia="Arial" w:cs="Arial"/>
          <w:b/>
          <w:bCs/>
          <w:sz w:val="26"/>
          <w:szCs w:val="26"/>
        </w:rPr>
        <w:t>7.2 Example Sequence (Bullish)</w:t>
      </w:r>
    </w:p>
    <w:p w14:paraId="31478315">
      <w:pPr>
        <w:spacing w:after="200" w:line="276" w:lineRule="auto"/>
      </w:pPr>
      <w:r>
        <w:rPr>
          <w:rFonts w:ascii="Arial" w:hAnsi="Arial" w:eastAsia="Arial" w:cs="Arial"/>
          <w:sz w:val="22"/>
          <w:szCs w:val="22"/>
        </w:rPr>
        <w:t>1. Sell-side external liquidity is raided (SSL below a dealing-range low or a significant prior low).</w:t>
      </w:r>
    </w:p>
    <w:p w14:paraId="02C5C97A">
      <w:pPr>
        <w:spacing w:after="200" w:line="276" w:lineRule="auto"/>
      </w:pPr>
      <w:r>
        <w:rPr>
          <w:rFonts w:ascii="Arial" w:hAnsi="Arial" w:eastAsia="Arial" w:cs="Arial"/>
          <w:sz w:val="22"/>
          <w:szCs w:val="22"/>
        </w:rPr>
        <w:t>2. Displacement higher and Market Structure Shift occur.</w:t>
      </w:r>
    </w:p>
    <w:p w14:paraId="77046836">
      <w:pPr>
        <w:spacing w:after="200" w:line="276" w:lineRule="auto"/>
      </w:pPr>
      <w:r>
        <w:rPr>
          <w:rFonts w:ascii="Arial" w:hAnsi="Arial" w:eastAsia="Arial" w:cs="Arial"/>
          <w:sz w:val="22"/>
          <w:szCs w:val="22"/>
        </w:rPr>
        <w:t>3. Price retraces into an internal PD array (FVG / Order Block) that sits in discount.</w:t>
      </w:r>
    </w:p>
    <w:p w14:paraId="2FCD5626">
      <w:pPr>
        <w:spacing w:after="200" w:line="276" w:lineRule="auto"/>
      </w:pPr>
      <w:r>
        <w:rPr>
          <w:rFonts w:ascii="Arial" w:hAnsi="Arial" w:eastAsia="Arial" w:cs="Arial"/>
          <w:sz w:val="22"/>
          <w:szCs w:val="22"/>
        </w:rPr>
        <w:t>4. Continuation expands first toward internal buy-side objectives (relative equal highs or short-term highs inside the range).</w:t>
      </w:r>
    </w:p>
    <w:p w14:paraId="450132E2">
      <w:pPr>
        <w:spacing w:after="200" w:line="276" w:lineRule="auto"/>
      </w:pPr>
      <w:r>
        <w:rPr>
          <w:rFonts w:ascii="Arial" w:hAnsi="Arial" w:eastAsia="Arial" w:cs="Arial"/>
          <w:sz w:val="22"/>
          <w:szCs w:val="22"/>
        </w:rPr>
        <w:t>5. Further expansion targets the external buy-side liquidity above the dealing-range high or the next long-term high.</w:t>
      </w:r>
    </w:p>
    <w:p w14:paraId="47E367ED">
      <w:pPr>
        <w:pStyle w:val="3"/>
        <w:spacing w:before="280" w:after="180"/>
      </w:pPr>
      <w:r>
        <w:rPr>
          <w:rFonts w:ascii="Arial" w:hAnsi="Arial" w:eastAsia="Arial" w:cs="Arial"/>
          <w:b/>
          <w:bCs/>
          <w:sz w:val="26"/>
          <w:szCs w:val="26"/>
        </w:rPr>
        <w:t>7.3 Example Sequence (Bearish)</w:t>
      </w:r>
    </w:p>
    <w:p w14:paraId="2159BA2B">
      <w:pPr>
        <w:spacing w:after="200" w:line="276" w:lineRule="auto"/>
      </w:pPr>
      <w:r>
        <w:rPr>
          <w:rFonts w:ascii="Arial" w:hAnsi="Arial" w:eastAsia="Arial" w:cs="Arial"/>
          <w:sz w:val="22"/>
          <w:szCs w:val="22"/>
        </w:rPr>
        <w:t>Mirror the above: BSL raid → bearish displacement / MSS → retracement into premium PD array → expansion toward internal sell-side objectives → expansion toward external sell-side liquidity.</w:t>
      </w:r>
    </w:p>
    <w:p w14:paraId="64372467">
      <w:pPr>
        <w:pStyle w:val="2"/>
        <w:spacing w:before="360" w:after="240"/>
      </w:pPr>
      <w:r>
        <w:rPr>
          <w:rFonts w:ascii="Arial" w:hAnsi="Arial" w:eastAsia="Arial" w:cs="Arial"/>
          <w:b/>
          <w:bCs/>
          <w:sz w:val="32"/>
          <w:szCs w:val="32"/>
        </w:rPr>
        <w:t>8. Liquidity Raid vs Liquidity Continuation</w:t>
      </w:r>
    </w:p>
    <w:p w14:paraId="735E1B08">
      <w:pPr>
        <w:pStyle w:val="3"/>
        <w:spacing w:before="280" w:after="180"/>
      </w:pPr>
      <w:r>
        <w:rPr>
          <w:rFonts w:ascii="Arial" w:hAnsi="Arial" w:eastAsia="Arial" w:cs="Arial"/>
          <w:b/>
          <w:bCs/>
          <w:sz w:val="26"/>
          <w:szCs w:val="26"/>
        </w:rPr>
        <w:t>8.1 Liquidity Raid (Stop-Hunt / Reversal Context)</w:t>
      </w:r>
    </w:p>
    <w:p w14:paraId="2C08BFFA">
      <w:pPr>
        <w:spacing w:after="200" w:line="276" w:lineRule="auto"/>
      </w:pPr>
      <w:r>
        <w:rPr>
          <w:rFonts w:ascii="Arial" w:hAnsi="Arial" w:eastAsia="Arial" w:cs="Arial"/>
          <w:sz w:val="22"/>
          <w:szCs w:val="22"/>
        </w:rPr>
        <w:t>A liquidity raid occurs when price runs a pool (often with a wick) and then reverses with displacement, leaving the pool behind. The raid supplies the liquidity that allows the larger participants to fill orders in the opposite direction. Classic characteristics:</w:t>
      </w:r>
    </w:p>
    <w:p w14:paraId="7F86C046">
      <w:pPr>
        <w:pStyle w:val="16"/>
        <w:numPr>
          <w:ilvl w:val="0"/>
          <w:numId w:val="1"/>
        </w:numPr>
        <w:spacing w:after="120" w:line="276" w:lineRule="auto"/>
      </w:pPr>
      <w:r>
        <w:rPr>
          <w:rFonts w:ascii="Arial" w:hAnsi="Arial" w:eastAsia="Arial" w:cs="Arial"/>
          <w:sz w:val="22"/>
          <w:szCs w:val="22"/>
        </w:rPr>
        <w:t>Sharp push through the level followed by a close back inside the prior range or a clear rejection.</w:t>
      </w:r>
    </w:p>
    <w:p w14:paraId="24549067">
      <w:pPr>
        <w:pStyle w:val="16"/>
        <w:numPr>
          <w:ilvl w:val="0"/>
          <w:numId w:val="1"/>
        </w:numPr>
        <w:spacing w:after="120" w:line="276" w:lineRule="auto"/>
      </w:pPr>
      <w:r>
        <w:rPr>
          <w:rFonts w:ascii="Arial" w:hAnsi="Arial" w:eastAsia="Arial" w:cs="Arial"/>
          <w:sz w:val="22"/>
          <w:szCs w:val="22"/>
        </w:rPr>
        <w:t>Subsequent Market Structure Shift against the direction of the raid.</w:t>
      </w:r>
    </w:p>
    <w:p w14:paraId="1F0E5EE9">
      <w:pPr>
        <w:pStyle w:val="16"/>
        <w:numPr>
          <w:ilvl w:val="0"/>
          <w:numId w:val="1"/>
        </w:numPr>
        <w:spacing w:after="120" w:line="276" w:lineRule="auto"/>
      </w:pPr>
      <w:r>
        <w:rPr>
          <w:rFonts w:ascii="Arial" w:hAnsi="Arial" w:eastAsia="Arial" w:cs="Arial"/>
          <w:sz w:val="22"/>
          <w:szCs w:val="22"/>
        </w:rPr>
        <w:t>Often occurs at a higher-timeframe PD array or at a dealing-range boundary that is expected to hold.</w:t>
      </w:r>
    </w:p>
    <w:p w14:paraId="688EBE4D">
      <w:pPr>
        <w:pStyle w:val="3"/>
        <w:spacing w:before="280" w:after="180"/>
      </w:pPr>
      <w:r>
        <w:rPr>
          <w:rFonts w:ascii="Arial" w:hAnsi="Arial" w:eastAsia="Arial" w:cs="Arial"/>
          <w:b/>
          <w:bCs/>
          <w:sz w:val="26"/>
          <w:szCs w:val="26"/>
        </w:rPr>
        <w:t>8.2 Liquidity Continuation</w:t>
      </w:r>
    </w:p>
    <w:p w14:paraId="428792A3">
      <w:pPr>
        <w:spacing w:after="200" w:line="276" w:lineRule="auto"/>
      </w:pPr>
      <w:r>
        <w:rPr>
          <w:rFonts w:ascii="Arial" w:hAnsi="Arial" w:eastAsia="Arial" w:cs="Arial"/>
          <w:sz w:val="22"/>
          <w:szCs w:val="22"/>
        </w:rPr>
        <w:t>Liquidity continuation occurs when price runs a pool and keeps going, treating the pool as fuel rather than as a turning point. Characteristics:</w:t>
      </w:r>
    </w:p>
    <w:p w14:paraId="36F0C5D3">
      <w:pPr>
        <w:pStyle w:val="16"/>
        <w:numPr>
          <w:ilvl w:val="0"/>
          <w:numId w:val="1"/>
        </w:numPr>
        <w:spacing w:after="120" w:line="276" w:lineRule="auto"/>
      </w:pPr>
      <w:r>
        <w:rPr>
          <w:rFonts w:ascii="Arial" w:hAnsi="Arial" w:eastAsia="Arial" w:cs="Arial"/>
          <w:sz w:val="22"/>
          <w:szCs w:val="22"/>
        </w:rPr>
        <w:t>Strong displacement through the level with little or no immediate reclaim.</w:t>
      </w:r>
    </w:p>
    <w:p w14:paraId="78001065">
      <w:pPr>
        <w:pStyle w:val="16"/>
        <w:numPr>
          <w:ilvl w:val="0"/>
          <w:numId w:val="1"/>
        </w:numPr>
        <w:spacing w:after="120" w:line="276" w:lineRule="auto"/>
      </w:pPr>
      <w:r>
        <w:rPr>
          <w:rFonts w:ascii="Arial" w:hAnsi="Arial" w:eastAsia="Arial" w:cs="Arial"/>
          <w:sz w:val="22"/>
          <w:szCs w:val="22"/>
        </w:rPr>
        <w:t>The run is aligned with the higher-timeframe narrative and the current expansion phase.</w:t>
      </w:r>
    </w:p>
    <w:p w14:paraId="2AB90948">
      <w:pPr>
        <w:pStyle w:val="16"/>
        <w:numPr>
          <w:ilvl w:val="0"/>
          <w:numId w:val="1"/>
        </w:numPr>
        <w:spacing w:after="120" w:line="276" w:lineRule="auto"/>
      </w:pPr>
      <w:r>
        <w:rPr>
          <w:rFonts w:ascii="Arial" w:hAnsi="Arial" w:eastAsia="Arial" w:cs="Arial"/>
          <w:sz w:val="22"/>
          <w:szCs w:val="22"/>
        </w:rPr>
        <w:t>Internal structure continues to print in the direction of the run.</w:t>
      </w:r>
    </w:p>
    <w:p w14:paraId="4D2FD4A3">
      <w:pPr>
        <w:pStyle w:val="3"/>
        <w:spacing w:before="280" w:after="180"/>
      </w:pPr>
      <w:r>
        <w:rPr>
          <w:rFonts w:ascii="Arial" w:hAnsi="Arial" w:eastAsia="Arial" w:cs="Arial"/>
          <w:b/>
          <w:bCs/>
          <w:sz w:val="26"/>
          <w:szCs w:val="26"/>
        </w:rPr>
        <w:t>8.3 How to Distinguish in Practice</w:t>
      </w:r>
    </w:p>
    <w:p w14:paraId="6A591877">
      <w:pPr>
        <w:spacing w:after="200" w:line="276" w:lineRule="auto"/>
      </w:pPr>
      <w:r>
        <w:rPr>
          <w:rFonts w:ascii="Arial" w:hAnsi="Arial" w:eastAsia="Arial" w:cs="Arial"/>
          <w:sz w:val="22"/>
          <w:szCs w:val="22"/>
        </w:rPr>
        <w:t>The distinction is made by context, not by the mere fact that a high or low was taken:</w:t>
      </w:r>
    </w:p>
    <w:p w14:paraId="1DAEC2BF">
      <w:pPr>
        <w:pStyle w:val="16"/>
        <w:numPr>
          <w:ilvl w:val="0"/>
          <w:numId w:val="1"/>
        </w:numPr>
        <w:spacing w:after="120" w:line="276" w:lineRule="auto"/>
      </w:pPr>
      <w:r>
        <w:rPr>
          <w:rFonts w:ascii="Arial" w:hAnsi="Arial" w:eastAsia="Arial" w:cs="Arial"/>
          <w:sz w:val="22"/>
          <w:szCs w:val="22"/>
        </w:rPr>
        <w:t>If the pool sits against the higher-timeframe bias and at a location where a reversal is expected (for example, SSL in discount after a bullish displacement), a raid-and-reverse is the higher-probability reading.</w:t>
      </w:r>
    </w:p>
    <w:p w14:paraId="250232E8">
      <w:pPr>
        <w:pStyle w:val="16"/>
        <w:numPr>
          <w:ilvl w:val="0"/>
          <w:numId w:val="1"/>
        </w:numPr>
        <w:spacing w:after="120" w:line="276" w:lineRule="auto"/>
      </w:pPr>
      <w:r>
        <w:rPr>
          <w:rFonts w:ascii="Arial" w:hAnsi="Arial" w:eastAsia="Arial" w:cs="Arial"/>
          <w:sz w:val="22"/>
          <w:szCs w:val="22"/>
        </w:rPr>
        <w:t>If the pool sits in the direction of the higher-timeframe bias and the market is already in expansion, continuation through the pool is the higher-probability reading.</w:t>
      </w:r>
    </w:p>
    <w:p w14:paraId="44C34530">
      <w:pPr>
        <w:pStyle w:val="16"/>
        <w:numPr>
          <w:ilvl w:val="0"/>
          <w:numId w:val="1"/>
        </w:numPr>
        <w:spacing w:after="120" w:line="276" w:lineRule="auto"/>
      </w:pPr>
      <w:r>
        <w:rPr>
          <w:rFonts w:ascii="Arial" w:hAnsi="Arial" w:eastAsia="Arial" w:cs="Arial"/>
          <w:sz w:val="22"/>
          <w:szCs w:val="22"/>
        </w:rPr>
        <w:t>Confirmation always comes from the subsequent price behaviour (displacement, MSS, and whether the level is reclaimed or abandoned).</w:t>
      </w:r>
    </w:p>
    <w:p w14:paraId="267C15E9">
      <w:pPr>
        <w:pStyle w:val="3"/>
        <w:spacing w:before="280" w:after="180"/>
      </w:pPr>
      <w:r>
        <w:rPr>
          <w:rFonts w:ascii="Arial" w:hAnsi="Arial" w:eastAsia="Arial" w:cs="Arial"/>
          <w:b/>
          <w:bCs/>
          <w:sz w:val="26"/>
          <w:szCs w:val="26"/>
        </w:rPr>
        <w:t>8.4 Common Intermediate Error</w:t>
      </w:r>
    </w:p>
    <w:p w14:paraId="65D1C14E">
      <w:pPr>
        <w:pStyle w:val="16"/>
        <w:numPr>
          <w:ilvl w:val="0"/>
          <w:numId w:val="4"/>
        </w:numPr>
        <w:spacing w:after="120" w:line="276" w:lineRule="auto"/>
      </w:pPr>
      <w:r>
        <w:rPr>
          <w:rFonts w:ascii="Arial" w:hAnsi="Arial" w:eastAsia="Arial" w:cs="Arial"/>
          <w:sz w:val="22"/>
          <w:szCs w:val="22"/>
        </w:rPr>
        <w:t>Automatically fading every liquidity run. Not every sweep is a raid; some are the start of the real expansion.</w:t>
      </w:r>
    </w:p>
    <w:p w14:paraId="2EABFA09">
      <w:pPr>
        <w:pStyle w:val="2"/>
        <w:spacing w:before="360" w:after="240"/>
      </w:pPr>
      <w:r>
        <w:rPr>
          <w:rFonts w:ascii="Arial" w:hAnsi="Arial" w:eastAsia="Arial" w:cs="Arial"/>
          <w:b/>
          <w:bCs/>
          <w:sz w:val="32"/>
          <w:szCs w:val="32"/>
        </w:rPr>
        <w:t>Worked Example — Selecting and Sequencing Liquidity</w:t>
      </w:r>
    </w:p>
    <w:p w14:paraId="6A159FCA">
      <w:pPr>
        <w:spacing w:after="200" w:line="276" w:lineRule="auto"/>
      </w:pPr>
      <w:r>
        <w:rPr>
          <w:rFonts w:ascii="Arial" w:hAnsi="Arial" w:eastAsia="Arial" w:cs="Arial"/>
          <w:sz w:val="22"/>
          <w:szCs w:val="22"/>
        </w:rPr>
        <w:t>Context: Daily bias is bullish. Daily dealing range is 1.0800–1.1000 (equilibrium 1.0900). Price is currently trading near 1.0850 (discount).</w:t>
      </w:r>
    </w:p>
    <w:p w14:paraId="0C937540">
      <w:pPr>
        <w:spacing w:after="200" w:line="276" w:lineRule="auto"/>
      </w:pPr>
      <w:r>
        <w:rPr>
          <w:rFonts w:ascii="Arial" w:hAnsi="Arial" w:eastAsia="Arial" w:cs="Arial"/>
          <w:sz w:val="22"/>
          <w:szCs w:val="22"/>
        </w:rPr>
        <w:t>Marked pools:</w:t>
      </w:r>
    </w:p>
    <w:p w14:paraId="0162BA15">
      <w:pPr>
        <w:pStyle w:val="16"/>
        <w:numPr>
          <w:ilvl w:val="0"/>
          <w:numId w:val="1"/>
        </w:numPr>
        <w:spacing w:after="120" w:line="276" w:lineRule="auto"/>
      </w:pPr>
      <w:r>
        <w:rPr>
          <w:rFonts w:ascii="Arial" w:hAnsi="Arial" w:eastAsia="Arial" w:cs="Arial"/>
          <w:sz w:val="22"/>
          <w:szCs w:val="22"/>
        </w:rPr>
        <w:t>Sell-side: relative equal lows near 1.0820 (internal) and a prior weekly low at 1.0750 (external).</w:t>
      </w:r>
    </w:p>
    <w:p w14:paraId="1858CFA4">
      <w:pPr>
        <w:pStyle w:val="16"/>
        <w:numPr>
          <w:ilvl w:val="0"/>
          <w:numId w:val="1"/>
        </w:numPr>
        <w:spacing w:after="120" w:line="276" w:lineRule="auto"/>
      </w:pPr>
      <w:r>
        <w:rPr>
          <w:rFonts w:ascii="Arial" w:hAnsi="Arial" w:eastAsia="Arial" w:cs="Arial"/>
          <w:sz w:val="22"/>
          <w:szCs w:val="22"/>
        </w:rPr>
        <w:t>Buy-side: relative equal highs near 1.0960 (internal) and previous-week high at 1.1050 (external).</w:t>
      </w:r>
    </w:p>
    <w:p w14:paraId="37689A21">
      <w:pPr>
        <w:spacing w:after="200" w:line="276" w:lineRule="auto"/>
      </w:pPr>
      <w:r>
        <w:rPr>
          <w:rFonts w:ascii="Arial" w:hAnsi="Arial" w:eastAsia="Arial" w:cs="Arial"/>
          <w:sz w:val="22"/>
          <w:szCs w:val="22"/>
        </w:rPr>
        <w:t>Reasoning:</w:t>
      </w:r>
    </w:p>
    <w:p w14:paraId="6778265B">
      <w:pPr>
        <w:spacing w:after="200" w:line="276" w:lineRule="auto"/>
      </w:pPr>
      <w:r>
        <w:rPr>
          <w:rFonts w:ascii="Arial" w:hAnsi="Arial" w:eastAsia="Arial" w:cs="Arial"/>
          <w:sz w:val="22"/>
          <w:szCs w:val="22"/>
        </w:rPr>
        <w:t>Because the bias is bullish and price is in discount, the primary Draw on Liquidity is buy-side. The immediate sequence is likely: any remaining internal sell-side (or a shallow retest) may be addressed, then expansion toward the internal buy-side equals at 1.0960, with the fuller objective at the external previous-week high. A deep raid of the weekly low at 1.0750 would be a more significant event requiring re-evaluation of the daily range itself.</w:t>
      </w:r>
    </w:p>
    <w:p w14:paraId="5B293E9A">
      <w:pPr>
        <w:spacing w:after="200" w:line="276" w:lineRule="auto"/>
      </w:pPr>
      <w:r>
        <w:rPr>
          <w:rFonts w:ascii="Arial" w:hAnsi="Arial" w:eastAsia="Arial" w:cs="Arial"/>
          <w:sz w:val="22"/>
          <w:szCs w:val="22"/>
        </w:rPr>
        <w:t>If price instead expands lower through 1.0820 with strong displacement and no reclaim, the bullish DOL is challenged and the trader stands aside or reassesses.</w:t>
      </w:r>
    </w:p>
    <w:p w14:paraId="29D096A7">
      <w:pPr>
        <w:pStyle w:val="2"/>
        <w:spacing w:before="360" w:after="240"/>
      </w:pPr>
      <w:r>
        <w:rPr>
          <w:rFonts w:ascii="Arial" w:hAnsi="Arial" w:eastAsia="Arial" w:cs="Arial"/>
          <w:b/>
          <w:bCs/>
          <w:sz w:val="32"/>
          <w:szCs w:val="32"/>
        </w:rPr>
        <w:t>Visual Reference — Sequential Liquidity Inside a Dealing Range</w:t>
      </w:r>
    </w:p>
    <w:p w14:paraId="77B8E137">
      <w:pPr>
        <w:spacing w:after="0" w:line="240" w:lineRule="auto"/>
      </w:pPr>
      <w:r>
        <w:rPr>
          <w:rFonts w:ascii="Courier New" w:hAnsi="Courier New" w:eastAsia="Courier New" w:cs="Courier New"/>
          <w:sz w:val="18"/>
          <w:szCs w:val="18"/>
        </w:rPr>
        <w:t xml:space="preserve">          ERL (BSL)  ←── fuller thesis target</w:t>
      </w:r>
    </w:p>
    <w:p w14:paraId="685C1254">
      <w:pPr>
        <w:spacing w:after="0" w:line="240" w:lineRule="auto"/>
      </w:pPr>
      <w:r>
        <w:rPr>
          <w:rFonts w:ascii="Courier New" w:hAnsi="Courier New" w:eastAsia="Courier New" w:cs="Courier New"/>
          <w:sz w:val="18"/>
          <w:szCs w:val="18"/>
        </w:rPr>
        <w:t xml:space="preserve">    ───────────────────────────────</w:t>
      </w:r>
    </w:p>
    <w:p w14:paraId="18A39DE8">
      <w:pPr>
        <w:spacing w:after="0" w:line="240" w:lineRule="auto"/>
      </w:pPr>
      <w:r>
        <w:rPr>
          <w:rFonts w:ascii="Courier New" w:hAnsi="Courier New" w:eastAsia="Courier New" w:cs="Courier New"/>
          <w:sz w:val="18"/>
          <w:szCs w:val="18"/>
        </w:rPr>
        <w:t xml:space="preserve">    |  Range High                 |</w:t>
      </w:r>
    </w:p>
    <w:p w14:paraId="0A06F550">
      <w:pPr>
        <w:spacing w:after="0" w:line="240" w:lineRule="auto"/>
      </w:pPr>
      <w:r>
        <w:rPr>
          <w:rFonts w:ascii="Courier New" w:hAnsi="Courier New" w:eastAsia="Courier New" w:cs="Courier New"/>
          <w:sz w:val="18"/>
          <w:szCs w:val="18"/>
        </w:rPr>
        <w:t xml:space="preserve">    |                             |</w:t>
      </w:r>
    </w:p>
    <w:p w14:paraId="56B3F492">
      <w:pPr>
        <w:spacing w:after="0" w:line="240" w:lineRule="auto"/>
      </w:pPr>
      <w:r>
        <w:rPr>
          <w:rFonts w:ascii="Courier New" w:hAnsi="Courier New" w:eastAsia="Courier New" w:cs="Courier New"/>
          <w:sz w:val="18"/>
          <w:szCs w:val="18"/>
        </w:rPr>
        <w:t xml:space="preserve">    |   IRL (EQH / ST highs)      |  ← intermediate target</w:t>
      </w:r>
    </w:p>
    <w:p w14:paraId="31622B65">
      <w:pPr>
        <w:spacing w:after="0" w:line="240" w:lineRule="auto"/>
      </w:pPr>
      <w:r>
        <w:rPr>
          <w:rFonts w:ascii="Courier New" w:hAnsi="Courier New" w:eastAsia="Courier New" w:cs="Courier New"/>
          <w:sz w:val="18"/>
          <w:szCs w:val="18"/>
        </w:rPr>
        <w:t xml:space="preserve">    |                             |</w:t>
      </w:r>
    </w:p>
    <w:p w14:paraId="3F520BF3">
      <w:pPr>
        <w:spacing w:after="0" w:line="240" w:lineRule="auto"/>
      </w:pPr>
      <w:r>
        <w:rPr>
          <w:rFonts w:ascii="Courier New" w:hAnsi="Courier New" w:eastAsia="Courier New" w:cs="Courier New"/>
          <w:sz w:val="18"/>
          <w:szCs w:val="18"/>
        </w:rPr>
        <w:t xml:space="preserve">    |──────── Equilibrium ────────|</w:t>
      </w:r>
    </w:p>
    <w:p w14:paraId="4ABEC32E">
      <w:pPr>
        <w:spacing w:after="0" w:line="240" w:lineRule="auto"/>
      </w:pPr>
      <w:r>
        <w:rPr>
          <w:rFonts w:ascii="Courier New" w:hAnsi="Courier New" w:eastAsia="Courier New" w:cs="Courier New"/>
          <w:sz w:val="18"/>
          <w:szCs w:val="18"/>
        </w:rPr>
        <w:t xml:space="preserve">    |                             |</w:t>
      </w:r>
    </w:p>
    <w:p w14:paraId="24BE66C6">
      <w:pPr>
        <w:spacing w:after="0" w:line="240" w:lineRule="auto"/>
      </w:pPr>
      <w:r>
        <w:rPr>
          <w:rFonts w:ascii="Courier New" w:hAnsi="Courier New" w:eastAsia="Courier New" w:cs="Courier New"/>
          <w:sz w:val="18"/>
          <w:szCs w:val="18"/>
        </w:rPr>
        <w:t xml:space="preserve">    |   IRL (EQL / ST lows)       |</w:t>
      </w:r>
    </w:p>
    <w:p w14:paraId="3E38B90F">
      <w:pPr>
        <w:spacing w:after="0" w:line="240" w:lineRule="auto"/>
      </w:pPr>
      <w:r>
        <w:rPr>
          <w:rFonts w:ascii="Courier New" w:hAnsi="Courier New" w:eastAsia="Courier New" w:cs="Courier New"/>
          <w:sz w:val="18"/>
          <w:szCs w:val="18"/>
        </w:rPr>
        <w:t xml:space="preserve">    |                             |</w:t>
      </w:r>
    </w:p>
    <w:p w14:paraId="0D192A23">
      <w:pPr>
        <w:spacing w:after="0" w:line="240" w:lineRule="auto"/>
      </w:pPr>
      <w:r>
        <w:rPr>
          <w:rFonts w:ascii="Courier New" w:hAnsi="Courier New" w:eastAsia="Courier New" w:cs="Courier New"/>
          <w:sz w:val="18"/>
          <w:szCs w:val="18"/>
        </w:rPr>
        <w:t xml:space="preserve">    |  Range Low                  |</w:t>
      </w:r>
    </w:p>
    <w:p w14:paraId="6B6A0C9B">
      <w:pPr>
        <w:spacing w:after="0" w:line="240" w:lineRule="auto"/>
      </w:pPr>
      <w:r>
        <w:rPr>
          <w:rFonts w:ascii="Courier New" w:hAnsi="Courier New" w:eastAsia="Courier New" w:cs="Courier New"/>
          <w:sz w:val="18"/>
          <w:szCs w:val="18"/>
        </w:rPr>
        <w:t xml:space="preserve">    ───────────────────────────────</w:t>
      </w:r>
    </w:p>
    <w:p w14:paraId="48D2F540">
      <w:pPr>
        <w:spacing w:after="0" w:line="240" w:lineRule="auto"/>
      </w:pPr>
      <w:r>
        <w:rPr>
          <w:rFonts w:ascii="Courier New" w:hAnsi="Courier New" w:eastAsia="Courier New" w:cs="Courier New"/>
          <w:sz w:val="18"/>
          <w:szCs w:val="18"/>
        </w:rPr>
        <w:t xml:space="preserve">          ERL (SSL)  ←── possible raid location in bullish narrative</w:t>
      </w:r>
    </w:p>
    <w:p w14:paraId="3C0658D1">
      <w:pPr>
        <w:spacing w:after="200" w:line="276" w:lineRule="auto"/>
      </w:pPr>
      <w:r>
        <w:rPr>
          <w:rFonts w:ascii="Arial" w:hAnsi="Arial" w:eastAsia="Arial" w:cs="Arial"/>
          <w:sz w:val="22"/>
          <w:szCs w:val="22"/>
        </w:rPr>
        <w:t>In a bullish narrative the expected path is often: possible raid of lower ERL or internal SSL → displacement higher → retracement into discount PD array → expansion through internal buy-side IRL → expansion toward upper ERL.</w:t>
      </w:r>
    </w:p>
    <w:p w14:paraId="779285E3">
      <w:pPr>
        <w:pStyle w:val="2"/>
        <w:spacing w:before="360" w:after="240"/>
      </w:pPr>
      <w:r>
        <w:rPr>
          <w:rFonts w:ascii="Arial" w:hAnsi="Arial" w:eastAsia="Arial" w:cs="Arial"/>
          <w:b/>
          <w:bCs/>
          <w:sz w:val="32"/>
          <w:szCs w:val="32"/>
        </w:rPr>
        <w:t>How These Concepts Connect</w:t>
      </w:r>
    </w:p>
    <w:p w14:paraId="44781145">
      <w:pPr>
        <w:spacing w:after="200" w:line="276" w:lineRule="auto"/>
      </w:pPr>
      <w:r>
        <w:rPr>
          <w:rFonts w:ascii="Arial" w:hAnsi="Arial" w:eastAsia="Arial" w:cs="Arial"/>
          <w:sz w:val="22"/>
          <w:szCs w:val="22"/>
        </w:rPr>
        <w:t>Module 1 supplied the structural map (dealing range, internal vs external structure, hierarchical swings). Module 2 places liquidity on that map. Relative equal highs and lows densify the pools. The short-term / intermediate-term / long-term hierarchy ranks their importance. The Draw on Liquidity selects the active objective. Sequential planning (IRL then ERL, or ERL then IRL) organises the path. The raid-versus-continuation distinction prevents the mechanical fading of every stop run.</w:t>
      </w:r>
    </w:p>
    <w:p w14:paraId="27E9891B">
      <w:pPr>
        <w:spacing w:after="200" w:line="276" w:lineRule="auto"/>
      </w:pPr>
      <w:r>
        <w:rPr>
          <w:rFonts w:ascii="Arial" w:hAnsi="Arial" w:eastAsia="Arial" w:cs="Arial"/>
          <w:sz w:val="22"/>
          <w:szCs w:val="22"/>
        </w:rPr>
        <w:t>Later modules will add displacement quality, PD-array confluence, session timing and multi-timeframe narrative so that the liquidity map becomes an executable model rather than a static list of levels.</w:t>
      </w:r>
    </w:p>
    <w:p w14:paraId="5475599A">
      <w:pPr>
        <w:pStyle w:val="2"/>
        <w:spacing w:before="360" w:after="240"/>
      </w:pPr>
      <w:r>
        <w:rPr>
          <w:rFonts w:ascii="Arial" w:hAnsi="Arial" w:eastAsia="Arial" w:cs="Arial"/>
          <w:b/>
          <w:bCs/>
          <w:sz w:val="32"/>
          <w:szCs w:val="32"/>
        </w:rPr>
        <w:t>What You Should Now Be Able to Do</w:t>
      </w:r>
    </w:p>
    <w:p w14:paraId="29D60FD1">
      <w:pPr>
        <w:pStyle w:val="16"/>
        <w:numPr>
          <w:ilvl w:val="0"/>
          <w:numId w:val="1"/>
        </w:numPr>
        <w:spacing w:after="120" w:line="276" w:lineRule="auto"/>
      </w:pPr>
      <w:r>
        <w:rPr>
          <w:rFonts w:ascii="Arial" w:hAnsi="Arial" w:eastAsia="Arial" w:cs="Arial"/>
          <w:sz w:val="22"/>
          <w:szCs w:val="22"/>
        </w:rPr>
        <w:t>Mark relative equal highs and relative equal lows and treat them as priority liquidity.</w:t>
      </w:r>
    </w:p>
    <w:p w14:paraId="5DE38D13">
      <w:pPr>
        <w:pStyle w:val="16"/>
        <w:numPr>
          <w:ilvl w:val="0"/>
          <w:numId w:val="1"/>
        </w:numPr>
        <w:spacing w:after="120" w:line="276" w:lineRule="auto"/>
      </w:pPr>
      <w:r>
        <w:rPr>
          <w:rFonts w:ascii="Arial" w:hAnsi="Arial" w:eastAsia="Arial" w:cs="Arial"/>
          <w:sz w:val="22"/>
          <w:szCs w:val="22"/>
        </w:rPr>
        <w:t>Classify any given pool as short-term, intermediate-term or long-term and as internal or external.</w:t>
      </w:r>
    </w:p>
    <w:p w14:paraId="2D2C6AF4">
      <w:pPr>
        <w:pStyle w:val="16"/>
        <w:numPr>
          <w:ilvl w:val="0"/>
          <w:numId w:val="1"/>
        </w:numPr>
        <w:spacing w:after="120" w:line="276" w:lineRule="auto"/>
      </w:pPr>
      <w:r>
        <w:rPr>
          <w:rFonts w:ascii="Arial" w:hAnsi="Arial" w:eastAsia="Arial" w:cs="Arial"/>
          <w:sz w:val="22"/>
          <w:szCs w:val="22"/>
        </w:rPr>
        <w:t>State a clear Draw on Liquidity before the session and justify it with bias, dealing-range location and pool quality.</w:t>
      </w:r>
    </w:p>
    <w:p w14:paraId="1059B11D">
      <w:pPr>
        <w:pStyle w:val="16"/>
        <w:numPr>
          <w:ilvl w:val="0"/>
          <w:numId w:val="1"/>
        </w:numPr>
        <w:spacing w:after="120" w:line="276" w:lineRule="auto"/>
      </w:pPr>
      <w:r>
        <w:rPr>
          <w:rFonts w:ascii="Arial" w:hAnsi="Arial" w:eastAsia="Arial" w:cs="Arial"/>
          <w:sz w:val="22"/>
          <w:szCs w:val="22"/>
        </w:rPr>
        <w:t>Define both an internal-range target and an external-range target for a developing idea.</w:t>
      </w:r>
    </w:p>
    <w:p w14:paraId="5CA74E76">
      <w:pPr>
        <w:pStyle w:val="16"/>
        <w:numPr>
          <w:ilvl w:val="0"/>
          <w:numId w:val="1"/>
        </w:numPr>
        <w:spacing w:after="120" w:line="276" w:lineRule="auto"/>
      </w:pPr>
      <w:r>
        <w:rPr>
          <w:rFonts w:ascii="Arial" w:hAnsi="Arial" w:eastAsia="Arial" w:cs="Arial"/>
          <w:sz w:val="22"/>
          <w:szCs w:val="22"/>
        </w:rPr>
        <w:t>Explain, with context, why a particular liquidity run is more likely a raid or a continuation.</w:t>
      </w:r>
    </w:p>
    <w:p w14:paraId="11447A22">
      <w:pPr>
        <w:pStyle w:val="16"/>
        <w:numPr>
          <w:ilvl w:val="0"/>
          <w:numId w:val="1"/>
        </w:numPr>
        <w:spacing w:after="120" w:line="276" w:lineRule="auto"/>
      </w:pPr>
      <w:r>
        <w:rPr>
          <w:rFonts w:ascii="Arial" w:hAnsi="Arial" w:eastAsia="Arial" w:cs="Arial"/>
          <w:sz w:val="22"/>
          <w:szCs w:val="22"/>
        </w:rPr>
        <w:t>Ignore low-quality or narrative-opposed pools instead of treating every high and low as equal.</w:t>
      </w:r>
    </w:p>
    <w:p w14:paraId="4F24D996">
      <w:pPr>
        <w:pStyle w:val="2"/>
        <w:spacing w:before="360" w:after="240"/>
      </w:pPr>
      <w:r>
        <w:rPr>
          <w:rFonts w:ascii="Arial" w:hAnsi="Arial" w:eastAsia="Arial" w:cs="Arial"/>
          <w:b/>
          <w:bCs/>
          <w:sz w:val="32"/>
          <w:szCs w:val="32"/>
        </w:rPr>
        <w:t>Module Review</w:t>
      </w:r>
    </w:p>
    <w:p w14:paraId="11A8505D">
      <w:pPr>
        <w:pStyle w:val="3"/>
        <w:spacing w:before="280" w:after="180"/>
      </w:pPr>
      <w:r>
        <w:rPr>
          <w:rFonts w:ascii="Arial" w:hAnsi="Arial" w:eastAsia="Arial" w:cs="Arial"/>
          <w:b/>
          <w:bCs/>
          <w:sz w:val="26"/>
          <w:szCs w:val="26"/>
        </w:rPr>
        <w:t>Key Terms</w:t>
      </w:r>
    </w:p>
    <w:p w14:paraId="55A1BE6E">
      <w:pPr>
        <w:pStyle w:val="16"/>
        <w:numPr>
          <w:ilvl w:val="0"/>
          <w:numId w:val="1"/>
        </w:numPr>
        <w:spacing w:after="120" w:line="276" w:lineRule="auto"/>
      </w:pPr>
      <w:r>
        <w:rPr>
          <w:rFonts w:ascii="Arial" w:hAnsi="Arial" w:eastAsia="Arial" w:cs="Arial"/>
          <w:sz w:val="22"/>
          <w:szCs w:val="22"/>
        </w:rPr>
        <w:t>Buy-side liquidity (BSL) — resting buy stops above highs / equal highs.</w:t>
      </w:r>
    </w:p>
    <w:p w14:paraId="3EFA756E">
      <w:pPr>
        <w:pStyle w:val="16"/>
        <w:numPr>
          <w:ilvl w:val="0"/>
          <w:numId w:val="1"/>
        </w:numPr>
        <w:spacing w:after="120" w:line="276" w:lineRule="auto"/>
      </w:pPr>
      <w:r>
        <w:rPr>
          <w:rFonts w:ascii="Arial" w:hAnsi="Arial" w:eastAsia="Arial" w:cs="Arial"/>
          <w:sz w:val="22"/>
          <w:szCs w:val="22"/>
        </w:rPr>
        <w:t>Sell-side liquidity (SSL) — resting sell stops below lows / equal lows.</w:t>
      </w:r>
    </w:p>
    <w:p w14:paraId="0DE6EFF8">
      <w:pPr>
        <w:pStyle w:val="16"/>
        <w:numPr>
          <w:ilvl w:val="0"/>
          <w:numId w:val="1"/>
        </w:numPr>
        <w:spacing w:after="120" w:line="276" w:lineRule="auto"/>
      </w:pPr>
      <w:r>
        <w:rPr>
          <w:rFonts w:ascii="Arial" w:hAnsi="Arial" w:eastAsia="Arial" w:cs="Arial"/>
          <w:sz w:val="22"/>
          <w:szCs w:val="22"/>
        </w:rPr>
        <w:t>Relative equal highs / lows (EQH / EQL) — clustered swing points at approximately the same price; high-density pools.</w:t>
      </w:r>
    </w:p>
    <w:p w14:paraId="224F18CE">
      <w:pPr>
        <w:pStyle w:val="16"/>
        <w:numPr>
          <w:ilvl w:val="0"/>
          <w:numId w:val="1"/>
        </w:numPr>
        <w:spacing w:after="120" w:line="276" w:lineRule="auto"/>
      </w:pPr>
      <w:r>
        <w:rPr>
          <w:rFonts w:ascii="Arial" w:hAnsi="Arial" w:eastAsia="Arial" w:cs="Arial"/>
          <w:sz w:val="22"/>
          <w:szCs w:val="22"/>
        </w:rPr>
        <w:t>Internal-range liquidity (IRL) — liquidity inside the dealing range.</w:t>
      </w:r>
    </w:p>
    <w:p w14:paraId="5D18DFFF">
      <w:pPr>
        <w:pStyle w:val="16"/>
        <w:numPr>
          <w:ilvl w:val="0"/>
          <w:numId w:val="1"/>
        </w:numPr>
        <w:spacing w:after="120" w:line="276" w:lineRule="auto"/>
      </w:pPr>
      <w:r>
        <w:rPr>
          <w:rFonts w:ascii="Arial" w:hAnsi="Arial" w:eastAsia="Arial" w:cs="Arial"/>
          <w:sz w:val="22"/>
          <w:szCs w:val="22"/>
        </w:rPr>
        <w:t>External-range liquidity (ERL) — liquidity beyond the dealing-range boundaries.</w:t>
      </w:r>
    </w:p>
    <w:p w14:paraId="6848A6A0">
      <w:pPr>
        <w:pStyle w:val="16"/>
        <w:numPr>
          <w:ilvl w:val="0"/>
          <w:numId w:val="1"/>
        </w:numPr>
        <w:spacing w:after="120" w:line="276" w:lineRule="auto"/>
      </w:pPr>
      <w:r>
        <w:rPr>
          <w:rFonts w:ascii="Arial" w:hAnsi="Arial" w:eastAsia="Arial" w:cs="Arial"/>
          <w:sz w:val="22"/>
          <w:szCs w:val="22"/>
        </w:rPr>
        <w:t>Draw on Liquidity (DOL) — the specific pool or sequence the market is expected to seek next.</w:t>
      </w:r>
    </w:p>
    <w:p w14:paraId="1B08458C">
      <w:pPr>
        <w:pStyle w:val="16"/>
        <w:numPr>
          <w:ilvl w:val="0"/>
          <w:numId w:val="1"/>
        </w:numPr>
        <w:spacing w:after="120" w:line="276" w:lineRule="auto"/>
      </w:pPr>
      <w:r>
        <w:rPr>
          <w:rFonts w:ascii="Arial" w:hAnsi="Arial" w:eastAsia="Arial" w:cs="Arial"/>
          <w:sz w:val="22"/>
          <w:szCs w:val="22"/>
        </w:rPr>
        <w:t>Liquidity raid — run of a pool followed by rejection and reversal context.</w:t>
      </w:r>
    </w:p>
    <w:p w14:paraId="4EA9A40E">
      <w:pPr>
        <w:pStyle w:val="16"/>
        <w:numPr>
          <w:ilvl w:val="0"/>
          <w:numId w:val="1"/>
        </w:numPr>
        <w:spacing w:after="120" w:line="276" w:lineRule="auto"/>
      </w:pPr>
      <w:r>
        <w:rPr>
          <w:rFonts w:ascii="Arial" w:hAnsi="Arial" w:eastAsia="Arial" w:cs="Arial"/>
          <w:sz w:val="22"/>
          <w:szCs w:val="22"/>
        </w:rPr>
        <w:t>Liquidity continuation — run of a pool that fuels further expansion in the same direction.</w:t>
      </w:r>
    </w:p>
    <w:p w14:paraId="1AD381A0">
      <w:pPr>
        <w:pStyle w:val="16"/>
        <w:numPr>
          <w:ilvl w:val="0"/>
          <w:numId w:val="1"/>
        </w:numPr>
        <w:spacing w:after="120" w:line="276" w:lineRule="auto"/>
      </w:pPr>
      <w:r>
        <w:rPr>
          <w:rFonts w:ascii="Arial" w:hAnsi="Arial" w:eastAsia="Arial" w:cs="Arial"/>
          <w:sz w:val="22"/>
          <w:szCs w:val="22"/>
        </w:rPr>
        <w:t>Sequential objectives — ordered list of IRL and ERL targets consistent with the narrative.</w:t>
      </w:r>
    </w:p>
    <w:p w14:paraId="581B0AFA">
      <w:pPr>
        <w:pStyle w:val="3"/>
        <w:spacing w:before="280" w:after="180"/>
      </w:pPr>
      <w:r>
        <w:rPr>
          <w:rFonts w:ascii="Arial" w:hAnsi="Arial" w:eastAsia="Arial" w:cs="Arial"/>
          <w:b/>
          <w:bCs/>
          <w:sz w:val="26"/>
          <w:szCs w:val="26"/>
        </w:rPr>
        <w:t>Beginner Summary (Bridge)</w:t>
      </w:r>
    </w:p>
    <w:p w14:paraId="7D644C94">
      <w:pPr>
        <w:spacing w:after="200" w:line="276" w:lineRule="auto"/>
      </w:pPr>
      <w:r>
        <w:rPr>
          <w:rFonts w:ascii="Arial" w:hAnsi="Arial" w:eastAsia="Arial" w:cs="Arial"/>
          <w:sz w:val="22"/>
          <w:szCs w:val="22"/>
        </w:rPr>
        <w:t>Beginner liquidity taught that stops rest above highs and below lows and that price seeks those stops. Intermediate liquidity adds hierarchy, density (relative equals), internal/external location, anticipatory Draw-on-Liquidity selection, sequential planning, and the critical distinction between raids and continuations.</w:t>
      </w:r>
    </w:p>
    <w:p w14:paraId="7DEF11A4">
      <w:pPr>
        <w:pStyle w:val="3"/>
        <w:spacing w:before="280" w:after="180"/>
      </w:pPr>
      <w:r>
        <w:rPr>
          <w:rFonts w:ascii="Arial" w:hAnsi="Arial" w:eastAsia="Arial" w:cs="Arial"/>
          <w:b/>
          <w:bCs/>
          <w:sz w:val="26"/>
          <w:szCs w:val="26"/>
        </w:rPr>
        <w:t>Concept Relationships</w:t>
      </w:r>
    </w:p>
    <w:p w14:paraId="6F42B70C">
      <w:pPr>
        <w:spacing w:after="200" w:line="276" w:lineRule="auto"/>
      </w:pPr>
      <w:r>
        <w:rPr>
          <w:rFonts w:ascii="Arial" w:hAnsi="Arial" w:eastAsia="Arial" w:cs="Arial"/>
          <w:sz w:val="22"/>
          <w:szCs w:val="22"/>
        </w:rPr>
        <w:t>Dealing-range structure (Module 1) supplies the container that makes internal vs external meaningful. Hierarchical swings rank the pools. Relative equals increase density. DOL selection chooses the active magnet. Sequence planning organises the path. Raid vs continuation interprets the arrival at each pool.</w:t>
      </w:r>
    </w:p>
    <w:p w14:paraId="36E84708">
      <w:pPr>
        <w:pStyle w:val="3"/>
        <w:spacing w:before="280" w:after="180"/>
      </w:pPr>
      <w:r>
        <w:rPr>
          <w:rFonts w:ascii="Arial" w:hAnsi="Arial" w:eastAsia="Arial" w:cs="Arial"/>
          <w:b/>
          <w:bCs/>
          <w:sz w:val="26"/>
          <w:szCs w:val="26"/>
        </w:rPr>
        <w:t>Practical Chart Exercise</w:t>
      </w:r>
    </w:p>
    <w:p w14:paraId="1AA426E7">
      <w:pPr>
        <w:spacing w:after="200" w:line="276" w:lineRule="auto"/>
      </w:pPr>
      <w:r>
        <w:rPr>
          <w:rFonts w:ascii="Arial" w:hAnsi="Arial" w:eastAsia="Arial" w:cs="Arial"/>
          <w:sz w:val="22"/>
          <w:szCs w:val="22"/>
        </w:rPr>
        <w:t>Before the next London or New York session:</w:t>
      </w:r>
    </w:p>
    <w:p w14:paraId="0526D0C8">
      <w:pPr>
        <w:pStyle w:val="16"/>
        <w:numPr>
          <w:ilvl w:val="0"/>
          <w:numId w:val="2"/>
        </w:numPr>
        <w:spacing w:after="120" w:line="276" w:lineRule="auto"/>
      </w:pPr>
      <w:r>
        <w:rPr>
          <w:rFonts w:ascii="Arial" w:hAnsi="Arial" w:eastAsia="Arial" w:cs="Arial"/>
          <w:sz w:val="22"/>
          <w:szCs w:val="22"/>
        </w:rPr>
        <w:t>On the daily and 4-hour charts mark the active dealing range, equilibrium, previous-day and previous-week highs/lows, and any clear relative equal highs or lows.</w:t>
      </w:r>
    </w:p>
    <w:p w14:paraId="5CA2ABC4">
      <w:pPr>
        <w:pStyle w:val="16"/>
        <w:numPr>
          <w:ilvl w:val="0"/>
          <w:numId w:val="2"/>
        </w:numPr>
        <w:spacing w:after="120" w:line="276" w:lineRule="auto"/>
      </w:pPr>
      <w:r>
        <w:rPr>
          <w:rFonts w:ascii="Arial" w:hAnsi="Arial" w:eastAsia="Arial" w:cs="Arial"/>
          <w:sz w:val="22"/>
          <w:szCs w:val="22"/>
        </w:rPr>
        <w:t>State the higher-timeframe bias in one sentence.</w:t>
      </w:r>
    </w:p>
    <w:p w14:paraId="7F1DF0CA">
      <w:pPr>
        <w:pStyle w:val="16"/>
        <w:numPr>
          <w:ilvl w:val="0"/>
          <w:numId w:val="2"/>
        </w:numPr>
        <w:spacing w:after="120" w:line="276" w:lineRule="auto"/>
      </w:pPr>
      <w:r>
        <w:rPr>
          <w:rFonts w:ascii="Arial" w:hAnsi="Arial" w:eastAsia="Arial" w:cs="Arial"/>
          <w:sz w:val="22"/>
          <w:szCs w:val="22"/>
        </w:rPr>
        <w:t>Write the expected Draw on Liquidity and whether it is internal or external.</w:t>
      </w:r>
    </w:p>
    <w:p w14:paraId="4B7D24D4">
      <w:pPr>
        <w:pStyle w:val="16"/>
        <w:numPr>
          <w:ilvl w:val="0"/>
          <w:numId w:val="2"/>
        </w:numPr>
        <w:spacing w:after="120" w:line="276" w:lineRule="auto"/>
      </w:pPr>
      <w:r>
        <w:rPr>
          <w:rFonts w:ascii="Arial" w:hAnsi="Arial" w:eastAsia="Arial" w:cs="Arial"/>
          <w:sz w:val="22"/>
          <w:szCs w:val="22"/>
        </w:rPr>
        <w:t>List a T1 (internal) and T2 (external) target.</w:t>
      </w:r>
    </w:p>
    <w:p w14:paraId="7F5B93C5">
      <w:pPr>
        <w:pStyle w:val="16"/>
        <w:numPr>
          <w:ilvl w:val="0"/>
          <w:numId w:val="2"/>
        </w:numPr>
        <w:spacing w:after="120" w:line="276" w:lineRule="auto"/>
      </w:pPr>
      <w:r>
        <w:rPr>
          <w:rFonts w:ascii="Arial" w:hAnsi="Arial" w:eastAsia="Arial" w:cs="Arial"/>
          <w:sz w:val="22"/>
          <w:szCs w:val="22"/>
        </w:rPr>
        <w:t>After the session, record what actually occurred: which pools were taken, whether the behaviour looked like a raid or a continuation, and whether the pre-session DOL was validated or invalidated.</w:t>
      </w:r>
    </w:p>
    <w:p w14:paraId="110B969A">
      <w:pPr>
        <w:pStyle w:val="16"/>
        <w:numPr>
          <w:ilvl w:val="0"/>
          <w:numId w:val="2"/>
        </w:numPr>
        <w:spacing w:after="120" w:line="276" w:lineRule="auto"/>
      </w:pPr>
      <w:r>
        <w:rPr>
          <w:rFonts w:ascii="Arial" w:hAnsi="Arial" w:eastAsia="Arial" w:cs="Arial"/>
          <w:sz w:val="22"/>
          <w:szCs w:val="22"/>
        </w:rPr>
        <w:t>Note one lesson about target selection or sequence.</w:t>
      </w:r>
    </w:p>
    <w:p w14:paraId="2BFA7A32">
      <w:pPr>
        <w:pStyle w:val="3"/>
        <w:spacing w:before="280" w:after="180"/>
      </w:pPr>
      <w:r>
        <w:rPr>
          <w:rFonts w:ascii="Arial" w:hAnsi="Arial" w:eastAsia="Arial" w:cs="Arial"/>
          <w:b/>
          <w:bCs/>
          <w:sz w:val="26"/>
          <w:szCs w:val="26"/>
        </w:rPr>
        <w:t>Self-Test Questions</w:t>
      </w:r>
    </w:p>
    <w:p w14:paraId="1F781B7A">
      <w:pPr>
        <w:pStyle w:val="16"/>
        <w:numPr>
          <w:ilvl w:val="0"/>
          <w:numId w:val="2"/>
        </w:numPr>
        <w:spacing w:after="120" w:line="276" w:lineRule="auto"/>
      </w:pPr>
      <w:r>
        <w:rPr>
          <w:rFonts w:ascii="Arial" w:hAnsi="Arial" w:eastAsia="Arial" w:cs="Arial"/>
          <w:sz w:val="22"/>
          <w:szCs w:val="22"/>
        </w:rPr>
        <w:t>Why are relative equal highs generally higher-priority targets than a single swing high of the same timeframe?</w:t>
      </w:r>
    </w:p>
    <w:p w14:paraId="009F5B15">
      <w:pPr>
        <w:pStyle w:val="16"/>
        <w:numPr>
          <w:ilvl w:val="0"/>
          <w:numId w:val="2"/>
        </w:numPr>
        <w:spacing w:after="120" w:line="276" w:lineRule="auto"/>
      </w:pPr>
      <w:r>
        <w:rPr>
          <w:rFonts w:ascii="Arial" w:hAnsi="Arial" w:eastAsia="Arial" w:cs="Arial"/>
          <w:sz w:val="22"/>
          <w:szCs w:val="22"/>
        </w:rPr>
        <w:t>If the daily bias is bullish and price is in discount, which side of liquidity is the natural Draw on Liquidity?</w:t>
      </w:r>
    </w:p>
    <w:p w14:paraId="0396F293">
      <w:pPr>
        <w:pStyle w:val="16"/>
        <w:numPr>
          <w:ilvl w:val="0"/>
          <w:numId w:val="2"/>
        </w:numPr>
        <w:spacing w:after="120" w:line="276" w:lineRule="auto"/>
      </w:pPr>
      <w:r>
        <w:rPr>
          <w:rFonts w:ascii="Arial" w:hAnsi="Arial" w:eastAsia="Arial" w:cs="Arial"/>
          <w:sz w:val="22"/>
          <w:szCs w:val="22"/>
        </w:rPr>
        <w:t>Describe a typical ERL → IRL → ERL delivery sequence.</w:t>
      </w:r>
    </w:p>
    <w:p w14:paraId="256CAE09">
      <w:pPr>
        <w:pStyle w:val="16"/>
        <w:numPr>
          <w:ilvl w:val="0"/>
          <w:numId w:val="2"/>
        </w:numPr>
        <w:spacing w:after="120" w:line="276" w:lineRule="auto"/>
      </w:pPr>
      <w:r>
        <w:rPr>
          <w:rFonts w:ascii="Arial" w:hAnsi="Arial" w:eastAsia="Arial" w:cs="Arial"/>
          <w:sz w:val="22"/>
          <w:szCs w:val="22"/>
        </w:rPr>
        <w:t>What distinguishes a liquidity raid from liquidity continuation?</w:t>
      </w:r>
    </w:p>
    <w:p w14:paraId="70A8EF9D">
      <w:pPr>
        <w:pStyle w:val="16"/>
        <w:numPr>
          <w:ilvl w:val="0"/>
          <w:numId w:val="2"/>
        </w:numPr>
        <w:spacing w:after="120" w:line="276" w:lineRule="auto"/>
      </w:pPr>
      <w:r>
        <w:rPr>
          <w:rFonts w:ascii="Arial" w:hAnsi="Arial" w:eastAsia="Arial" w:cs="Arial"/>
          <w:sz w:val="22"/>
          <w:szCs w:val="22"/>
        </w:rPr>
        <w:t>Why is it useful to define both an internal-range and an external-range target before entry?</w:t>
      </w:r>
    </w:p>
    <w:p w14:paraId="3F506B47">
      <w:pPr>
        <w:pStyle w:val="16"/>
        <w:numPr>
          <w:ilvl w:val="0"/>
          <w:numId w:val="2"/>
        </w:numPr>
        <w:spacing w:after="120" w:line="276" w:lineRule="auto"/>
      </w:pPr>
      <w:r>
        <w:rPr>
          <w:rFonts w:ascii="Arial" w:hAnsi="Arial" w:eastAsia="Arial" w:cs="Arial"/>
          <w:sz w:val="22"/>
          <w:szCs w:val="22"/>
        </w:rPr>
        <w:t>When should a trader ignore an otherwise obvious liquidity pool?</w:t>
      </w:r>
    </w:p>
    <w:p w14:paraId="7D92C3F7">
      <w:pPr>
        <w:pStyle w:val="3"/>
        <w:spacing w:before="280" w:after="180"/>
      </w:pPr>
      <w:r>
        <w:rPr>
          <w:rFonts w:ascii="Arial" w:hAnsi="Arial" w:eastAsia="Arial" w:cs="Arial"/>
          <w:b/>
          <w:bCs/>
          <w:sz w:val="26"/>
          <w:szCs w:val="26"/>
        </w:rPr>
        <w:t>Common Misconceptions</w:t>
      </w:r>
    </w:p>
    <w:p w14:paraId="330CE303">
      <w:pPr>
        <w:pStyle w:val="16"/>
        <w:numPr>
          <w:ilvl w:val="0"/>
          <w:numId w:val="1"/>
        </w:numPr>
        <w:spacing w:after="120" w:line="276" w:lineRule="auto"/>
      </w:pPr>
      <w:r>
        <w:rPr>
          <w:rFonts w:ascii="Arial" w:hAnsi="Arial" w:eastAsia="Arial" w:cs="Arial"/>
          <w:sz w:val="22"/>
          <w:szCs w:val="22"/>
        </w:rPr>
        <w:t>“Every equal high or low will be raided and reversed.” — False. Context and narrative decide raid versus continuation.</w:t>
      </w:r>
    </w:p>
    <w:p w14:paraId="0DD9BDC8">
      <w:pPr>
        <w:pStyle w:val="16"/>
        <w:numPr>
          <w:ilvl w:val="0"/>
          <w:numId w:val="1"/>
        </w:numPr>
        <w:spacing w:after="120" w:line="276" w:lineRule="auto"/>
      </w:pPr>
      <w:r>
        <w:rPr>
          <w:rFonts w:ascii="Arial" w:hAnsi="Arial" w:eastAsia="Arial" w:cs="Arial"/>
          <w:sz w:val="22"/>
          <w:szCs w:val="22"/>
        </w:rPr>
        <w:t>“The closest pool is always the Draw on Liquidity.” — False. Higher-timeframe and narrative-aligned pools usually outrank nearby noise.</w:t>
      </w:r>
    </w:p>
    <w:p w14:paraId="1BCF9A8E">
      <w:pPr>
        <w:pStyle w:val="16"/>
        <w:numPr>
          <w:ilvl w:val="0"/>
          <w:numId w:val="1"/>
        </w:numPr>
        <w:spacing w:after="120" w:line="276" w:lineRule="auto"/>
      </w:pPr>
      <w:r>
        <w:rPr>
          <w:rFonts w:ascii="Arial" w:hAnsi="Arial" w:eastAsia="Arial" w:cs="Arial"/>
          <w:sz w:val="22"/>
          <w:szCs w:val="22"/>
        </w:rPr>
        <w:t>“Once a pool is taken the move is over.” — False. Taking one side of liquidity often enables the expansion toward the opposite side.</w:t>
      </w:r>
    </w:p>
    <w:p w14:paraId="52D184D8">
      <w:pPr>
        <w:pStyle w:val="16"/>
        <w:numPr>
          <w:ilvl w:val="0"/>
          <w:numId w:val="1"/>
        </w:numPr>
        <w:spacing w:after="120" w:line="276" w:lineRule="auto"/>
      </w:pPr>
      <w:r>
        <w:rPr>
          <w:rFonts w:ascii="Arial" w:hAnsi="Arial" w:eastAsia="Arial" w:cs="Arial"/>
          <w:sz w:val="22"/>
          <w:szCs w:val="22"/>
        </w:rPr>
        <w:t>“Internal liquidity is unimportant.” — False. IRL frequently supplies the first targets and the rebalancing path.</w:t>
      </w:r>
    </w:p>
    <w:p w14:paraId="0B452876">
      <w:pPr>
        <w:pStyle w:val="16"/>
        <w:numPr>
          <w:ilvl w:val="0"/>
          <w:numId w:val="1"/>
        </w:numPr>
        <w:spacing w:after="120" w:line="276" w:lineRule="auto"/>
      </w:pPr>
      <w:r>
        <w:rPr>
          <w:rFonts w:ascii="Arial" w:hAnsi="Arial" w:eastAsia="Arial" w:cs="Arial"/>
          <w:sz w:val="22"/>
          <w:szCs w:val="22"/>
        </w:rPr>
        <w:t>“Liquidity can be seen directly on the chart.” — False. Only the probable locations of resting orders can be inferred from structure.</w:t>
      </w:r>
    </w:p>
    <w:p w14:paraId="153E36A0">
      <w:pPr>
        <w:pStyle w:val="3"/>
        <w:spacing w:before="280" w:after="180"/>
      </w:pPr>
      <w:r>
        <w:rPr>
          <w:rFonts w:ascii="Arial" w:hAnsi="Arial" w:eastAsia="Arial" w:cs="Arial"/>
          <w:b/>
          <w:bCs/>
          <w:sz w:val="26"/>
          <w:szCs w:val="26"/>
        </w:rPr>
        <w:t>Research Sources</w:t>
      </w:r>
    </w:p>
    <w:p w14:paraId="562C5FBC">
      <w:pPr>
        <w:spacing w:after="200" w:line="276" w:lineRule="auto"/>
      </w:pPr>
      <w:r>
        <w:rPr>
          <w:rFonts w:ascii="Arial" w:hAnsi="Arial" w:eastAsia="Arial" w:cs="Arial"/>
          <w:sz w:val="22"/>
          <w:szCs w:val="22"/>
        </w:rPr>
        <w:t>Primary orientation is taken from ICT’s repeated emphasis on knowing the Draw on Liquidity, the treatment of equal highs and lows as liquidity pools, and the distinction between internal-range and external-range liquidity that appears throughout the mentorship material and public chart examples. The practical sequencing (IRL/ERL alternation) and the raid-versus-continuation reading are consistent extensions of those teachings.</w:t>
      </w:r>
    </w:p>
    <w:p w14:paraId="0ADC147F">
      <w:pPr>
        <w:spacing w:after="200" w:line="276" w:lineRule="auto"/>
      </w:pPr>
      <w:r>
        <w:rPr>
          <w:rFonts w:ascii="Arial" w:hAnsi="Arial" w:eastAsia="Arial" w:cs="Arial"/>
          <w:sz w:val="22"/>
          <w:szCs w:val="22"/>
        </w:rPr>
        <w:t>Community educational resources that codify relative equals, DOL selection checklists, and dual-target management are used only where they faithfully reflect the primary ICT logic; any amplification beyond explicit ICT statements is labelled as intermediate practical refinement.</w:t>
      </w:r>
    </w:p>
    <w:p w14:paraId="379BAEEC">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Key references include ICT mentorship content on liquidity pools, Draw on Liquidity discussions, and chart examples showing runs on equal highs/lows and previous-period extremes. Secondary clarifications of sequential IRL/ERL delivery appear in high-quality community material that cites those primary sources.</w:t>
      </w:r>
    </w:p>
    <w:p w14:paraId="0EE17231">
      <w:pPr>
        <w:pStyle w:val="2"/>
        <w:spacing w:before="360" w:after="240"/>
      </w:pPr>
      <w:r>
        <w:rPr>
          <w:rFonts w:ascii="Arial" w:hAnsi="Arial" w:eastAsia="Arial" w:cs="Arial"/>
          <w:b/>
          <w:bCs/>
          <w:sz w:val="32"/>
          <w:szCs w:val="32"/>
        </w:rPr>
        <w:t>Transition to Module 3</w:t>
      </w:r>
    </w:p>
    <w:p w14:paraId="59D5C6FA">
      <w:pPr>
        <w:spacing w:after="200" w:line="276" w:lineRule="auto"/>
      </w:pPr>
      <w:r>
        <w:rPr>
          <w:rFonts w:ascii="Arial" w:hAnsi="Arial" w:eastAsia="Arial" w:cs="Arial"/>
          <w:sz w:val="22"/>
          <w:szCs w:val="22"/>
        </w:rPr>
        <w:t>Module 2 has refined the liquidity map: which pools matter, in what order, and whether arrival at a pool is more likely a raid or a continuation. Module 3 (Displacement, MSS &amp; Confirmation) will examine the quality of the price movement that leaves a liquidity event — strong versus weak displacement, confirmation versus anticipation, and how displacement through liquidity or through structure elevates or degrades a setup. Liquidity supplies the destination; displacement supplies the evidence that the journey has begun.</w:t>
      </w:r>
    </w:p>
    <w:p w14:paraId="62C7A7D7">
      <w:pPr>
        <w:spacing w:after="200" w:line="276" w:lineRule="auto"/>
        <w:rPr>
          <w:rFonts w:ascii="Arial" w:hAnsi="Arial" w:eastAsia="Arial" w:cs="Arial"/>
          <w:sz w:val="22"/>
          <w:szCs w:val="22"/>
        </w:rPr>
      </w:pPr>
    </w:p>
    <w:p w14:paraId="63B38E11">
      <w:pPr>
        <w:spacing w:after="400"/>
        <w:jc w:val="center"/>
      </w:pPr>
      <w:r>
        <w:rPr>
          <w:rFonts w:ascii="Arial" w:hAnsi="Arial" w:eastAsia="Arial" w:cs="Arial"/>
          <w:b/>
          <w:bCs/>
          <w:sz w:val="36"/>
          <w:szCs w:val="36"/>
        </w:rPr>
        <w:t>MODULE 3</w:t>
      </w:r>
    </w:p>
    <w:p w14:paraId="7E0A396B">
      <w:pPr>
        <w:spacing w:after="200"/>
        <w:jc w:val="center"/>
      </w:pPr>
      <w:r>
        <w:rPr>
          <w:rFonts w:ascii="Arial" w:hAnsi="Arial" w:eastAsia="Arial" w:cs="Arial"/>
          <w:b/>
          <w:bCs/>
          <w:sz w:val="28"/>
          <w:szCs w:val="28"/>
        </w:rPr>
        <w:t>Displacement, Market Structure Shift &amp; Confirmation</w:t>
      </w:r>
    </w:p>
    <w:p w14:paraId="712136AE">
      <w:pPr>
        <w:spacing w:after="400"/>
        <w:jc w:val="center"/>
      </w:pPr>
      <w:r>
        <w:rPr>
          <w:rFonts w:ascii="Arial" w:hAnsi="Arial" w:eastAsia="Arial" w:cs="Arial"/>
          <w:i/>
          <w:iCs/>
          <w:sz w:val="20"/>
          <w:szCs w:val="20"/>
        </w:rPr>
        <w:t>Quality of Displacement, Strong vs Weak, Internal/External MSS, Failed Shifts, Confirmation vs Anticipation</w:t>
      </w:r>
    </w:p>
    <w:p w14:paraId="648B4061">
      <w:pPr>
        <w:pBdr>
          <w:left w:val="single" w:color="2E75B6" w:sz="24" w:space="8"/>
        </w:pBdr>
        <w:shd w:val="clear" w:fill="F5F5F5"/>
        <w:spacing w:before="120" w:after="200" w:line="276" w:lineRule="auto"/>
        <w:ind w:left="120"/>
      </w:pPr>
      <w:r>
        <w:rPr>
          <w:rFonts w:ascii="Arial" w:hAnsi="Arial" w:eastAsia="Arial" w:cs="Arial"/>
          <w:i/>
          <w:iCs/>
          <w:sz w:val="20"/>
          <w:szCs w:val="20"/>
        </w:rPr>
        <w:t>Prerequisite: Modules 1 and 2 are assumed complete. The student understands hierarchical structure, dealing ranges, internal vs external liquidity, Draw on Liquidity, and the difference between a liquidity raid and continuation.</w:t>
      </w:r>
    </w:p>
    <w:p w14:paraId="66B41270">
      <w:pPr>
        <w:pStyle w:val="2"/>
        <w:spacing w:before="360" w:after="240"/>
      </w:pPr>
      <w:r>
        <w:rPr>
          <w:rFonts w:ascii="Arial" w:hAnsi="Arial" w:eastAsia="Arial" w:cs="Arial"/>
          <w:b/>
          <w:bCs/>
          <w:sz w:val="32"/>
          <w:szCs w:val="32"/>
        </w:rPr>
        <w:t>Module Objectives</w:t>
      </w:r>
    </w:p>
    <w:p w14:paraId="70EC6B0E">
      <w:pPr>
        <w:spacing w:after="200" w:line="276" w:lineRule="auto"/>
      </w:pPr>
      <w:r>
        <w:rPr>
          <w:rFonts w:ascii="Arial" w:hAnsi="Arial" w:eastAsia="Arial" w:cs="Arial"/>
          <w:sz w:val="22"/>
          <w:szCs w:val="22"/>
        </w:rPr>
        <w:t>By the end of this module the intermediate student should be able to:</w:t>
      </w:r>
    </w:p>
    <w:p w14:paraId="00A916E4">
      <w:pPr>
        <w:pStyle w:val="16"/>
        <w:numPr>
          <w:ilvl w:val="0"/>
          <w:numId w:val="1"/>
        </w:numPr>
        <w:spacing w:after="120" w:line="276" w:lineRule="auto"/>
      </w:pPr>
      <w:r>
        <w:rPr>
          <w:rFonts w:ascii="Arial" w:hAnsi="Arial" w:eastAsia="Arial" w:cs="Arial"/>
          <w:sz w:val="22"/>
          <w:szCs w:val="22"/>
        </w:rPr>
        <w:t>Judge the quality of a displacement move (strong vs weak).</w:t>
      </w:r>
    </w:p>
    <w:p w14:paraId="37E51469">
      <w:pPr>
        <w:pStyle w:val="16"/>
        <w:numPr>
          <w:ilvl w:val="0"/>
          <w:numId w:val="1"/>
        </w:numPr>
        <w:spacing w:after="120" w:line="276" w:lineRule="auto"/>
      </w:pPr>
      <w:r>
        <w:rPr>
          <w:rFonts w:ascii="Arial" w:hAnsi="Arial" w:eastAsia="Arial" w:cs="Arial"/>
          <w:sz w:val="22"/>
          <w:szCs w:val="22"/>
        </w:rPr>
        <w:t>Recognise displacement that occurs through liquidity versus displacement that occurs through structure.</w:t>
      </w:r>
    </w:p>
    <w:p w14:paraId="26D7A897">
      <w:pPr>
        <w:pStyle w:val="16"/>
        <w:numPr>
          <w:ilvl w:val="0"/>
          <w:numId w:val="1"/>
        </w:numPr>
        <w:spacing w:after="120" w:line="276" w:lineRule="auto"/>
      </w:pPr>
      <w:r>
        <w:rPr>
          <w:rFonts w:ascii="Arial" w:hAnsi="Arial" w:eastAsia="Arial" w:cs="Arial"/>
          <w:sz w:val="22"/>
          <w:szCs w:val="22"/>
        </w:rPr>
        <w:t>Distinguish an internal Market Structure Shift from an external Market Structure Shift.</w:t>
      </w:r>
    </w:p>
    <w:p w14:paraId="480964CD">
      <w:pPr>
        <w:pStyle w:val="16"/>
        <w:numPr>
          <w:ilvl w:val="0"/>
          <w:numId w:val="1"/>
        </w:numPr>
        <w:spacing w:after="120" w:line="276" w:lineRule="auto"/>
      </w:pPr>
      <w:r>
        <w:rPr>
          <w:rFonts w:ascii="Arial" w:hAnsi="Arial" w:eastAsia="Arial" w:cs="Arial"/>
          <w:sz w:val="22"/>
          <w:szCs w:val="22"/>
        </w:rPr>
        <w:t>Require displacement (and preferably an accompanying Fair Value Gap) before treating a structure break as a high-quality MSS.</w:t>
      </w:r>
    </w:p>
    <w:p w14:paraId="21C1053A">
      <w:pPr>
        <w:pStyle w:val="16"/>
        <w:numPr>
          <w:ilvl w:val="0"/>
          <w:numId w:val="1"/>
        </w:numPr>
        <w:spacing w:after="120" w:line="276" w:lineRule="auto"/>
      </w:pPr>
      <w:r>
        <w:rPr>
          <w:rFonts w:ascii="Arial" w:hAnsi="Arial" w:eastAsia="Arial" w:cs="Arial"/>
          <w:sz w:val="22"/>
          <w:szCs w:val="22"/>
        </w:rPr>
        <w:t>Identify failed or weak structure shifts and avoid acting on them.</w:t>
      </w:r>
    </w:p>
    <w:p w14:paraId="493F523C">
      <w:pPr>
        <w:pStyle w:val="16"/>
        <w:numPr>
          <w:ilvl w:val="0"/>
          <w:numId w:val="1"/>
        </w:numPr>
        <w:spacing w:after="120" w:line="276" w:lineRule="auto"/>
      </w:pPr>
      <w:r>
        <w:rPr>
          <w:rFonts w:ascii="Arial" w:hAnsi="Arial" w:eastAsia="Arial" w:cs="Arial"/>
          <w:sz w:val="22"/>
          <w:szCs w:val="22"/>
        </w:rPr>
        <w:t>Separate confirmation (evidence already present) from anticipation (hoping for evidence).</w:t>
      </w:r>
    </w:p>
    <w:p w14:paraId="228E8CC3">
      <w:pPr>
        <w:pStyle w:val="16"/>
        <w:numPr>
          <w:ilvl w:val="0"/>
          <w:numId w:val="1"/>
        </w:numPr>
        <w:spacing w:after="120" w:line="276" w:lineRule="auto"/>
      </w:pPr>
      <w:r>
        <w:rPr>
          <w:rFonts w:ascii="Arial" w:hAnsi="Arial" w:eastAsia="Arial" w:cs="Arial"/>
          <w:sz w:val="22"/>
          <w:szCs w:val="22"/>
        </w:rPr>
        <w:t>Integrate displacement and MSS with the liquidity and dealing-range context established in Modules 1–2.</w:t>
      </w:r>
    </w:p>
    <w:p w14:paraId="6CAE98D3">
      <w:pPr>
        <w:pStyle w:val="2"/>
        <w:spacing w:before="360" w:after="240"/>
      </w:pPr>
      <w:r>
        <w:rPr>
          <w:rFonts w:ascii="Arial" w:hAnsi="Arial" w:eastAsia="Arial" w:cs="Arial"/>
          <w:b/>
          <w:bCs/>
          <w:sz w:val="32"/>
          <w:szCs w:val="32"/>
        </w:rPr>
        <w:t>Introduction: Displacement as Evidence of Intent</w:t>
      </w:r>
    </w:p>
    <w:p w14:paraId="7063816E">
      <w:pPr>
        <w:spacing w:after="200" w:line="276" w:lineRule="auto"/>
      </w:pPr>
      <w:r>
        <w:rPr>
          <w:rFonts w:ascii="Arial" w:hAnsi="Arial" w:eastAsia="Arial" w:cs="Arial"/>
          <w:sz w:val="22"/>
          <w:szCs w:val="22"/>
        </w:rPr>
        <w:t>Liquidity tells the trader where price is likely to go. Structure tells the trader the current sequence of highs and lows. Displacement is the quality of the movement that links the two.</w:t>
      </w:r>
    </w:p>
    <w:p w14:paraId="31240733">
      <w:pPr>
        <w:spacing w:after="200" w:line="276" w:lineRule="auto"/>
      </w:pPr>
      <w:r>
        <w:rPr>
          <w:rFonts w:ascii="Arial" w:hAnsi="Arial" w:eastAsia="Arial" w:cs="Arial"/>
          <w:sz w:val="22"/>
          <w:szCs w:val="22"/>
        </w:rPr>
        <w:t>In ICT teaching, a Market Structure Shift is not merely a candle close beyond a prior swing. High-quality shifts are delivered with displacement — an energetic, one-sided move that often leaves a Fair Value Gap. Without displacement the break is frequently just noise, a liquidity probe, or a temporary overshoot.</w:t>
      </w:r>
    </w:p>
    <w:p w14:paraId="7E4E2906">
      <w:pPr>
        <w:spacing w:after="200" w:line="276" w:lineRule="auto"/>
      </w:pPr>
      <w:r>
        <w:rPr>
          <w:rFonts w:ascii="Arial" w:hAnsi="Arial" w:eastAsia="Arial" w:cs="Arial"/>
          <w:sz w:val="22"/>
          <w:szCs w:val="22"/>
        </w:rPr>
        <w:t>This module trains the eye to demand evidence of institutional-style repricing rather than reacting to every structural break.</w:t>
      </w:r>
    </w:p>
    <w:p w14:paraId="6FFF7B15">
      <w:pPr>
        <w:pStyle w:val="2"/>
        <w:spacing w:before="360" w:after="240"/>
      </w:pPr>
      <w:r>
        <w:rPr>
          <w:rFonts w:ascii="Arial" w:hAnsi="Arial" w:eastAsia="Arial" w:cs="Arial"/>
          <w:b/>
          <w:bCs/>
          <w:sz w:val="32"/>
          <w:szCs w:val="32"/>
        </w:rPr>
        <w:t>1. Quality of Displacement</w:t>
      </w:r>
    </w:p>
    <w:p w14:paraId="375EB6F2">
      <w:pPr>
        <w:pStyle w:val="3"/>
        <w:spacing w:before="280" w:after="180"/>
      </w:pPr>
      <w:r>
        <w:rPr>
          <w:rFonts w:ascii="Arial" w:hAnsi="Arial" w:eastAsia="Arial" w:cs="Arial"/>
          <w:b/>
          <w:bCs/>
          <w:sz w:val="26"/>
          <w:szCs w:val="26"/>
        </w:rPr>
        <w:t>1.1 Definition</w:t>
      </w:r>
    </w:p>
    <w:p w14:paraId="5D9B5938">
      <w:pPr>
        <w:spacing w:after="200" w:line="276" w:lineRule="auto"/>
      </w:pPr>
      <w:r>
        <w:rPr>
          <w:rFonts w:ascii="Arial" w:hAnsi="Arial" w:eastAsia="Arial" w:cs="Arial"/>
          <w:sz w:val="22"/>
          <w:szCs w:val="22"/>
        </w:rPr>
        <w:t>Displacement is a forceful, directional price movement characterised by large-range candles, reduced overlap between consecutive candles, and a clear sense of urgency. It is the visual signature that the market is actively repricing rather than oscillating inside a balanced range.</w:t>
      </w:r>
    </w:p>
    <w:p w14:paraId="5169191E">
      <w:pPr>
        <w:pStyle w:val="3"/>
        <w:spacing w:before="280" w:after="180"/>
      </w:pPr>
      <w:r>
        <w:rPr>
          <w:rFonts w:ascii="Arial" w:hAnsi="Arial" w:eastAsia="Arial" w:cs="Arial"/>
          <w:b/>
          <w:bCs/>
          <w:sz w:val="26"/>
          <w:szCs w:val="26"/>
        </w:rPr>
        <w:t>1.2 Strong Displacement</w:t>
      </w:r>
    </w:p>
    <w:p w14:paraId="0E85CA51">
      <w:pPr>
        <w:spacing w:after="200" w:line="276" w:lineRule="auto"/>
      </w:pPr>
      <w:r>
        <w:rPr>
          <w:rFonts w:ascii="Arial" w:hAnsi="Arial" w:eastAsia="Arial" w:cs="Arial"/>
          <w:sz w:val="22"/>
          <w:szCs w:val="22"/>
        </w:rPr>
        <w:t>Strong displacement typically shows:</w:t>
      </w:r>
    </w:p>
    <w:p w14:paraId="1109F422">
      <w:pPr>
        <w:pStyle w:val="16"/>
        <w:numPr>
          <w:ilvl w:val="0"/>
          <w:numId w:val="1"/>
        </w:numPr>
        <w:spacing w:after="120" w:line="276" w:lineRule="auto"/>
      </w:pPr>
      <w:r>
        <w:rPr>
          <w:rFonts w:ascii="Arial" w:hAnsi="Arial" w:eastAsia="Arial" w:cs="Arial"/>
          <w:sz w:val="22"/>
          <w:szCs w:val="22"/>
        </w:rPr>
        <w:t>One or more large-bodied candles with relatively small opposing wicks.</w:t>
      </w:r>
    </w:p>
    <w:p w14:paraId="3F675B95">
      <w:pPr>
        <w:pStyle w:val="16"/>
        <w:numPr>
          <w:ilvl w:val="0"/>
          <w:numId w:val="1"/>
        </w:numPr>
        <w:spacing w:after="120" w:line="276" w:lineRule="auto"/>
      </w:pPr>
      <w:r>
        <w:rPr>
          <w:rFonts w:ascii="Arial" w:hAnsi="Arial" w:eastAsia="Arial" w:cs="Arial"/>
          <w:sz w:val="22"/>
          <w:szCs w:val="22"/>
        </w:rPr>
        <w:t>Minimal overlap between the bodies of successive candles.</w:t>
      </w:r>
    </w:p>
    <w:p w14:paraId="55C7D28F">
      <w:pPr>
        <w:pStyle w:val="16"/>
        <w:numPr>
          <w:ilvl w:val="0"/>
          <w:numId w:val="1"/>
        </w:numPr>
        <w:spacing w:after="120" w:line="276" w:lineRule="auto"/>
      </w:pPr>
      <w:r>
        <w:rPr>
          <w:rFonts w:ascii="Arial" w:hAnsi="Arial" w:eastAsia="Arial" w:cs="Arial"/>
          <w:sz w:val="22"/>
          <w:szCs w:val="22"/>
        </w:rPr>
        <w:t>Creation of a Fair Value Gap (imbalance) as price moves too quickly for two-sided delivery.</w:t>
      </w:r>
    </w:p>
    <w:p w14:paraId="223834DB">
      <w:pPr>
        <w:pStyle w:val="16"/>
        <w:numPr>
          <w:ilvl w:val="0"/>
          <w:numId w:val="1"/>
        </w:numPr>
        <w:spacing w:after="120" w:line="276" w:lineRule="auto"/>
      </w:pPr>
      <w:r>
        <w:rPr>
          <w:rFonts w:ascii="Arial" w:hAnsi="Arial" w:eastAsia="Arial" w:cs="Arial"/>
          <w:sz w:val="22"/>
          <w:szCs w:val="22"/>
        </w:rPr>
        <w:t>Immediate follow-through rather than immediate mean-reversion.</w:t>
      </w:r>
    </w:p>
    <w:p w14:paraId="66FD22B3">
      <w:pPr>
        <w:pStyle w:val="16"/>
        <w:numPr>
          <w:ilvl w:val="0"/>
          <w:numId w:val="1"/>
        </w:numPr>
        <w:spacing w:after="120" w:line="276" w:lineRule="auto"/>
      </w:pPr>
      <w:r>
        <w:rPr>
          <w:rFonts w:ascii="Arial" w:hAnsi="Arial" w:eastAsia="Arial" w:cs="Arial"/>
          <w:sz w:val="22"/>
          <w:szCs w:val="22"/>
        </w:rPr>
        <w:t>Occurrence after or in conjunction with a liquidity event (raid or sweep).</w:t>
      </w:r>
    </w:p>
    <w:p w14:paraId="02874215">
      <w:pPr>
        <w:pStyle w:val="3"/>
        <w:spacing w:before="280" w:after="180"/>
      </w:pPr>
      <w:r>
        <w:rPr>
          <w:rFonts w:ascii="Arial" w:hAnsi="Arial" w:eastAsia="Arial" w:cs="Arial"/>
          <w:b/>
          <w:bCs/>
          <w:sz w:val="26"/>
          <w:szCs w:val="26"/>
        </w:rPr>
        <w:t>1.3 Weak Displacement</w:t>
      </w:r>
    </w:p>
    <w:p w14:paraId="5F95122D">
      <w:pPr>
        <w:spacing w:after="200" w:line="276" w:lineRule="auto"/>
      </w:pPr>
      <w:r>
        <w:rPr>
          <w:rFonts w:ascii="Arial" w:hAnsi="Arial" w:eastAsia="Arial" w:cs="Arial"/>
          <w:sz w:val="22"/>
          <w:szCs w:val="22"/>
        </w:rPr>
        <w:t>Weak displacement (or the absence of true displacement) shows:</w:t>
      </w:r>
    </w:p>
    <w:p w14:paraId="25DA55A4">
      <w:pPr>
        <w:pStyle w:val="16"/>
        <w:numPr>
          <w:ilvl w:val="0"/>
          <w:numId w:val="1"/>
        </w:numPr>
        <w:spacing w:after="120" w:line="276" w:lineRule="auto"/>
      </w:pPr>
      <w:r>
        <w:rPr>
          <w:rFonts w:ascii="Arial" w:hAnsi="Arial" w:eastAsia="Arial" w:cs="Arial"/>
          <w:sz w:val="22"/>
          <w:szCs w:val="22"/>
        </w:rPr>
        <w:t>Overlapping candles and indecisive bodies.</w:t>
      </w:r>
    </w:p>
    <w:p w14:paraId="0FA65BA2">
      <w:pPr>
        <w:pStyle w:val="16"/>
        <w:numPr>
          <w:ilvl w:val="0"/>
          <w:numId w:val="1"/>
        </w:numPr>
        <w:spacing w:after="120" w:line="276" w:lineRule="auto"/>
      </w:pPr>
      <w:r>
        <w:rPr>
          <w:rFonts w:ascii="Arial" w:hAnsi="Arial" w:eastAsia="Arial" w:cs="Arial"/>
          <w:sz w:val="22"/>
          <w:szCs w:val="22"/>
        </w:rPr>
        <w:t>Frequent rejection wicks in both directions.</w:t>
      </w:r>
    </w:p>
    <w:p w14:paraId="2B525368">
      <w:pPr>
        <w:pStyle w:val="16"/>
        <w:numPr>
          <w:ilvl w:val="0"/>
          <w:numId w:val="1"/>
        </w:numPr>
        <w:spacing w:after="120" w:line="276" w:lineRule="auto"/>
      </w:pPr>
      <w:r>
        <w:rPr>
          <w:rFonts w:ascii="Arial" w:hAnsi="Arial" w:eastAsia="Arial" w:cs="Arial"/>
          <w:sz w:val="22"/>
          <w:szCs w:val="22"/>
        </w:rPr>
        <w:t>No clear Fair Value Gap or only tiny, quickly filled inefficiencies.</w:t>
      </w:r>
    </w:p>
    <w:p w14:paraId="42789682">
      <w:pPr>
        <w:pStyle w:val="16"/>
        <w:numPr>
          <w:ilvl w:val="0"/>
          <w:numId w:val="1"/>
        </w:numPr>
        <w:spacing w:after="120" w:line="276" w:lineRule="auto"/>
      </w:pPr>
      <w:r>
        <w:rPr>
          <w:rFonts w:ascii="Arial" w:hAnsi="Arial" w:eastAsia="Arial" w:cs="Arial"/>
          <w:sz w:val="22"/>
          <w:szCs w:val="22"/>
        </w:rPr>
        <w:t>Price that struggles to hold beyond the broken level.</w:t>
      </w:r>
    </w:p>
    <w:p w14:paraId="39B11D4A">
      <w:pPr>
        <w:pStyle w:val="3"/>
        <w:spacing w:before="280" w:after="180"/>
      </w:pPr>
      <w:r>
        <w:rPr>
          <w:rFonts w:ascii="Arial" w:hAnsi="Arial" w:eastAsia="Arial" w:cs="Arial"/>
          <w:b/>
          <w:bCs/>
          <w:sz w:val="26"/>
          <w:szCs w:val="26"/>
        </w:rPr>
        <w:t>1.4 Why Quality Matters</w:t>
      </w:r>
    </w:p>
    <w:p w14:paraId="37A8C9F8">
      <w:pPr>
        <w:spacing w:after="200" w:line="276" w:lineRule="auto"/>
      </w:pPr>
      <w:r>
        <w:rPr>
          <w:rFonts w:ascii="Arial" w:hAnsi="Arial" w:eastAsia="Arial" w:cs="Arial"/>
          <w:sz w:val="22"/>
          <w:szCs w:val="22"/>
        </w:rPr>
        <w:t>A structure break delivered by strong displacement carries far more informational value than the same level broken by a slow, overlapping grind. The intermediate student learns to grade the delivery, not merely to notice that a level was crossed.</w:t>
      </w:r>
    </w:p>
    <w:p w14:paraId="7FA5DA6C">
      <w:pPr>
        <w:pStyle w:val="2"/>
        <w:spacing w:before="360" w:after="240"/>
      </w:pPr>
      <w:r>
        <w:rPr>
          <w:rFonts w:ascii="Arial" w:hAnsi="Arial" w:eastAsia="Arial" w:cs="Arial"/>
          <w:b/>
          <w:bCs/>
          <w:sz w:val="32"/>
          <w:szCs w:val="32"/>
        </w:rPr>
        <w:t>2. Displacement Through Liquidity vs Through Structure</w:t>
      </w:r>
    </w:p>
    <w:p w14:paraId="5AF2FA13">
      <w:pPr>
        <w:pStyle w:val="3"/>
        <w:spacing w:before="280" w:after="180"/>
      </w:pPr>
      <w:r>
        <w:rPr>
          <w:rFonts w:ascii="Arial" w:hAnsi="Arial" w:eastAsia="Arial" w:cs="Arial"/>
          <w:b/>
          <w:bCs/>
          <w:sz w:val="26"/>
          <w:szCs w:val="26"/>
        </w:rPr>
        <w:t>2.1 Displacement Through Liquidity</w:t>
      </w:r>
    </w:p>
    <w:p w14:paraId="7D24FC94">
      <w:pPr>
        <w:spacing w:after="200" w:line="276" w:lineRule="auto"/>
      </w:pPr>
      <w:r>
        <w:rPr>
          <w:rFonts w:ascii="Arial" w:hAnsi="Arial" w:eastAsia="Arial" w:cs="Arial"/>
          <w:sz w:val="22"/>
          <w:szCs w:val="22"/>
        </w:rPr>
        <w:t>This occurs when the energetic move is primarily the act of running a liquidity pool (BSL or SSL). The displacement itself is the raid. Subsequent behaviour (rejection and reversal, or acceptance and continuation) determines whether the event is a raid or a continuation (Module 2).</w:t>
      </w:r>
    </w:p>
    <w:p w14:paraId="0911A165">
      <w:pPr>
        <w:pStyle w:val="3"/>
        <w:spacing w:before="280" w:after="180"/>
      </w:pPr>
      <w:r>
        <w:rPr>
          <w:rFonts w:ascii="Arial" w:hAnsi="Arial" w:eastAsia="Arial" w:cs="Arial"/>
          <w:b/>
          <w:bCs/>
          <w:sz w:val="26"/>
          <w:szCs w:val="26"/>
        </w:rPr>
        <w:t>2.2 Displacement Through Structure</w:t>
      </w:r>
    </w:p>
    <w:p w14:paraId="6C89D866">
      <w:pPr>
        <w:spacing w:after="200" w:line="276" w:lineRule="auto"/>
      </w:pPr>
      <w:r>
        <w:rPr>
          <w:rFonts w:ascii="Arial" w:hAnsi="Arial" w:eastAsia="Arial" w:cs="Arial"/>
          <w:sz w:val="22"/>
          <w:szCs w:val="22"/>
        </w:rPr>
        <w:t>This occurs when the energetic move breaks a protected structural swing (a higher low in a bullish sequence, a lower high in a bearish sequence, or an intermediate-/long-term pivot). When displacement and a structural break coincide, the result is a high-quality Market Structure Shift.</w:t>
      </w:r>
    </w:p>
    <w:p w14:paraId="7BDC0A43">
      <w:pPr>
        <w:pStyle w:val="3"/>
        <w:spacing w:before="280" w:after="180"/>
      </w:pPr>
      <w:r>
        <w:rPr>
          <w:rFonts w:ascii="Arial" w:hAnsi="Arial" w:eastAsia="Arial" w:cs="Arial"/>
          <w:b/>
          <w:bCs/>
          <w:sz w:val="26"/>
          <w:szCs w:val="26"/>
        </w:rPr>
        <w:t>2.3 Preferred Combination</w:t>
      </w:r>
    </w:p>
    <w:p w14:paraId="21109614">
      <w:pPr>
        <w:spacing w:after="200" w:line="276" w:lineRule="auto"/>
      </w:pPr>
      <w:r>
        <w:rPr>
          <w:rFonts w:ascii="Arial" w:hAnsi="Arial" w:eastAsia="Arial" w:cs="Arial"/>
          <w:sz w:val="22"/>
          <w:szCs w:val="22"/>
        </w:rPr>
        <w:t>The highest-quality intermediate setups frequently combine both: a liquidity event is followed by displacement that also breaks structure. Liquidity supplies the fuel; displacement through structure supplies the confirmation of a change in control.</w:t>
      </w:r>
    </w:p>
    <w:p w14:paraId="3A706922">
      <w:pPr>
        <w:pStyle w:val="2"/>
        <w:spacing w:before="360" w:after="240"/>
      </w:pPr>
      <w:r>
        <w:rPr>
          <w:rFonts w:ascii="Arial" w:hAnsi="Arial" w:eastAsia="Arial" w:cs="Arial"/>
          <w:b/>
          <w:bCs/>
          <w:sz w:val="32"/>
          <w:szCs w:val="32"/>
        </w:rPr>
        <w:t>3. Market Structure Shift Confirmation</w:t>
      </w:r>
    </w:p>
    <w:p w14:paraId="03A6ECCE">
      <w:pPr>
        <w:pStyle w:val="3"/>
        <w:spacing w:before="280" w:after="180"/>
      </w:pPr>
      <w:r>
        <w:rPr>
          <w:rFonts w:ascii="Arial" w:hAnsi="Arial" w:eastAsia="Arial" w:cs="Arial"/>
          <w:b/>
          <w:bCs/>
          <w:sz w:val="26"/>
          <w:szCs w:val="26"/>
        </w:rPr>
        <w:t>3.1 ICT Emphasis</w:t>
      </w:r>
    </w:p>
    <w:p w14:paraId="7DE54587">
      <w:pPr>
        <w:spacing w:after="200" w:line="276" w:lineRule="auto"/>
      </w:pPr>
      <w:r>
        <w:rPr>
          <w:rFonts w:ascii="Arial" w:hAnsi="Arial" w:eastAsia="Arial" w:cs="Arial"/>
          <w:sz w:val="22"/>
          <w:szCs w:val="22"/>
        </w:rPr>
        <w:t>Within ICT teaching, a Market Structure Shift is confirmed when price breaks a significant swing point with displacement. A mere wick beyond the level, or a close that is immediately reversed, is insufficient. The preferred confirmation package is:</w:t>
      </w:r>
    </w:p>
    <w:p w14:paraId="5E550441">
      <w:pPr>
        <w:pStyle w:val="16"/>
        <w:numPr>
          <w:ilvl w:val="0"/>
          <w:numId w:val="1"/>
        </w:numPr>
        <w:spacing w:after="120" w:line="276" w:lineRule="auto"/>
      </w:pPr>
      <w:r>
        <w:rPr>
          <w:rFonts w:ascii="Arial" w:hAnsi="Arial" w:eastAsia="Arial" w:cs="Arial"/>
          <w:sz w:val="22"/>
          <w:szCs w:val="22"/>
        </w:rPr>
        <w:t>Liquidity event (sweep/raid) preceding or concurrent with the move.</w:t>
      </w:r>
    </w:p>
    <w:p w14:paraId="6C686934">
      <w:pPr>
        <w:pStyle w:val="16"/>
        <w:numPr>
          <w:ilvl w:val="0"/>
          <w:numId w:val="1"/>
        </w:numPr>
        <w:spacing w:after="120" w:line="276" w:lineRule="auto"/>
      </w:pPr>
      <w:r>
        <w:rPr>
          <w:rFonts w:ascii="Arial" w:hAnsi="Arial" w:eastAsia="Arial" w:cs="Arial"/>
          <w:sz w:val="22"/>
          <w:szCs w:val="22"/>
        </w:rPr>
        <w:t>Displacement (energetic candles, preferably creating an FVG).</w:t>
      </w:r>
    </w:p>
    <w:p w14:paraId="5BF4CC14">
      <w:pPr>
        <w:pStyle w:val="16"/>
        <w:numPr>
          <w:ilvl w:val="0"/>
          <w:numId w:val="1"/>
        </w:numPr>
        <w:spacing w:after="120" w:line="276" w:lineRule="auto"/>
      </w:pPr>
      <w:r>
        <w:rPr>
          <w:rFonts w:ascii="Arial" w:hAnsi="Arial" w:eastAsia="Arial" w:cs="Arial"/>
          <w:sz w:val="22"/>
          <w:szCs w:val="22"/>
        </w:rPr>
        <w:t>Clear break and close beyond the structural reference.</w:t>
      </w:r>
    </w:p>
    <w:p w14:paraId="23EB4662">
      <w:pPr>
        <w:pStyle w:val="16"/>
        <w:numPr>
          <w:ilvl w:val="0"/>
          <w:numId w:val="1"/>
        </w:numPr>
        <w:spacing w:after="120" w:line="276" w:lineRule="auto"/>
      </w:pPr>
      <w:r>
        <w:rPr>
          <w:rFonts w:ascii="Arial" w:hAnsi="Arial" w:eastAsia="Arial" w:cs="Arial"/>
          <w:sz w:val="22"/>
          <w:szCs w:val="22"/>
        </w:rPr>
        <w:t>Subsequent inability of price to reclaim the broken level in a meaningful way.</w:t>
      </w:r>
    </w:p>
    <w:p w14:paraId="58A7D126">
      <w:pPr>
        <w:pStyle w:val="3"/>
        <w:spacing w:before="280" w:after="180"/>
      </w:pPr>
      <w:r>
        <w:rPr>
          <w:rFonts w:ascii="Arial" w:hAnsi="Arial" w:eastAsia="Arial" w:cs="Arial"/>
          <w:b/>
          <w:bCs/>
          <w:sz w:val="26"/>
          <w:szCs w:val="26"/>
        </w:rPr>
        <w:t>3.2 Body Close Preference</w:t>
      </w:r>
    </w:p>
    <w:p w14:paraId="4E0F8DD3">
      <w:pPr>
        <w:spacing w:after="200" w:line="276" w:lineRule="auto"/>
      </w:pPr>
      <w:r>
        <w:rPr>
          <w:rFonts w:ascii="Arial" w:hAnsi="Arial" w:eastAsia="Arial" w:cs="Arial"/>
          <w:sz w:val="22"/>
          <w:szCs w:val="22"/>
        </w:rPr>
        <w:t>Intermediate practice prefers a candle body close beyond the structural level rather than a wick-only breach. Wick-only events are more often liquidity probes.</w:t>
      </w:r>
    </w:p>
    <w:p w14:paraId="7799C572">
      <w:pPr>
        <w:pStyle w:val="2"/>
        <w:spacing w:before="360" w:after="240"/>
      </w:pPr>
      <w:r>
        <w:rPr>
          <w:rFonts w:ascii="Arial" w:hAnsi="Arial" w:eastAsia="Arial" w:cs="Arial"/>
          <w:b/>
          <w:bCs/>
          <w:sz w:val="32"/>
          <w:szCs w:val="32"/>
        </w:rPr>
        <w:t>4. Internal MSS vs External MSS</w:t>
      </w:r>
    </w:p>
    <w:p w14:paraId="4511BD57">
      <w:pPr>
        <w:pStyle w:val="3"/>
        <w:spacing w:before="280" w:after="180"/>
      </w:pPr>
      <w:r>
        <w:rPr>
          <w:rFonts w:ascii="Arial" w:hAnsi="Arial" w:eastAsia="Arial" w:cs="Arial"/>
          <w:b/>
          <w:bCs/>
          <w:sz w:val="26"/>
          <w:szCs w:val="26"/>
        </w:rPr>
        <w:t>4.1 Internal Market Structure Shift</w:t>
      </w:r>
    </w:p>
    <w:p w14:paraId="69F4B580">
      <w:pPr>
        <w:spacing w:after="200" w:line="276" w:lineRule="auto"/>
      </w:pPr>
      <w:r>
        <w:rPr>
          <w:rFonts w:ascii="Arial" w:hAnsi="Arial" w:eastAsia="Arial" w:cs="Arial"/>
          <w:sz w:val="22"/>
          <w:szCs w:val="22"/>
        </w:rPr>
        <w:t>An internal MSS is a structure break that occurs inside the current dealing range and affects only short-term or intermediate-term pivots. It is useful for lower-timeframe entry timing but does not, by itself, overturn the higher-timeframe narrative.</w:t>
      </w:r>
    </w:p>
    <w:p w14:paraId="77275342">
      <w:pPr>
        <w:pStyle w:val="3"/>
        <w:spacing w:before="280" w:after="180"/>
      </w:pPr>
      <w:r>
        <w:rPr>
          <w:rFonts w:ascii="Arial" w:hAnsi="Arial" w:eastAsia="Arial" w:cs="Arial"/>
          <w:b/>
          <w:bCs/>
          <w:sz w:val="26"/>
          <w:szCs w:val="26"/>
        </w:rPr>
        <w:t>4.2 External Market Structure Shift</w:t>
      </w:r>
    </w:p>
    <w:p w14:paraId="01E96EAB">
      <w:pPr>
        <w:spacing w:after="200" w:line="276" w:lineRule="auto"/>
      </w:pPr>
      <w:r>
        <w:rPr>
          <w:rFonts w:ascii="Arial" w:hAnsi="Arial" w:eastAsia="Arial" w:cs="Arial"/>
          <w:sz w:val="22"/>
          <w:szCs w:val="22"/>
        </w:rPr>
        <w:t>An external MSS is a structure break that violates a dealing-range boundary or a long-term / higher-timeframe structural pivot. It carries greater narrative weight and may signal that the prior dealing range is being replaced.</w:t>
      </w:r>
    </w:p>
    <w:p w14:paraId="27C59AFB">
      <w:pPr>
        <w:pStyle w:val="3"/>
        <w:spacing w:before="280" w:after="180"/>
      </w:pPr>
      <w:r>
        <w:rPr>
          <w:rFonts w:ascii="Arial" w:hAnsi="Arial" w:eastAsia="Arial" w:cs="Arial"/>
          <w:b/>
          <w:bCs/>
          <w:sz w:val="26"/>
          <w:szCs w:val="26"/>
        </w:rPr>
        <w:t>4.3 Practical Implication</w:t>
      </w:r>
    </w:p>
    <w:p w14:paraId="33300A04">
      <w:pPr>
        <w:spacing w:after="200" w:line="276" w:lineRule="auto"/>
      </w:pPr>
      <w:r>
        <w:rPr>
          <w:rFonts w:ascii="Arial" w:hAnsi="Arial" w:eastAsia="Arial" w:cs="Arial"/>
          <w:sz w:val="22"/>
          <w:szCs w:val="22"/>
        </w:rPr>
        <w:t>Many profitable intermediate trades are taken on internal MSS events that align with a higher-timeframe bias and a clear Draw on Liquidity. Treating every internal MSS as a full trend reversal is a common source of bias flip-flops.</w:t>
      </w:r>
    </w:p>
    <w:p w14:paraId="358BB567">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The internal/external distinction for structure shifts follows directly from the dealing-range and hierarchical-swing framework established in Module 1 and is consistent with ICT’s emphasis on context.</w:t>
      </w:r>
    </w:p>
    <w:p w14:paraId="3639025F">
      <w:pPr>
        <w:pStyle w:val="2"/>
        <w:spacing w:before="360" w:after="240"/>
      </w:pPr>
      <w:r>
        <w:rPr>
          <w:rFonts w:ascii="Arial" w:hAnsi="Arial" w:eastAsia="Arial" w:cs="Arial"/>
          <w:b/>
          <w:bCs/>
          <w:sz w:val="32"/>
          <w:szCs w:val="32"/>
        </w:rPr>
        <w:t>5. Displacement + Fair Value Gap Relationship</w:t>
      </w:r>
    </w:p>
    <w:p w14:paraId="779A6E17">
      <w:pPr>
        <w:pStyle w:val="3"/>
        <w:spacing w:before="280" w:after="180"/>
      </w:pPr>
      <w:r>
        <w:rPr>
          <w:rFonts w:ascii="Arial" w:hAnsi="Arial" w:eastAsia="Arial" w:cs="Arial"/>
          <w:b/>
          <w:bCs/>
          <w:sz w:val="26"/>
          <w:szCs w:val="26"/>
        </w:rPr>
        <w:t>5.1 The Natural Pairing</w:t>
      </w:r>
    </w:p>
    <w:p w14:paraId="76EF054A">
      <w:pPr>
        <w:spacing w:after="200" w:line="276" w:lineRule="auto"/>
      </w:pPr>
      <w:r>
        <w:rPr>
          <w:rFonts w:ascii="Arial" w:hAnsi="Arial" w:eastAsia="Arial" w:cs="Arial"/>
          <w:sz w:val="22"/>
          <w:szCs w:val="22"/>
        </w:rPr>
        <w:t>True displacement often leaves a Fair Value Gap because price moved too quickly for balanced two-sided delivery. The FVG becomes both evidence that displacement occurred and a potential later entry zone (the retracement into the imbalance).</w:t>
      </w:r>
    </w:p>
    <w:p w14:paraId="729569FA">
      <w:pPr>
        <w:pStyle w:val="3"/>
        <w:spacing w:before="280" w:after="180"/>
      </w:pPr>
      <w:r>
        <w:rPr>
          <w:rFonts w:ascii="Arial" w:hAnsi="Arial" w:eastAsia="Arial" w:cs="Arial"/>
          <w:b/>
          <w:bCs/>
          <w:sz w:val="26"/>
          <w:szCs w:val="26"/>
        </w:rPr>
        <w:t>5.2 Practical Reading</w:t>
      </w:r>
    </w:p>
    <w:p w14:paraId="0E93D1DC">
      <w:pPr>
        <w:spacing w:after="200" w:line="276" w:lineRule="auto"/>
      </w:pPr>
      <w:r>
        <w:rPr>
          <w:rFonts w:ascii="Arial" w:hAnsi="Arial" w:eastAsia="Arial" w:cs="Arial"/>
          <w:sz w:val="22"/>
          <w:szCs w:val="22"/>
        </w:rPr>
        <w:t>When a structure break is accompanied by a clean FVG in the direction of the break, the quality of the MSS is elevated. When a structure break occurs with no imbalance and heavy candle overlap, the quality is reduced.</w:t>
      </w:r>
    </w:p>
    <w:p w14:paraId="6DECAF47">
      <w:pPr>
        <w:pStyle w:val="3"/>
        <w:spacing w:before="280" w:after="180"/>
      </w:pPr>
      <w:r>
        <w:rPr>
          <w:rFonts w:ascii="Arial" w:hAnsi="Arial" w:eastAsia="Arial" w:cs="Arial"/>
          <w:b/>
          <w:bCs/>
          <w:sz w:val="26"/>
          <w:szCs w:val="26"/>
        </w:rPr>
        <w:t>5.3 Later Use</w:t>
      </w:r>
    </w:p>
    <w:p w14:paraId="35109809">
      <w:pPr>
        <w:spacing w:after="200" w:line="276" w:lineRule="auto"/>
      </w:pPr>
      <w:r>
        <w:rPr>
          <w:rFonts w:ascii="Arial" w:hAnsi="Arial" w:eastAsia="Arial" w:cs="Arial"/>
          <w:sz w:val="22"/>
          <w:szCs w:val="22"/>
        </w:rPr>
        <w:t>Module 4 will treat the FVG itself in greater depth. For now it is sufficient to recognise that the presence of an FVG created by the displacement leg is a positive quality filter for the MSS.</w:t>
      </w:r>
    </w:p>
    <w:p w14:paraId="208E874F">
      <w:pPr>
        <w:pStyle w:val="2"/>
        <w:spacing w:before="360" w:after="240"/>
      </w:pPr>
      <w:r>
        <w:rPr>
          <w:rFonts w:ascii="Arial" w:hAnsi="Arial" w:eastAsia="Arial" w:cs="Arial"/>
          <w:b/>
          <w:bCs/>
          <w:sz w:val="32"/>
          <w:szCs w:val="32"/>
        </w:rPr>
        <w:t>6. Displacement + Liquidity Relationship</w:t>
      </w:r>
    </w:p>
    <w:p w14:paraId="4E76FACC">
      <w:pPr>
        <w:pStyle w:val="3"/>
        <w:spacing w:before="280" w:after="180"/>
      </w:pPr>
      <w:r>
        <w:rPr>
          <w:rFonts w:ascii="Arial" w:hAnsi="Arial" w:eastAsia="Arial" w:cs="Arial"/>
          <w:b/>
          <w:bCs/>
          <w:sz w:val="26"/>
          <w:szCs w:val="26"/>
        </w:rPr>
        <w:t>6.1 Sequence Preference</w:t>
      </w:r>
    </w:p>
    <w:p w14:paraId="23073DD8">
      <w:pPr>
        <w:spacing w:after="200" w:line="276" w:lineRule="auto"/>
      </w:pPr>
      <w:r>
        <w:rPr>
          <w:rFonts w:ascii="Arial" w:hAnsi="Arial" w:eastAsia="Arial" w:cs="Arial"/>
          <w:sz w:val="22"/>
          <w:szCs w:val="22"/>
        </w:rPr>
        <w:t>The preferred intermediate sequence remains:</w:t>
      </w:r>
    </w:p>
    <w:p w14:paraId="45865FA3">
      <w:pPr>
        <w:spacing w:after="200" w:line="276" w:lineRule="auto"/>
      </w:pPr>
      <w:r>
        <w:rPr>
          <w:rFonts w:ascii="Arial" w:hAnsi="Arial" w:eastAsia="Arial" w:cs="Arial"/>
          <w:sz w:val="22"/>
          <w:szCs w:val="22"/>
        </w:rPr>
        <w:t>Liquidity event (raid or sweep) → Displacement away from the raided pool → Market Structure Shift → Retracement into a PD array created by the displacement (often an FVG or Order Block).</w:t>
      </w:r>
    </w:p>
    <w:p w14:paraId="7AF9F797">
      <w:pPr>
        <w:spacing w:after="200" w:line="276" w:lineRule="auto"/>
      </w:pPr>
      <w:r>
        <w:rPr>
          <w:rFonts w:ascii="Arial" w:hAnsi="Arial" w:eastAsia="Arial" w:cs="Arial"/>
          <w:sz w:val="22"/>
          <w:szCs w:val="22"/>
        </w:rPr>
        <w:t>Displacement that occurs without a preceding or concurrent liquidity event is lower probability; the market has not yet performed the stop-run that frequently precedes institutional repositioning.</w:t>
      </w:r>
    </w:p>
    <w:p w14:paraId="4C602354">
      <w:pPr>
        <w:pStyle w:val="3"/>
        <w:spacing w:before="280" w:after="180"/>
      </w:pPr>
      <w:r>
        <w:rPr>
          <w:rFonts w:ascii="Arial" w:hAnsi="Arial" w:eastAsia="Arial" w:cs="Arial"/>
          <w:b/>
          <w:bCs/>
          <w:sz w:val="26"/>
          <w:szCs w:val="26"/>
        </w:rPr>
        <w:t>6.2 Displacement After a Raid</w:t>
      </w:r>
    </w:p>
    <w:p w14:paraId="6752FEF7">
      <w:pPr>
        <w:spacing w:after="200" w:line="276" w:lineRule="auto"/>
      </w:pPr>
      <w:r>
        <w:rPr>
          <w:rFonts w:ascii="Arial" w:hAnsi="Arial" w:eastAsia="Arial" w:cs="Arial"/>
          <w:sz w:val="22"/>
          <w:szCs w:val="22"/>
        </w:rPr>
        <w:t>When displacement follows a clear liquidity raid and breaks structure, the trader has simultaneous evidence of: (1) liquidity taken, (2) energetic repricing, and (3) structural change. This combination is the foundation of many ICT execution models.</w:t>
      </w:r>
    </w:p>
    <w:p w14:paraId="761B1CCF">
      <w:pPr>
        <w:pStyle w:val="2"/>
        <w:spacing w:before="360" w:after="240"/>
      </w:pPr>
      <w:r>
        <w:rPr>
          <w:rFonts w:ascii="Arial" w:hAnsi="Arial" w:eastAsia="Arial" w:cs="Arial"/>
          <w:b/>
          <w:bCs/>
          <w:sz w:val="32"/>
          <w:szCs w:val="32"/>
        </w:rPr>
        <w:t>7. Failed Displacement and Weak Structure Shifts</w:t>
      </w:r>
    </w:p>
    <w:p w14:paraId="6DD1A83F">
      <w:pPr>
        <w:pStyle w:val="3"/>
        <w:spacing w:before="280" w:after="180"/>
      </w:pPr>
      <w:r>
        <w:rPr>
          <w:rFonts w:ascii="Arial" w:hAnsi="Arial" w:eastAsia="Arial" w:cs="Arial"/>
          <w:b/>
          <w:bCs/>
          <w:sz w:val="26"/>
          <w:szCs w:val="26"/>
        </w:rPr>
        <w:t>7.1 Failed Displacement</w:t>
      </w:r>
    </w:p>
    <w:p w14:paraId="42350FB4">
      <w:pPr>
        <w:spacing w:after="200" w:line="276" w:lineRule="auto"/>
      </w:pPr>
      <w:r>
        <w:rPr>
          <w:rFonts w:ascii="Arial" w:hAnsi="Arial" w:eastAsia="Arial" w:cs="Arial"/>
          <w:sz w:val="22"/>
          <w:szCs w:val="22"/>
        </w:rPr>
        <w:t>A failed displacement occurs when price makes an energetic push that appears to break structure or run liquidity, but is quickly and decisively reversed, leaving the original structure intact. The apparent shift is invalidated.</w:t>
      </w:r>
    </w:p>
    <w:p w14:paraId="4DF303D3">
      <w:pPr>
        <w:pStyle w:val="3"/>
        <w:spacing w:before="280" w:after="180"/>
      </w:pPr>
      <w:r>
        <w:rPr>
          <w:rFonts w:ascii="Arial" w:hAnsi="Arial" w:eastAsia="Arial" w:cs="Arial"/>
          <w:b/>
          <w:bCs/>
          <w:sz w:val="26"/>
          <w:szCs w:val="26"/>
        </w:rPr>
        <w:t>7.2 Weak Structure Shift</w:t>
      </w:r>
    </w:p>
    <w:p w14:paraId="13B88045">
      <w:pPr>
        <w:spacing w:after="200" w:line="276" w:lineRule="auto"/>
      </w:pPr>
      <w:r>
        <w:rPr>
          <w:rFonts w:ascii="Arial" w:hAnsi="Arial" w:eastAsia="Arial" w:cs="Arial"/>
          <w:sz w:val="22"/>
          <w:szCs w:val="22"/>
        </w:rPr>
        <w:t>A weak structure shift is a break that lacks displacement, lacks an FVG, occurs on overlapping candles, or is immediately reclaimed. It should not be treated as high-quality confirmation.</w:t>
      </w:r>
    </w:p>
    <w:p w14:paraId="58CC92F7">
      <w:pPr>
        <w:pStyle w:val="3"/>
        <w:spacing w:before="280" w:after="180"/>
      </w:pPr>
      <w:r>
        <w:rPr>
          <w:rFonts w:ascii="Arial" w:hAnsi="Arial" w:eastAsia="Arial" w:cs="Arial"/>
          <w:b/>
          <w:bCs/>
          <w:sz w:val="26"/>
          <w:szCs w:val="26"/>
        </w:rPr>
        <w:t>7.3 Intermediate Response</w:t>
      </w:r>
    </w:p>
    <w:p w14:paraId="4B4C7105">
      <w:pPr>
        <w:spacing w:after="200" w:line="276" w:lineRule="auto"/>
      </w:pPr>
      <w:r>
        <w:rPr>
          <w:rFonts w:ascii="Arial" w:hAnsi="Arial" w:eastAsia="Arial" w:cs="Arial"/>
          <w:sz w:val="22"/>
          <w:szCs w:val="22"/>
        </w:rPr>
        <w:t>When displacement fails or the shift is weak, the trader does not force the narrative. The higher-timeframe dealing range and Draw on Liquidity remain the primary references until a higher-quality event appears.</w:t>
      </w:r>
    </w:p>
    <w:p w14:paraId="60F5B471">
      <w:pPr>
        <w:pStyle w:val="2"/>
        <w:spacing w:before="360" w:after="240"/>
      </w:pPr>
      <w:r>
        <w:rPr>
          <w:rFonts w:ascii="Arial" w:hAnsi="Arial" w:eastAsia="Arial" w:cs="Arial"/>
          <w:b/>
          <w:bCs/>
          <w:sz w:val="32"/>
          <w:szCs w:val="32"/>
        </w:rPr>
        <w:t>8. Confirmation vs Anticipation</w:t>
      </w:r>
    </w:p>
    <w:p w14:paraId="6BD1AC37">
      <w:pPr>
        <w:pStyle w:val="3"/>
        <w:spacing w:before="280" w:after="180"/>
      </w:pPr>
      <w:r>
        <w:rPr>
          <w:rFonts w:ascii="Arial" w:hAnsi="Arial" w:eastAsia="Arial" w:cs="Arial"/>
          <w:b/>
          <w:bCs/>
          <w:sz w:val="26"/>
          <w:szCs w:val="26"/>
        </w:rPr>
        <w:t>8.1 Definitions</w:t>
      </w:r>
    </w:p>
    <w:p w14:paraId="2C4E47F3">
      <w:pPr>
        <w:spacing w:after="200" w:line="276" w:lineRule="auto"/>
      </w:pPr>
      <w:r>
        <w:rPr>
          <w:rFonts w:ascii="Arial" w:hAnsi="Arial" w:eastAsia="Arial" w:cs="Arial"/>
          <w:sz w:val="22"/>
          <w:szCs w:val="22"/>
        </w:rPr>
        <w:t>Confirmation is the presence of evidence already printed on the chart: the liquidity event has occurred, displacement has printed, structure has shifted, and (preferably) an FVG has formed.</w:t>
      </w:r>
    </w:p>
    <w:p w14:paraId="3F76CBDA">
      <w:pPr>
        <w:spacing w:after="200" w:line="276" w:lineRule="auto"/>
      </w:pPr>
      <w:r>
        <w:rPr>
          <w:rFonts w:ascii="Arial" w:hAnsi="Arial" w:eastAsia="Arial" w:cs="Arial"/>
          <w:sz w:val="22"/>
          <w:szCs w:val="22"/>
        </w:rPr>
        <w:t>Anticipation is the expectation that these events will occur. Anticipatory entries are taken before the evidence is present.</w:t>
      </w:r>
    </w:p>
    <w:p w14:paraId="6A25518B">
      <w:pPr>
        <w:pStyle w:val="3"/>
        <w:spacing w:before="280" w:after="180"/>
      </w:pPr>
      <w:r>
        <w:rPr>
          <w:rFonts w:ascii="Arial" w:hAnsi="Arial" w:eastAsia="Arial" w:cs="Arial"/>
          <w:b/>
          <w:bCs/>
          <w:sz w:val="26"/>
          <w:szCs w:val="26"/>
        </w:rPr>
        <w:t>8.2 Intermediate Discipline</w:t>
      </w:r>
    </w:p>
    <w:p w14:paraId="531F9096">
      <w:pPr>
        <w:spacing w:after="200" w:line="276" w:lineRule="auto"/>
      </w:pPr>
      <w:r>
        <w:rPr>
          <w:rFonts w:ascii="Arial" w:hAnsi="Arial" w:eastAsia="Arial" w:cs="Arial"/>
          <w:sz w:val="22"/>
          <w:szCs w:val="22"/>
        </w:rPr>
        <w:t>While experienced practitioners may occasionally anticipate, the intermediate student is trained to wait for confirmation. Entering before the sweep, or before displacement confirms the shift, converts the trader’s stop into the liquidity the market is seeking.</w:t>
      </w:r>
    </w:p>
    <w:p w14:paraId="2E585DF8">
      <w:pPr>
        <w:pStyle w:val="3"/>
        <w:spacing w:before="280" w:after="180"/>
      </w:pPr>
      <w:r>
        <w:rPr>
          <w:rFonts w:ascii="Arial" w:hAnsi="Arial" w:eastAsia="Arial" w:cs="Arial"/>
          <w:b/>
          <w:bCs/>
          <w:sz w:val="26"/>
          <w:szCs w:val="26"/>
        </w:rPr>
        <w:t>8.3 Practical Rule</w:t>
      </w:r>
    </w:p>
    <w:p w14:paraId="35379C55">
      <w:pPr>
        <w:spacing w:after="200" w:line="276" w:lineRule="auto"/>
      </w:pPr>
      <w:r>
        <w:rPr>
          <w:rFonts w:ascii="Arial" w:hAnsi="Arial" w:eastAsia="Arial" w:cs="Arial"/>
          <w:sz w:val="22"/>
          <w:szCs w:val="22"/>
        </w:rPr>
        <w:t>If the displacement and MSS have not yet printed, the setup is still in the anticipation phase. The correct action is to wait or to stand aside.</w:t>
      </w:r>
    </w:p>
    <w:p w14:paraId="28B13186">
      <w:pPr>
        <w:pStyle w:val="2"/>
        <w:spacing w:before="360" w:after="240"/>
      </w:pPr>
      <w:r>
        <w:rPr>
          <w:rFonts w:ascii="Arial" w:hAnsi="Arial" w:eastAsia="Arial" w:cs="Arial"/>
          <w:b/>
          <w:bCs/>
          <w:sz w:val="32"/>
          <w:szCs w:val="32"/>
        </w:rPr>
        <w:t>Worked Example — High-Quality vs Low-Quality Shift</w:t>
      </w:r>
    </w:p>
    <w:p w14:paraId="3C6DC6DF">
      <w:pPr>
        <w:spacing w:after="200" w:line="276" w:lineRule="auto"/>
      </w:pPr>
      <w:r>
        <w:rPr>
          <w:rFonts w:ascii="Arial" w:hAnsi="Arial" w:eastAsia="Arial" w:cs="Arial"/>
          <w:sz w:val="22"/>
          <w:szCs w:val="22"/>
        </w:rPr>
        <w:t>Context: 15-minute chart, higher-timeframe bias bullish, price in discount relative to the 1-hour dealing range.</w:t>
      </w:r>
    </w:p>
    <w:p w14:paraId="613FC4D9">
      <w:pPr>
        <w:spacing w:after="200" w:line="276" w:lineRule="auto"/>
      </w:pPr>
      <w:r>
        <w:rPr>
          <w:rFonts w:ascii="Arial" w:hAnsi="Arial" w:eastAsia="Arial" w:cs="Arial"/>
          <w:sz w:val="22"/>
          <w:szCs w:val="22"/>
        </w:rPr>
        <w:t>Scenario A (High quality):</w:t>
      </w:r>
    </w:p>
    <w:p w14:paraId="16501CD6">
      <w:pPr>
        <w:pStyle w:val="16"/>
        <w:numPr>
          <w:ilvl w:val="0"/>
          <w:numId w:val="1"/>
        </w:numPr>
        <w:spacing w:after="120" w:line="276" w:lineRule="auto"/>
      </w:pPr>
      <w:r>
        <w:rPr>
          <w:rFonts w:ascii="Arial" w:hAnsi="Arial" w:eastAsia="Arial" w:cs="Arial"/>
          <w:sz w:val="22"/>
          <w:szCs w:val="22"/>
        </w:rPr>
        <w:t>Sell-side liquidity below a short-term low is raided.</w:t>
      </w:r>
    </w:p>
    <w:p w14:paraId="0166354A">
      <w:pPr>
        <w:pStyle w:val="16"/>
        <w:numPr>
          <w:ilvl w:val="0"/>
          <w:numId w:val="1"/>
        </w:numPr>
        <w:spacing w:after="120" w:line="276" w:lineRule="auto"/>
      </w:pPr>
      <w:r>
        <w:rPr>
          <w:rFonts w:ascii="Arial" w:hAnsi="Arial" w:eastAsia="Arial" w:cs="Arial"/>
          <w:sz w:val="22"/>
          <w:szCs w:val="22"/>
        </w:rPr>
        <w:t>Price then prints two large bullish candles that close well above the prior short-term high, leaving a clear Fair Value Gap.</w:t>
      </w:r>
    </w:p>
    <w:p w14:paraId="346B185D">
      <w:pPr>
        <w:pStyle w:val="16"/>
        <w:numPr>
          <w:ilvl w:val="0"/>
          <w:numId w:val="1"/>
        </w:numPr>
        <w:spacing w:after="120" w:line="276" w:lineRule="auto"/>
      </w:pPr>
      <w:r>
        <w:rPr>
          <w:rFonts w:ascii="Arial" w:hAnsi="Arial" w:eastAsia="Arial" w:cs="Arial"/>
          <w:sz w:val="22"/>
          <w:szCs w:val="22"/>
        </w:rPr>
        <w:t>The broken short-term high is not reclaimed.</w:t>
      </w:r>
    </w:p>
    <w:p w14:paraId="3116E491">
      <w:pPr>
        <w:pStyle w:val="16"/>
        <w:numPr>
          <w:ilvl w:val="0"/>
          <w:numId w:val="1"/>
        </w:numPr>
        <w:spacing w:after="120" w:line="276" w:lineRule="auto"/>
      </w:pPr>
      <w:r>
        <w:rPr>
          <w:rFonts w:ascii="Arial" w:hAnsi="Arial" w:eastAsia="Arial" w:cs="Arial"/>
          <w:sz w:val="22"/>
          <w:szCs w:val="22"/>
        </w:rPr>
        <w:t>This is a high-quality internal MSS delivered with displacement after a liquidity event. Entry focus shifts to the FVG on any retracement.</w:t>
      </w:r>
    </w:p>
    <w:p w14:paraId="06644459">
      <w:pPr>
        <w:spacing w:after="200" w:line="276" w:lineRule="auto"/>
      </w:pPr>
      <w:r>
        <w:rPr>
          <w:rFonts w:ascii="Arial" w:hAnsi="Arial" w:eastAsia="Arial" w:cs="Arial"/>
          <w:sz w:val="22"/>
          <w:szCs w:val="22"/>
        </w:rPr>
        <w:t>Scenario B (Low quality):</w:t>
      </w:r>
    </w:p>
    <w:p w14:paraId="17816C55">
      <w:pPr>
        <w:pStyle w:val="16"/>
        <w:numPr>
          <w:ilvl w:val="0"/>
          <w:numId w:val="1"/>
        </w:numPr>
        <w:spacing w:after="120" w:line="276" w:lineRule="auto"/>
      </w:pPr>
      <w:r>
        <w:rPr>
          <w:rFonts w:ascii="Arial" w:hAnsi="Arial" w:eastAsia="Arial" w:cs="Arial"/>
          <w:sz w:val="22"/>
          <w:szCs w:val="22"/>
        </w:rPr>
        <w:t>Price drifts above a short-term high on small, overlapping candles with no FVG.</w:t>
      </w:r>
    </w:p>
    <w:p w14:paraId="20EE55AF">
      <w:pPr>
        <w:pStyle w:val="16"/>
        <w:numPr>
          <w:ilvl w:val="0"/>
          <w:numId w:val="1"/>
        </w:numPr>
        <w:spacing w:after="120" w:line="276" w:lineRule="auto"/>
      </w:pPr>
      <w:r>
        <w:rPr>
          <w:rFonts w:ascii="Arial" w:hAnsi="Arial" w:eastAsia="Arial" w:cs="Arial"/>
          <w:sz w:val="22"/>
          <w:szCs w:val="22"/>
        </w:rPr>
        <w:t>The next candle immediately reverses and closes back below the high.</w:t>
      </w:r>
    </w:p>
    <w:p w14:paraId="3DCB6287">
      <w:pPr>
        <w:pStyle w:val="16"/>
        <w:numPr>
          <w:ilvl w:val="0"/>
          <w:numId w:val="1"/>
        </w:numPr>
        <w:spacing w:after="120" w:line="276" w:lineRule="auto"/>
      </w:pPr>
      <w:r>
        <w:rPr>
          <w:rFonts w:ascii="Arial" w:hAnsi="Arial" w:eastAsia="Arial" w:cs="Arial"/>
          <w:sz w:val="22"/>
          <w:szCs w:val="22"/>
        </w:rPr>
        <w:t>This is a weak or failed shift. No high-quality MSS has occurred; the trader does not treat it as confirmation of a new bullish leg.</w:t>
      </w:r>
    </w:p>
    <w:p w14:paraId="2CD1200A">
      <w:pPr>
        <w:pStyle w:val="2"/>
        <w:spacing w:before="360" w:after="240"/>
      </w:pPr>
      <w:r>
        <w:rPr>
          <w:rFonts w:ascii="Arial" w:hAnsi="Arial" w:eastAsia="Arial" w:cs="Arial"/>
          <w:b/>
          <w:bCs/>
          <w:sz w:val="32"/>
          <w:szCs w:val="32"/>
        </w:rPr>
        <w:t>Visual Reference — Displacement + MSS After Liquidity</w:t>
      </w:r>
    </w:p>
    <w:p w14:paraId="09AAC8FB">
      <w:pPr>
        <w:spacing w:after="0" w:line="240" w:lineRule="auto"/>
      </w:pPr>
      <w:r>
        <w:rPr>
          <w:rFonts w:ascii="Courier New" w:hAnsi="Courier New" w:eastAsia="Courier New" w:cs="Courier New"/>
          <w:sz w:val="18"/>
          <w:szCs w:val="18"/>
        </w:rPr>
        <w:t xml:space="preserve">        BSL (later target)</w:t>
      </w:r>
    </w:p>
    <w:p w14:paraId="31E0494F">
      <w:pPr>
        <w:spacing w:after="0" w:line="240" w:lineRule="auto"/>
      </w:pPr>
      <w:r>
        <w:rPr>
          <w:rFonts w:ascii="Courier New" w:hAnsi="Courier New" w:eastAsia="Courier New" w:cs="Courier New"/>
          <w:sz w:val="18"/>
          <w:szCs w:val="18"/>
        </w:rPr>
        <w:t xml:space="preserve">   ───────────────────────</w:t>
      </w:r>
    </w:p>
    <w:p w14:paraId="2F4D9837">
      <w:pPr>
        <w:spacing w:after="0" w:line="240" w:lineRule="auto"/>
      </w:pPr>
      <w:r>
        <w:rPr>
          <w:rFonts w:ascii="Courier New" w:hAnsi="Courier New" w:eastAsia="Courier New" w:cs="Courier New"/>
          <w:sz w:val="18"/>
          <w:szCs w:val="18"/>
        </w:rPr>
        <w:t xml:space="preserve">              ↑</w:t>
      </w:r>
    </w:p>
    <w:p w14:paraId="4F7F9106">
      <w:pPr>
        <w:spacing w:after="0" w:line="240" w:lineRule="auto"/>
      </w:pPr>
      <w:r>
        <w:rPr>
          <w:rFonts w:ascii="Courier New" w:hAnsi="Courier New" w:eastAsia="Courier New" w:cs="Courier New"/>
          <w:sz w:val="18"/>
          <w:szCs w:val="18"/>
        </w:rPr>
        <w:t xml:space="preserve">              │ displacement + FVG</w:t>
      </w:r>
    </w:p>
    <w:p w14:paraId="34202B06">
      <w:pPr>
        <w:spacing w:after="0" w:line="240" w:lineRule="auto"/>
      </w:pPr>
      <w:r>
        <w:rPr>
          <w:rFonts w:ascii="Courier New" w:hAnsi="Courier New" w:eastAsia="Courier New" w:cs="Courier New"/>
          <w:sz w:val="18"/>
          <w:szCs w:val="18"/>
        </w:rPr>
        <w:t xml:space="preserve">              │</w:t>
      </w:r>
    </w:p>
    <w:p w14:paraId="0FD92B1C">
      <w:pPr>
        <w:spacing w:after="0" w:line="240" w:lineRule="auto"/>
      </w:pPr>
      <w:r>
        <w:rPr>
          <w:rFonts w:ascii="Courier New" w:hAnsi="Courier New" w:eastAsia="Courier New" w:cs="Courier New"/>
          <w:sz w:val="18"/>
          <w:szCs w:val="18"/>
        </w:rPr>
        <w:t xml:space="preserve">   ───── MSS ─┤  (break of prior high)</w:t>
      </w:r>
    </w:p>
    <w:p w14:paraId="02D8C11E">
      <w:pPr>
        <w:spacing w:after="0" w:line="240" w:lineRule="auto"/>
      </w:pPr>
      <w:r>
        <w:rPr>
          <w:rFonts w:ascii="Courier New" w:hAnsi="Courier New" w:eastAsia="Courier New" w:cs="Courier New"/>
          <w:sz w:val="18"/>
          <w:szCs w:val="18"/>
        </w:rPr>
        <w:t xml:space="preserve">              │</w:t>
      </w:r>
    </w:p>
    <w:p w14:paraId="3DA61066">
      <w:pPr>
        <w:spacing w:after="0" w:line="240" w:lineRule="auto"/>
      </w:pPr>
      <w:r>
        <w:rPr>
          <w:rFonts w:ascii="Courier New" w:hAnsi="Courier New" w:eastAsia="Courier New" w:cs="Courier New"/>
          <w:sz w:val="18"/>
          <w:szCs w:val="18"/>
        </w:rPr>
        <w:t xml:space="preserve">         ┌────┘</w:t>
      </w:r>
    </w:p>
    <w:p w14:paraId="20E23CC3">
      <w:pPr>
        <w:spacing w:after="0" w:line="240" w:lineRule="auto"/>
      </w:pPr>
      <w:r>
        <w:rPr>
          <w:rFonts w:ascii="Courier New" w:hAnsi="Courier New" w:eastAsia="Courier New" w:cs="Courier New"/>
          <w:sz w:val="18"/>
          <w:szCs w:val="18"/>
        </w:rPr>
        <w:t xml:space="preserve">         │</w:t>
      </w:r>
    </w:p>
    <w:p w14:paraId="370F2C2A">
      <w:pPr>
        <w:spacing w:after="0" w:line="240" w:lineRule="auto"/>
      </w:pPr>
      <w:r>
        <w:rPr>
          <w:rFonts w:ascii="Courier New" w:hAnsi="Courier New" w:eastAsia="Courier New" w:cs="Courier New"/>
          <w:sz w:val="18"/>
          <w:szCs w:val="18"/>
        </w:rPr>
        <w:t xml:space="preserve">   ──────┘  SSL raid (liquidity event)</w:t>
      </w:r>
    </w:p>
    <w:p w14:paraId="082FC975">
      <w:pPr>
        <w:spacing w:after="0" w:line="240" w:lineRule="auto"/>
      </w:pPr>
      <w:r>
        <w:rPr>
          <w:rFonts w:ascii="Courier New" w:hAnsi="Courier New" w:eastAsia="Courier New" w:cs="Courier New"/>
          <w:sz w:val="18"/>
          <w:szCs w:val="18"/>
        </w:rPr>
        <w:t xml:space="preserve">              ↓</w:t>
      </w:r>
    </w:p>
    <w:p w14:paraId="29E1DDB7">
      <w:pPr>
        <w:spacing w:after="200" w:line="276" w:lineRule="auto"/>
      </w:pPr>
      <w:r>
        <w:rPr>
          <w:rFonts w:ascii="Arial" w:hAnsi="Arial" w:eastAsia="Arial" w:cs="Arial"/>
          <w:sz w:val="22"/>
          <w:szCs w:val="22"/>
        </w:rPr>
        <w:t>The sequence is: liquidity event at the low → energetic displacement that breaks structure and leaves an FVG → later retracement into the FVG for entry → expansion toward the opposing liquidity.</w:t>
      </w:r>
    </w:p>
    <w:p w14:paraId="51659D5E">
      <w:pPr>
        <w:pStyle w:val="2"/>
        <w:spacing w:before="360" w:after="240"/>
      </w:pPr>
      <w:r>
        <w:rPr>
          <w:rFonts w:ascii="Arial" w:hAnsi="Arial" w:eastAsia="Arial" w:cs="Arial"/>
          <w:b/>
          <w:bCs/>
          <w:sz w:val="32"/>
          <w:szCs w:val="32"/>
        </w:rPr>
        <w:t>How These Concepts Connect</w:t>
      </w:r>
    </w:p>
    <w:p w14:paraId="448AF097">
      <w:pPr>
        <w:spacing w:after="200" w:line="276" w:lineRule="auto"/>
      </w:pPr>
      <w:r>
        <w:rPr>
          <w:rFonts w:ascii="Arial" w:hAnsi="Arial" w:eastAsia="Arial" w:cs="Arial"/>
          <w:sz w:val="22"/>
          <w:szCs w:val="22"/>
        </w:rPr>
        <w:t>Modules 1 and 2 supplied the map (structure, dealing range, liquidity hierarchy, Draw on Liquidity). Module 3 supplies the quality filter for movement on that map. Strong displacement after a liquidity event that also breaks structure produces a high-quality MSS. Weak or failed shifts are ignored. Confirmation is required; anticipation is deferred. The resulting FVG (or Order Block) created by the displacement becomes the refined entry zone examined in later modules.</w:t>
      </w:r>
    </w:p>
    <w:p w14:paraId="685772C0">
      <w:pPr>
        <w:pStyle w:val="2"/>
        <w:spacing w:before="360" w:after="240"/>
      </w:pPr>
      <w:r>
        <w:rPr>
          <w:rFonts w:ascii="Arial" w:hAnsi="Arial" w:eastAsia="Arial" w:cs="Arial"/>
          <w:b/>
          <w:bCs/>
          <w:sz w:val="32"/>
          <w:szCs w:val="32"/>
        </w:rPr>
        <w:t>What You Should Now Be Able to Do</w:t>
      </w:r>
    </w:p>
    <w:p w14:paraId="58C94DFA">
      <w:pPr>
        <w:pStyle w:val="16"/>
        <w:numPr>
          <w:ilvl w:val="0"/>
          <w:numId w:val="1"/>
        </w:numPr>
        <w:spacing w:after="120" w:line="276" w:lineRule="auto"/>
      </w:pPr>
      <w:r>
        <w:rPr>
          <w:rFonts w:ascii="Arial" w:hAnsi="Arial" w:eastAsia="Arial" w:cs="Arial"/>
          <w:sz w:val="22"/>
          <w:szCs w:val="22"/>
        </w:rPr>
        <w:t>Grade a displacement move as strong or weak on sight.</w:t>
      </w:r>
    </w:p>
    <w:p w14:paraId="25B64378">
      <w:pPr>
        <w:pStyle w:val="16"/>
        <w:numPr>
          <w:ilvl w:val="0"/>
          <w:numId w:val="1"/>
        </w:numPr>
        <w:spacing w:after="120" w:line="276" w:lineRule="auto"/>
      </w:pPr>
      <w:r>
        <w:rPr>
          <w:rFonts w:ascii="Arial" w:hAnsi="Arial" w:eastAsia="Arial" w:cs="Arial"/>
          <w:sz w:val="22"/>
          <w:szCs w:val="22"/>
        </w:rPr>
        <w:t>State whether a given structure break is internal or external relative to the active dealing range.</w:t>
      </w:r>
    </w:p>
    <w:p w14:paraId="4E38020F">
      <w:pPr>
        <w:pStyle w:val="16"/>
        <w:numPr>
          <w:ilvl w:val="0"/>
          <w:numId w:val="1"/>
        </w:numPr>
        <w:spacing w:after="120" w:line="276" w:lineRule="auto"/>
      </w:pPr>
      <w:r>
        <w:rPr>
          <w:rFonts w:ascii="Arial" w:hAnsi="Arial" w:eastAsia="Arial" w:cs="Arial"/>
          <w:sz w:val="22"/>
          <w:szCs w:val="22"/>
        </w:rPr>
        <w:t>Require displacement (and preferably an FVG) before treating a break as a high-quality MSS.</w:t>
      </w:r>
    </w:p>
    <w:p w14:paraId="7EE6D5F4">
      <w:pPr>
        <w:pStyle w:val="16"/>
        <w:numPr>
          <w:ilvl w:val="0"/>
          <w:numId w:val="1"/>
        </w:numPr>
        <w:spacing w:after="120" w:line="276" w:lineRule="auto"/>
      </w:pPr>
      <w:r>
        <w:rPr>
          <w:rFonts w:ascii="Arial" w:hAnsi="Arial" w:eastAsia="Arial" w:cs="Arial"/>
          <w:sz w:val="22"/>
          <w:szCs w:val="22"/>
        </w:rPr>
        <w:t>Recognise a failed or weak shift and refuse to act on it.</w:t>
      </w:r>
    </w:p>
    <w:p w14:paraId="41A65EBF">
      <w:pPr>
        <w:pStyle w:val="16"/>
        <w:numPr>
          <w:ilvl w:val="0"/>
          <w:numId w:val="1"/>
        </w:numPr>
        <w:spacing w:after="120" w:line="276" w:lineRule="auto"/>
      </w:pPr>
      <w:r>
        <w:rPr>
          <w:rFonts w:ascii="Arial" w:hAnsi="Arial" w:eastAsia="Arial" w:cs="Arial"/>
          <w:sz w:val="22"/>
          <w:szCs w:val="22"/>
        </w:rPr>
        <w:t>Explain the difference between confirmation and anticipation and apply the distinction to entry timing.</w:t>
      </w:r>
    </w:p>
    <w:p w14:paraId="7E2E5084">
      <w:pPr>
        <w:pStyle w:val="16"/>
        <w:numPr>
          <w:ilvl w:val="0"/>
          <w:numId w:val="1"/>
        </w:numPr>
        <w:spacing w:after="120" w:line="276" w:lineRule="auto"/>
      </w:pPr>
      <w:r>
        <w:rPr>
          <w:rFonts w:ascii="Arial" w:hAnsi="Arial" w:eastAsia="Arial" w:cs="Arial"/>
          <w:sz w:val="22"/>
          <w:szCs w:val="22"/>
        </w:rPr>
        <w:t>Integrate a liquidity event + displacement + MSS into a single coherent sequence.</w:t>
      </w:r>
    </w:p>
    <w:p w14:paraId="53284F86">
      <w:pPr>
        <w:pStyle w:val="2"/>
        <w:spacing w:before="360" w:after="240"/>
      </w:pPr>
      <w:r>
        <w:rPr>
          <w:rFonts w:ascii="Arial" w:hAnsi="Arial" w:eastAsia="Arial" w:cs="Arial"/>
          <w:b/>
          <w:bCs/>
          <w:sz w:val="32"/>
          <w:szCs w:val="32"/>
        </w:rPr>
        <w:t>Module Review</w:t>
      </w:r>
    </w:p>
    <w:p w14:paraId="5E730BBA">
      <w:pPr>
        <w:pStyle w:val="3"/>
        <w:spacing w:before="280" w:after="180"/>
      </w:pPr>
      <w:r>
        <w:rPr>
          <w:rFonts w:ascii="Arial" w:hAnsi="Arial" w:eastAsia="Arial" w:cs="Arial"/>
          <w:b/>
          <w:bCs/>
          <w:sz w:val="26"/>
          <w:szCs w:val="26"/>
        </w:rPr>
        <w:t>Key Terms</w:t>
      </w:r>
    </w:p>
    <w:p w14:paraId="1A9F8379">
      <w:pPr>
        <w:pStyle w:val="16"/>
        <w:numPr>
          <w:ilvl w:val="0"/>
          <w:numId w:val="1"/>
        </w:numPr>
        <w:spacing w:after="120" w:line="276" w:lineRule="auto"/>
      </w:pPr>
      <w:r>
        <w:rPr>
          <w:rFonts w:ascii="Arial" w:hAnsi="Arial" w:eastAsia="Arial" w:cs="Arial"/>
          <w:sz w:val="22"/>
          <w:szCs w:val="22"/>
        </w:rPr>
        <w:t>Displacement — energetic, one-sided price movement indicating active repricing.</w:t>
      </w:r>
    </w:p>
    <w:p w14:paraId="03639C18">
      <w:pPr>
        <w:pStyle w:val="16"/>
        <w:numPr>
          <w:ilvl w:val="0"/>
          <w:numId w:val="1"/>
        </w:numPr>
        <w:spacing w:after="120" w:line="276" w:lineRule="auto"/>
      </w:pPr>
      <w:r>
        <w:rPr>
          <w:rFonts w:ascii="Arial" w:hAnsi="Arial" w:eastAsia="Arial" w:cs="Arial"/>
          <w:sz w:val="22"/>
          <w:szCs w:val="22"/>
        </w:rPr>
        <w:t>Strong displacement — large bodies, low overlap, often creates FVG, holds beyond the level.</w:t>
      </w:r>
    </w:p>
    <w:p w14:paraId="799C9FE4">
      <w:pPr>
        <w:pStyle w:val="16"/>
        <w:numPr>
          <w:ilvl w:val="0"/>
          <w:numId w:val="1"/>
        </w:numPr>
        <w:spacing w:after="120" w:line="276" w:lineRule="auto"/>
      </w:pPr>
      <w:r>
        <w:rPr>
          <w:rFonts w:ascii="Arial" w:hAnsi="Arial" w:eastAsia="Arial" w:cs="Arial"/>
          <w:sz w:val="22"/>
          <w:szCs w:val="22"/>
        </w:rPr>
        <w:t>Weak displacement — overlapping, indecisive, quickly reversed or lacking imbalance.</w:t>
      </w:r>
    </w:p>
    <w:p w14:paraId="781E69F5">
      <w:pPr>
        <w:pStyle w:val="16"/>
        <w:numPr>
          <w:ilvl w:val="0"/>
          <w:numId w:val="1"/>
        </w:numPr>
        <w:spacing w:after="120" w:line="276" w:lineRule="auto"/>
      </w:pPr>
      <w:r>
        <w:rPr>
          <w:rFonts w:ascii="Arial" w:hAnsi="Arial" w:eastAsia="Arial" w:cs="Arial"/>
          <w:sz w:val="22"/>
          <w:szCs w:val="22"/>
        </w:rPr>
        <w:t>Market Structure Shift (MSS) — break of a significant swing with displacement.</w:t>
      </w:r>
    </w:p>
    <w:p w14:paraId="40C22506">
      <w:pPr>
        <w:pStyle w:val="16"/>
        <w:numPr>
          <w:ilvl w:val="0"/>
          <w:numId w:val="1"/>
        </w:numPr>
        <w:spacing w:after="120" w:line="276" w:lineRule="auto"/>
      </w:pPr>
      <w:r>
        <w:rPr>
          <w:rFonts w:ascii="Arial" w:hAnsi="Arial" w:eastAsia="Arial" w:cs="Arial"/>
          <w:sz w:val="22"/>
          <w:szCs w:val="22"/>
        </w:rPr>
        <w:t>Internal MSS — structure break inside the dealing range; primarily for LTF timing.</w:t>
      </w:r>
    </w:p>
    <w:p w14:paraId="74FBA875">
      <w:pPr>
        <w:pStyle w:val="16"/>
        <w:numPr>
          <w:ilvl w:val="0"/>
          <w:numId w:val="1"/>
        </w:numPr>
        <w:spacing w:after="120" w:line="276" w:lineRule="auto"/>
      </w:pPr>
      <w:r>
        <w:rPr>
          <w:rFonts w:ascii="Arial" w:hAnsi="Arial" w:eastAsia="Arial" w:cs="Arial"/>
          <w:sz w:val="22"/>
          <w:szCs w:val="22"/>
        </w:rPr>
        <w:t>External MSS — structure break of a dealing-range boundary or long-term pivot; higher narrative weight.</w:t>
      </w:r>
    </w:p>
    <w:p w14:paraId="61BFD166">
      <w:pPr>
        <w:pStyle w:val="16"/>
        <w:numPr>
          <w:ilvl w:val="0"/>
          <w:numId w:val="1"/>
        </w:numPr>
        <w:spacing w:after="120" w:line="276" w:lineRule="auto"/>
      </w:pPr>
      <w:r>
        <w:rPr>
          <w:rFonts w:ascii="Arial" w:hAnsi="Arial" w:eastAsia="Arial" w:cs="Arial"/>
          <w:sz w:val="22"/>
          <w:szCs w:val="22"/>
        </w:rPr>
        <w:t>Failed displacement / weak shift — apparent break that is immediately negated or lacks quality.</w:t>
      </w:r>
    </w:p>
    <w:p w14:paraId="01E466D1">
      <w:pPr>
        <w:pStyle w:val="16"/>
        <w:numPr>
          <w:ilvl w:val="0"/>
          <w:numId w:val="1"/>
        </w:numPr>
        <w:spacing w:after="120" w:line="276" w:lineRule="auto"/>
      </w:pPr>
      <w:r>
        <w:rPr>
          <w:rFonts w:ascii="Arial" w:hAnsi="Arial" w:eastAsia="Arial" w:cs="Arial"/>
          <w:sz w:val="22"/>
          <w:szCs w:val="22"/>
        </w:rPr>
        <w:t>Confirmation — evidence already present on the chart.</w:t>
      </w:r>
    </w:p>
    <w:p w14:paraId="10108266">
      <w:pPr>
        <w:pStyle w:val="16"/>
        <w:numPr>
          <w:ilvl w:val="0"/>
          <w:numId w:val="1"/>
        </w:numPr>
        <w:spacing w:after="120" w:line="276" w:lineRule="auto"/>
      </w:pPr>
      <w:r>
        <w:rPr>
          <w:rFonts w:ascii="Arial" w:hAnsi="Arial" w:eastAsia="Arial" w:cs="Arial"/>
          <w:sz w:val="22"/>
          <w:szCs w:val="22"/>
        </w:rPr>
        <w:t>Anticipation — expectation of evidence that has not yet printed.</w:t>
      </w:r>
    </w:p>
    <w:p w14:paraId="5B42A04B">
      <w:pPr>
        <w:pStyle w:val="3"/>
        <w:spacing w:before="280" w:after="180"/>
      </w:pPr>
      <w:r>
        <w:rPr>
          <w:rFonts w:ascii="Arial" w:hAnsi="Arial" w:eastAsia="Arial" w:cs="Arial"/>
          <w:b/>
          <w:bCs/>
          <w:sz w:val="26"/>
          <w:szCs w:val="26"/>
        </w:rPr>
        <w:t>Beginner Summary (Bridge)</w:t>
      </w:r>
    </w:p>
    <w:p w14:paraId="6623089C">
      <w:pPr>
        <w:spacing w:after="200" w:line="276" w:lineRule="auto"/>
      </w:pPr>
      <w:r>
        <w:rPr>
          <w:rFonts w:ascii="Arial" w:hAnsi="Arial" w:eastAsia="Arial" w:cs="Arial"/>
          <w:sz w:val="22"/>
          <w:szCs w:val="22"/>
        </w:rPr>
        <w:t>Beginner teaching introduced MSS as a change in the sequence of highs and lows. Intermediate teaching adds the requirement of displacement quality, the internal/external distinction, the preferred pairing with a liquidity event and an FVG, and the discipline of confirmation over anticipation.</w:t>
      </w:r>
    </w:p>
    <w:p w14:paraId="1392CB4B">
      <w:pPr>
        <w:pStyle w:val="3"/>
        <w:spacing w:before="280" w:after="180"/>
      </w:pPr>
      <w:r>
        <w:rPr>
          <w:rFonts w:ascii="Arial" w:hAnsi="Arial" w:eastAsia="Arial" w:cs="Arial"/>
          <w:b/>
          <w:bCs/>
          <w:sz w:val="26"/>
          <w:szCs w:val="26"/>
        </w:rPr>
        <w:t>Concept Relationships</w:t>
      </w:r>
    </w:p>
    <w:p w14:paraId="6D911432">
      <w:pPr>
        <w:spacing w:after="200" w:line="276" w:lineRule="auto"/>
      </w:pPr>
      <w:r>
        <w:rPr>
          <w:rFonts w:ascii="Arial" w:hAnsi="Arial" w:eastAsia="Arial" w:cs="Arial"/>
          <w:sz w:val="22"/>
          <w:szCs w:val="22"/>
        </w:rPr>
        <w:t>Liquidity (Module 2) supplies the event that often precedes displacement. Displacement supplies the energy that validates an MSS. The MSS updates the structural map (Module 1). The FVG created by displacement becomes a PD-array entry refinement (Module 4). Session timing and multi-timeframe narrative (later modules) further constrain when the entire sequence is permitted.</w:t>
      </w:r>
    </w:p>
    <w:p w14:paraId="648F9B8B">
      <w:pPr>
        <w:pStyle w:val="3"/>
        <w:spacing w:before="280" w:after="180"/>
      </w:pPr>
      <w:r>
        <w:rPr>
          <w:rFonts w:ascii="Arial" w:hAnsi="Arial" w:eastAsia="Arial" w:cs="Arial"/>
          <w:b/>
          <w:bCs/>
          <w:sz w:val="26"/>
          <w:szCs w:val="26"/>
        </w:rPr>
        <w:t>Practical Chart Exercise</w:t>
      </w:r>
    </w:p>
    <w:p w14:paraId="6D713CF1">
      <w:pPr>
        <w:spacing w:after="200" w:line="276" w:lineRule="auto"/>
      </w:pPr>
      <w:r>
        <w:rPr>
          <w:rFonts w:ascii="Arial" w:hAnsi="Arial" w:eastAsia="Arial" w:cs="Arial"/>
          <w:sz w:val="22"/>
          <w:szCs w:val="22"/>
        </w:rPr>
        <w:t>On a 15-minute or 5-minute chart of a liquid instrument:</w:t>
      </w:r>
    </w:p>
    <w:p w14:paraId="1CE2BAC1">
      <w:pPr>
        <w:pStyle w:val="16"/>
        <w:numPr>
          <w:ilvl w:val="0"/>
          <w:numId w:val="2"/>
        </w:numPr>
        <w:spacing w:after="120" w:line="276" w:lineRule="auto"/>
      </w:pPr>
      <w:r>
        <w:rPr>
          <w:rFonts w:ascii="Arial" w:hAnsi="Arial" w:eastAsia="Arial" w:cs="Arial"/>
          <w:sz w:val="22"/>
          <w:szCs w:val="22"/>
        </w:rPr>
        <w:t>Locate three recent structure breaks.</w:t>
      </w:r>
    </w:p>
    <w:p w14:paraId="63B76C70">
      <w:pPr>
        <w:pStyle w:val="16"/>
        <w:numPr>
          <w:ilvl w:val="0"/>
          <w:numId w:val="2"/>
        </w:numPr>
        <w:spacing w:after="120" w:line="276" w:lineRule="auto"/>
      </w:pPr>
      <w:r>
        <w:rPr>
          <w:rFonts w:ascii="Arial" w:hAnsi="Arial" w:eastAsia="Arial" w:cs="Arial"/>
          <w:sz w:val="22"/>
          <w:szCs w:val="22"/>
        </w:rPr>
        <w:t>For each, grade the displacement as strong, weak, or failed.</w:t>
      </w:r>
    </w:p>
    <w:p w14:paraId="7900F619">
      <w:pPr>
        <w:pStyle w:val="16"/>
        <w:numPr>
          <w:ilvl w:val="0"/>
          <w:numId w:val="2"/>
        </w:numPr>
        <w:spacing w:after="120" w:line="276" w:lineRule="auto"/>
      </w:pPr>
      <w:r>
        <w:rPr>
          <w:rFonts w:ascii="Arial" w:hAnsi="Arial" w:eastAsia="Arial" w:cs="Arial"/>
          <w:sz w:val="22"/>
          <w:szCs w:val="22"/>
        </w:rPr>
        <w:t>Note whether a Fair Value Gap was created.</w:t>
      </w:r>
    </w:p>
    <w:p w14:paraId="454DC8A2">
      <w:pPr>
        <w:pStyle w:val="16"/>
        <w:numPr>
          <w:ilvl w:val="0"/>
          <w:numId w:val="2"/>
        </w:numPr>
        <w:spacing w:after="120" w:line="276" w:lineRule="auto"/>
      </w:pPr>
      <w:r>
        <w:rPr>
          <w:rFonts w:ascii="Arial" w:hAnsi="Arial" w:eastAsia="Arial" w:cs="Arial"/>
          <w:sz w:val="22"/>
          <w:szCs w:val="22"/>
        </w:rPr>
        <w:t>Classify the shift as internal or external relative to the active dealing range on the next higher timeframe.</w:t>
      </w:r>
    </w:p>
    <w:p w14:paraId="6CA316C8">
      <w:pPr>
        <w:pStyle w:val="16"/>
        <w:numPr>
          <w:ilvl w:val="0"/>
          <w:numId w:val="2"/>
        </w:numPr>
        <w:spacing w:after="120" w:line="276" w:lineRule="auto"/>
      </w:pPr>
      <w:r>
        <w:rPr>
          <w:rFonts w:ascii="Arial" w:hAnsi="Arial" w:eastAsia="Arial" w:cs="Arial"/>
          <w:sz w:val="22"/>
          <w:szCs w:val="22"/>
        </w:rPr>
        <w:t>Record whether a liquidity event preceded the shift.</w:t>
      </w:r>
    </w:p>
    <w:p w14:paraId="2BD123D1">
      <w:pPr>
        <w:pStyle w:val="16"/>
        <w:numPr>
          <w:ilvl w:val="0"/>
          <w:numId w:val="2"/>
        </w:numPr>
        <w:spacing w:after="120" w:line="276" w:lineRule="auto"/>
      </w:pPr>
      <w:r>
        <w:rPr>
          <w:rFonts w:ascii="Arial" w:hAnsi="Arial" w:eastAsia="Arial" w:cs="Arial"/>
          <w:sz w:val="22"/>
          <w:szCs w:val="22"/>
        </w:rPr>
        <w:t>Decide which of the three shifts, if any, would have qualified as high-quality confirmation under the rules of this module, and why.</w:t>
      </w:r>
    </w:p>
    <w:p w14:paraId="35CCBD6E">
      <w:pPr>
        <w:pStyle w:val="3"/>
        <w:spacing w:before="280" w:after="180"/>
      </w:pPr>
      <w:r>
        <w:rPr>
          <w:rFonts w:ascii="Arial" w:hAnsi="Arial" w:eastAsia="Arial" w:cs="Arial"/>
          <w:b/>
          <w:bCs/>
          <w:sz w:val="26"/>
          <w:szCs w:val="26"/>
        </w:rPr>
        <w:t>Self-Test Questions</w:t>
      </w:r>
    </w:p>
    <w:p w14:paraId="0BBCA5BF">
      <w:pPr>
        <w:pStyle w:val="16"/>
        <w:numPr>
          <w:ilvl w:val="0"/>
          <w:numId w:val="2"/>
        </w:numPr>
        <w:spacing w:after="120" w:line="276" w:lineRule="auto"/>
      </w:pPr>
      <w:r>
        <w:rPr>
          <w:rFonts w:ascii="Arial" w:hAnsi="Arial" w:eastAsia="Arial" w:cs="Arial"/>
          <w:sz w:val="22"/>
          <w:szCs w:val="22"/>
        </w:rPr>
        <w:t>What visual features distinguish strong displacement from weak displacement?</w:t>
      </w:r>
    </w:p>
    <w:p w14:paraId="42D74937">
      <w:pPr>
        <w:pStyle w:val="16"/>
        <w:numPr>
          <w:ilvl w:val="0"/>
          <w:numId w:val="2"/>
        </w:numPr>
        <w:spacing w:after="120" w:line="276" w:lineRule="auto"/>
      </w:pPr>
      <w:r>
        <w:rPr>
          <w:rFonts w:ascii="Arial" w:hAnsi="Arial" w:eastAsia="Arial" w:cs="Arial"/>
          <w:sz w:val="22"/>
          <w:szCs w:val="22"/>
        </w:rPr>
        <w:t>Why is a structure break without displacement considered lower quality?</w:t>
      </w:r>
    </w:p>
    <w:p w14:paraId="286C6EF3">
      <w:pPr>
        <w:pStyle w:val="16"/>
        <w:numPr>
          <w:ilvl w:val="0"/>
          <w:numId w:val="2"/>
        </w:numPr>
        <w:spacing w:after="120" w:line="276" w:lineRule="auto"/>
      </w:pPr>
      <w:r>
        <w:rPr>
          <w:rFonts w:ascii="Arial" w:hAnsi="Arial" w:eastAsia="Arial" w:cs="Arial"/>
          <w:sz w:val="22"/>
          <w:szCs w:val="22"/>
        </w:rPr>
        <w:t>What is the difference between an internal MSS and an external MSS?</w:t>
      </w:r>
    </w:p>
    <w:p w14:paraId="60A2C69D">
      <w:pPr>
        <w:pStyle w:val="16"/>
        <w:numPr>
          <w:ilvl w:val="0"/>
          <w:numId w:val="2"/>
        </w:numPr>
        <w:spacing w:after="120" w:line="276" w:lineRule="auto"/>
      </w:pPr>
      <w:r>
        <w:rPr>
          <w:rFonts w:ascii="Arial" w:hAnsi="Arial" w:eastAsia="Arial" w:cs="Arial"/>
          <w:sz w:val="22"/>
          <w:szCs w:val="22"/>
        </w:rPr>
        <w:t>How does the presence of a Fair Value Gap improve the reading of a displacement leg?</w:t>
      </w:r>
    </w:p>
    <w:p w14:paraId="6ED23A1F">
      <w:pPr>
        <w:pStyle w:val="16"/>
        <w:numPr>
          <w:ilvl w:val="0"/>
          <w:numId w:val="2"/>
        </w:numPr>
        <w:spacing w:after="120" w:line="276" w:lineRule="auto"/>
      </w:pPr>
      <w:r>
        <w:rPr>
          <w:rFonts w:ascii="Arial" w:hAnsi="Arial" w:eastAsia="Arial" w:cs="Arial"/>
          <w:sz w:val="22"/>
          <w:szCs w:val="22"/>
        </w:rPr>
        <w:t>Give one example of confirmation and one example of anticipation in the context of an MSS.</w:t>
      </w:r>
    </w:p>
    <w:p w14:paraId="663187CD">
      <w:pPr>
        <w:pStyle w:val="16"/>
        <w:numPr>
          <w:ilvl w:val="0"/>
          <w:numId w:val="2"/>
        </w:numPr>
        <w:spacing w:after="120" w:line="276" w:lineRule="auto"/>
      </w:pPr>
      <w:r>
        <w:rPr>
          <w:rFonts w:ascii="Arial" w:hAnsi="Arial" w:eastAsia="Arial" w:cs="Arial"/>
          <w:sz w:val="22"/>
          <w:szCs w:val="22"/>
        </w:rPr>
        <w:t>What should the trader do when an apparent displacement is immediately and decisively reversed?</w:t>
      </w:r>
    </w:p>
    <w:p w14:paraId="127960A7">
      <w:pPr>
        <w:pStyle w:val="3"/>
        <w:spacing w:before="280" w:after="180"/>
      </w:pPr>
      <w:r>
        <w:rPr>
          <w:rFonts w:ascii="Arial" w:hAnsi="Arial" w:eastAsia="Arial" w:cs="Arial"/>
          <w:b/>
          <w:bCs/>
          <w:sz w:val="26"/>
          <w:szCs w:val="26"/>
        </w:rPr>
        <w:t>Common Misconceptions</w:t>
      </w:r>
    </w:p>
    <w:p w14:paraId="288A705F">
      <w:pPr>
        <w:pStyle w:val="16"/>
        <w:numPr>
          <w:ilvl w:val="0"/>
          <w:numId w:val="1"/>
        </w:numPr>
        <w:spacing w:after="120" w:line="276" w:lineRule="auto"/>
      </w:pPr>
      <w:r>
        <w:rPr>
          <w:rFonts w:ascii="Arial" w:hAnsi="Arial" w:eastAsia="Arial" w:cs="Arial"/>
          <w:sz w:val="22"/>
          <w:szCs w:val="22"/>
        </w:rPr>
        <w:t>“Any close beyond a swing is an MSS.” — False. Displacement quality is required for a high-probability reading.</w:t>
      </w:r>
    </w:p>
    <w:p w14:paraId="1C82B6FE">
      <w:pPr>
        <w:pStyle w:val="16"/>
        <w:numPr>
          <w:ilvl w:val="0"/>
          <w:numId w:val="1"/>
        </w:numPr>
        <w:spacing w:after="120" w:line="276" w:lineRule="auto"/>
      </w:pPr>
      <w:r>
        <w:rPr>
          <w:rFonts w:ascii="Arial" w:hAnsi="Arial" w:eastAsia="Arial" w:cs="Arial"/>
          <w:sz w:val="22"/>
          <w:szCs w:val="22"/>
        </w:rPr>
        <w:t>“Every MSS changes the higher-timeframe bias.” — False. Internal shifts do not automatically override external structure.</w:t>
      </w:r>
    </w:p>
    <w:p w14:paraId="5B9A7406">
      <w:pPr>
        <w:pStyle w:val="16"/>
        <w:numPr>
          <w:ilvl w:val="0"/>
          <w:numId w:val="1"/>
        </w:numPr>
        <w:spacing w:after="120" w:line="276" w:lineRule="auto"/>
      </w:pPr>
      <w:r>
        <w:rPr>
          <w:rFonts w:ascii="Arial" w:hAnsi="Arial" w:eastAsia="Arial" w:cs="Arial"/>
          <w:sz w:val="22"/>
          <w:szCs w:val="22"/>
        </w:rPr>
        <w:t>“I can enter as soon as I expect the shift.” — False at the intermediate stage; confirmation is preferred.</w:t>
      </w:r>
    </w:p>
    <w:p w14:paraId="52069F71">
      <w:pPr>
        <w:pStyle w:val="16"/>
        <w:numPr>
          <w:ilvl w:val="0"/>
          <w:numId w:val="1"/>
        </w:numPr>
        <w:spacing w:after="120" w:line="276" w:lineRule="auto"/>
      </w:pPr>
      <w:r>
        <w:rPr>
          <w:rFonts w:ascii="Arial" w:hAnsi="Arial" w:eastAsia="Arial" w:cs="Arial"/>
          <w:sz w:val="22"/>
          <w:szCs w:val="22"/>
        </w:rPr>
        <w:t>“If there is no FVG the displacement is worthless.” — Overstated. An FVG raises quality but is not the sole criterion; candle character and follow-through still matter.</w:t>
      </w:r>
    </w:p>
    <w:p w14:paraId="7478C9F7">
      <w:pPr>
        <w:pStyle w:val="16"/>
        <w:numPr>
          <w:ilvl w:val="0"/>
          <w:numId w:val="1"/>
        </w:numPr>
        <w:spacing w:after="120" w:line="276" w:lineRule="auto"/>
      </w:pPr>
      <w:r>
        <w:rPr>
          <w:rFonts w:ascii="Arial" w:hAnsi="Arial" w:eastAsia="Arial" w:cs="Arial"/>
          <w:sz w:val="22"/>
          <w:szCs w:val="22"/>
        </w:rPr>
        <w:t>“Strong displacement guarantees the move will continue.” — False. Displacement confirms the shift; subsequent management and opposing liquidity still govern the outcome.</w:t>
      </w:r>
    </w:p>
    <w:p w14:paraId="3CCD335E">
      <w:pPr>
        <w:pStyle w:val="3"/>
        <w:spacing w:before="280" w:after="180"/>
      </w:pPr>
      <w:r>
        <w:rPr>
          <w:rFonts w:ascii="Arial" w:hAnsi="Arial" w:eastAsia="Arial" w:cs="Arial"/>
          <w:b/>
          <w:bCs/>
          <w:sz w:val="26"/>
          <w:szCs w:val="26"/>
        </w:rPr>
        <w:t>Research Sources</w:t>
      </w:r>
    </w:p>
    <w:p w14:paraId="461AB1E9">
      <w:pPr>
        <w:spacing w:after="200" w:line="276" w:lineRule="auto"/>
      </w:pPr>
      <w:r>
        <w:rPr>
          <w:rFonts w:ascii="Arial" w:hAnsi="Arial" w:eastAsia="Arial" w:cs="Arial"/>
          <w:sz w:val="22"/>
          <w:szCs w:val="22"/>
        </w:rPr>
        <w:t>Primary orientation is taken from ICT’s consistent pairing of Market Structure Shifts with displacement and the frequent appearance of Fair Value Gaps in those displacement legs across mentorship and public examples. The requirement for energetic delivery rather than a mere level breach is a recurring theme.</w:t>
      </w:r>
    </w:p>
    <w:p w14:paraId="79D0D2F1">
      <w:pPr>
        <w:spacing w:after="200" w:line="276" w:lineRule="auto"/>
      </w:pPr>
      <w:r>
        <w:rPr>
          <w:rFonts w:ascii="Arial" w:hAnsi="Arial" w:eastAsia="Arial" w:cs="Arial"/>
          <w:sz w:val="22"/>
          <w:szCs w:val="22"/>
        </w:rPr>
        <w:t>Community resources that formalise “strong vs weak displacement,” internal vs external MSS, and confirmation-versus-anticipation checklists are used where they accurately reflect the primary ICT logic of requiring evidence of institutional-style repricing.</w:t>
      </w:r>
    </w:p>
    <w:p w14:paraId="3F418411">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Key references include ICT discussions of market structure shifts accompanied by displacement and FVG formation, and chart examples in which liquidity events are followed by energetic structural breaks. Secondary clarifications of quality filters appear in high-quality community material aligned with those teachings.</w:t>
      </w:r>
    </w:p>
    <w:p w14:paraId="32860FE2">
      <w:pPr>
        <w:pStyle w:val="2"/>
        <w:spacing w:before="360" w:after="240"/>
      </w:pPr>
      <w:r>
        <w:rPr>
          <w:rFonts w:ascii="Arial" w:hAnsi="Arial" w:eastAsia="Arial" w:cs="Arial"/>
          <w:b/>
          <w:bCs/>
          <w:sz w:val="32"/>
          <w:szCs w:val="32"/>
        </w:rPr>
        <w:t>Transition to Module 4</w:t>
      </w:r>
    </w:p>
    <w:p w14:paraId="386B52B5">
      <w:pPr>
        <w:spacing w:after="200" w:line="276" w:lineRule="auto"/>
      </w:pPr>
      <w:r>
        <w:rPr>
          <w:rFonts w:ascii="Arial" w:hAnsi="Arial" w:eastAsia="Arial" w:cs="Arial"/>
          <w:sz w:val="22"/>
          <w:szCs w:val="22"/>
        </w:rPr>
        <w:t>Module 3 has established the quality standard for movement: displacement that validates a Market Structure Shift, preferably after a liquidity event and preferably leaving a Fair Value Gap. Module 4 (Fair Value Gaps &amp; Imbalances) will examine the FVG itself in depth — formation, consequent encroachment, selection among multiple gaps, higher-timeframe versus lower-timeframe gaps, and failure conditions — so that the imbalance created by displacement becomes a precise, context-aware entry tool.</w:t>
      </w:r>
    </w:p>
    <w:p w14:paraId="522913D5">
      <w:pPr>
        <w:spacing w:after="200" w:line="276" w:lineRule="auto"/>
        <w:rPr>
          <w:rFonts w:ascii="Arial" w:hAnsi="Arial" w:eastAsia="Arial" w:cs="Arial"/>
          <w:sz w:val="22"/>
          <w:szCs w:val="22"/>
        </w:rPr>
      </w:pPr>
    </w:p>
    <w:p w14:paraId="7C2807B7">
      <w:pPr>
        <w:spacing w:after="200" w:line="276" w:lineRule="auto"/>
        <w:rPr>
          <w:rFonts w:ascii="Arial" w:hAnsi="Arial" w:eastAsia="Arial" w:cs="Arial"/>
          <w:sz w:val="22"/>
          <w:szCs w:val="22"/>
        </w:rPr>
      </w:pPr>
    </w:p>
    <w:p w14:paraId="65BF2942">
      <w:pPr>
        <w:spacing w:after="200" w:line="276" w:lineRule="auto"/>
        <w:rPr>
          <w:rFonts w:ascii="Arial" w:hAnsi="Arial" w:eastAsia="Arial" w:cs="Arial"/>
          <w:sz w:val="22"/>
          <w:szCs w:val="22"/>
        </w:rPr>
      </w:pPr>
    </w:p>
    <w:p w14:paraId="1F4F92ED">
      <w:pPr>
        <w:spacing w:after="200" w:line="276" w:lineRule="auto"/>
        <w:rPr>
          <w:rFonts w:ascii="Arial" w:hAnsi="Arial" w:eastAsia="Arial" w:cs="Arial"/>
          <w:sz w:val="22"/>
          <w:szCs w:val="22"/>
        </w:rPr>
      </w:pPr>
    </w:p>
    <w:p w14:paraId="09E60F7E">
      <w:pPr>
        <w:spacing w:after="200" w:line="276" w:lineRule="auto"/>
        <w:rPr>
          <w:rFonts w:ascii="Arial" w:hAnsi="Arial" w:eastAsia="Arial" w:cs="Arial"/>
          <w:sz w:val="22"/>
          <w:szCs w:val="22"/>
        </w:rPr>
      </w:pPr>
    </w:p>
    <w:p w14:paraId="3366B368">
      <w:pPr>
        <w:spacing w:after="200" w:line="276" w:lineRule="auto"/>
        <w:rPr>
          <w:rFonts w:ascii="Arial" w:hAnsi="Arial" w:eastAsia="Arial" w:cs="Arial"/>
          <w:sz w:val="22"/>
          <w:szCs w:val="22"/>
        </w:rPr>
      </w:pPr>
    </w:p>
    <w:p w14:paraId="32EF4C91">
      <w:pPr>
        <w:spacing w:after="200" w:line="276" w:lineRule="auto"/>
        <w:rPr>
          <w:rFonts w:ascii="Arial" w:hAnsi="Arial" w:eastAsia="Arial" w:cs="Arial"/>
          <w:sz w:val="22"/>
          <w:szCs w:val="22"/>
        </w:rPr>
      </w:pPr>
    </w:p>
    <w:p w14:paraId="109DA27A">
      <w:pPr>
        <w:spacing w:after="200" w:line="276" w:lineRule="auto"/>
        <w:rPr>
          <w:rFonts w:ascii="Arial" w:hAnsi="Arial" w:eastAsia="Arial" w:cs="Arial"/>
          <w:sz w:val="22"/>
          <w:szCs w:val="22"/>
        </w:rPr>
      </w:pPr>
    </w:p>
    <w:p w14:paraId="1F760343">
      <w:pPr>
        <w:spacing w:after="200" w:line="276" w:lineRule="auto"/>
        <w:rPr>
          <w:rFonts w:ascii="Arial" w:hAnsi="Arial" w:eastAsia="Arial" w:cs="Arial"/>
          <w:sz w:val="22"/>
          <w:szCs w:val="22"/>
        </w:rPr>
      </w:pPr>
    </w:p>
    <w:p w14:paraId="07C04E84">
      <w:pPr>
        <w:spacing w:after="200" w:line="276" w:lineRule="auto"/>
        <w:rPr>
          <w:rFonts w:ascii="Arial" w:hAnsi="Arial" w:eastAsia="Arial" w:cs="Arial"/>
          <w:sz w:val="22"/>
          <w:szCs w:val="22"/>
        </w:rPr>
      </w:pPr>
    </w:p>
    <w:p w14:paraId="2BA4E788">
      <w:pPr>
        <w:spacing w:after="200" w:line="276" w:lineRule="auto"/>
        <w:rPr>
          <w:rFonts w:ascii="Arial" w:hAnsi="Arial" w:eastAsia="Arial" w:cs="Arial"/>
          <w:sz w:val="22"/>
          <w:szCs w:val="22"/>
        </w:rPr>
      </w:pPr>
    </w:p>
    <w:p w14:paraId="70D0D131">
      <w:pPr>
        <w:spacing w:after="200" w:line="276" w:lineRule="auto"/>
        <w:rPr>
          <w:rFonts w:ascii="Arial" w:hAnsi="Arial" w:eastAsia="Arial" w:cs="Arial"/>
          <w:sz w:val="22"/>
          <w:szCs w:val="22"/>
        </w:rPr>
      </w:pPr>
    </w:p>
    <w:p w14:paraId="6AD8F6D0">
      <w:pPr>
        <w:spacing w:after="200" w:line="276" w:lineRule="auto"/>
        <w:rPr>
          <w:rFonts w:ascii="Arial" w:hAnsi="Arial" w:eastAsia="Arial" w:cs="Arial"/>
          <w:sz w:val="22"/>
          <w:szCs w:val="22"/>
        </w:rPr>
      </w:pPr>
    </w:p>
    <w:p w14:paraId="1A51C4AD">
      <w:pPr>
        <w:spacing w:after="200" w:line="276" w:lineRule="auto"/>
        <w:rPr>
          <w:rFonts w:ascii="Arial" w:hAnsi="Arial" w:eastAsia="Arial" w:cs="Arial"/>
          <w:sz w:val="22"/>
          <w:szCs w:val="22"/>
        </w:rPr>
      </w:pPr>
    </w:p>
    <w:p w14:paraId="076D6699">
      <w:pPr>
        <w:spacing w:after="200" w:line="276" w:lineRule="auto"/>
        <w:rPr>
          <w:rFonts w:ascii="Arial" w:hAnsi="Arial" w:eastAsia="Arial" w:cs="Arial"/>
          <w:sz w:val="22"/>
          <w:szCs w:val="22"/>
        </w:rPr>
      </w:pPr>
    </w:p>
    <w:p w14:paraId="2BF67227">
      <w:pPr>
        <w:spacing w:after="400"/>
        <w:jc w:val="center"/>
      </w:pPr>
      <w:r>
        <w:rPr>
          <w:rFonts w:ascii="Arial" w:hAnsi="Arial" w:eastAsia="Arial" w:cs="Arial"/>
          <w:b/>
          <w:bCs/>
          <w:sz w:val="36"/>
          <w:szCs w:val="36"/>
        </w:rPr>
        <w:t>MODULE 4</w:t>
      </w:r>
    </w:p>
    <w:p w14:paraId="26080CD2">
      <w:pPr>
        <w:spacing w:after="200"/>
        <w:jc w:val="center"/>
      </w:pPr>
      <w:r>
        <w:rPr>
          <w:rFonts w:ascii="Arial" w:hAnsi="Arial" w:eastAsia="Arial" w:cs="Arial"/>
          <w:b/>
          <w:bCs/>
          <w:sz w:val="28"/>
          <w:szCs w:val="28"/>
        </w:rPr>
        <w:t>Fair Value Gaps &amp; Imbalances</w:t>
      </w:r>
    </w:p>
    <w:p w14:paraId="76B46C3C">
      <w:pPr>
        <w:spacing w:after="400"/>
        <w:jc w:val="center"/>
      </w:pPr>
      <w:r>
        <w:rPr>
          <w:rFonts w:ascii="Arial" w:hAnsi="Arial" w:eastAsia="Arial" w:cs="Arial"/>
          <w:i/>
          <w:iCs/>
          <w:sz w:val="20"/>
          <w:szCs w:val="20"/>
        </w:rPr>
        <w:t>Formation, Consequent Encroachment, Selection, Nested &amp; Multi-Timeframe FVGs, Failure Conditions</w:t>
      </w:r>
    </w:p>
    <w:p w14:paraId="7C9E55A1">
      <w:pPr>
        <w:pBdr>
          <w:left w:val="single" w:color="2E75B6" w:sz="24" w:space="8"/>
        </w:pBdr>
        <w:shd w:val="clear" w:fill="F5F5F5"/>
        <w:spacing w:before="120" w:after="200" w:line="276" w:lineRule="auto"/>
        <w:ind w:left="120"/>
      </w:pPr>
      <w:r>
        <w:rPr>
          <w:rFonts w:ascii="Arial" w:hAnsi="Arial" w:eastAsia="Arial" w:cs="Arial"/>
          <w:i/>
          <w:iCs/>
          <w:sz w:val="20"/>
          <w:szCs w:val="20"/>
        </w:rPr>
        <w:t>Prerequisite: Modules 1–3 assumed complete. The student understands dealing ranges, premium/discount, liquidity hierarchy, Draw on Liquidity, displacement quality, and high-quality Market Structure Shifts.</w:t>
      </w:r>
    </w:p>
    <w:p w14:paraId="26CEAB12">
      <w:pPr>
        <w:pStyle w:val="2"/>
        <w:spacing w:before="360" w:after="240"/>
      </w:pPr>
      <w:r>
        <w:rPr>
          <w:rFonts w:ascii="Arial" w:hAnsi="Arial" w:eastAsia="Arial" w:cs="Arial"/>
          <w:b/>
          <w:bCs/>
          <w:sz w:val="32"/>
          <w:szCs w:val="32"/>
        </w:rPr>
        <w:t>Module Objectives</w:t>
      </w:r>
    </w:p>
    <w:p w14:paraId="5B7B6E13">
      <w:pPr>
        <w:spacing w:after="200" w:line="276" w:lineRule="auto"/>
      </w:pPr>
      <w:r>
        <w:rPr>
          <w:rFonts w:ascii="Arial" w:hAnsi="Arial" w:eastAsia="Arial" w:cs="Arial"/>
          <w:sz w:val="22"/>
          <w:szCs w:val="22"/>
        </w:rPr>
        <w:t>By the end of this module the intermediate student should be able to:</w:t>
      </w:r>
    </w:p>
    <w:p w14:paraId="5CA1FB3E">
      <w:pPr>
        <w:pStyle w:val="16"/>
        <w:numPr>
          <w:ilvl w:val="0"/>
          <w:numId w:val="1"/>
        </w:numPr>
        <w:spacing w:after="120" w:line="276" w:lineRule="auto"/>
      </w:pPr>
      <w:r>
        <w:rPr>
          <w:rFonts w:ascii="Arial" w:hAnsi="Arial" w:eastAsia="Arial" w:cs="Arial"/>
          <w:sz w:val="22"/>
          <w:szCs w:val="22"/>
        </w:rPr>
        <w:t>Identify a Fair Value Gap (FVG) using the standard three-candle formation.</w:t>
      </w:r>
    </w:p>
    <w:p w14:paraId="12651484">
      <w:pPr>
        <w:pStyle w:val="16"/>
        <w:numPr>
          <w:ilvl w:val="0"/>
          <w:numId w:val="1"/>
        </w:numPr>
        <w:spacing w:after="120" w:line="276" w:lineRule="auto"/>
      </w:pPr>
      <w:r>
        <w:rPr>
          <w:rFonts w:ascii="Arial" w:hAnsi="Arial" w:eastAsia="Arial" w:cs="Arial"/>
          <w:sz w:val="22"/>
          <w:szCs w:val="22"/>
        </w:rPr>
        <w:t>Recognise that high-quality FVGs are typically created by displacement.</w:t>
      </w:r>
    </w:p>
    <w:p w14:paraId="741AD494">
      <w:pPr>
        <w:pStyle w:val="16"/>
        <w:numPr>
          <w:ilvl w:val="0"/>
          <w:numId w:val="1"/>
        </w:numPr>
        <w:spacing w:after="120" w:line="276" w:lineRule="auto"/>
      </w:pPr>
      <w:r>
        <w:rPr>
          <w:rFonts w:ascii="Arial" w:hAnsi="Arial" w:eastAsia="Arial" w:cs="Arial"/>
          <w:sz w:val="22"/>
          <w:szCs w:val="22"/>
        </w:rPr>
        <w:t>Treat the FVG as a PD array and locate its Consequent Encroachment (50 % midpoint).</w:t>
      </w:r>
    </w:p>
    <w:p w14:paraId="38DCE198">
      <w:pPr>
        <w:pStyle w:val="16"/>
        <w:numPr>
          <w:ilvl w:val="0"/>
          <w:numId w:val="1"/>
        </w:numPr>
        <w:spacing w:after="120" w:line="276" w:lineRule="auto"/>
      </w:pPr>
      <w:r>
        <w:rPr>
          <w:rFonts w:ascii="Arial" w:hAnsi="Arial" w:eastAsia="Arial" w:cs="Arial"/>
          <w:sz w:val="22"/>
          <w:szCs w:val="22"/>
        </w:rPr>
        <w:t>Distinguish FVG retracement (entry) behaviour from FVG continuation or failure.</w:t>
      </w:r>
    </w:p>
    <w:p w14:paraId="61CC135A">
      <w:pPr>
        <w:pStyle w:val="16"/>
        <w:numPr>
          <w:ilvl w:val="0"/>
          <w:numId w:val="1"/>
        </w:numPr>
        <w:spacing w:after="120" w:line="276" w:lineRule="auto"/>
      </w:pPr>
      <w:r>
        <w:rPr>
          <w:rFonts w:ascii="Arial" w:hAnsi="Arial" w:eastAsia="Arial" w:cs="Arial"/>
          <w:sz w:val="22"/>
          <w:szCs w:val="22"/>
        </w:rPr>
        <w:t>Evaluate an FVG relative to the dealing range (premium/discount) and relative to liquidity.</w:t>
      </w:r>
    </w:p>
    <w:p w14:paraId="32163B29">
      <w:pPr>
        <w:pStyle w:val="16"/>
        <w:numPr>
          <w:ilvl w:val="0"/>
          <w:numId w:val="1"/>
        </w:numPr>
        <w:spacing w:after="120" w:line="276" w:lineRule="auto"/>
      </w:pPr>
      <w:r>
        <w:rPr>
          <w:rFonts w:ascii="Arial" w:hAnsi="Arial" w:eastAsia="Arial" w:cs="Arial"/>
          <w:sz w:val="22"/>
          <w:szCs w:val="22"/>
        </w:rPr>
        <w:t>Select among multiple or nested FVGs using context rather than treating every gap as equal.</w:t>
      </w:r>
    </w:p>
    <w:p w14:paraId="3686FF8B">
      <w:pPr>
        <w:pStyle w:val="16"/>
        <w:numPr>
          <w:ilvl w:val="0"/>
          <w:numId w:val="1"/>
        </w:numPr>
        <w:spacing w:after="120" w:line="276" w:lineRule="auto"/>
      </w:pPr>
      <w:r>
        <w:rPr>
          <w:rFonts w:ascii="Arial" w:hAnsi="Arial" w:eastAsia="Arial" w:cs="Arial"/>
          <w:sz w:val="22"/>
          <w:szCs w:val="22"/>
        </w:rPr>
        <w:t>Differentiate higher-timeframe FVGs (context) from lower-timeframe FVGs (execution).</w:t>
      </w:r>
    </w:p>
    <w:p w14:paraId="54B9DAF0">
      <w:pPr>
        <w:pStyle w:val="16"/>
        <w:numPr>
          <w:ilvl w:val="0"/>
          <w:numId w:val="1"/>
        </w:numPr>
        <w:spacing w:after="120" w:line="276" w:lineRule="auto"/>
      </w:pPr>
      <w:r>
        <w:rPr>
          <w:rFonts w:ascii="Arial" w:hAnsi="Arial" w:eastAsia="Arial" w:cs="Arial"/>
          <w:sz w:val="22"/>
          <w:szCs w:val="22"/>
        </w:rPr>
        <w:t>Recognise when an FVG has failed or been fully mitigated and should no longer be used as support/resistance in its original direction.</w:t>
      </w:r>
    </w:p>
    <w:p w14:paraId="6FF6563A">
      <w:pPr>
        <w:pStyle w:val="2"/>
        <w:spacing w:before="360" w:after="240"/>
      </w:pPr>
      <w:r>
        <w:rPr>
          <w:rFonts w:ascii="Arial" w:hAnsi="Arial" w:eastAsia="Arial" w:cs="Arial"/>
          <w:b/>
          <w:bCs/>
          <w:sz w:val="32"/>
          <w:szCs w:val="32"/>
        </w:rPr>
        <w:t>Introduction: The Imbalance Left by Displacement</w:t>
      </w:r>
    </w:p>
    <w:p w14:paraId="68DE971C">
      <w:pPr>
        <w:spacing w:after="200" w:line="276" w:lineRule="auto"/>
      </w:pPr>
      <w:r>
        <w:rPr>
          <w:rFonts w:ascii="Arial" w:hAnsi="Arial" w:eastAsia="Arial" w:cs="Arial"/>
          <w:sz w:val="22"/>
          <w:szCs w:val="22"/>
        </w:rPr>
        <w:t>Module 3 established that high-quality displacement often leaves a Fair Value Gap. Module 4 examines that gap in detail. Within ICT teaching the FVG is both evidence that energetic, one-sided delivery occurred and a subsequent price-delivery array (PD array) to which price may return before continuing.</w:t>
      </w:r>
    </w:p>
    <w:p w14:paraId="414CBF0B">
      <w:pPr>
        <w:spacing w:after="200" w:line="276" w:lineRule="auto"/>
      </w:pPr>
      <w:r>
        <w:rPr>
          <w:rFonts w:ascii="Arial" w:hAnsi="Arial" w:eastAsia="Arial" w:cs="Arial"/>
          <w:sz w:val="22"/>
          <w:szCs w:val="22"/>
        </w:rPr>
        <w:t>The intermediate task is not merely to spot every three-candle gap. It is to decide which gaps matter, where they sit relative to the dealing range and liquidity, whether price is likely to respect them, and how to refine an entry inside them (especially at Consequent Encroachment).</w:t>
      </w:r>
    </w:p>
    <w:p w14:paraId="39D2509D">
      <w:pPr>
        <w:pStyle w:val="2"/>
        <w:spacing w:before="360" w:after="240"/>
      </w:pPr>
      <w:r>
        <w:rPr>
          <w:rFonts w:ascii="Arial" w:hAnsi="Arial" w:eastAsia="Arial" w:cs="Arial"/>
          <w:b/>
          <w:bCs/>
          <w:sz w:val="32"/>
          <w:szCs w:val="32"/>
        </w:rPr>
        <w:t>1. Fair Value Gap Formation</w:t>
      </w:r>
    </w:p>
    <w:p w14:paraId="027BAEF2">
      <w:pPr>
        <w:pStyle w:val="3"/>
        <w:spacing w:before="280" w:after="180"/>
      </w:pPr>
      <w:r>
        <w:rPr>
          <w:rFonts w:ascii="Arial" w:hAnsi="Arial" w:eastAsia="Arial" w:cs="Arial"/>
          <w:b/>
          <w:bCs/>
          <w:sz w:val="26"/>
          <w:szCs w:val="26"/>
        </w:rPr>
        <w:t>1.1 Standard Definition</w:t>
      </w:r>
    </w:p>
    <w:p w14:paraId="731C311B">
      <w:pPr>
        <w:spacing w:after="200" w:line="276" w:lineRule="auto"/>
      </w:pPr>
      <w:r>
        <w:rPr>
          <w:rFonts w:ascii="Arial" w:hAnsi="Arial" w:eastAsia="Arial" w:cs="Arial"/>
          <w:sz w:val="22"/>
          <w:szCs w:val="22"/>
        </w:rPr>
        <w:t>A Fair Value Gap is a three-candle imbalance:</w:t>
      </w:r>
    </w:p>
    <w:p w14:paraId="54A71046">
      <w:pPr>
        <w:pStyle w:val="16"/>
        <w:numPr>
          <w:ilvl w:val="0"/>
          <w:numId w:val="1"/>
        </w:numPr>
        <w:spacing w:after="120" w:line="276" w:lineRule="auto"/>
      </w:pPr>
      <w:r>
        <w:rPr>
          <w:rFonts w:ascii="Arial" w:hAnsi="Arial" w:eastAsia="Arial" w:cs="Arial"/>
          <w:sz w:val="22"/>
          <w:szCs w:val="22"/>
        </w:rPr>
        <w:t>Bullish FVG: the low of candle 3 is higher than the high of candle 1, leaving an unfilled space (the gap) across the body of candle 2.</w:t>
      </w:r>
    </w:p>
    <w:p w14:paraId="51BFCDA6">
      <w:pPr>
        <w:pStyle w:val="16"/>
        <w:numPr>
          <w:ilvl w:val="0"/>
          <w:numId w:val="1"/>
        </w:numPr>
        <w:spacing w:after="120" w:line="276" w:lineRule="auto"/>
      </w:pPr>
      <w:r>
        <w:rPr>
          <w:rFonts w:ascii="Arial" w:hAnsi="Arial" w:eastAsia="Arial" w:cs="Arial"/>
          <w:sz w:val="22"/>
          <w:szCs w:val="22"/>
        </w:rPr>
        <w:t>Bearish FVG: the high of candle 3 is lower than the low of candle 1, leaving an unfilled space across the body of candle 2.</w:t>
      </w:r>
    </w:p>
    <w:p w14:paraId="4C36B6AF">
      <w:pPr>
        <w:spacing w:after="200" w:line="276" w:lineRule="auto"/>
      </w:pPr>
      <w:r>
        <w:rPr>
          <w:rFonts w:ascii="Arial" w:hAnsi="Arial" w:eastAsia="Arial" w:cs="Arial"/>
          <w:sz w:val="22"/>
          <w:szCs w:val="22"/>
        </w:rPr>
        <w:t>The gap represents a region where one-sided order flow was so dominant that two-sided delivery did not occur.</w:t>
      </w:r>
    </w:p>
    <w:p w14:paraId="0BD907F0">
      <w:pPr>
        <w:pStyle w:val="3"/>
        <w:spacing w:before="280" w:after="180"/>
      </w:pPr>
      <w:r>
        <w:rPr>
          <w:rFonts w:ascii="Arial" w:hAnsi="Arial" w:eastAsia="Arial" w:cs="Arial"/>
          <w:b/>
          <w:bCs/>
          <w:sz w:val="26"/>
          <w:szCs w:val="26"/>
        </w:rPr>
        <w:t>1.2 Visual Check</w:t>
      </w:r>
    </w:p>
    <w:p w14:paraId="6C990A1A">
      <w:pPr>
        <w:spacing w:after="200" w:line="276" w:lineRule="auto"/>
      </w:pPr>
      <w:r>
        <w:rPr>
          <w:rFonts w:ascii="Arial" w:hAnsi="Arial" w:eastAsia="Arial" w:cs="Arial"/>
          <w:sz w:val="22"/>
          <w:szCs w:val="22"/>
        </w:rPr>
        <w:t>If the wick of candle 1 and the wick of candle 3 overlap or touch, no standard FVG exists. Only a clear separation qualifies.</w:t>
      </w:r>
    </w:p>
    <w:p w14:paraId="62E6F6E0">
      <w:pPr>
        <w:pStyle w:val="2"/>
        <w:spacing w:before="360" w:after="240"/>
      </w:pPr>
      <w:r>
        <w:rPr>
          <w:rFonts w:ascii="Arial" w:hAnsi="Arial" w:eastAsia="Arial" w:cs="Arial"/>
          <w:b/>
          <w:bCs/>
          <w:sz w:val="32"/>
          <w:szCs w:val="32"/>
        </w:rPr>
        <w:t>2. FVG Created by Displacement</w:t>
      </w:r>
    </w:p>
    <w:p w14:paraId="2D90145C">
      <w:pPr>
        <w:pStyle w:val="3"/>
        <w:spacing w:before="280" w:after="180"/>
      </w:pPr>
      <w:r>
        <w:rPr>
          <w:rFonts w:ascii="Arial" w:hAnsi="Arial" w:eastAsia="Arial" w:cs="Arial"/>
          <w:b/>
          <w:bCs/>
          <w:sz w:val="26"/>
          <w:szCs w:val="26"/>
        </w:rPr>
        <w:t>2.1 Preferred Origin</w:t>
      </w:r>
    </w:p>
    <w:p w14:paraId="6834B310">
      <w:pPr>
        <w:spacing w:after="200" w:line="276" w:lineRule="auto"/>
      </w:pPr>
      <w:r>
        <w:rPr>
          <w:rFonts w:ascii="Arial" w:hAnsi="Arial" w:eastAsia="Arial" w:cs="Arial"/>
          <w:sz w:val="22"/>
          <w:szCs w:val="22"/>
        </w:rPr>
        <w:t>The highest-quality FVGs are those left by the displacement leg that also produced a Market Structure Shift (Module 3). These gaps sit inside a confirmed change of structural control and are therefore more reliable as later entry arrays.</w:t>
      </w:r>
    </w:p>
    <w:p w14:paraId="595CE8CF">
      <w:pPr>
        <w:pStyle w:val="3"/>
        <w:spacing w:before="280" w:after="180"/>
      </w:pPr>
      <w:r>
        <w:rPr>
          <w:rFonts w:ascii="Arial" w:hAnsi="Arial" w:eastAsia="Arial" w:cs="Arial"/>
          <w:b/>
          <w:bCs/>
          <w:sz w:val="26"/>
          <w:szCs w:val="26"/>
        </w:rPr>
        <w:t>2.2 Lower-Quality Gaps</w:t>
      </w:r>
    </w:p>
    <w:p w14:paraId="30B78C23">
      <w:pPr>
        <w:spacing w:after="200" w:line="276" w:lineRule="auto"/>
      </w:pPr>
      <w:r>
        <w:rPr>
          <w:rFonts w:ascii="Arial" w:hAnsi="Arial" w:eastAsia="Arial" w:cs="Arial"/>
          <w:sz w:val="22"/>
          <w:szCs w:val="22"/>
        </w:rPr>
        <w:t>Gaps that form inside tight, overlapping ranges or without preceding liquidity events and displacement are lower priority. They may still be mitigated, but they do not carry the same narrative weight.</w:t>
      </w:r>
    </w:p>
    <w:p w14:paraId="0C1DC3CC">
      <w:pPr>
        <w:pStyle w:val="2"/>
        <w:spacing w:before="360" w:after="240"/>
      </w:pPr>
      <w:r>
        <w:rPr>
          <w:rFonts w:ascii="Arial" w:hAnsi="Arial" w:eastAsia="Arial" w:cs="Arial"/>
          <w:b/>
          <w:bCs/>
          <w:sz w:val="32"/>
          <w:szCs w:val="32"/>
        </w:rPr>
        <w:t>3. Fair Value Gap as a PD Array</w:t>
      </w:r>
    </w:p>
    <w:p w14:paraId="3FA966A8">
      <w:pPr>
        <w:pStyle w:val="3"/>
        <w:spacing w:before="280" w:after="180"/>
      </w:pPr>
      <w:r>
        <w:rPr>
          <w:rFonts w:ascii="Arial" w:hAnsi="Arial" w:eastAsia="Arial" w:cs="Arial"/>
          <w:b/>
          <w:bCs/>
          <w:sz w:val="26"/>
          <w:szCs w:val="26"/>
        </w:rPr>
        <w:t>3.1 Role</w:t>
      </w:r>
    </w:p>
    <w:p w14:paraId="6B173921">
      <w:pPr>
        <w:spacing w:after="200" w:line="276" w:lineRule="auto"/>
      </w:pPr>
      <w:r>
        <w:rPr>
          <w:rFonts w:ascii="Arial" w:hAnsi="Arial" w:eastAsia="Arial" w:cs="Arial"/>
          <w:sz w:val="22"/>
          <w:szCs w:val="22"/>
        </w:rPr>
        <w:t>Within the ICT framework a Fair Value Gap functions as a Premium/Discount Array — a price level or zone where the algorithm is expected to show interest on a return visit. Bullish FVGs are potential support (buy-side arrays); bearish FVGs are potential resistance (sell-side arrays).</w:t>
      </w:r>
    </w:p>
    <w:p w14:paraId="6F6F7C51">
      <w:pPr>
        <w:pStyle w:val="3"/>
        <w:spacing w:before="280" w:after="180"/>
      </w:pPr>
      <w:r>
        <w:rPr>
          <w:rFonts w:ascii="Arial" w:hAnsi="Arial" w:eastAsia="Arial" w:cs="Arial"/>
          <w:b/>
          <w:bCs/>
          <w:sz w:val="26"/>
          <w:szCs w:val="26"/>
        </w:rPr>
        <w:t>3.2 Hierarchy Note</w:t>
      </w:r>
    </w:p>
    <w:p w14:paraId="246D8ECD">
      <w:pPr>
        <w:spacing w:after="200" w:line="276" w:lineRule="auto"/>
      </w:pPr>
      <w:r>
        <w:rPr>
          <w:rFonts w:ascii="Arial" w:hAnsi="Arial" w:eastAsia="Arial" w:cs="Arial"/>
          <w:sz w:val="22"/>
          <w:szCs w:val="22"/>
        </w:rPr>
        <w:t>An FVG does not automatically outrank every other PD array. Its relative strength depends on the timeframe on which it formed, whether it remains unmitigated, its location inside the dealing range, and confluence with liquidity and structure.</w:t>
      </w:r>
    </w:p>
    <w:p w14:paraId="4838F71E">
      <w:pPr>
        <w:pStyle w:val="2"/>
        <w:spacing w:before="360" w:after="240"/>
      </w:pPr>
      <w:r>
        <w:rPr>
          <w:rFonts w:ascii="Arial" w:hAnsi="Arial" w:eastAsia="Arial" w:cs="Arial"/>
          <w:b/>
          <w:bCs/>
          <w:sz w:val="32"/>
          <w:szCs w:val="32"/>
        </w:rPr>
        <w:t>4. Consequent Encroachment</w:t>
      </w:r>
    </w:p>
    <w:p w14:paraId="79932322">
      <w:pPr>
        <w:pStyle w:val="3"/>
        <w:spacing w:before="280" w:after="180"/>
      </w:pPr>
      <w:r>
        <w:rPr>
          <w:rFonts w:ascii="Arial" w:hAnsi="Arial" w:eastAsia="Arial" w:cs="Arial"/>
          <w:b/>
          <w:bCs/>
          <w:sz w:val="26"/>
          <w:szCs w:val="26"/>
        </w:rPr>
        <w:t>4.1 Definition</w:t>
      </w:r>
    </w:p>
    <w:p w14:paraId="2C0F3D47">
      <w:pPr>
        <w:spacing w:after="200" w:line="276" w:lineRule="auto"/>
      </w:pPr>
      <w:r>
        <w:rPr>
          <w:rFonts w:ascii="Arial" w:hAnsi="Arial" w:eastAsia="Arial" w:cs="Arial"/>
          <w:sz w:val="22"/>
          <w:szCs w:val="22"/>
        </w:rPr>
        <w:t>Consequent Encroachment (CE) is the 50 % midpoint of the Fair Value Gap (or of any measured PD array). It is also referred to as the mean threshold of the gap.</w:t>
      </w:r>
    </w:p>
    <w:p w14:paraId="5072A2FC">
      <w:pPr>
        <w:pStyle w:val="3"/>
        <w:spacing w:before="280" w:after="180"/>
      </w:pPr>
      <w:r>
        <w:rPr>
          <w:rFonts w:ascii="Arial" w:hAnsi="Arial" w:eastAsia="Arial" w:cs="Arial"/>
          <w:b/>
          <w:bCs/>
          <w:sz w:val="26"/>
          <w:szCs w:val="26"/>
        </w:rPr>
        <w:t>4.2 Practical Importance</w:t>
      </w:r>
    </w:p>
    <w:p w14:paraId="2B7CD7A6">
      <w:pPr>
        <w:spacing w:after="200" w:line="276" w:lineRule="auto"/>
      </w:pPr>
      <w:r>
        <w:rPr>
          <w:rFonts w:ascii="Arial" w:hAnsi="Arial" w:eastAsia="Arial" w:cs="Arial"/>
          <w:sz w:val="22"/>
          <w:szCs w:val="22"/>
        </w:rPr>
        <w:t>Price frequently reacts at or near the CE rather than requiring a full fill of the entire gap. Intermediate practice therefore often uses the CE as a refined entry reference or as a decision point inside the larger FVG zone.</w:t>
      </w:r>
    </w:p>
    <w:p w14:paraId="29278FA9">
      <w:pPr>
        <w:pStyle w:val="3"/>
        <w:spacing w:before="280" w:after="180"/>
      </w:pPr>
      <w:r>
        <w:rPr>
          <w:rFonts w:ascii="Arial" w:hAnsi="Arial" w:eastAsia="Arial" w:cs="Arial"/>
          <w:b/>
          <w:bCs/>
          <w:sz w:val="26"/>
          <w:szCs w:val="26"/>
        </w:rPr>
        <w:t>4.3 How to Locate</w:t>
      </w:r>
    </w:p>
    <w:p w14:paraId="6B648A15">
      <w:pPr>
        <w:pStyle w:val="16"/>
        <w:numPr>
          <w:ilvl w:val="0"/>
          <w:numId w:val="2"/>
        </w:numPr>
        <w:spacing w:after="120" w:line="276" w:lineRule="auto"/>
      </w:pPr>
      <w:r>
        <w:rPr>
          <w:rFonts w:ascii="Arial" w:hAnsi="Arial" w:eastAsia="Arial" w:cs="Arial"/>
          <w:sz w:val="22"/>
          <w:szCs w:val="22"/>
        </w:rPr>
        <w:t>Identify the upper and lower boundaries of the FVG.</w:t>
      </w:r>
    </w:p>
    <w:p w14:paraId="0533E8B9">
      <w:pPr>
        <w:pStyle w:val="16"/>
        <w:numPr>
          <w:ilvl w:val="0"/>
          <w:numId w:val="2"/>
        </w:numPr>
        <w:spacing w:after="120" w:line="276" w:lineRule="auto"/>
      </w:pPr>
      <w:r>
        <w:rPr>
          <w:rFonts w:ascii="Arial" w:hAnsi="Arial" w:eastAsia="Arial" w:cs="Arial"/>
          <w:sz w:val="22"/>
          <w:szCs w:val="22"/>
        </w:rPr>
        <w:t>Calculate or draw the exact halfway point between those boundaries.</w:t>
      </w:r>
    </w:p>
    <w:p w14:paraId="514AF32F">
      <w:pPr>
        <w:pStyle w:val="16"/>
        <w:numPr>
          <w:ilvl w:val="0"/>
          <w:numId w:val="2"/>
        </w:numPr>
        <w:spacing w:after="120" w:line="276" w:lineRule="auto"/>
      </w:pPr>
      <w:r>
        <w:rPr>
          <w:rFonts w:ascii="Arial" w:hAnsi="Arial" w:eastAsia="Arial" w:cs="Arial"/>
          <w:sz w:val="22"/>
          <w:szCs w:val="22"/>
        </w:rPr>
        <w:t>Mark that level as Consequent Encroachment.</w:t>
      </w:r>
    </w:p>
    <w:p w14:paraId="3BE66DB1">
      <w:pPr>
        <w:pStyle w:val="3"/>
        <w:spacing w:before="280" w:after="180"/>
      </w:pPr>
      <w:r>
        <w:rPr>
          <w:rFonts w:ascii="Arial" w:hAnsi="Arial" w:eastAsia="Arial" w:cs="Arial"/>
          <w:b/>
          <w:bCs/>
          <w:sz w:val="26"/>
          <w:szCs w:val="26"/>
        </w:rPr>
        <w:t>4.4 Usage</w:t>
      </w:r>
    </w:p>
    <w:p w14:paraId="09D4A0F8">
      <w:pPr>
        <w:spacing w:after="200" w:line="276" w:lineRule="auto"/>
      </w:pPr>
      <w:r>
        <w:rPr>
          <w:rFonts w:ascii="Arial" w:hAnsi="Arial" w:eastAsia="Arial" w:cs="Arial"/>
          <w:sz w:val="22"/>
          <w:szCs w:val="22"/>
        </w:rPr>
        <w:t>Common intermediate applications include placing a limit order at CE, requiring price to reach at least CE before considering the gap “tested,” or using a close through CE as part of a mitigation/failure reading.</w:t>
      </w:r>
    </w:p>
    <w:p w14:paraId="2B84EBE0">
      <w:pPr>
        <w:pStyle w:val="2"/>
        <w:spacing w:before="360" w:after="240"/>
      </w:pPr>
      <w:r>
        <w:rPr>
          <w:rFonts w:ascii="Arial" w:hAnsi="Arial" w:eastAsia="Arial" w:cs="Arial"/>
          <w:b/>
          <w:bCs/>
          <w:sz w:val="32"/>
          <w:szCs w:val="32"/>
        </w:rPr>
        <w:t>5. FVG Retracement, Continuation and Failure</w:t>
      </w:r>
    </w:p>
    <w:p w14:paraId="0A3D0009">
      <w:pPr>
        <w:pStyle w:val="3"/>
        <w:spacing w:before="280" w:after="180"/>
      </w:pPr>
      <w:r>
        <w:rPr>
          <w:rFonts w:ascii="Arial" w:hAnsi="Arial" w:eastAsia="Arial" w:cs="Arial"/>
          <w:b/>
          <w:bCs/>
          <w:sz w:val="26"/>
          <w:szCs w:val="26"/>
        </w:rPr>
        <w:t>5.1 Retracement (Entry Context)</w:t>
      </w:r>
    </w:p>
    <w:p w14:paraId="3FCDF785">
      <w:pPr>
        <w:spacing w:after="200" w:line="276" w:lineRule="auto"/>
      </w:pPr>
      <w:r>
        <w:rPr>
          <w:rFonts w:ascii="Arial" w:hAnsi="Arial" w:eastAsia="Arial" w:cs="Arial"/>
          <w:sz w:val="22"/>
          <w:szCs w:val="22"/>
        </w:rPr>
        <w:t>After displacement creates an FVG and structure has shifted, price often retraces into the gap. A reaction from the gap (or from its CE) that resumes the direction of the displacement is the classic FVG continuation entry.</w:t>
      </w:r>
    </w:p>
    <w:p w14:paraId="2AC17F1E">
      <w:pPr>
        <w:pStyle w:val="3"/>
        <w:spacing w:before="280" w:after="180"/>
      </w:pPr>
      <w:r>
        <w:rPr>
          <w:rFonts w:ascii="Arial" w:hAnsi="Arial" w:eastAsia="Arial" w:cs="Arial"/>
          <w:b/>
          <w:bCs/>
          <w:sz w:val="26"/>
          <w:szCs w:val="26"/>
        </w:rPr>
        <w:t>5.2 Continuation Through the Gap</w:t>
      </w:r>
    </w:p>
    <w:p w14:paraId="69C1C757">
      <w:pPr>
        <w:spacing w:after="200" w:line="276" w:lineRule="auto"/>
      </w:pPr>
      <w:r>
        <w:rPr>
          <w:rFonts w:ascii="Arial" w:hAnsi="Arial" w:eastAsia="Arial" w:cs="Arial"/>
          <w:sz w:val="22"/>
          <w:szCs w:val="22"/>
        </w:rPr>
        <w:t>If price enters the FVG and continues through it without meaningful rejection, the gap is being mitigated and may lose its original supportive or resistive character.</w:t>
      </w:r>
    </w:p>
    <w:p w14:paraId="6D8BD4A0">
      <w:pPr>
        <w:pStyle w:val="3"/>
        <w:spacing w:before="280" w:after="180"/>
      </w:pPr>
      <w:r>
        <w:rPr>
          <w:rFonts w:ascii="Arial" w:hAnsi="Arial" w:eastAsia="Arial" w:cs="Arial"/>
          <w:b/>
          <w:bCs/>
          <w:sz w:val="26"/>
          <w:szCs w:val="26"/>
        </w:rPr>
        <w:t>5.3 FVG Failure</w:t>
      </w:r>
    </w:p>
    <w:p w14:paraId="266E7207">
      <w:pPr>
        <w:spacing w:after="200" w:line="276" w:lineRule="auto"/>
      </w:pPr>
      <w:r>
        <w:rPr>
          <w:rFonts w:ascii="Arial" w:hAnsi="Arial" w:eastAsia="Arial" w:cs="Arial"/>
          <w:sz w:val="22"/>
          <w:szCs w:val="22"/>
        </w:rPr>
        <w:t>An FVG fails in its original role when price closes decisively through the far side of the gap (beyond the boundary opposite the direction of the original displacement) and subsequently treats the zone from the opposite side. A fully mitigated bullish FVG can later act as resistance (and vice versa); this is sometimes discussed in community material as an inversion or inverted FVG, but the core ICT observation is simply that the original imbalance has been filled and the array’s polarity may reverse.</w:t>
      </w:r>
    </w:p>
    <w:p w14:paraId="6D2EFD17">
      <w:pPr>
        <w:pStyle w:val="2"/>
        <w:spacing w:before="360" w:after="240"/>
      </w:pPr>
      <w:r>
        <w:rPr>
          <w:rFonts w:ascii="Arial" w:hAnsi="Arial" w:eastAsia="Arial" w:cs="Arial"/>
          <w:b/>
          <w:bCs/>
          <w:sz w:val="32"/>
          <w:szCs w:val="32"/>
        </w:rPr>
        <w:t>6. FVG Relative to the Dealing Range</w:t>
      </w:r>
    </w:p>
    <w:p w14:paraId="30D3E6DA">
      <w:pPr>
        <w:pStyle w:val="3"/>
        <w:spacing w:before="280" w:after="180"/>
      </w:pPr>
      <w:r>
        <w:rPr>
          <w:rFonts w:ascii="Arial" w:hAnsi="Arial" w:eastAsia="Arial" w:cs="Arial"/>
          <w:b/>
          <w:bCs/>
          <w:sz w:val="26"/>
          <w:szCs w:val="26"/>
        </w:rPr>
        <w:t>6.1 Premium / Discount Filter</w:t>
      </w:r>
    </w:p>
    <w:p w14:paraId="7443786B">
      <w:pPr>
        <w:spacing w:after="200" w:line="276" w:lineRule="auto"/>
      </w:pPr>
      <w:r>
        <w:rPr>
          <w:rFonts w:ascii="Arial" w:hAnsi="Arial" w:eastAsia="Arial" w:cs="Arial"/>
          <w:sz w:val="22"/>
          <w:szCs w:val="22"/>
        </w:rPr>
        <w:t>A bullish FVG that sits in discount (below dealing-range equilibrium) is higher quality for long entries than the same FVG located in premium. A bearish FVG in premium is higher quality for short entries than one located in discount.</w:t>
      </w:r>
    </w:p>
    <w:p w14:paraId="64A4381C">
      <w:pPr>
        <w:pStyle w:val="3"/>
        <w:spacing w:before="280" w:after="180"/>
      </w:pPr>
      <w:r>
        <w:rPr>
          <w:rFonts w:ascii="Arial" w:hAnsi="Arial" w:eastAsia="Arial" w:cs="Arial"/>
          <w:b/>
          <w:bCs/>
          <w:sz w:val="26"/>
          <w:szCs w:val="26"/>
        </w:rPr>
        <w:t>6.2 Practical Rule</w:t>
      </w:r>
    </w:p>
    <w:p w14:paraId="1F45F495">
      <w:pPr>
        <w:spacing w:after="200" w:line="276" w:lineRule="auto"/>
      </w:pPr>
      <w:r>
        <w:rPr>
          <w:rFonts w:ascii="Arial" w:hAnsi="Arial" w:eastAsia="Arial" w:cs="Arial"/>
          <w:sz w:val="22"/>
          <w:szCs w:val="22"/>
        </w:rPr>
        <w:t>When multiple FVGs exist, prefer the one that is both unmitigated and located in the correct half of the dealing range relative to the intended trade direction.</w:t>
      </w:r>
    </w:p>
    <w:p w14:paraId="6E2384C1">
      <w:pPr>
        <w:pStyle w:val="2"/>
        <w:spacing w:before="360" w:after="240"/>
      </w:pPr>
      <w:r>
        <w:rPr>
          <w:rFonts w:ascii="Arial" w:hAnsi="Arial" w:eastAsia="Arial" w:cs="Arial"/>
          <w:b/>
          <w:bCs/>
          <w:sz w:val="32"/>
          <w:szCs w:val="32"/>
        </w:rPr>
        <w:t>7. FVG Relative to Liquidity</w:t>
      </w:r>
    </w:p>
    <w:p w14:paraId="14DC2C77">
      <w:pPr>
        <w:pStyle w:val="3"/>
        <w:spacing w:before="280" w:after="180"/>
      </w:pPr>
      <w:r>
        <w:rPr>
          <w:rFonts w:ascii="Arial" w:hAnsi="Arial" w:eastAsia="Arial" w:cs="Arial"/>
          <w:b/>
          <w:bCs/>
          <w:sz w:val="26"/>
          <w:szCs w:val="26"/>
        </w:rPr>
        <w:t>7.1 Ideal Sequence</w:t>
      </w:r>
    </w:p>
    <w:p w14:paraId="313212A3">
      <w:pPr>
        <w:spacing w:after="200" w:line="276" w:lineRule="auto"/>
      </w:pPr>
      <w:r>
        <w:rPr>
          <w:rFonts w:ascii="Arial" w:hAnsi="Arial" w:eastAsia="Arial" w:cs="Arial"/>
          <w:sz w:val="22"/>
          <w:szCs w:val="22"/>
        </w:rPr>
        <w:t>The preferred intermediate sequence remains: liquidity event → displacement (creating the FVG) → Market Structure Shift → retracement into the FVG. An FVG that forms after a clear liquidity raid and structural shift is more actionable than an isolated gap with no liquidity context.</w:t>
      </w:r>
    </w:p>
    <w:p w14:paraId="35CB3DDE">
      <w:pPr>
        <w:pStyle w:val="3"/>
        <w:spacing w:before="280" w:after="180"/>
      </w:pPr>
      <w:r>
        <w:rPr>
          <w:rFonts w:ascii="Arial" w:hAnsi="Arial" w:eastAsia="Arial" w:cs="Arial"/>
          <w:b/>
          <w:bCs/>
          <w:sz w:val="26"/>
          <w:szCs w:val="26"/>
        </w:rPr>
        <w:t>7.2 Targeting</w:t>
      </w:r>
    </w:p>
    <w:p w14:paraId="36E1BA84">
      <w:pPr>
        <w:spacing w:after="200" w:line="276" w:lineRule="auto"/>
      </w:pPr>
      <w:r>
        <w:rPr>
          <w:rFonts w:ascii="Arial" w:hAnsi="Arial" w:eastAsia="Arial" w:cs="Arial"/>
          <w:sz w:val="22"/>
          <w:szCs w:val="22"/>
        </w:rPr>
        <w:t>Once price reacts from an FVG, the logical targets are the Draw on Liquidity objectives established in Module 2 (internal then external, or external then internal, according to the narrative).</w:t>
      </w:r>
    </w:p>
    <w:p w14:paraId="0442061B">
      <w:pPr>
        <w:pStyle w:val="2"/>
        <w:spacing w:before="360" w:after="240"/>
      </w:pPr>
      <w:r>
        <w:rPr>
          <w:rFonts w:ascii="Arial" w:hAnsi="Arial" w:eastAsia="Arial" w:cs="Arial"/>
          <w:b/>
          <w:bCs/>
          <w:sz w:val="32"/>
          <w:szCs w:val="32"/>
        </w:rPr>
        <w:t>8. Multiple FVGs and Nested FVGs</w:t>
      </w:r>
    </w:p>
    <w:p w14:paraId="4573B182">
      <w:pPr>
        <w:pStyle w:val="3"/>
        <w:spacing w:before="280" w:after="180"/>
      </w:pPr>
      <w:r>
        <w:rPr>
          <w:rFonts w:ascii="Arial" w:hAnsi="Arial" w:eastAsia="Arial" w:cs="Arial"/>
          <w:b/>
          <w:bCs/>
          <w:sz w:val="26"/>
          <w:szCs w:val="26"/>
        </w:rPr>
        <w:t>8.1 Multiple FVGs</w:t>
      </w:r>
    </w:p>
    <w:p w14:paraId="32BF4DEE">
      <w:pPr>
        <w:spacing w:after="200" w:line="276" w:lineRule="auto"/>
      </w:pPr>
      <w:r>
        <w:rPr>
          <w:rFonts w:ascii="Arial" w:hAnsi="Arial" w:eastAsia="Arial" w:cs="Arial"/>
          <w:sz w:val="22"/>
          <w:szCs w:val="22"/>
        </w:rPr>
        <w:t>A single displacement leg can leave more than one FVG. Selection priority generally favours:</w:t>
      </w:r>
    </w:p>
    <w:p w14:paraId="685CA200">
      <w:pPr>
        <w:pStyle w:val="16"/>
        <w:numPr>
          <w:ilvl w:val="0"/>
          <w:numId w:val="1"/>
        </w:numPr>
        <w:spacing w:after="120" w:line="276" w:lineRule="auto"/>
      </w:pPr>
      <w:r>
        <w:rPr>
          <w:rFonts w:ascii="Arial" w:hAnsi="Arial" w:eastAsia="Arial" w:cs="Arial"/>
          <w:sz w:val="22"/>
          <w:szCs w:val="22"/>
        </w:rPr>
        <w:t>The FVG that overlaps Consequent Encroachment of a larger structure or an Order Block.</w:t>
      </w:r>
    </w:p>
    <w:p w14:paraId="382C6385">
      <w:pPr>
        <w:pStyle w:val="16"/>
        <w:numPr>
          <w:ilvl w:val="0"/>
          <w:numId w:val="1"/>
        </w:numPr>
        <w:spacing w:after="120" w:line="276" w:lineRule="auto"/>
      </w:pPr>
      <w:r>
        <w:rPr>
          <w:rFonts w:ascii="Arial" w:hAnsi="Arial" w:eastAsia="Arial" w:cs="Arial"/>
          <w:sz w:val="22"/>
          <w:szCs w:val="22"/>
        </w:rPr>
        <w:t>The FVG that sits deepest in the correct premium/discount half.</w:t>
      </w:r>
    </w:p>
    <w:p w14:paraId="23565782">
      <w:pPr>
        <w:pStyle w:val="16"/>
        <w:numPr>
          <w:ilvl w:val="0"/>
          <w:numId w:val="1"/>
        </w:numPr>
        <w:spacing w:after="120" w:line="276" w:lineRule="auto"/>
      </w:pPr>
      <w:r>
        <w:rPr>
          <w:rFonts w:ascii="Arial" w:hAnsi="Arial" w:eastAsia="Arial" w:cs="Arial"/>
          <w:sz w:val="22"/>
          <w:szCs w:val="22"/>
        </w:rPr>
        <w:t>The most recent unmitigated FVG created by the displacement that produced the MSS.</w:t>
      </w:r>
    </w:p>
    <w:p w14:paraId="73A8CED2">
      <w:pPr>
        <w:pStyle w:val="3"/>
        <w:spacing w:before="280" w:after="180"/>
      </w:pPr>
      <w:r>
        <w:rPr>
          <w:rFonts w:ascii="Arial" w:hAnsi="Arial" w:eastAsia="Arial" w:cs="Arial"/>
          <w:b/>
          <w:bCs/>
          <w:sz w:val="26"/>
          <w:szCs w:val="26"/>
        </w:rPr>
        <w:t>8.2 Nested FVGs</w:t>
      </w:r>
    </w:p>
    <w:p w14:paraId="2A3F641A">
      <w:pPr>
        <w:spacing w:after="200" w:line="276" w:lineRule="auto"/>
      </w:pPr>
      <w:r>
        <w:rPr>
          <w:rFonts w:ascii="Arial" w:hAnsi="Arial" w:eastAsia="Arial" w:cs="Arial"/>
          <w:sz w:val="22"/>
          <w:szCs w:val="22"/>
        </w:rPr>
        <w:t>A lower-timeframe FVG that forms inside a higher-timeframe FVG creates nested imbalance. This is a high-confluence location: the larger gap supplies context; the smaller gap supplies precision.</w:t>
      </w:r>
    </w:p>
    <w:p w14:paraId="74141A19">
      <w:pPr>
        <w:pStyle w:val="2"/>
        <w:spacing w:before="360" w:after="240"/>
      </w:pPr>
      <w:r>
        <w:rPr>
          <w:rFonts w:ascii="Arial" w:hAnsi="Arial" w:eastAsia="Arial" w:cs="Arial"/>
          <w:b/>
          <w:bCs/>
          <w:sz w:val="32"/>
          <w:szCs w:val="32"/>
        </w:rPr>
        <w:t>9. Higher-Timeframe vs Lower-Timeframe FVGs</w:t>
      </w:r>
    </w:p>
    <w:p w14:paraId="3E52A571">
      <w:pPr>
        <w:pStyle w:val="3"/>
        <w:spacing w:before="280" w:after="180"/>
      </w:pPr>
      <w:r>
        <w:rPr>
          <w:rFonts w:ascii="Arial" w:hAnsi="Arial" w:eastAsia="Arial" w:cs="Arial"/>
          <w:b/>
          <w:bCs/>
          <w:sz w:val="26"/>
          <w:szCs w:val="26"/>
        </w:rPr>
        <w:t>9.1 Roles</w:t>
      </w:r>
    </w:p>
    <w:p w14:paraId="25E4177A">
      <w:pPr>
        <w:spacing w:after="200" w:line="276" w:lineRule="auto"/>
      </w:pPr>
      <w:r>
        <w:rPr>
          <w:rFonts w:ascii="Arial" w:hAnsi="Arial" w:eastAsia="Arial" w:cs="Arial"/>
          <w:sz w:val="22"/>
          <w:szCs w:val="22"/>
        </w:rPr>
        <w:t>Higher-timeframe FVGs (daily, 4-hour) act as contextual PD arrays and Draw-on-Liquidity magnets. They help define bias and the larger dealing-range narrative.</w:t>
      </w:r>
    </w:p>
    <w:p w14:paraId="5DE831C7">
      <w:pPr>
        <w:spacing w:after="200" w:line="276" w:lineRule="auto"/>
      </w:pPr>
      <w:r>
        <w:rPr>
          <w:rFonts w:ascii="Arial" w:hAnsi="Arial" w:eastAsia="Arial" w:cs="Arial"/>
          <w:sz w:val="22"/>
          <w:szCs w:val="22"/>
        </w:rPr>
        <w:t>Lower-timeframe FVGs (15-minute, 5-minute, 1-minute) act as execution arrays. They refine the precise entry after a lower-timeframe MSS has confirmed inside the higher-timeframe zone.</w:t>
      </w:r>
    </w:p>
    <w:p w14:paraId="07DB6153">
      <w:pPr>
        <w:pStyle w:val="3"/>
        <w:spacing w:before="280" w:after="180"/>
      </w:pPr>
      <w:r>
        <w:rPr>
          <w:rFonts w:ascii="Arial" w:hAnsi="Arial" w:eastAsia="Arial" w:cs="Arial"/>
          <w:b/>
          <w:bCs/>
          <w:sz w:val="26"/>
          <w:szCs w:val="26"/>
        </w:rPr>
        <w:t>9.2 Alignment</w:t>
      </w:r>
    </w:p>
    <w:p w14:paraId="3EC631AE">
      <w:pPr>
        <w:spacing w:after="200" w:line="276" w:lineRule="auto"/>
      </w:pPr>
      <w:r>
        <w:rPr>
          <w:rFonts w:ascii="Arial" w:hAnsi="Arial" w:eastAsia="Arial" w:cs="Arial"/>
          <w:sz w:val="22"/>
          <w:szCs w:val="22"/>
        </w:rPr>
        <w:t>The highest-probability intermediate setups occur when a lower-timeframe FVG forms inside (or at the edge of) a higher-timeframe FVG or other HTF PD array, after a liquidity event and displacement on the lower timeframe.</w:t>
      </w:r>
    </w:p>
    <w:p w14:paraId="0C66E076">
      <w:pPr>
        <w:pStyle w:val="2"/>
        <w:spacing w:before="360" w:after="240"/>
      </w:pPr>
      <w:r>
        <w:rPr>
          <w:rFonts w:ascii="Arial" w:hAnsi="Arial" w:eastAsia="Arial" w:cs="Arial"/>
          <w:b/>
          <w:bCs/>
          <w:sz w:val="32"/>
          <w:szCs w:val="32"/>
        </w:rPr>
        <w:t>10. FVG Selection Checklist</w:t>
      </w:r>
    </w:p>
    <w:p w14:paraId="223849B1">
      <w:pPr>
        <w:spacing w:after="200" w:line="276" w:lineRule="auto"/>
      </w:pPr>
      <w:r>
        <w:rPr>
          <w:rFonts w:ascii="Arial" w:hAnsi="Arial" w:eastAsia="Arial" w:cs="Arial"/>
          <w:sz w:val="22"/>
          <w:szCs w:val="22"/>
        </w:rPr>
        <w:t>Before treating an FVG as a high-quality entry array, the intermediate student asks:</w:t>
      </w:r>
    </w:p>
    <w:p w14:paraId="54C6C34A">
      <w:pPr>
        <w:pStyle w:val="16"/>
        <w:numPr>
          <w:ilvl w:val="0"/>
          <w:numId w:val="2"/>
        </w:numPr>
        <w:spacing w:after="120" w:line="276" w:lineRule="auto"/>
      </w:pPr>
      <w:r>
        <w:rPr>
          <w:rFonts w:ascii="Arial" w:hAnsi="Arial" w:eastAsia="Arial" w:cs="Arial"/>
          <w:sz w:val="22"/>
          <w:szCs w:val="22"/>
        </w:rPr>
        <w:t>Was the FVG created by clear displacement (preferably after a liquidity event)?</w:t>
      </w:r>
    </w:p>
    <w:p w14:paraId="3596A632">
      <w:pPr>
        <w:pStyle w:val="16"/>
        <w:numPr>
          <w:ilvl w:val="0"/>
          <w:numId w:val="2"/>
        </w:numPr>
        <w:spacing w:after="120" w:line="276" w:lineRule="auto"/>
      </w:pPr>
      <w:r>
        <w:rPr>
          <w:rFonts w:ascii="Arial" w:hAnsi="Arial" w:eastAsia="Arial" w:cs="Arial"/>
          <w:sz w:val="22"/>
          <w:szCs w:val="22"/>
        </w:rPr>
        <w:t>Does a Market Structure Shift accompany or immediately follow the displacement?</w:t>
      </w:r>
    </w:p>
    <w:p w14:paraId="0F2CAC36">
      <w:pPr>
        <w:pStyle w:val="16"/>
        <w:numPr>
          <w:ilvl w:val="0"/>
          <w:numId w:val="2"/>
        </w:numPr>
        <w:spacing w:after="120" w:line="276" w:lineRule="auto"/>
      </w:pPr>
      <w:r>
        <w:rPr>
          <w:rFonts w:ascii="Arial" w:hAnsi="Arial" w:eastAsia="Arial" w:cs="Arial"/>
          <w:sz w:val="22"/>
          <w:szCs w:val="22"/>
        </w:rPr>
        <w:t>Is the FVG still unmitigated (or only partially mitigated)?</w:t>
      </w:r>
    </w:p>
    <w:p w14:paraId="5CE09FC1">
      <w:pPr>
        <w:pStyle w:val="16"/>
        <w:numPr>
          <w:ilvl w:val="0"/>
          <w:numId w:val="2"/>
        </w:numPr>
        <w:spacing w:after="120" w:line="276" w:lineRule="auto"/>
      </w:pPr>
      <w:r>
        <w:rPr>
          <w:rFonts w:ascii="Arial" w:hAnsi="Arial" w:eastAsia="Arial" w:cs="Arial"/>
          <w:sz w:val="22"/>
          <w:szCs w:val="22"/>
        </w:rPr>
        <w:t>Does the FVG sit in the correct half of the dealing range for the intended direction?</w:t>
      </w:r>
    </w:p>
    <w:p w14:paraId="7727A683">
      <w:pPr>
        <w:pStyle w:val="16"/>
        <w:numPr>
          <w:ilvl w:val="0"/>
          <w:numId w:val="2"/>
        </w:numPr>
        <w:spacing w:after="120" w:line="276" w:lineRule="auto"/>
      </w:pPr>
      <w:r>
        <w:rPr>
          <w:rFonts w:ascii="Arial" w:hAnsi="Arial" w:eastAsia="Arial" w:cs="Arial"/>
          <w:sz w:val="22"/>
          <w:szCs w:val="22"/>
        </w:rPr>
        <w:t>Is there confluence with another PD array, Consequent Encroachment of a larger structure, or a liquidity pool?</w:t>
      </w:r>
    </w:p>
    <w:p w14:paraId="3AE5C9AB">
      <w:pPr>
        <w:pStyle w:val="16"/>
        <w:numPr>
          <w:ilvl w:val="0"/>
          <w:numId w:val="2"/>
        </w:numPr>
        <w:spacing w:after="120" w:line="276" w:lineRule="auto"/>
      </w:pPr>
      <w:r>
        <w:rPr>
          <w:rFonts w:ascii="Arial" w:hAnsi="Arial" w:eastAsia="Arial" w:cs="Arial"/>
          <w:sz w:val="22"/>
          <w:szCs w:val="22"/>
        </w:rPr>
        <w:t>Is the FVG on the appropriate timeframe for the role it is being asked to play (context vs execution)?</w:t>
      </w:r>
    </w:p>
    <w:p w14:paraId="31672AE4">
      <w:pPr>
        <w:spacing w:after="200" w:line="276" w:lineRule="auto"/>
      </w:pPr>
      <w:r>
        <w:rPr>
          <w:rFonts w:ascii="Arial" w:hAnsi="Arial" w:eastAsia="Arial" w:cs="Arial"/>
          <w:sz w:val="22"/>
          <w:szCs w:val="22"/>
        </w:rPr>
        <w:t>If several answers are negative, the gap is lower priority or should be ignored.</w:t>
      </w:r>
    </w:p>
    <w:p w14:paraId="46BC7C1F">
      <w:pPr>
        <w:pStyle w:val="2"/>
        <w:spacing w:before="360" w:after="240"/>
      </w:pPr>
      <w:r>
        <w:rPr>
          <w:rFonts w:ascii="Arial" w:hAnsi="Arial" w:eastAsia="Arial" w:cs="Arial"/>
          <w:b/>
          <w:bCs/>
          <w:sz w:val="32"/>
          <w:szCs w:val="32"/>
        </w:rPr>
        <w:t>Worked Example — Selecting and Trading an FVG</w:t>
      </w:r>
    </w:p>
    <w:p w14:paraId="5D886A96">
      <w:pPr>
        <w:spacing w:after="200" w:line="276" w:lineRule="auto"/>
      </w:pPr>
      <w:r>
        <w:rPr>
          <w:rFonts w:ascii="Arial" w:hAnsi="Arial" w:eastAsia="Arial" w:cs="Arial"/>
          <w:sz w:val="22"/>
          <w:szCs w:val="22"/>
        </w:rPr>
        <w:t>Context: 1-hour dealing range 1.2500–1.2700, equilibrium 1.2600. Daily bias bullish. Price has just raided sell-side liquidity near 1.2520 and displaced higher, breaking a short-term high and leaving a clear bullish FVG between 1.2540 and 1.2565. Consequent Encroachment sits at approximately 1.2552.</w:t>
      </w:r>
    </w:p>
    <w:p w14:paraId="5A88CE5B">
      <w:pPr>
        <w:spacing w:after="200" w:line="276" w:lineRule="auto"/>
      </w:pPr>
      <w:r>
        <w:rPr>
          <w:rFonts w:ascii="Arial" w:hAnsi="Arial" w:eastAsia="Arial" w:cs="Arial"/>
          <w:sz w:val="22"/>
          <w:szCs w:val="22"/>
        </w:rPr>
        <w:t>Assessment:</w:t>
      </w:r>
    </w:p>
    <w:p w14:paraId="4C8C580F">
      <w:pPr>
        <w:pStyle w:val="16"/>
        <w:numPr>
          <w:ilvl w:val="0"/>
          <w:numId w:val="1"/>
        </w:numPr>
        <w:spacing w:after="120" w:line="276" w:lineRule="auto"/>
      </w:pPr>
      <w:r>
        <w:rPr>
          <w:rFonts w:ascii="Arial" w:hAnsi="Arial" w:eastAsia="Arial" w:cs="Arial"/>
          <w:sz w:val="22"/>
          <w:szCs w:val="22"/>
        </w:rPr>
        <w:t>Displacement after liquidity: yes.</w:t>
      </w:r>
    </w:p>
    <w:p w14:paraId="55844711">
      <w:pPr>
        <w:pStyle w:val="16"/>
        <w:numPr>
          <w:ilvl w:val="0"/>
          <w:numId w:val="1"/>
        </w:numPr>
        <w:spacing w:after="120" w:line="276" w:lineRule="auto"/>
      </w:pPr>
      <w:r>
        <w:rPr>
          <w:rFonts w:ascii="Arial" w:hAnsi="Arial" w:eastAsia="Arial" w:cs="Arial"/>
          <w:sz w:val="22"/>
          <w:szCs w:val="22"/>
        </w:rPr>
        <w:t>MSS present: yes (internal).</w:t>
      </w:r>
    </w:p>
    <w:p w14:paraId="3C1B779C">
      <w:pPr>
        <w:pStyle w:val="16"/>
        <w:numPr>
          <w:ilvl w:val="0"/>
          <w:numId w:val="1"/>
        </w:numPr>
        <w:spacing w:after="120" w:line="276" w:lineRule="auto"/>
      </w:pPr>
      <w:r>
        <w:rPr>
          <w:rFonts w:ascii="Arial" w:hAnsi="Arial" w:eastAsia="Arial" w:cs="Arial"/>
          <w:sz w:val="22"/>
          <w:szCs w:val="22"/>
        </w:rPr>
        <w:t>Location: discount relative to the 1-hour range: yes.</w:t>
      </w:r>
    </w:p>
    <w:p w14:paraId="2C510D8D">
      <w:pPr>
        <w:pStyle w:val="16"/>
        <w:numPr>
          <w:ilvl w:val="0"/>
          <w:numId w:val="1"/>
        </w:numPr>
        <w:spacing w:after="120" w:line="276" w:lineRule="auto"/>
      </w:pPr>
      <w:r>
        <w:rPr>
          <w:rFonts w:ascii="Arial" w:hAnsi="Arial" w:eastAsia="Arial" w:cs="Arial"/>
          <w:sz w:val="22"/>
          <w:szCs w:val="22"/>
        </w:rPr>
        <w:t>Unmitigated: yes.</w:t>
      </w:r>
    </w:p>
    <w:p w14:paraId="1672E0D6">
      <w:pPr>
        <w:spacing w:after="200" w:line="276" w:lineRule="auto"/>
      </w:pPr>
      <w:r>
        <w:rPr>
          <w:rFonts w:ascii="Arial" w:hAnsi="Arial" w:eastAsia="Arial" w:cs="Arial"/>
          <w:sz w:val="22"/>
          <w:szCs w:val="22"/>
        </w:rPr>
        <w:t>Execution focus: wait for a retracement into the FVG, with preference for a reaction at or near CE (1.2552). Stop conceptually beyond the origin of the displacement or the far side of the gap. Targets: internal buy-side liquidity first, then external objectives consistent with the daily Draw on Liquidity.</w:t>
      </w:r>
    </w:p>
    <w:p w14:paraId="083D2FC3">
      <w:pPr>
        <w:pStyle w:val="2"/>
        <w:spacing w:before="360" w:after="240"/>
      </w:pPr>
      <w:r>
        <w:rPr>
          <w:rFonts w:ascii="Arial" w:hAnsi="Arial" w:eastAsia="Arial" w:cs="Arial"/>
          <w:b/>
          <w:bCs/>
          <w:sz w:val="32"/>
          <w:szCs w:val="32"/>
        </w:rPr>
        <w:t>Visual Reference — Bullish FVG with Consequent Encroachment</w:t>
      </w:r>
    </w:p>
    <w:p w14:paraId="16F4F3C6">
      <w:pPr>
        <w:spacing w:after="0" w:line="240" w:lineRule="auto"/>
      </w:pPr>
      <w:r>
        <w:rPr>
          <w:rFonts w:ascii="Courier New" w:hAnsi="Courier New" w:eastAsia="Courier New" w:cs="Courier New"/>
          <w:sz w:val="18"/>
          <w:szCs w:val="18"/>
        </w:rPr>
        <w:t xml:space="preserve">   Candle 3 low ──────────────────</w:t>
      </w:r>
    </w:p>
    <w:p w14:paraId="722226AB">
      <w:pPr>
        <w:spacing w:after="0" w:line="240" w:lineRule="auto"/>
      </w:pPr>
      <w:r>
        <w:rPr>
          <w:rFonts w:ascii="Courier New" w:hAnsi="Courier New" w:eastAsia="Courier New" w:cs="Courier New"/>
          <w:sz w:val="18"/>
          <w:szCs w:val="18"/>
        </w:rPr>
        <w:t xml:space="preserve">                    │</w:t>
      </w:r>
    </w:p>
    <w:p w14:paraId="0A05C126">
      <w:pPr>
        <w:spacing w:after="0" w:line="240" w:lineRule="auto"/>
      </w:pPr>
      <w:r>
        <w:rPr>
          <w:rFonts w:ascii="Courier New" w:hAnsi="Courier New" w:eastAsia="Courier New" w:cs="Courier New"/>
          <w:sz w:val="18"/>
          <w:szCs w:val="18"/>
        </w:rPr>
        <w:t xml:space="preserve">                    │  FVG zone</w:t>
      </w:r>
    </w:p>
    <w:p w14:paraId="25D6F751">
      <w:pPr>
        <w:spacing w:after="0" w:line="240" w:lineRule="auto"/>
      </w:pPr>
      <w:r>
        <w:rPr>
          <w:rFonts w:ascii="Courier New" w:hAnsi="Courier New" w:eastAsia="Courier New" w:cs="Courier New"/>
          <w:sz w:val="18"/>
          <w:szCs w:val="18"/>
        </w:rPr>
        <w:t xml:space="preserve">                    │  (imbalance)</w:t>
      </w:r>
    </w:p>
    <w:p w14:paraId="1B50EDF7">
      <w:pPr>
        <w:spacing w:after="0" w:line="240" w:lineRule="auto"/>
      </w:pPr>
      <w:r>
        <w:rPr>
          <w:rFonts w:ascii="Courier New" w:hAnsi="Courier New" w:eastAsia="Courier New" w:cs="Courier New"/>
          <w:sz w:val="18"/>
          <w:szCs w:val="18"/>
        </w:rPr>
        <w:t xml:space="preserve">          CE ───────┤  ← 50 % (Consequent Encroachment)</w:t>
      </w:r>
    </w:p>
    <w:p w14:paraId="6CA0897F">
      <w:pPr>
        <w:spacing w:after="0" w:line="240" w:lineRule="auto"/>
      </w:pPr>
      <w:r>
        <w:rPr>
          <w:rFonts w:ascii="Courier New" w:hAnsi="Courier New" w:eastAsia="Courier New" w:cs="Courier New"/>
          <w:sz w:val="18"/>
          <w:szCs w:val="18"/>
        </w:rPr>
        <w:t xml:space="preserve">                    │</w:t>
      </w:r>
    </w:p>
    <w:p w14:paraId="44D86922">
      <w:pPr>
        <w:spacing w:after="0" w:line="240" w:lineRule="auto"/>
      </w:pPr>
      <w:r>
        <w:rPr>
          <w:rFonts w:ascii="Courier New" w:hAnsi="Courier New" w:eastAsia="Courier New" w:cs="Courier New"/>
          <w:sz w:val="18"/>
          <w:szCs w:val="18"/>
        </w:rPr>
        <w:t xml:space="preserve">   Candle 1 high ─────────────────</w:t>
      </w:r>
    </w:p>
    <w:p w14:paraId="5FC899AF">
      <w:pPr>
        <w:spacing w:after="0" w:line="240" w:lineRule="auto"/>
      </w:pPr>
    </w:p>
    <w:p w14:paraId="4536ED40">
      <w:pPr>
        <w:spacing w:after="0" w:line="240" w:lineRule="auto"/>
      </w:pPr>
      <w:r>
        <w:rPr>
          <w:rFonts w:ascii="Courier New" w:hAnsi="Courier New" w:eastAsia="Courier New" w:cs="Courier New"/>
          <w:sz w:val="18"/>
          <w:szCs w:val="18"/>
        </w:rPr>
        <w:t xml:space="preserve">   (Candle 2 is the large displacement candle</w:t>
      </w:r>
    </w:p>
    <w:p w14:paraId="2769031D">
      <w:pPr>
        <w:spacing w:after="0" w:line="240" w:lineRule="auto"/>
      </w:pPr>
      <w:r>
        <w:rPr>
          <w:rFonts w:ascii="Courier New" w:hAnsi="Courier New" w:eastAsia="Courier New" w:cs="Courier New"/>
          <w:sz w:val="18"/>
          <w:szCs w:val="18"/>
        </w:rPr>
        <w:t xml:space="preserve">    whose body spans the gap)</w:t>
      </w:r>
    </w:p>
    <w:p w14:paraId="5B77D7AC">
      <w:pPr>
        <w:spacing w:after="200" w:line="276" w:lineRule="auto"/>
      </w:pPr>
      <w:r>
        <w:rPr>
          <w:rFonts w:ascii="Arial" w:hAnsi="Arial" w:eastAsia="Arial" w:cs="Arial"/>
          <w:sz w:val="22"/>
          <w:szCs w:val="22"/>
        </w:rPr>
        <w:t>Price is expected, in a high-quality bullish scenario, to retrace into this zone (often reacting near CE) before continuing higher toward the Draw on Liquidity.</w:t>
      </w:r>
    </w:p>
    <w:p w14:paraId="644D330D">
      <w:pPr>
        <w:pStyle w:val="2"/>
        <w:spacing w:before="360" w:after="240"/>
      </w:pPr>
      <w:r>
        <w:rPr>
          <w:rFonts w:ascii="Arial" w:hAnsi="Arial" w:eastAsia="Arial" w:cs="Arial"/>
          <w:b/>
          <w:bCs/>
          <w:sz w:val="32"/>
          <w:szCs w:val="32"/>
        </w:rPr>
        <w:t>How These Concepts Connect</w:t>
      </w:r>
    </w:p>
    <w:p w14:paraId="6662B4FA">
      <w:pPr>
        <w:spacing w:after="200" w:line="276" w:lineRule="auto"/>
      </w:pPr>
      <w:r>
        <w:rPr>
          <w:rFonts w:ascii="Arial" w:hAnsi="Arial" w:eastAsia="Arial" w:cs="Arial"/>
          <w:sz w:val="22"/>
          <w:szCs w:val="22"/>
        </w:rPr>
        <w:t>Displacement (Module 3) creates the FVG. The FVG becomes a PD array whose Consequent Encroachment refines the entry. Location inside the dealing range (Module 1) and relationship to liquidity (Module 2) filter which gaps are worth trading. Higher-timeframe gaps supply context; lower-timeframe gaps supply timing. Failure or full mitigation removes the gap from the list of active arrays in its original polarity.</w:t>
      </w:r>
    </w:p>
    <w:p w14:paraId="5C99E5DD">
      <w:pPr>
        <w:spacing w:after="200" w:line="276" w:lineRule="auto"/>
      </w:pPr>
      <w:r>
        <w:rPr>
          <w:rFonts w:ascii="Arial" w:hAnsi="Arial" w:eastAsia="Arial" w:cs="Arial"/>
          <w:sz w:val="22"/>
          <w:szCs w:val="22"/>
        </w:rPr>
        <w:t>Module 5 will place Order Blocks, Breakers and Mitigation Blocks alongside the FVG so that the full PD-array toolkit can be ranked and combined.</w:t>
      </w:r>
    </w:p>
    <w:p w14:paraId="3EBE0C3D">
      <w:pPr>
        <w:pStyle w:val="2"/>
        <w:spacing w:before="360" w:after="240"/>
      </w:pPr>
      <w:r>
        <w:rPr>
          <w:rFonts w:ascii="Arial" w:hAnsi="Arial" w:eastAsia="Arial" w:cs="Arial"/>
          <w:b/>
          <w:bCs/>
          <w:sz w:val="32"/>
          <w:szCs w:val="32"/>
        </w:rPr>
        <w:t>What You Should Now Be Able to Do</w:t>
      </w:r>
    </w:p>
    <w:p w14:paraId="7C1C0FA7">
      <w:pPr>
        <w:pStyle w:val="16"/>
        <w:numPr>
          <w:ilvl w:val="0"/>
          <w:numId w:val="1"/>
        </w:numPr>
        <w:spacing w:after="120" w:line="276" w:lineRule="auto"/>
      </w:pPr>
      <w:r>
        <w:rPr>
          <w:rFonts w:ascii="Arial" w:hAnsi="Arial" w:eastAsia="Arial" w:cs="Arial"/>
          <w:sz w:val="22"/>
          <w:szCs w:val="22"/>
        </w:rPr>
        <w:t>Identify standard bullish and bearish FVGs on any timeframe.</w:t>
      </w:r>
    </w:p>
    <w:p w14:paraId="37138419">
      <w:pPr>
        <w:pStyle w:val="16"/>
        <w:numPr>
          <w:ilvl w:val="0"/>
          <w:numId w:val="1"/>
        </w:numPr>
        <w:spacing w:after="120" w:line="276" w:lineRule="auto"/>
      </w:pPr>
      <w:r>
        <w:rPr>
          <w:rFonts w:ascii="Arial" w:hAnsi="Arial" w:eastAsia="Arial" w:cs="Arial"/>
          <w:sz w:val="22"/>
          <w:szCs w:val="22"/>
        </w:rPr>
        <w:t>Locate Consequent Encroachment of any FVG.</w:t>
      </w:r>
    </w:p>
    <w:p w14:paraId="2B5BAFFB">
      <w:pPr>
        <w:pStyle w:val="16"/>
        <w:numPr>
          <w:ilvl w:val="0"/>
          <w:numId w:val="1"/>
        </w:numPr>
        <w:spacing w:after="120" w:line="276" w:lineRule="auto"/>
      </w:pPr>
      <w:r>
        <w:rPr>
          <w:rFonts w:ascii="Arial" w:hAnsi="Arial" w:eastAsia="Arial" w:cs="Arial"/>
          <w:sz w:val="22"/>
          <w:szCs w:val="22"/>
        </w:rPr>
        <w:t>Grade an FVG by its origin (displacement + liquidity + MSS), location (premium/discount), and mitigation status.</w:t>
      </w:r>
    </w:p>
    <w:p w14:paraId="177652B4">
      <w:pPr>
        <w:pStyle w:val="16"/>
        <w:numPr>
          <w:ilvl w:val="0"/>
          <w:numId w:val="1"/>
        </w:numPr>
        <w:spacing w:after="120" w:line="276" w:lineRule="auto"/>
      </w:pPr>
      <w:r>
        <w:rPr>
          <w:rFonts w:ascii="Arial" w:hAnsi="Arial" w:eastAsia="Arial" w:cs="Arial"/>
          <w:sz w:val="22"/>
          <w:szCs w:val="22"/>
        </w:rPr>
        <w:t>Select among multiple or nested FVGs using the checklist in this module.</w:t>
      </w:r>
    </w:p>
    <w:p w14:paraId="1DA8FFCD">
      <w:pPr>
        <w:pStyle w:val="16"/>
        <w:numPr>
          <w:ilvl w:val="0"/>
          <w:numId w:val="1"/>
        </w:numPr>
        <w:spacing w:after="120" w:line="276" w:lineRule="auto"/>
      </w:pPr>
      <w:r>
        <w:rPr>
          <w:rFonts w:ascii="Arial" w:hAnsi="Arial" w:eastAsia="Arial" w:cs="Arial"/>
          <w:sz w:val="22"/>
          <w:szCs w:val="22"/>
        </w:rPr>
        <w:t>Assign higher-timeframe FVGs to context and lower-timeframe FVGs to execution.</w:t>
      </w:r>
    </w:p>
    <w:p w14:paraId="0E28155A">
      <w:pPr>
        <w:pStyle w:val="16"/>
        <w:numPr>
          <w:ilvl w:val="0"/>
          <w:numId w:val="1"/>
        </w:numPr>
        <w:spacing w:after="120" w:line="276" w:lineRule="auto"/>
      </w:pPr>
      <w:r>
        <w:rPr>
          <w:rFonts w:ascii="Arial" w:hAnsi="Arial" w:eastAsia="Arial" w:cs="Arial"/>
          <w:sz w:val="22"/>
          <w:szCs w:val="22"/>
        </w:rPr>
        <w:t>Recognise when an FVG has failed or been fully mitigated.</w:t>
      </w:r>
    </w:p>
    <w:p w14:paraId="2931377C">
      <w:pPr>
        <w:pStyle w:val="2"/>
        <w:spacing w:before="360" w:after="240"/>
      </w:pPr>
      <w:r>
        <w:rPr>
          <w:rFonts w:ascii="Arial" w:hAnsi="Arial" w:eastAsia="Arial" w:cs="Arial"/>
          <w:b/>
          <w:bCs/>
          <w:sz w:val="32"/>
          <w:szCs w:val="32"/>
        </w:rPr>
        <w:t>Module Review</w:t>
      </w:r>
    </w:p>
    <w:p w14:paraId="5A81CCD7">
      <w:pPr>
        <w:pStyle w:val="3"/>
        <w:spacing w:before="280" w:after="180"/>
      </w:pPr>
      <w:r>
        <w:rPr>
          <w:rFonts w:ascii="Arial" w:hAnsi="Arial" w:eastAsia="Arial" w:cs="Arial"/>
          <w:b/>
          <w:bCs/>
          <w:sz w:val="26"/>
          <w:szCs w:val="26"/>
        </w:rPr>
        <w:t>Key Terms</w:t>
      </w:r>
    </w:p>
    <w:p w14:paraId="532BA494">
      <w:pPr>
        <w:pStyle w:val="16"/>
        <w:numPr>
          <w:ilvl w:val="0"/>
          <w:numId w:val="1"/>
        </w:numPr>
        <w:spacing w:after="120" w:line="276" w:lineRule="auto"/>
      </w:pPr>
      <w:r>
        <w:rPr>
          <w:rFonts w:ascii="Arial" w:hAnsi="Arial" w:eastAsia="Arial" w:cs="Arial"/>
          <w:sz w:val="22"/>
          <w:szCs w:val="22"/>
        </w:rPr>
        <w:t>Fair Value Gap (FVG) — three-candle imbalance left by one-sided delivery.</w:t>
      </w:r>
    </w:p>
    <w:p w14:paraId="0B97C39B">
      <w:pPr>
        <w:pStyle w:val="16"/>
        <w:numPr>
          <w:ilvl w:val="0"/>
          <w:numId w:val="1"/>
        </w:numPr>
        <w:spacing w:after="120" w:line="276" w:lineRule="auto"/>
      </w:pPr>
      <w:r>
        <w:rPr>
          <w:rFonts w:ascii="Arial" w:hAnsi="Arial" w:eastAsia="Arial" w:cs="Arial"/>
          <w:sz w:val="22"/>
          <w:szCs w:val="22"/>
        </w:rPr>
        <w:t>Bullish FVG — gap between candle-1 high and candle-3 low; potential support.</w:t>
      </w:r>
    </w:p>
    <w:p w14:paraId="321FCC67">
      <w:pPr>
        <w:pStyle w:val="16"/>
        <w:numPr>
          <w:ilvl w:val="0"/>
          <w:numId w:val="1"/>
        </w:numPr>
        <w:spacing w:after="120" w:line="276" w:lineRule="auto"/>
      </w:pPr>
      <w:r>
        <w:rPr>
          <w:rFonts w:ascii="Arial" w:hAnsi="Arial" w:eastAsia="Arial" w:cs="Arial"/>
          <w:sz w:val="22"/>
          <w:szCs w:val="22"/>
        </w:rPr>
        <w:t>Bearish FVG — gap between candle-1 low and candle-3 high; potential resistance.</w:t>
      </w:r>
    </w:p>
    <w:p w14:paraId="039AD1C3">
      <w:pPr>
        <w:pStyle w:val="16"/>
        <w:numPr>
          <w:ilvl w:val="0"/>
          <w:numId w:val="1"/>
        </w:numPr>
        <w:spacing w:after="120" w:line="276" w:lineRule="auto"/>
      </w:pPr>
      <w:r>
        <w:rPr>
          <w:rFonts w:ascii="Arial" w:hAnsi="Arial" w:eastAsia="Arial" w:cs="Arial"/>
          <w:sz w:val="22"/>
          <w:szCs w:val="22"/>
        </w:rPr>
        <w:t>Consequent Encroachment (CE) — 50 % midpoint of the FVG (mean threshold).</w:t>
      </w:r>
    </w:p>
    <w:p w14:paraId="53CAFC2C">
      <w:pPr>
        <w:pStyle w:val="16"/>
        <w:numPr>
          <w:ilvl w:val="0"/>
          <w:numId w:val="1"/>
        </w:numPr>
        <w:spacing w:after="120" w:line="276" w:lineRule="auto"/>
      </w:pPr>
      <w:r>
        <w:rPr>
          <w:rFonts w:ascii="Arial" w:hAnsi="Arial" w:eastAsia="Arial" w:cs="Arial"/>
          <w:sz w:val="22"/>
          <w:szCs w:val="22"/>
        </w:rPr>
        <w:t>Mitigation — price trading through the gap, filling the imbalance.</w:t>
      </w:r>
    </w:p>
    <w:p w14:paraId="5500AA72">
      <w:pPr>
        <w:pStyle w:val="16"/>
        <w:numPr>
          <w:ilvl w:val="0"/>
          <w:numId w:val="1"/>
        </w:numPr>
        <w:spacing w:after="120" w:line="276" w:lineRule="auto"/>
      </w:pPr>
      <w:r>
        <w:rPr>
          <w:rFonts w:ascii="Arial" w:hAnsi="Arial" w:eastAsia="Arial" w:cs="Arial"/>
          <w:sz w:val="22"/>
          <w:szCs w:val="22"/>
        </w:rPr>
        <w:t>FVG failure / inversion — original polarity lost after decisive close through the far side.</w:t>
      </w:r>
    </w:p>
    <w:p w14:paraId="1C3B3101">
      <w:pPr>
        <w:pStyle w:val="16"/>
        <w:numPr>
          <w:ilvl w:val="0"/>
          <w:numId w:val="1"/>
        </w:numPr>
        <w:spacing w:after="120" w:line="276" w:lineRule="auto"/>
      </w:pPr>
      <w:r>
        <w:rPr>
          <w:rFonts w:ascii="Arial" w:hAnsi="Arial" w:eastAsia="Arial" w:cs="Arial"/>
          <w:sz w:val="22"/>
          <w:szCs w:val="22"/>
        </w:rPr>
        <w:t>Nested FVG — lower-timeframe gap forming inside a higher-timeframe gap.</w:t>
      </w:r>
    </w:p>
    <w:p w14:paraId="0AC90F81">
      <w:pPr>
        <w:pStyle w:val="16"/>
        <w:numPr>
          <w:ilvl w:val="0"/>
          <w:numId w:val="1"/>
        </w:numPr>
        <w:spacing w:after="120" w:line="276" w:lineRule="auto"/>
      </w:pPr>
      <w:r>
        <w:rPr>
          <w:rFonts w:ascii="Arial" w:hAnsi="Arial" w:eastAsia="Arial" w:cs="Arial"/>
          <w:sz w:val="22"/>
          <w:szCs w:val="22"/>
        </w:rPr>
        <w:t>PD array — price-delivery array; the FVG is one member of the set.</w:t>
      </w:r>
    </w:p>
    <w:p w14:paraId="0D2B40B7">
      <w:pPr>
        <w:pStyle w:val="3"/>
        <w:spacing w:before="280" w:after="180"/>
      </w:pPr>
      <w:r>
        <w:rPr>
          <w:rFonts w:ascii="Arial" w:hAnsi="Arial" w:eastAsia="Arial" w:cs="Arial"/>
          <w:b/>
          <w:bCs/>
          <w:sz w:val="26"/>
          <w:szCs w:val="26"/>
        </w:rPr>
        <w:t>Beginner Summary (Bridge)</w:t>
      </w:r>
    </w:p>
    <w:p w14:paraId="7E365930">
      <w:pPr>
        <w:spacing w:after="200" w:line="276" w:lineRule="auto"/>
      </w:pPr>
      <w:r>
        <w:rPr>
          <w:rFonts w:ascii="Arial" w:hAnsi="Arial" w:eastAsia="Arial" w:cs="Arial"/>
          <w:sz w:val="22"/>
          <w:szCs w:val="22"/>
        </w:rPr>
        <w:t>Beginner teaching introduced the FVG as an imbalance that price may return to. Intermediate teaching adds Consequent Encroachment, the requirement that high-quality gaps arise from displacement after liquidity and MSS, premium/discount location filters, multi-timeframe roles, and explicit failure conditions.</w:t>
      </w:r>
    </w:p>
    <w:p w14:paraId="01E8C764">
      <w:pPr>
        <w:pStyle w:val="3"/>
        <w:spacing w:before="280" w:after="180"/>
      </w:pPr>
      <w:r>
        <w:rPr>
          <w:rFonts w:ascii="Arial" w:hAnsi="Arial" w:eastAsia="Arial" w:cs="Arial"/>
          <w:b/>
          <w:bCs/>
          <w:sz w:val="26"/>
          <w:szCs w:val="26"/>
        </w:rPr>
        <w:t>Concept Relationships</w:t>
      </w:r>
    </w:p>
    <w:p w14:paraId="7799B2E9">
      <w:pPr>
        <w:spacing w:after="200" w:line="276" w:lineRule="auto"/>
      </w:pPr>
      <w:r>
        <w:rPr>
          <w:rFonts w:ascii="Arial" w:hAnsi="Arial" w:eastAsia="Arial" w:cs="Arial"/>
          <w:sz w:val="22"/>
          <w:szCs w:val="22"/>
        </w:rPr>
        <w:t>Liquidity event + displacement (Modules 2–3) create the FVG. Dealing-range location (Module 1) filters it. CE refines the entry. Nested and multi-timeframe relationships supply confluence. Failure removes it from active consideration in the original direction.</w:t>
      </w:r>
    </w:p>
    <w:p w14:paraId="3EEA900A">
      <w:pPr>
        <w:pStyle w:val="3"/>
        <w:spacing w:before="280" w:after="180"/>
      </w:pPr>
      <w:r>
        <w:rPr>
          <w:rFonts w:ascii="Arial" w:hAnsi="Arial" w:eastAsia="Arial" w:cs="Arial"/>
          <w:b/>
          <w:bCs/>
          <w:sz w:val="26"/>
          <w:szCs w:val="26"/>
        </w:rPr>
        <w:t>Practical Chart Exercise</w:t>
      </w:r>
    </w:p>
    <w:p w14:paraId="3C90EEC1">
      <w:pPr>
        <w:spacing w:after="200" w:line="276" w:lineRule="auto"/>
      </w:pPr>
      <w:r>
        <w:rPr>
          <w:rFonts w:ascii="Arial" w:hAnsi="Arial" w:eastAsia="Arial" w:cs="Arial"/>
          <w:sz w:val="22"/>
          <w:szCs w:val="22"/>
        </w:rPr>
        <w:t>On a liquid instrument:</w:t>
      </w:r>
    </w:p>
    <w:p w14:paraId="3B56B7D1">
      <w:pPr>
        <w:pStyle w:val="16"/>
        <w:numPr>
          <w:ilvl w:val="0"/>
          <w:numId w:val="2"/>
        </w:numPr>
        <w:spacing w:after="120" w:line="276" w:lineRule="auto"/>
      </w:pPr>
      <w:r>
        <w:rPr>
          <w:rFonts w:ascii="Arial" w:hAnsi="Arial" w:eastAsia="Arial" w:cs="Arial"/>
          <w:sz w:val="22"/>
          <w:szCs w:val="22"/>
        </w:rPr>
        <w:t>Mark every visible FVG on the 15-minute chart within the last two sessions.</w:t>
      </w:r>
    </w:p>
    <w:p w14:paraId="2FE6EFD0">
      <w:pPr>
        <w:pStyle w:val="16"/>
        <w:numPr>
          <w:ilvl w:val="0"/>
          <w:numId w:val="2"/>
        </w:numPr>
        <w:spacing w:after="120" w:line="276" w:lineRule="auto"/>
      </w:pPr>
      <w:r>
        <w:rPr>
          <w:rFonts w:ascii="Arial" w:hAnsi="Arial" w:eastAsia="Arial" w:cs="Arial"/>
          <w:sz w:val="22"/>
          <w:szCs w:val="22"/>
        </w:rPr>
        <w:t>For each, note whether it was created by clear displacement and whether an MSS accompanied it.</w:t>
      </w:r>
    </w:p>
    <w:p w14:paraId="1F3F531D">
      <w:pPr>
        <w:pStyle w:val="16"/>
        <w:numPr>
          <w:ilvl w:val="0"/>
          <w:numId w:val="2"/>
        </w:numPr>
        <w:spacing w:after="120" w:line="276" w:lineRule="auto"/>
      </w:pPr>
      <w:r>
        <w:rPr>
          <w:rFonts w:ascii="Arial" w:hAnsi="Arial" w:eastAsia="Arial" w:cs="Arial"/>
          <w:sz w:val="22"/>
          <w:szCs w:val="22"/>
        </w:rPr>
        <w:t>Locate Consequent Encroachment of the two highest-quality gaps.</w:t>
      </w:r>
    </w:p>
    <w:p w14:paraId="091B1951">
      <w:pPr>
        <w:pStyle w:val="16"/>
        <w:numPr>
          <w:ilvl w:val="0"/>
          <w:numId w:val="2"/>
        </w:numPr>
        <w:spacing w:after="120" w:line="276" w:lineRule="auto"/>
      </w:pPr>
      <w:r>
        <w:rPr>
          <w:rFonts w:ascii="Arial" w:hAnsi="Arial" w:eastAsia="Arial" w:cs="Arial"/>
          <w:sz w:val="22"/>
          <w:szCs w:val="22"/>
        </w:rPr>
        <w:t>Classify each gap as sitting in premium or discount relative to the active 1-hour dealing range.</w:t>
      </w:r>
    </w:p>
    <w:p w14:paraId="49C797F7">
      <w:pPr>
        <w:pStyle w:val="16"/>
        <w:numPr>
          <w:ilvl w:val="0"/>
          <w:numId w:val="2"/>
        </w:numPr>
        <w:spacing w:after="120" w:line="276" w:lineRule="auto"/>
      </w:pPr>
      <w:r>
        <w:rPr>
          <w:rFonts w:ascii="Arial" w:hAnsi="Arial" w:eastAsia="Arial" w:cs="Arial"/>
          <w:sz w:val="22"/>
          <w:szCs w:val="22"/>
        </w:rPr>
        <w:t>Identify any nested relationship with a 1-hour or 4-hour FVG.</w:t>
      </w:r>
    </w:p>
    <w:p w14:paraId="01024496">
      <w:pPr>
        <w:pStyle w:val="16"/>
        <w:numPr>
          <w:ilvl w:val="0"/>
          <w:numId w:val="2"/>
        </w:numPr>
        <w:spacing w:after="120" w:line="276" w:lineRule="auto"/>
      </w:pPr>
      <w:r>
        <w:rPr>
          <w:rFonts w:ascii="Arial" w:hAnsi="Arial" w:eastAsia="Arial" w:cs="Arial"/>
          <w:sz w:val="22"/>
          <w:szCs w:val="22"/>
        </w:rPr>
        <w:t>Record which gaps were later respected, which were mitigated, and which failed, and write a one-sentence lesson from each outcome.</w:t>
      </w:r>
    </w:p>
    <w:p w14:paraId="16D5E632">
      <w:pPr>
        <w:pStyle w:val="3"/>
        <w:spacing w:before="280" w:after="180"/>
      </w:pPr>
      <w:r>
        <w:rPr>
          <w:rFonts w:ascii="Arial" w:hAnsi="Arial" w:eastAsia="Arial" w:cs="Arial"/>
          <w:b/>
          <w:bCs/>
          <w:sz w:val="26"/>
          <w:szCs w:val="26"/>
        </w:rPr>
        <w:t>Self-Test Questions</w:t>
      </w:r>
    </w:p>
    <w:p w14:paraId="6D1CB26F">
      <w:pPr>
        <w:pStyle w:val="16"/>
        <w:numPr>
          <w:ilvl w:val="0"/>
          <w:numId w:val="2"/>
        </w:numPr>
        <w:spacing w:after="120" w:line="276" w:lineRule="auto"/>
      </w:pPr>
      <w:r>
        <w:rPr>
          <w:rFonts w:ascii="Arial" w:hAnsi="Arial" w:eastAsia="Arial" w:cs="Arial"/>
          <w:sz w:val="22"/>
          <w:szCs w:val="22"/>
        </w:rPr>
        <w:t>What is the precise three-candle definition of a bullish Fair Value Gap?</w:t>
      </w:r>
    </w:p>
    <w:p w14:paraId="3D7FAD8B">
      <w:pPr>
        <w:pStyle w:val="16"/>
        <w:numPr>
          <w:ilvl w:val="0"/>
          <w:numId w:val="2"/>
        </w:numPr>
        <w:spacing w:after="120" w:line="276" w:lineRule="auto"/>
      </w:pPr>
      <w:r>
        <w:rPr>
          <w:rFonts w:ascii="Arial" w:hAnsi="Arial" w:eastAsia="Arial" w:cs="Arial"/>
          <w:sz w:val="22"/>
          <w:szCs w:val="22"/>
        </w:rPr>
        <w:t>What is Consequent Encroachment and why is it useful?</w:t>
      </w:r>
    </w:p>
    <w:p w14:paraId="776D0B01">
      <w:pPr>
        <w:pStyle w:val="16"/>
        <w:numPr>
          <w:ilvl w:val="0"/>
          <w:numId w:val="2"/>
        </w:numPr>
        <w:spacing w:after="120" w:line="276" w:lineRule="auto"/>
      </w:pPr>
      <w:r>
        <w:rPr>
          <w:rFonts w:ascii="Arial" w:hAnsi="Arial" w:eastAsia="Arial" w:cs="Arial"/>
          <w:sz w:val="22"/>
          <w:szCs w:val="22"/>
        </w:rPr>
        <w:t>Why is an FVG created by displacement after a liquidity raid higher quality than an isolated gap?</w:t>
      </w:r>
    </w:p>
    <w:p w14:paraId="62247B58">
      <w:pPr>
        <w:pStyle w:val="16"/>
        <w:numPr>
          <w:ilvl w:val="0"/>
          <w:numId w:val="2"/>
        </w:numPr>
        <w:spacing w:after="120" w:line="276" w:lineRule="auto"/>
      </w:pPr>
      <w:r>
        <w:rPr>
          <w:rFonts w:ascii="Arial" w:hAnsi="Arial" w:eastAsia="Arial" w:cs="Arial"/>
          <w:sz w:val="22"/>
          <w:szCs w:val="22"/>
        </w:rPr>
        <w:t>How does dealing-range premium/discount location affect FVG selection for a long trade?</w:t>
      </w:r>
    </w:p>
    <w:p w14:paraId="1C67D71E">
      <w:pPr>
        <w:pStyle w:val="16"/>
        <w:numPr>
          <w:ilvl w:val="0"/>
          <w:numId w:val="2"/>
        </w:numPr>
        <w:spacing w:after="120" w:line="276" w:lineRule="auto"/>
      </w:pPr>
      <w:r>
        <w:rPr>
          <w:rFonts w:ascii="Arial" w:hAnsi="Arial" w:eastAsia="Arial" w:cs="Arial"/>
          <w:sz w:val="22"/>
          <w:szCs w:val="22"/>
        </w:rPr>
        <w:t>What is a nested FVG and why does it raise confluence?</w:t>
      </w:r>
    </w:p>
    <w:p w14:paraId="6A156BE6">
      <w:pPr>
        <w:pStyle w:val="16"/>
        <w:numPr>
          <w:ilvl w:val="0"/>
          <w:numId w:val="2"/>
        </w:numPr>
        <w:spacing w:after="120" w:line="276" w:lineRule="auto"/>
      </w:pPr>
      <w:r>
        <w:rPr>
          <w:rFonts w:ascii="Arial" w:hAnsi="Arial" w:eastAsia="Arial" w:cs="Arial"/>
          <w:sz w:val="22"/>
          <w:szCs w:val="22"/>
        </w:rPr>
        <w:t>When does a bullish FVG lose its supportive character?</w:t>
      </w:r>
    </w:p>
    <w:p w14:paraId="52459C6F">
      <w:pPr>
        <w:pStyle w:val="3"/>
        <w:spacing w:before="280" w:after="180"/>
      </w:pPr>
      <w:r>
        <w:rPr>
          <w:rFonts w:ascii="Arial" w:hAnsi="Arial" w:eastAsia="Arial" w:cs="Arial"/>
          <w:b/>
          <w:bCs/>
          <w:sz w:val="26"/>
          <w:szCs w:val="26"/>
        </w:rPr>
        <w:t>Common Misconceptions</w:t>
      </w:r>
    </w:p>
    <w:p w14:paraId="56A02D12">
      <w:pPr>
        <w:pStyle w:val="16"/>
        <w:numPr>
          <w:ilvl w:val="0"/>
          <w:numId w:val="1"/>
        </w:numPr>
        <w:spacing w:after="120" w:line="276" w:lineRule="auto"/>
      </w:pPr>
      <w:r>
        <w:rPr>
          <w:rFonts w:ascii="Arial" w:hAnsi="Arial" w:eastAsia="Arial" w:cs="Arial"/>
          <w:sz w:val="22"/>
          <w:szCs w:val="22"/>
        </w:rPr>
        <w:t>“Every FVG will be respected.” — False. Context, location and mitigation status matter.</w:t>
      </w:r>
    </w:p>
    <w:p w14:paraId="5FC3D159">
      <w:pPr>
        <w:pStyle w:val="16"/>
        <w:numPr>
          <w:ilvl w:val="0"/>
          <w:numId w:val="1"/>
        </w:numPr>
        <w:spacing w:after="120" w:line="276" w:lineRule="auto"/>
      </w:pPr>
      <w:r>
        <w:rPr>
          <w:rFonts w:ascii="Arial" w:hAnsi="Arial" w:eastAsia="Arial" w:cs="Arial"/>
          <w:sz w:val="22"/>
          <w:szCs w:val="22"/>
        </w:rPr>
        <w:t>“I must wait for a full fill of the gap.” — Not required; CE is often sufficient.</w:t>
      </w:r>
    </w:p>
    <w:p w14:paraId="1F64D0BD">
      <w:pPr>
        <w:pStyle w:val="16"/>
        <w:numPr>
          <w:ilvl w:val="0"/>
          <w:numId w:val="1"/>
        </w:numPr>
        <w:spacing w:after="120" w:line="276" w:lineRule="auto"/>
      </w:pPr>
      <w:r>
        <w:rPr>
          <w:rFonts w:ascii="Arial" w:hAnsi="Arial" w:eastAsia="Arial" w:cs="Arial"/>
          <w:sz w:val="22"/>
          <w:szCs w:val="22"/>
        </w:rPr>
        <w:t>“An FVG on any timeframe is equally important.” — False. HTF gaps are contextual; LTF gaps are for timing.</w:t>
      </w:r>
    </w:p>
    <w:p w14:paraId="57E37063">
      <w:pPr>
        <w:pStyle w:val="16"/>
        <w:numPr>
          <w:ilvl w:val="0"/>
          <w:numId w:val="1"/>
        </w:numPr>
        <w:spacing w:after="120" w:line="276" w:lineRule="auto"/>
      </w:pPr>
      <w:r>
        <w:rPr>
          <w:rFonts w:ascii="Arial" w:hAnsi="Arial" w:eastAsia="Arial" w:cs="Arial"/>
          <w:sz w:val="22"/>
          <w:szCs w:val="22"/>
        </w:rPr>
        <w:t>“Once price touches the gap the trade is confirmed.” — False. Reaction quality and higher-timeframe alignment still govern.</w:t>
      </w:r>
    </w:p>
    <w:p w14:paraId="4131F10E">
      <w:pPr>
        <w:pStyle w:val="16"/>
        <w:numPr>
          <w:ilvl w:val="0"/>
          <w:numId w:val="1"/>
        </w:numPr>
        <w:spacing w:after="120" w:line="276" w:lineRule="auto"/>
      </w:pPr>
      <w:r>
        <w:rPr>
          <w:rFonts w:ascii="Arial" w:hAnsi="Arial" w:eastAsia="Arial" w:cs="Arial"/>
          <w:sz w:val="22"/>
          <w:szCs w:val="22"/>
        </w:rPr>
        <w:t>“A mitigated FVG can never be useful again.” — Overstated; a fully mitigated gap may later act from the opposite side, but that is a different (inverted) reading.</w:t>
      </w:r>
    </w:p>
    <w:p w14:paraId="16A87020">
      <w:pPr>
        <w:pStyle w:val="3"/>
        <w:spacing w:before="280" w:after="180"/>
      </w:pPr>
      <w:r>
        <w:rPr>
          <w:rFonts w:ascii="Arial" w:hAnsi="Arial" w:eastAsia="Arial" w:cs="Arial"/>
          <w:b/>
          <w:bCs/>
          <w:sz w:val="26"/>
          <w:szCs w:val="26"/>
        </w:rPr>
        <w:t>Research Sources</w:t>
      </w:r>
    </w:p>
    <w:p w14:paraId="75ADCFF9">
      <w:pPr>
        <w:spacing w:after="200" w:line="276" w:lineRule="auto"/>
      </w:pPr>
      <w:r>
        <w:rPr>
          <w:rFonts w:ascii="Arial" w:hAnsi="Arial" w:eastAsia="Arial" w:cs="Arial"/>
          <w:sz w:val="22"/>
          <w:szCs w:val="22"/>
        </w:rPr>
        <w:t>Primary orientation is taken from ICT’s presentation of Fair Value Gaps as imbalances created by displacement, the use of those gaps as PD arrays, and the explicit teaching of Consequent Encroachment (the 50 % level) as a reactive midpoint. Multi-timeframe and nested usage follows from the fractal nature of ICT concepts.</w:t>
      </w:r>
    </w:p>
    <w:p w14:paraId="478D6F57">
      <w:pPr>
        <w:spacing w:after="200" w:line="276" w:lineRule="auto"/>
      </w:pPr>
      <w:r>
        <w:rPr>
          <w:rFonts w:ascii="Arial" w:hAnsi="Arial" w:eastAsia="Arial" w:cs="Arial"/>
          <w:sz w:val="22"/>
          <w:szCs w:val="22"/>
        </w:rPr>
        <w:t>Community resources that codify selection checklists, inversion behaviour after full mitigation, and nested FVG confluence are used where they remain consistent with the primary ICT logic of treating the FVG as a context-dependent PD array rather than a standalone signal.</w:t>
      </w:r>
    </w:p>
    <w:p w14:paraId="113E9AAC">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Key references include ICT mentorship and public examples of FVG formation after displacement, the definition and application of Consequent Encroachment, and chart demonstrations of retracement into the gap following an MSS. Secondary clarifications of selection and failure appear in high-quality community material aligned with those teachings.</w:t>
      </w:r>
    </w:p>
    <w:p w14:paraId="07495285">
      <w:pPr>
        <w:pStyle w:val="2"/>
        <w:spacing w:before="360" w:after="240"/>
      </w:pPr>
      <w:r>
        <w:rPr>
          <w:rFonts w:ascii="Arial" w:hAnsi="Arial" w:eastAsia="Arial" w:cs="Arial"/>
          <w:b/>
          <w:bCs/>
          <w:sz w:val="32"/>
          <w:szCs w:val="32"/>
        </w:rPr>
        <w:t>Transition to Module 5</w:t>
      </w:r>
    </w:p>
    <w:p w14:paraId="3F03D9DB">
      <w:pPr>
        <w:spacing w:after="200" w:line="276" w:lineRule="auto"/>
      </w:pPr>
      <w:r>
        <w:rPr>
          <w:rFonts w:ascii="Arial" w:hAnsi="Arial" w:eastAsia="Arial" w:cs="Arial"/>
          <w:sz w:val="22"/>
          <w:szCs w:val="22"/>
        </w:rPr>
        <w:t>Module 4 has refined the Fair Value Gap into a selectable, context-aware PD array with a precise internal reference (Consequent Encroachment). Module 5 (Order Blocks, Breakers &amp; Mitigation) will introduce the complementary institutional candle arrays, show how they interact with FVGs, and establish a practical hierarchy among PD arrays so the student can rank and combine them inside the same dealing range and liquidity narrative.</w:t>
      </w:r>
    </w:p>
    <w:p w14:paraId="0A329489">
      <w:pPr>
        <w:spacing w:after="200" w:line="276" w:lineRule="auto"/>
        <w:rPr>
          <w:rFonts w:ascii="Arial" w:hAnsi="Arial" w:eastAsia="Arial" w:cs="Arial"/>
          <w:sz w:val="22"/>
          <w:szCs w:val="22"/>
        </w:rPr>
      </w:pPr>
    </w:p>
    <w:p w14:paraId="724735D2">
      <w:pPr>
        <w:spacing w:after="400"/>
        <w:jc w:val="center"/>
      </w:pPr>
      <w:r>
        <w:rPr>
          <w:rFonts w:ascii="Arial" w:hAnsi="Arial" w:eastAsia="Arial" w:cs="Arial"/>
          <w:b/>
          <w:bCs/>
          <w:sz w:val="36"/>
          <w:szCs w:val="36"/>
        </w:rPr>
        <w:t>MODULE 5</w:t>
      </w:r>
    </w:p>
    <w:p w14:paraId="01903DD4">
      <w:pPr>
        <w:spacing w:after="200"/>
        <w:jc w:val="center"/>
      </w:pPr>
      <w:r>
        <w:rPr>
          <w:rFonts w:ascii="Arial" w:hAnsi="Arial" w:eastAsia="Arial" w:cs="Arial"/>
          <w:b/>
          <w:bCs/>
          <w:sz w:val="28"/>
          <w:szCs w:val="28"/>
        </w:rPr>
        <w:t>Order Blocks, Breakers &amp; Mitigation</w:t>
      </w:r>
    </w:p>
    <w:p w14:paraId="2F5D9B05">
      <w:pPr>
        <w:spacing w:after="400"/>
        <w:jc w:val="center"/>
      </w:pPr>
      <w:r>
        <w:rPr>
          <w:rFonts w:ascii="Arial" w:hAnsi="Arial" w:eastAsia="Arial" w:cs="Arial"/>
          <w:i/>
          <w:iCs/>
          <w:sz w:val="20"/>
          <w:szCs w:val="20"/>
        </w:rPr>
        <w:t>Valid vs Weak OBs, Mitigation Blocks, Breaker Blocks, Confluence with FVG &amp; Liquidity, PD-Array Hierarchy</w:t>
      </w:r>
    </w:p>
    <w:p w14:paraId="039C9A11">
      <w:pPr>
        <w:pBdr>
          <w:left w:val="single" w:color="2E75B6" w:sz="24" w:space="8"/>
        </w:pBdr>
        <w:shd w:val="clear" w:fill="F5F5F5"/>
        <w:spacing w:before="120" w:after="200" w:line="276" w:lineRule="auto"/>
        <w:ind w:left="120"/>
      </w:pPr>
      <w:r>
        <w:rPr>
          <w:rFonts w:ascii="Arial" w:hAnsi="Arial" w:eastAsia="Arial" w:cs="Arial"/>
          <w:i/>
          <w:iCs/>
          <w:sz w:val="20"/>
          <w:szCs w:val="20"/>
        </w:rPr>
        <w:t>Prerequisite: Modules 1–4 assumed complete. The student understands dealing ranges, premium/discount, liquidity, displacement, MSS, and Fair Value Gaps (including Consequent Encroachment).</w:t>
      </w:r>
    </w:p>
    <w:p w14:paraId="356EAC7A">
      <w:pPr>
        <w:pStyle w:val="2"/>
        <w:spacing w:before="360" w:after="240"/>
      </w:pPr>
      <w:r>
        <w:rPr>
          <w:rFonts w:ascii="Arial" w:hAnsi="Arial" w:eastAsia="Arial" w:cs="Arial"/>
          <w:b/>
          <w:bCs/>
          <w:sz w:val="32"/>
          <w:szCs w:val="32"/>
        </w:rPr>
        <w:t>Module Objectives</w:t>
      </w:r>
    </w:p>
    <w:p w14:paraId="07FB93D9">
      <w:pPr>
        <w:spacing w:after="200" w:line="276" w:lineRule="auto"/>
      </w:pPr>
      <w:r>
        <w:rPr>
          <w:rFonts w:ascii="Arial" w:hAnsi="Arial" w:eastAsia="Arial" w:cs="Arial"/>
          <w:sz w:val="22"/>
          <w:szCs w:val="22"/>
        </w:rPr>
        <w:t>By the end of this module the intermediate student should be able to:</w:t>
      </w:r>
    </w:p>
    <w:p w14:paraId="5C8E74FC">
      <w:pPr>
        <w:pStyle w:val="16"/>
        <w:numPr>
          <w:ilvl w:val="0"/>
          <w:numId w:val="1"/>
        </w:numPr>
        <w:spacing w:after="120" w:line="276" w:lineRule="auto"/>
      </w:pPr>
      <w:r>
        <w:rPr>
          <w:rFonts w:ascii="Arial" w:hAnsi="Arial" w:eastAsia="Arial" w:cs="Arial"/>
          <w:sz w:val="22"/>
          <w:szCs w:val="22"/>
        </w:rPr>
        <w:t>Identify Order Block formation in the context of displacement and liquidity.</w:t>
      </w:r>
    </w:p>
    <w:p w14:paraId="7C9A7B1B">
      <w:pPr>
        <w:pStyle w:val="16"/>
        <w:numPr>
          <w:ilvl w:val="0"/>
          <w:numId w:val="1"/>
        </w:numPr>
        <w:spacing w:after="120" w:line="276" w:lineRule="auto"/>
      </w:pPr>
      <w:r>
        <w:rPr>
          <w:rFonts w:ascii="Arial" w:hAnsi="Arial" w:eastAsia="Arial" w:cs="Arial"/>
          <w:sz w:val="22"/>
          <w:szCs w:val="22"/>
        </w:rPr>
        <w:t>Distinguish valid/high-quality Order Blocks from weak or low-probability ones.</w:t>
      </w:r>
    </w:p>
    <w:p w14:paraId="27A80121">
      <w:pPr>
        <w:pStyle w:val="16"/>
        <w:numPr>
          <w:ilvl w:val="0"/>
          <w:numId w:val="1"/>
        </w:numPr>
        <w:spacing w:after="120" w:line="276" w:lineRule="auto"/>
      </w:pPr>
      <w:r>
        <w:rPr>
          <w:rFonts w:ascii="Arial" w:hAnsi="Arial" w:eastAsia="Arial" w:cs="Arial"/>
          <w:sz w:val="22"/>
          <w:szCs w:val="22"/>
        </w:rPr>
        <w:t>Understand mitigation of an Order Block and the conditions under which it remains useful.</w:t>
      </w:r>
    </w:p>
    <w:p w14:paraId="047EC3C0">
      <w:pPr>
        <w:pStyle w:val="16"/>
        <w:numPr>
          <w:ilvl w:val="0"/>
          <w:numId w:val="1"/>
        </w:numPr>
        <w:spacing w:after="120" w:line="276" w:lineRule="auto"/>
      </w:pPr>
      <w:r>
        <w:rPr>
          <w:rFonts w:ascii="Arial" w:hAnsi="Arial" w:eastAsia="Arial" w:cs="Arial"/>
          <w:sz w:val="22"/>
          <w:szCs w:val="22"/>
        </w:rPr>
        <w:t>Differentiate a Mitigation Block from a Breaker Block with a clear operational test.</w:t>
      </w:r>
    </w:p>
    <w:p w14:paraId="791C8FA5">
      <w:pPr>
        <w:pStyle w:val="16"/>
        <w:numPr>
          <w:ilvl w:val="0"/>
          <w:numId w:val="1"/>
        </w:numPr>
        <w:spacing w:after="120" w:line="276" w:lineRule="auto"/>
      </w:pPr>
      <w:r>
        <w:rPr>
          <w:rFonts w:ascii="Arial" w:hAnsi="Arial" w:eastAsia="Arial" w:cs="Arial"/>
          <w:sz w:val="22"/>
          <w:szCs w:val="22"/>
        </w:rPr>
        <w:t>Recognise a failed Order Block and the implications for polarity.</w:t>
      </w:r>
    </w:p>
    <w:p w14:paraId="3A49DFDA">
      <w:pPr>
        <w:pStyle w:val="16"/>
        <w:numPr>
          <w:ilvl w:val="0"/>
          <w:numId w:val="1"/>
        </w:numPr>
        <w:spacing w:after="120" w:line="276" w:lineRule="auto"/>
      </w:pPr>
      <w:r>
        <w:rPr>
          <w:rFonts w:ascii="Arial" w:hAnsi="Arial" w:eastAsia="Arial" w:cs="Arial"/>
          <w:sz w:val="22"/>
          <w:szCs w:val="22"/>
        </w:rPr>
        <w:t>Combine Order Blocks with Fair Value Gaps, liquidity events and Market Structure Shifts.</w:t>
      </w:r>
    </w:p>
    <w:p w14:paraId="68EEA9EB">
      <w:pPr>
        <w:pStyle w:val="16"/>
        <w:numPr>
          <w:ilvl w:val="0"/>
          <w:numId w:val="1"/>
        </w:numPr>
        <w:spacing w:after="120" w:line="276" w:lineRule="auto"/>
      </w:pPr>
      <w:r>
        <w:rPr>
          <w:rFonts w:ascii="Arial" w:hAnsi="Arial" w:eastAsia="Arial" w:cs="Arial"/>
          <w:sz w:val="22"/>
          <w:szCs w:val="22"/>
        </w:rPr>
        <w:t>Apply a practical PD-array hierarchy when multiple arrays compete inside the same dealing range.</w:t>
      </w:r>
    </w:p>
    <w:p w14:paraId="76AC1822">
      <w:pPr>
        <w:pStyle w:val="2"/>
        <w:spacing w:before="360" w:after="240"/>
      </w:pPr>
      <w:r>
        <w:rPr>
          <w:rFonts w:ascii="Arial" w:hAnsi="Arial" w:eastAsia="Arial" w:cs="Arial"/>
          <w:b/>
          <w:bCs/>
          <w:sz w:val="32"/>
          <w:szCs w:val="32"/>
        </w:rPr>
        <w:t>Introduction: Institutional Candle Arrays</w:t>
      </w:r>
    </w:p>
    <w:p w14:paraId="35BA5214">
      <w:pPr>
        <w:spacing w:after="200" w:line="276" w:lineRule="auto"/>
      </w:pPr>
      <w:r>
        <w:rPr>
          <w:rFonts w:ascii="Arial" w:hAnsi="Arial" w:eastAsia="Arial" w:cs="Arial"/>
          <w:sz w:val="22"/>
          <w:szCs w:val="22"/>
        </w:rPr>
        <w:t>The Fair Value Gap (Module 4) is an imbalance left by displacement. The Order Block is the last opposing candle (or small cluster) before that displacement — the presumed origin of the institutional order flow that produced the energetic move.</w:t>
      </w:r>
    </w:p>
    <w:p w14:paraId="1589A4D6">
      <w:pPr>
        <w:spacing w:after="200" w:line="276" w:lineRule="auto"/>
      </w:pPr>
      <w:r>
        <w:rPr>
          <w:rFonts w:ascii="Arial" w:hAnsi="Arial" w:eastAsia="Arial" w:cs="Arial"/>
          <w:sz w:val="22"/>
          <w:szCs w:val="22"/>
        </w:rPr>
        <w:t>When an Order Block is later revisited, three broad outcomes are possible: it holds and the original direction continues (classic unmitigated or mitigated-but-respected OB); it is violated and polarity flips (Breaker); or the return is part of a more nuanced mitigation process. Intermediate practice requires the student to distinguish these outcomes rather than treating every prior down-close or up-close candle as a permanent support or resistance zone.</w:t>
      </w:r>
    </w:p>
    <w:p w14:paraId="5930E7EE">
      <w:pPr>
        <w:pStyle w:val="2"/>
        <w:spacing w:before="360" w:after="240"/>
      </w:pPr>
      <w:r>
        <w:rPr>
          <w:rFonts w:ascii="Arial" w:hAnsi="Arial" w:eastAsia="Arial" w:cs="Arial"/>
          <w:b/>
          <w:bCs/>
          <w:sz w:val="32"/>
          <w:szCs w:val="32"/>
        </w:rPr>
        <w:t>1. Order Block Formation</w:t>
      </w:r>
    </w:p>
    <w:p w14:paraId="19007298">
      <w:pPr>
        <w:pStyle w:val="3"/>
        <w:spacing w:before="280" w:after="180"/>
      </w:pPr>
      <w:r>
        <w:rPr>
          <w:rFonts w:ascii="Arial" w:hAnsi="Arial" w:eastAsia="Arial" w:cs="Arial"/>
          <w:b/>
          <w:bCs/>
          <w:sz w:val="26"/>
          <w:szCs w:val="26"/>
        </w:rPr>
        <w:t>1.1 Basic Definition</w:t>
      </w:r>
    </w:p>
    <w:p w14:paraId="37A1C566">
      <w:pPr>
        <w:spacing w:after="200" w:line="276" w:lineRule="auto"/>
      </w:pPr>
      <w:r>
        <w:rPr>
          <w:rFonts w:ascii="Arial" w:hAnsi="Arial" w:eastAsia="Arial" w:cs="Arial"/>
          <w:sz w:val="22"/>
          <w:szCs w:val="22"/>
        </w:rPr>
        <w:t>A bullish Order Block is typically the last down-close candle (or the last bearish candle) immediately before a bullish displacement that breaks structure. A bearish Order Block is the last up-close candle immediately before a bearish displacement that breaks structure.</w:t>
      </w:r>
    </w:p>
    <w:p w14:paraId="1C06AF6E">
      <w:pPr>
        <w:pStyle w:val="3"/>
        <w:spacing w:before="280" w:after="180"/>
      </w:pPr>
      <w:r>
        <w:rPr>
          <w:rFonts w:ascii="Arial" w:hAnsi="Arial" w:eastAsia="Arial" w:cs="Arial"/>
          <w:b/>
          <w:bCs/>
          <w:sz w:val="26"/>
          <w:szCs w:val="26"/>
        </w:rPr>
        <w:t>1.2 Context Requirements for Quality</w:t>
      </w:r>
    </w:p>
    <w:p w14:paraId="108E37E8">
      <w:pPr>
        <w:spacing w:after="200" w:line="276" w:lineRule="auto"/>
      </w:pPr>
      <w:r>
        <w:rPr>
          <w:rFonts w:ascii="Arial" w:hAnsi="Arial" w:eastAsia="Arial" w:cs="Arial"/>
          <w:sz w:val="22"/>
          <w:szCs w:val="22"/>
        </w:rPr>
        <w:t>High-quality Order Blocks are those that:</w:t>
      </w:r>
    </w:p>
    <w:p w14:paraId="0DD9C85B">
      <w:pPr>
        <w:pStyle w:val="16"/>
        <w:numPr>
          <w:ilvl w:val="0"/>
          <w:numId w:val="1"/>
        </w:numPr>
        <w:spacing w:after="120" w:line="276" w:lineRule="auto"/>
      </w:pPr>
      <w:r>
        <w:rPr>
          <w:rFonts w:ascii="Arial" w:hAnsi="Arial" w:eastAsia="Arial" w:cs="Arial"/>
          <w:sz w:val="22"/>
          <w:szCs w:val="22"/>
        </w:rPr>
        <w:t>Form in association with a liquidity event (the displacement that leaves the OB often follows a raid).</w:t>
      </w:r>
    </w:p>
    <w:p w14:paraId="1868D792">
      <w:pPr>
        <w:pStyle w:val="16"/>
        <w:numPr>
          <w:ilvl w:val="0"/>
          <w:numId w:val="1"/>
        </w:numPr>
        <w:spacing w:after="120" w:line="276" w:lineRule="auto"/>
      </w:pPr>
      <w:r>
        <w:rPr>
          <w:rFonts w:ascii="Arial" w:hAnsi="Arial" w:eastAsia="Arial" w:cs="Arial"/>
          <w:sz w:val="22"/>
          <w:szCs w:val="22"/>
        </w:rPr>
        <w:t>Are followed by genuine displacement (large-range candles, preferably leaving an FVG).</w:t>
      </w:r>
    </w:p>
    <w:p w14:paraId="5EC2FAA4">
      <w:pPr>
        <w:pStyle w:val="16"/>
        <w:numPr>
          <w:ilvl w:val="0"/>
          <w:numId w:val="1"/>
        </w:numPr>
        <w:spacing w:after="120" w:line="276" w:lineRule="auto"/>
      </w:pPr>
      <w:r>
        <w:rPr>
          <w:rFonts w:ascii="Arial" w:hAnsi="Arial" w:eastAsia="Arial" w:cs="Arial"/>
          <w:sz w:val="22"/>
          <w:szCs w:val="22"/>
        </w:rPr>
        <w:t>Produce or accompany a Market Structure Shift.</w:t>
      </w:r>
    </w:p>
    <w:p w14:paraId="32710394">
      <w:pPr>
        <w:pStyle w:val="16"/>
        <w:numPr>
          <w:ilvl w:val="0"/>
          <w:numId w:val="1"/>
        </w:numPr>
        <w:spacing w:after="120" w:line="276" w:lineRule="auto"/>
      </w:pPr>
      <w:r>
        <w:rPr>
          <w:rFonts w:ascii="Arial" w:hAnsi="Arial" w:eastAsia="Arial" w:cs="Arial"/>
          <w:sz w:val="22"/>
          <w:szCs w:val="22"/>
        </w:rPr>
        <w:t>Remain unmitigated (price has not yet returned to fully trade through the zone).</w:t>
      </w:r>
    </w:p>
    <w:p w14:paraId="459D8DAD">
      <w:pPr>
        <w:pStyle w:val="16"/>
        <w:numPr>
          <w:ilvl w:val="0"/>
          <w:numId w:val="1"/>
        </w:numPr>
        <w:spacing w:after="120" w:line="276" w:lineRule="auto"/>
      </w:pPr>
      <w:r>
        <w:rPr>
          <w:rFonts w:ascii="Arial" w:hAnsi="Arial" w:eastAsia="Arial" w:cs="Arial"/>
          <w:sz w:val="22"/>
          <w:szCs w:val="22"/>
        </w:rPr>
        <w:t>Sit in the correct half of the dealing range relative to the intended trade direction (discount for bullish OBs, premium for bearish OBs).</w:t>
      </w:r>
    </w:p>
    <w:p w14:paraId="14F1563C">
      <w:pPr>
        <w:pStyle w:val="3"/>
        <w:spacing w:before="280" w:after="180"/>
      </w:pPr>
      <w:r>
        <w:rPr>
          <w:rFonts w:ascii="Arial" w:hAnsi="Arial" w:eastAsia="Arial" w:cs="Arial"/>
          <w:b/>
          <w:bCs/>
          <w:sz w:val="26"/>
          <w:szCs w:val="26"/>
        </w:rPr>
        <w:t>1.3 Weak Order Blocks</w:t>
      </w:r>
    </w:p>
    <w:p w14:paraId="3E00A194">
      <w:pPr>
        <w:spacing w:after="200" w:line="276" w:lineRule="auto"/>
      </w:pPr>
      <w:r>
        <w:rPr>
          <w:rFonts w:ascii="Arial" w:hAnsi="Arial" w:eastAsia="Arial" w:cs="Arial"/>
          <w:sz w:val="22"/>
          <w:szCs w:val="22"/>
        </w:rPr>
        <w:t>Weak Order Blocks include those formed without displacement, without a preceding liquidity event, deep in the wrong half of the dealing range, or already heavily mitigated. These should be de-prioritised.</w:t>
      </w:r>
    </w:p>
    <w:p w14:paraId="0674F711">
      <w:pPr>
        <w:pStyle w:val="2"/>
        <w:spacing w:before="360" w:after="240"/>
      </w:pPr>
      <w:r>
        <w:rPr>
          <w:rFonts w:ascii="Arial" w:hAnsi="Arial" w:eastAsia="Arial" w:cs="Arial"/>
          <w:b/>
          <w:bCs/>
          <w:sz w:val="32"/>
          <w:szCs w:val="32"/>
        </w:rPr>
        <w:t>2. Mitigation</w:t>
      </w:r>
    </w:p>
    <w:p w14:paraId="56EA0E3C">
      <w:pPr>
        <w:pStyle w:val="3"/>
        <w:spacing w:before="280" w:after="180"/>
      </w:pPr>
      <w:r>
        <w:rPr>
          <w:rFonts w:ascii="Arial" w:hAnsi="Arial" w:eastAsia="Arial" w:cs="Arial"/>
          <w:b/>
          <w:bCs/>
          <w:sz w:val="26"/>
          <w:szCs w:val="26"/>
        </w:rPr>
        <w:t>2.1 Definition</w:t>
      </w:r>
    </w:p>
    <w:p w14:paraId="590AF973">
      <w:pPr>
        <w:spacing w:after="200" w:line="276" w:lineRule="auto"/>
      </w:pPr>
      <w:r>
        <w:rPr>
          <w:rFonts w:ascii="Arial" w:hAnsi="Arial" w:eastAsia="Arial" w:cs="Arial"/>
          <w:sz w:val="22"/>
          <w:szCs w:val="22"/>
        </w:rPr>
        <w:t>Mitigation occurs when price returns to an Order Block (or other PD array) and trades into or through part or all of the zone, thereby “filling” or satisfying residual institutional interest at that level.</w:t>
      </w:r>
    </w:p>
    <w:p w14:paraId="6DFD4901">
      <w:pPr>
        <w:pStyle w:val="3"/>
        <w:spacing w:before="280" w:after="180"/>
      </w:pPr>
      <w:r>
        <w:rPr>
          <w:rFonts w:ascii="Arial" w:hAnsi="Arial" w:eastAsia="Arial" w:cs="Arial"/>
          <w:b/>
          <w:bCs/>
          <w:sz w:val="26"/>
          <w:szCs w:val="26"/>
        </w:rPr>
        <w:t>2.2 Degrees of Mitigation</w:t>
      </w:r>
    </w:p>
    <w:p w14:paraId="1F93B6AF">
      <w:pPr>
        <w:spacing w:after="200" w:line="276" w:lineRule="auto"/>
      </w:pPr>
      <w:r>
        <w:rPr>
          <w:rFonts w:ascii="Arial" w:hAnsi="Arial" w:eastAsia="Arial" w:cs="Arial"/>
          <w:sz w:val="22"/>
          <w:szCs w:val="22"/>
        </w:rPr>
        <w:t>Partial mitigation leaves part of the zone untouched and can still support a reaction. Full mitigation (price trading through the entire zone, especially with a body close beyond the far boundary) significantly reduces or eliminates the original supportive/resistive character of the array.</w:t>
      </w:r>
    </w:p>
    <w:p w14:paraId="2E2A8D9F">
      <w:pPr>
        <w:pStyle w:val="3"/>
        <w:spacing w:before="280" w:after="180"/>
      </w:pPr>
      <w:r>
        <w:rPr>
          <w:rFonts w:ascii="Arial" w:hAnsi="Arial" w:eastAsia="Arial" w:cs="Arial"/>
          <w:b/>
          <w:bCs/>
          <w:sz w:val="26"/>
          <w:szCs w:val="26"/>
        </w:rPr>
        <w:t>2.3 Practical Implication</w:t>
      </w:r>
    </w:p>
    <w:p w14:paraId="5AFF23C3">
      <w:pPr>
        <w:spacing w:after="200" w:line="276" w:lineRule="auto"/>
      </w:pPr>
      <w:r>
        <w:rPr>
          <w:rFonts w:ascii="Arial" w:hAnsi="Arial" w:eastAsia="Arial" w:cs="Arial"/>
          <w:sz w:val="22"/>
          <w:szCs w:val="22"/>
        </w:rPr>
        <w:t>An unmitigated Order Block is generally preferred. A partially mitigated Order Block may still be usable if higher-timeframe context remains supportive. A fully mitigated Order Block in its original polarity is usually retired or re-evaluated as a potential Breaker.</w:t>
      </w:r>
    </w:p>
    <w:p w14:paraId="234BF0BB">
      <w:pPr>
        <w:pStyle w:val="2"/>
        <w:spacing w:before="360" w:after="240"/>
      </w:pPr>
      <w:r>
        <w:rPr>
          <w:rFonts w:ascii="Arial" w:hAnsi="Arial" w:eastAsia="Arial" w:cs="Arial"/>
          <w:b/>
          <w:bCs/>
          <w:sz w:val="32"/>
          <w:szCs w:val="32"/>
        </w:rPr>
        <w:t>3. Mitigation Block</w:t>
      </w:r>
    </w:p>
    <w:p w14:paraId="6D254E88">
      <w:pPr>
        <w:pStyle w:val="3"/>
        <w:spacing w:before="280" w:after="180"/>
      </w:pPr>
      <w:r>
        <w:rPr>
          <w:rFonts w:ascii="Arial" w:hAnsi="Arial" w:eastAsia="Arial" w:cs="Arial"/>
          <w:b/>
          <w:bCs/>
          <w:sz w:val="26"/>
          <w:szCs w:val="26"/>
        </w:rPr>
        <w:t>3.1 Working Definition (Intermediate)</w:t>
      </w:r>
    </w:p>
    <w:p w14:paraId="3B97B4F9">
      <w:pPr>
        <w:spacing w:after="200" w:line="276" w:lineRule="auto"/>
      </w:pPr>
      <w:r>
        <w:rPr>
          <w:rFonts w:ascii="Arial" w:hAnsi="Arial" w:eastAsia="Arial" w:cs="Arial"/>
          <w:sz w:val="22"/>
          <w:szCs w:val="22"/>
        </w:rPr>
        <w:t>A Mitigation Block, in the sense most consistently useful for intermediate practice, is an Order Block that is retested after the original displacement has played out, where price returns to the zone but does not decisively close through its far boundary, and the original directional intent continues. The return is understood as institutions completing or adjusting residual interest before continuation.</w:t>
      </w:r>
    </w:p>
    <w:p w14:paraId="55DCC474">
      <w:pPr>
        <w:pStyle w:val="3"/>
        <w:spacing w:before="280" w:after="180"/>
      </w:pPr>
      <w:r>
        <w:rPr>
          <w:rFonts w:ascii="Arial" w:hAnsi="Arial" w:eastAsia="Arial" w:cs="Arial"/>
          <w:b/>
          <w:bCs/>
          <w:sz w:val="26"/>
          <w:szCs w:val="26"/>
        </w:rPr>
        <w:t>3.2 Operational Distinction</w:t>
      </w:r>
    </w:p>
    <w:p w14:paraId="00E2AB70">
      <w:pPr>
        <w:spacing w:after="200" w:line="276" w:lineRule="auto"/>
      </w:pPr>
      <w:r>
        <w:rPr>
          <w:rFonts w:ascii="Arial" w:hAnsi="Arial" w:eastAsia="Arial" w:cs="Arial"/>
          <w:sz w:val="22"/>
          <w:szCs w:val="22"/>
        </w:rPr>
        <w:t>If price returns to the Order Block and respects it (no body close beyond the far side), the zone can still be traded in the original direction — this is the Mitigation Block / respected-OB continuation case.</w:t>
      </w:r>
    </w:p>
    <w:p w14:paraId="56CC1F67">
      <w:pPr>
        <w:pBdr>
          <w:left w:val="single" w:color="2E75B6" w:sz="24" w:space="8"/>
        </w:pBdr>
        <w:shd w:val="clear" w:fill="F5F5F5"/>
        <w:spacing w:before="120" w:after="200" w:line="276" w:lineRule="auto"/>
        <w:ind w:left="120"/>
      </w:pPr>
      <w:r>
        <w:rPr>
          <w:rFonts w:ascii="Arial" w:hAnsi="Arial" w:eastAsia="Arial" w:cs="Arial"/>
          <w:i/>
          <w:iCs/>
          <w:sz w:val="20"/>
          <w:szCs w:val="20"/>
        </w:rPr>
        <w:t>Community definitions of Mitigation Block vary. Some presentations emphasise a failed expansion that never swept liquidity; others emphasise a simple retest that holds. The intermediate student should prioritise the observable test: did a body close through the far boundary or not?</w:t>
      </w:r>
    </w:p>
    <w:p w14:paraId="56CE79CE">
      <w:pPr>
        <w:pStyle w:val="2"/>
        <w:spacing w:before="360" w:after="240"/>
      </w:pPr>
      <w:r>
        <w:rPr>
          <w:rFonts w:ascii="Arial" w:hAnsi="Arial" w:eastAsia="Arial" w:cs="Arial"/>
          <w:b/>
          <w:bCs/>
          <w:sz w:val="32"/>
          <w:szCs w:val="32"/>
        </w:rPr>
        <w:t>4. Breaker Block</w:t>
      </w:r>
    </w:p>
    <w:p w14:paraId="79DC6FB9">
      <w:pPr>
        <w:pStyle w:val="3"/>
        <w:spacing w:before="280" w:after="180"/>
      </w:pPr>
      <w:r>
        <w:rPr>
          <w:rFonts w:ascii="Arial" w:hAnsi="Arial" w:eastAsia="Arial" w:cs="Arial"/>
          <w:b/>
          <w:bCs/>
          <w:sz w:val="26"/>
          <w:szCs w:val="26"/>
        </w:rPr>
        <w:t>4.1 Definition</w:t>
      </w:r>
    </w:p>
    <w:p w14:paraId="10AE210F">
      <w:pPr>
        <w:spacing w:after="200" w:line="276" w:lineRule="auto"/>
      </w:pPr>
      <w:r>
        <w:rPr>
          <w:rFonts w:ascii="Arial" w:hAnsi="Arial" w:eastAsia="Arial" w:cs="Arial"/>
          <w:sz w:val="22"/>
          <w:szCs w:val="22"/>
        </w:rPr>
        <w:t>A Breaker Block forms when a previously valid Order Block is violated — typically by a candle body closing beyond the far boundary of the zone — after which the zone is expected to act with inverted polarity. A bullish Order Block that fails becomes a bearish Breaker (resistance on the return). A bearish Order Block that fails becomes a bullish Breaker (support on the return).</w:t>
      </w:r>
    </w:p>
    <w:p w14:paraId="3F9DF9E9">
      <w:pPr>
        <w:pStyle w:val="3"/>
        <w:spacing w:before="280" w:after="180"/>
      </w:pPr>
      <w:r>
        <w:rPr>
          <w:rFonts w:ascii="Arial" w:hAnsi="Arial" w:eastAsia="Arial" w:cs="Arial"/>
          <w:b/>
          <w:bCs/>
          <w:sz w:val="26"/>
          <w:szCs w:val="26"/>
        </w:rPr>
        <w:t>4.2 Confirmation</w:t>
      </w:r>
    </w:p>
    <w:p w14:paraId="614C3F08">
      <w:pPr>
        <w:spacing w:after="200" w:line="276" w:lineRule="auto"/>
      </w:pPr>
      <w:r>
        <w:rPr>
          <w:rFonts w:ascii="Arial" w:hAnsi="Arial" w:eastAsia="Arial" w:cs="Arial"/>
          <w:sz w:val="22"/>
          <w:szCs w:val="22"/>
        </w:rPr>
        <w:t>Breaker quality is elevated when:</w:t>
      </w:r>
    </w:p>
    <w:p w14:paraId="25618965">
      <w:pPr>
        <w:pStyle w:val="16"/>
        <w:numPr>
          <w:ilvl w:val="0"/>
          <w:numId w:val="1"/>
        </w:numPr>
        <w:spacing w:after="120" w:line="276" w:lineRule="auto"/>
      </w:pPr>
      <w:r>
        <w:rPr>
          <w:rFonts w:ascii="Arial" w:hAnsi="Arial" w:eastAsia="Arial" w:cs="Arial"/>
          <w:sz w:val="22"/>
          <w:szCs w:val="22"/>
        </w:rPr>
        <w:t>The original Order Block was itself high-quality (liquidity + displacement + MSS).</w:t>
      </w:r>
    </w:p>
    <w:p w14:paraId="0041EF74">
      <w:pPr>
        <w:pStyle w:val="16"/>
        <w:numPr>
          <w:ilvl w:val="0"/>
          <w:numId w:val="1"/>
        </w:numPr>
        <w:spacing w:after="120" w:line="276" w:lineRule="auto"/>
      </w:pPr>
      <w:r>
        <w:rPr>
          <w:rFonts w:ascii="Arial" w:hAnsi="Arial" w:eastAsia="Arial" w:cs="Arial"/>
          <w:sz w:val="22"/>
          <w:szCs w:val="22"/>
        </w:rPr>
        <w:t>The violation is accompanied by displacement in the new direction.</w:t>
      </w:r>
    </w:p>
    <w:p w14:paraId="6190180F">
      <w:pPr>
        <w:pStyle w:val="16"/>
        <w:numPr>
          <w:ilvl w:val="0"/>
          <w:numId w:val="1"/>
        </w:numPr>
        <w:spacing w:after="120" w:line="276" w:lineRule="auto"/>
      </w:pPr>
      <w:r>
        <w:rPr>
          <w:rFonts w:ascii="Arial" w:hAnsi="Arial" w:eastAsia="Arial" w:cs="Arial"/>
          <w:sz w:val="22"/>
          <w:szCs w:val="22"/>
        </w:rPr>
        <w:t>A liquidity event (sweep) occurs in conjunction with the failure.</w:t>
      </w:r>
    </w:p>
    <w:p w14:paraId="2E113B3E">
      <w:pPr>
        <w:pStyle w:val="16"/>
        <w:numPr>
          <w:ilvl w:val="0"/>
          <w:numId w:val="1"/>
        </w:numPr>
        <w:spacing w:after="120" w:line="276" w:lineRule="auto"/>
      </w:pPr>
      <w:r>
        <w:rPr>
          <w:rFonts w:ascii="Arial" w:hAnsi="Arial" w:eastAsia="Arial" w:cs="Arial"/>
          <w:sz w:val="22"/>
          <w:szCs w:val="22"/>
        </w:rPr>
        <w:t>The subsequent return to the Breaker occurs in the correct premium/discount location for the new direction.</w:t>
      </w:r>
    </w:p>
    <w:p w14:paraId="48C42FC6">
      <w:pPr>
        <w:pStyle w:val="3"/>
        <w:spacing w:before="280" w:after="180"/>
      </w:pPr>
      <w:r>
        <w:rPr>
          <w:rFonts w:ascii="Arial" w:hAnsi="Arial" w:eastAsia="Arial" w:cs="Arial"/>
          <w:b/>
          <w:bCs/>
          <w:sz w:val="26"/>
          <w:szCs w:val="26"/>
        </w:rPr>
        <w:t>4.3 Breaker vs Mitigation — The Practical Test</w:t>
      </w:r>
    </w:p>
    <w:p w14:paraId="1BE243E3">
      <w:pPr>
        <w:spacing w:after="200" w:line="276" w:lineRule="auto"/>
      </w:pPr>
      <w:r>
        <w:rPr>
          <w:rFonts w:ascii="Arial" w:hAnsi="Arial" w:eastAsia="Arial" w:cs="Arial"/>
          <w:sz w:val="22"/>
          <w:szCs w:val="22"/>
        </w:rPr>
        <w:t>The cleanest intermediate filter is:</w:t>
      </w:r>
    </w:p>
    <w:p w14:paraId="3701FB3D">
      <w:pPr>
        <w:pStyle w:val="16"/>
        <w:numPr>
          <w:ilvl w:val="0"/>
          <w:numId w:val="1"/>
        </w:numPr>
        <w:spacing w:after="120" w:line="276" w:lineRule="auto"/>
      </w:pPr>
      <w:r>
        <w:rPr>
          <w:rFonts w:ascii="Arial" w:hAnsi="Arial" w:eastAsia="Arial" w:cs="Arial"/>
          <w:sz w:val="22"/>
          <w:szCs w:val="22"/>
        </w:rPr>
        <w:t>Body close through the far boundary of the original OB → treat as Breaker (inverted polarity).</w:t>
      </w:r>
    </w:p>
    <w:p w14:paraId="0735E4D7">
      <w:pPr>
        <w:pStyle w:val="16"/>
        <w:numPr>
          <w:ilvl w:val="0"/>
          <w:numId w:val="1"/>
        </w:numPr>
        <w:spacing w:after="120" w:line="276" w:lineRule="auto"/>
      </w:pPr>
      <w:r>
        <w:rPr>
          <w:rFonts w:ascii="Arial" w:hAnsi="Arial" w:eastAsia="Arial" w:cs="Arial"/>
          <w:sz w:val="22"/>
          <w:szCs w:val="22"/>
        </w:rPr>
        <w:t>Return into the zone without a body close through the far boundary → treat as potential Mitigation / continuation in the original direction.</w:t>
      </w:r>
    </w:p>
    <w:p w14:paraId="0BD47BCD">
      <w:pPr>
        <w:pStyle w:val="2"/>
        <w:spacing w:before="360" w:after="240"/>
      </w:pPr>
      <w:r>
        <w:rPr>
          <w:rFonts w:ascii="Arial" w:hAnsi="Arial" w:eastAsia="Arial" w:cs="Arial"/>
          <w:b/>
          <w:bCs/>
          <w:sz w:val="32"/>
          <w:szCs w:val="32"/>
        </w:rPr>
        <w:t>5. Failed Order Block</w:t>
      </w:r>
    </w:p>
    <w:p w14:paraId="389F2C0D">
      <w:pPr>
        <w:pStyle w:val="3"/>
        <w:spacing w:before="280" w:after="180"/>
      </w:pPr>
      <w:r>
        <w:rPr>
          <w:rFonts w:ascii="Arial" w:hAnsi="Arial" w:eastAsia="Arial" w:cs="Arial"/>
          <w:b/>
          <w:bCs/>
          <w:sz w:val="26"/>
          <w:szCs w:val="26"/>
        </w:rPr>
        <w:t>5.1 Meaning</w:t>
      </w:r>
    </w:p>
    <w:p w14:paraId="4BD44BE4">
      <w:pPr>
        <w:spacing w:after="200" w:line="276" w:lineRule="auto"/>
      </w:pPr>
      <w:r>
        <w:rPr>
          <w:rFonts w:ascii="Arial" w:hAnsi="Arial" w:eastAsia="Arial" w:cs="Arial"/>
          <w:sz w:val="22"/>
          <w:szCs w:val="22"/>
        </w:rPr>
        <w:t>A failed Order Block is simply an Order Block that did not hold when price returned. Failure is the precursor to Breaker classification. Not every failure produces a high-quality Breaker; the quality filters listed above still apply.</w:t>
      </w:r>
    </w:p>
    <w:p w14:paraId="416FF2E0">
      <w:pPr>
        <w:pStyle w:val="3"/>
        <w:spacing w:before="280" w:after="180"/>
      </w:pPr>
      <w:r>
        <w:rPr>
          <w:rFonts w:ascii="Arial" w:hAnsi="Arial" w:eastAsia="Arial" w:cs="Arial"/>
          <w:b/>
          <w:bCs/>
          <w:sz w:val="26"/>
          <w:szCs w:val="26"/>
        </w:rPr>
        <w:t>5.2 Response</w:t>
      </w:r>
    </w:p>
    <w:p w14:paraId="5EA065B1">
      <w:pPr>
        <w:spacing w:after="200" w:line="276" w:lineRule="auto"/>
      </w:pPr>
      <w:r>
        <w:rPr>
          <w:rFonts w:ascii="Arial" w:hAnsi="Arial" w:eastAsia="Arial" w:cs="Arial"/>
          <w:sz w:val="22"/>
          <w:szCs w:val="22"/>
        </w:rPr>
        <w:t>Once an Order Block has failed with a body close beyond its far side, the trader stops treating it as support/resistance in the original direction and re-evaluates it under the Breaker framework (or discards it if context is poor).</w:t>
      </w:r>
    </w:p>
    <w:p w14:paraId="5702C126">
      <w:pPr>
        <w:pStyle w:val="2"/>
        <w:spacing w:before="360" w:after="240"/>
      </w:pPr>
      <w:r>
        <w:rPr>
          <w:rFonts w:ascii="Arial" w:hAnsi="Arial" w:eastAsia="Arial" w:cs="Arial"/>
          <w:b/>
          <w:bCs/>
          <w:sz w:val="32"/>
          <w:szCs w:val="32"/>
        </w:rPr>
        <w:t>6. Confluence: Order Block + FVG, Liquidity, MSS</w:t>
      </w:r>
    </w:p>
    <w:p w14:paraId="650C5733">
      <w:pPr>
        <w:pStyle w:val="3"/>
        <w:spacing w:before="280" w:after="180"/>
      </w:pPr>
      <w:r>
        <w:rPr>
          <w:rFonts w:ascii="Arial" w:hAnsi="Arial" w:eastAsia="Arial" w:cs="Arial"/>
          <w:b/>
          <w:bCs/>
          <w:sz w:val="26"/>
          <w:szCs w:val="26"/>
        </w:rPr>
        <w:t>6.1 Order Block + Fair Value Gap</w:t>
      </w:r>
    </w:p>
    <w:p w14:paraId="4F3C21B5">
      <w:pPr>
        <w:spacing w:after="200" w:line="276" w:lineRule="auto"/>
      </w:pPr>
      <w:r>
        <w:rPr>
          <w:rFonts w:ascii="Arial" w:hAnsi="Arial" w:eastAsia="Arial" w:cs="Arial"/>
          <w:sz w:val="22"/>
          <w:szCs w:val="22"/>
        </w:rPr>
        <w:t>When an Order Block and a Fair Value Gap overlap (or the FVG sits immediately adjacent to the OB), the combined zone is higher confluence. Price is simultaneously at an institutional origin candle and inside an imbalance created by the same displacement leg.</w:t>
      </w:r>
    </w:p>
    <w:p w14:paraId="26712045">
      <w:pPr>
        <w:pStyle w:val="3"/>
        <w:spacing w:before="280" w:after="180"/>
      </w:pPr>
      <w:r>
        <w:rPr>
          <w:rFonts w:ascii="Arial" w:hAnsi="Arial" w:eastAsia="Arial" w:cs="Arial"/>
          <w:b/>
          <w:bCs/>
          <w:sz w:val="26"/>
          <w:szCs w:val="26"/>
        </w:rPr>
        <w:t>6.2 Order Block + Liquidity</w:t>
      </w:r>
    </w:p>
    <w:p w14:paraId="6943677F">
      <w:pPr>
        <w:spacing w:after="200" w:line="276" w:lineRule="auto"/>
      </w:pPr>
      <w:r>
        <w:rPr>
          <w:rFonts w:ascii="Arial" w:hAnsi="Arial" w:eastAsia="Arial" w:cs="Arial"/>
          <w:sz w:val="22"/>
          <w:szCs w:val="22"/>
        </w:rPr>
        <w:t>The highest-quality Order Blocks are those that form after a liquidity raid and are themselves the origin of the displacement that leaves the raid behind. An OB that has no relationship to a liquidity event is lower priority.</w:t>
      </w:r>
    </w:p>
    <w:p w14:paraId="2A32D9D2">
      <w:pPr>
        <w:pStyle w:val="3"/>
        <w:spacing w:before="280" w:after="180"/>
      </w:pPr>
      <w:r>
        <w:rPr>
          <w:rFonts w:ascii="Arial" w:hAnsi="Arial" w:eastAsia="Arial" w:cs="Arial"/>
          <w:b/>
          <w:bCs/>
          <w:sz w:val="26"/>
          <w:szCs w:val="26"/>
        </w:rPr>
        <w:t>6.3 Order Block + Market Structure Shift</w:t>
      </w:r>
    </w:p>
    <w:p w14:paraId="2422894C">
      <w:pPr>
        <w:spacing w:after="200" w:line="276" w:lineRule="auto"/>
      </w:pPr>
      <w:r>
        <w:rPr>
          <w:rFonts w:ascii="Arial" w:hAnsi="Arial" w:eastAsia="Arial" w:cs="Arial"/>
          <w:sz w:val="22"/>
          <w:szCs w:val="22"/>
        </w:rPr>
        <w:t>An Order Block that is the last opposing candle before a displacement that produces an MSS is structurally validated. The subsequent return to that OB is a return to the origin of a confirmed shift.</w:t>
      </w:r>
    </w:p>
    <w:p w14:paraId="0DDC9207">
      <w:pPr>
        <w:pStyle w:val="2"/>
        <w:spacing w:before="360" w:after="240"/>
      </w:pPr>
      <w:r>
        <w:rPr>
          <w:rFonts w:ascii="Arial" w:hAnsi="Arial" w:eastAsia="Arial" w:cs="Arial"/>
          <w:b/>
          <w:bCs/>
          <w:sz w:val="32"/>
          <w:szCs w:val="32"/>
        </w:rPr>
        <w:t>7. Practical PD-Array Hierarchy</w:t>
      </w:r>
    </w:p>
    <w:p w14:paraId="003354FC">
      <w:pPr>
        <w:pStyle w:val="3"/>
        <w:spacing w:before="280" w:after="180"/>
      </w:pPr>
      <w:r>
        <w:rPr>
          <w:rFonts w:ascii="Arial" w:hAnsi="Arial" w:eastAsia="Arial" w:cs="Arial"/>
          <w:b/>
          <w:bCs/>
          <w:sz w:val="26"/>
          <w:szCs w:val="26"/>
        </w:rPr>
        <w:t>7.1 Working Ranking (Intermediate)</w:t>
      </w:r>
    </w:p>
    <w:p w14:paraId="466F6B07">
      <w:pPr>
        <w:spacing w:after="200" w:line="276" w:lineRule="auto"/>
      </w:pPr>
      <w:r>
        <w:rPr>
          <w:rFonts w:ascii="Arial" w:hAnsi="Arial" w:eastAsia="Arial" w:cs="Arial"/>
          <w:sz w:val="22"/>
          <w:szCs w:val="22"/>
        </w:rPr>
        <w:t>When multiple PD arrays exist in the same region of a dealing range, a practical intermediate ranking (strongest to weaker, all else equal) is:</w:t>
      </w:r>
    </w:p>
    <w:p w14:paraId="604784C1">
      <w:pPr>
        <w:pStyle w:val="16"/>
        <w:numPr>
          <w:ilvl w:val="0"/>
          <w:numId w:val="2"/>
        </w:numPr>
        <w:spacing w:after="120" w:line="276" w:lineRule="auto"/>
      </w:pPr>
      <w:r>
        <w:rPr>
          <w:rFonts w:ascii="Arial" w:hAnsi="Arial" w:eastAsia="Arial" w:cs="Arial"/>
          <w:sz w:val="22"/>
          <w:szCs w:val="22"/>
        </w:rPr>
        <w:t>Higher-timeframe structural levels and unmitigated higher-timeframe Order Blocks / FVGs.</w:t>
      </w:r>
    </w:p>
    <w:p w14:paraId="171EBE37">
      <w:pPr>
        <w:pStyle w:val="16"/>
        <w:numPr>
          <w:ilvl w:val="0"/>
          <w:numId w:val="2"/>
        </w:numPr>
        <w:spacing w:after="120" w:line="276" w:lineRule="auto"/>
      </w:pPr>
      <w:r>
        <w:rPr>
          <w:rFonts w:ascii="Arial" w:hAnsi="Arial" w:eastAsia="Arial" w:cs="Arial"/>
          <w:sz w:val="22"/>
          <w:szCs w:val="22"/>
        </w:rPr>
        <w:t>Unmitigated Order Blocks that originated the most recent displacement + MSS.</w:t>
      </w:r>
    </w:p>
    <w:p w14:paraId="420C7660">
      <w:pPr>
        <w:pStyle w:val="16"/>
        <w:numPr>
          <w:ilvl w:val="0"/>
          <w:numId w:val="2"/>
        </w:numPr>
        <w:spacing w:after="120" w:line="276" w:lineRule="auto"/>
      </w:pPr>
      <w:r>
        <w:rPr>
          <w:rFonts w:ascii="Arial" w:hAnsi="Arial" w:eastAsia="Arial" w:cs="Arial"/>
          <w:sz w:val="22"/>
          <w:szCs w:val="22"/>
        </w:rPr>
        <w:t>Fair Value Gaps created by that same displacement (especially at Consequent Encroachment).</w:t>
      </w:r>
    </w:p>
    <w:p w14:paraId="2C47B8E3">
      <w:pPr>
        <w:pStyle w:val="16"/>
        <w:numPr>
          <w:ilvl w:val="0"/>
          <w:numId w:val="2"/>
        </w:numPr>
        <w:spacing w:after="120" w:line="276" w:lineRule="auto"/>
      </w:pPr>
      <w:r>
        <w:rPr>
          <w:rFonts w:ascii="Arial" w:hAnsi="Arial" w:eastAsia="Arial" w:cs="Arial"/>
          <w:sz w:val="22"/>
          <w:szCs w:val="22"/>
        </w:rPr>
        <w:t>Breaker Blocks that meet quality filters.</w:t>
      </w:r>
    </w:p>
    <w:p w14:paraId="166752F7">
      <w:pPr>
        <w:pStyle w:val="16"/>
        <w:numPr>
          <w:ilvl w:val="0"/>
          <w:numId w:val="2"/>
        </w:numPr>
        <w:spacing w:after="120" w:line="276" w:lineRule="auto"/>
      </w:pPr>
      <w:r>
        <w:rPr>
          <w:rFonts w:ascii="Arial" w:hAnsi="Arial" w:eastAsia="Arial" w:cs="Arial"/>
          <w:sz w:val="22"/>
          <w:szCs w:val="22"/>
        </w:rPr>
        <w:t>Mitigation / partially mitigated arrays that still show reaction potential.</w:t>
      </w:r>
    </w:p>
    <w:p w14:paraId="246D7D71">
      <w:pPr>
        <w:pStyle w:val="16"/>
        <w:numPr>
          <w:ilvl w:val="0"/>
          <w:numId w:val="2"/>
        </w:numPr>
        <w:spacing w:after="120" w:line="276" w:lineRule="auto"/>
      </w:pPr>
      <w:r>
        <w:rPr>
          <w:rFonts w:ascii="Arial" w:hAnsi="Arial" w:eastAsia="Arial" w:cs="Arial"/>
          <w:sz w:val="22"/>
          <w:szCs w:val="22"/>
        </w:rPr>
        <w:t>Lower-timeframe or heavily mitigated arrays.</w:t>
      </w:r>
    </w:p>
    <w:p w14:paraId="00D531A5">
      <w:pPr>
        <w:pStyle w:val="3"/>
        <w:spacing w:before="280" w:after="180"/>
      </w:pPr>
      <w:r>
        <w:rPr>
          <w:rFonts w:ascii="Arial" w:hAnsi="Arial" w:eastAsia="Arial" w:cs="Arial"/>
          <w:b/>
          <w:bCs/>
          <w:sz w:val="26"/>
          <w:szCs w:val="26"/>
        </w:rPr>
        <w:t>7.2 Important Qualification</w:t>
      </w:r>
    </w:p>
    <w:p w14:paraId="454CF821">
      <w:pPr>
        <w:spacing w:after="200" w:line="276" w:lineRule="auto"/>
      </w:pPr>
      <w:r>
        <w:rPr>
          <w:rFonts w:ascii="Arial" w:hAnsi="Arial" w:eastAsia="Arial" w:cs="Arial"/>
          <w:sz w:val="22"/>
          <w:szCs w:val="22"/>
        </w:rPr>
        <w:t>Hierarchy is subordinate to context. A lower-ranked array that sits in perfect premium/discount location, after a clear liquidity event, and inside a higher-timeframe PD array can outrank a higher-ranked array that sits in the wrong half of the range or lacks displacement confirmation.</w:t>
      </w:r>
    </w:p>
    <w:p w14:paraId="4B8E4945">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ICT presents Order Blocks, Breakers and related arrays as members of the broader PD-array family. Exact numerical rankings vary across community sources; the ranking above is a practical intermediate synthesis that prioritises unmitigated, displacement-validated, context-aligned arrays.</w:t>
      </w:r>
    </w:p>
    <w:p w14:paraId="4D46C2FB">
      <w:pPr>
        <w:pStyle w:val="2"/>
        <w:spacing w:before="360" w:after="240"/>
      </w:pPr>
      <w:r>
        <w:rPr>
          <w:rFonts w:ascii="Arial" w:hAnsi="Arial" w:eastAsia="Arial" w:cs="Arial"/>
          <w:b/>
          <w:bCs/>
          <w:sz w:val="32"/>
          <w:szCs w:val="32"/>
        </w:rPr>
        <w:t>Worked Example — OB, Mitigation and Breaker Paths</w:t>
      </w:r>
    </w:p>
    <w:p w14:paraId="20FB9721">
      <w:pPr>
        <w:spacing w:after="200" w:line="276" w:lineRule="auto"/>
      </w:pPr>
      <w:r>
        <w:rPr>
          <w:rFonts w:ascii="Arial" w:hAnsi="Arial" w:eastAsia="Arial" w:cs="Arial"/>
          <w:sz w:val="22"/>
          <w:szCs w:val="22"/>
        </w:rPr>
        <w:t>Context: Bullish higher-timeframe bias. 1-hour dealing range in discount.</w:t>
      </w:r>
    </w:p>
    <w:p w14:paraId="0ED57647">
      <w:pPr>
        <w:spacing w:after="200" w:line="276" w:lineRule="auto"/>
      </w:pPr>
      <w:r>
        <w:rPr>
          <w:rFonts w:ascii="Arial" w:hAnsi="Arial" w:eastAsia="Arial" w:cs="Arial"/>
          <w:sz w:val="22"/>
          <w:szCs w:val="22"/>
        </w:rPr>
        <w:t>Path A — Respected Order Block / Mitigation:</w:t>
      </w:r>
    </w:p>
    <w:p w14:paraId="21A81E8F">
      <w:pPr>
        <w:pStyle w:val="16"/>
        <w:numPr>
          <w:ilvl w:val="0"/>
          <w:numId w:val="1"/>
        </w:numPr>
        <w:spacing w:after="120" w:line="276" w:lineRule="auto"/>
      </w:pPr>
      <w:r>
        <w:rPr>
          <w:rFonts w:ascii="Arial" w:hAnsi="Arial" w:eastAsia="Arial" w:cs="Arial"/>
          <w:sz w:val="22"/>
          <w:szCs w:val="22"/>
        </w:rPr>
        <w:t>Sell-side liquidity is raided. The last down-close candle before the subsequent bullish displacement is marked as a bullish Order Block.</w:t>
      </w:r>
    </w:p>
    <w:p w14:paraId="101CF963">
      <w:pPr>
        <w:pStyle w:val="16"/>
        <w:numPr>
          <w:ilvl w:val="0"/>
          <w:numId w:val="1"/>
        </w:numPr>
        <w:spacing w:after="120" w:line="276" w:lineRule="auto"/>
      </w:pPr>
      <w:r>
        <w:rPr>
          <w:rFonts w:ascii="Arial" w:hAnsi="Arial" w:eastAsia="Arial" w:cs="Arial"/>
          <w:sz w:val="22"/>
          <w:szCs w:val="22"/>
        </w:rPr>
        <w:t>Displacement breaks a short-term high and leaves an FVG.</w:t>
      </w:r>
    </w:p>
    <w:p w14:paraId="2A3EAE58">
      <w:pPr>
        <w:pStyle w:val="16"/>
        <w:numPr>
          <w:ilvl w:val="0"/>
          <w:numId w:val="1"/>
        </w:numPr>
        <w:spacing w:after="120" w:line="276" w:lineRule="auto"/>
      </w:pPr>
      <w:r>
        <w:rPr>
          <w:rFonts w:ascii="Arial" w:hAnsi="Arial" w:eastAsia="Arial" w:cs="Arial"/>
          <w:sz w:val="22"/>
          <w:szCs w:val="22"/>
        </w:rPr>
        <w:t>Price later retraces into the Order Block (and the overlapping FVG), finds support without a body close below the OB low, and continues higher.</w:t>
      </w:r>
    </w:p>
    <w:p w14:paraId="32B26676">
      <w:pPr>
        <w:pStyle w:val="16"/>
        <w:numPr>
          <w:ilvl w:val="0"/>
          <w:numId w:val="1"/>
        </w:numPr>
        <w:spacing w:after="120" w:line="276" w:lineRule="auto"/>
      </w:pPr>
      <w:r>
        <w:rPr>
          <w:rFonts w:ascii="Arial" w:hAnsi="Arial" w:eastAsia="Arial" w:cs="Arial"/>
          <w:sz w:val="22"/>
          <w:szCs w:val="22"/>
        </w:rPr>
        <w:t>This is a classic continuation / mitigation-style respect of the original OB.</w:t>
      </w:r>
    </w:p>
    <w:p w14:paraId="6127591C">
      <w:pPr>
        <w:spacing w:after="200" w:line="276" w:lineRule="auto"/>
      </w:pPr>
      <w:r>
        <w:rPr>
          <w:rFonts w:ascii="Arial" w:hAnsi="Arial" w:eastAsia="Arial" w:cs="Arial"/>
          <w:sz w:val="22"/>
          <w:szCs w:val="22"/>
        </w:rPr>
        <w:t>Path B — Breaker:</w:t>
      </w:r>
    </w:p>
    <w:p w14:paraId="31C53FD4">
      <w:pPr>
        <w:pStyle w:val="16"/>
        <w:numPr>
          <w:ilvl w:val="0"/>
          <w:numId w:val="1"/>
        </w:numPr>
        <w:spacing w:after="120" w:line="276" w:lineRule="auto"/>
      </w:pPr>
      <w:r>
        <w:rPr>
          <w:rFonts w:ascii="Arial" w:hAnsi="Arial" w:eastAsia="Arial" w:cs="Arial"/>
          <w:sz w:val="22"/>
          <w:szCs w:val="22"/>
        </w:rPr>
        <w:t>The same bullish Order Block is later violated by a decisive body close below its low, accompanied by bearish displacement.</w:t>
      </w:r>
    </w:p>
    <w:p w14:paraId="15576D9A">
      <w:pPr>
        <w:pStyle w:val="16"/>
        <w:numPr>
          <w:ilvl w:val="0"/>
          <w:numId w:val="1"/>
        </w:numPr>
        <w:spacing w:after="120" w:line="276" w:lineRule="auto"/>
      </w:pPr>
      <w:r>
        <w:rPr>
          <w:rFonts w:ascii="Arial" w:hAnsi="Arial" w:eastAsia="Arial" w:cs="Arial"/>
          <w:sz w:val="22"/>
          <w:szCs w:val="22"/>
        </w:rPr>
        <w:t>Structure shifts bearishly.</w:t>
      </w:r>
    </w:p>
    <w:p w14:paraId="2C9DF80A">
      <w:pPr>
        <w:pStyle w:val="16"/>
        <w:numPr>
          <w:ilvl w:val="0"/>
          <w:numId w:val="1"/>
        </w:numPr>
        <w:spacing w:after="120" w:line="276" w:lineRule="auto"/>
      </w:pPr>
      <w:r>
        <w:rPr>
          <w:rFonts w:ascii="Arial" w:hAnsi="Arial" w:eastAsia="Arial" w:cs="Arial"/>
          <w:sz w:val="22"/>
          <w:szCs w:val="22"/>
        </w:rPr>
        <w:t>On the subsequent return to the former OB zone from below, the zone is treated as a bearish Breaker (resistance).</w:t>
      </w:r>
    </w:p>
    <w:p w14:paraId="3DFB760B">
      <w:pPr>
        <w:pStyle w:val="16"/>
        <w:numPr>
          <w:ilvl w:val="0"/>
          <w:numId w:val="1"/>
        </w:numPr>
        <w:spacing w:after="120" w:line="276" w:lineRule="auto"/>
      </w:pPr>
      <w:r>
        <w:rPr>
          <w:rFonts w:ascii="Arial" w:hAnsi="Arial" w:eastAsia="Arial" w:cs="Arial"/>
          <w:sz w:val="22"/>
          <w:szCs w:val="22"/>
        </w:rPr>
        <w:t>Trade direction is now short, provided higher-timeframe context permits.</w:t>
      </w:r>
    </w:p>
    <w:p w14:paraId="2FC50F74">
      <w:pPr>
        <w:pStyle w:val="2"/>
        <w:spacing w:before="360" w:after="240"/>
      </w:pPr>
      <w:r>
        <w:rPr>
          <w:rFonts w:ascii="Arial" w:hAnsi="Arial" w:eastAsia="Arial" w:cs="Arial"/>
          <w:b/>
          <w:bCs/>
          <w:sz w:val="32"/>
          <w:szCs w:val="32"/>
        </w:rPr>
        <w:t>Visual Reference — Order Block to Breaker Transition</w:t>
      </w:r>
    </w:p>
    <w:p w14:paraId="132927F7">
      <w:pPr>
        <w:spacing w:after="0" w:line="240" w:lineRule="auto"/>
      </w:pPr>
      <w:r>
        <w:rPr>
          <w:rFonts w:ascii="Courier New" w:hAnsi="Courier New" w:eastAsia="Courier New" w:cs="Courier New"/>
          <w:sz w:val="18"/>
          <w:szCs w:val="18"/>
        </w:rPr>
        <w:t xml:space="preserve">   Bullish OB zone</w:t>
      </w:r>
    </w:p>
    <w:p w14:paraId="098AE9A3">
      <w:pPr>
        <w:spacing w:after="0" w:line="240" w:lineRule="auto"/>
      </w:pPr>
      <w:r>
        <w:rPr>
          <w:rFonts w:ascii="Courier New" w:hAnsi="Courier New" w:eastAsia="Courier New" w:cs="Courier New"/>
          <w:sz w:val="18"/>
          <w:szCs w:val="18"/>
        </w:rPr>
        <w:t xml:space="preserve">   ┌─────────────┐</w:t>
      </w:r>
    </w:p>
    <w:p w14:paraId="25A1660C">
      <w:pPr>
        <w:spacing w:after="0" w:line="240" w:lineRule="auto"/>
      </w:pPr>
      <w:r>
        <w:rPr>
          <w:rFonts w:ascii="Courier New" w:hAnsi="Courier New" w:eastAsia="Courier New" w:cs="Courier New"/>
          <w:sz w:val="18"/>
          <w:szCs w:val="18"/>
        </w:rPr>
        <w:t xml:space="preserve">   │  last down  │  ← original bullish Order Block</w:t>
      </w:r>
    </w:p>
    <w:p w14:paraId="2C25DF0D">
      <w:pPr>
        <w:spacing w:after="0" w:line="240" w:lineRule="auto"/>
      </w:pPr>
      <w:r>
        <w:rPr>
          <w:rFonts w:ascii="Courier New" w:hAnsi="Courier New" w:eastAsia="Courier New" w:cs="Courier New"/>
          <w:sz w:val="18"/>
          <w:szCs w:val="18"/>
        </w:rPr>
        <w:t xml:space="preserve">   │   candle    │</w:t>
      </w:r>
    </w:p>
    <w:p w14:paraId="40271E74">
      <w:pPr>
        <w:spacing w:after="0" w:line="240" w:lineRule="auto"/>
      </w:pPr>
      <w:r>
        <w:rPr>
          <w:rFonts w:ascii="Courier New" w:hAnsi="Courier New" w:eastAsia="Courier New" w:cs="Courier New"/>
          <w:sz w:val="18"/>
          <w:szCs w:val="18"/>
        </w:rPr>
        <w:t xml:space="preserve">   └─────────────┘</w:t>
      </w:r>
    </w:p>
    <w:p w14:paraId="40B25597">
      <w:pPr>
        <w:spacing w:after="0" w:line="240" w:lineRule="auto"/>
      </w:pPr>
      <w:r>
        <w:rPr>
          <w:rFonts w:ascii="Courier New" w:hAnsi="Courier New" w:eastAsia="Courier New" w:cs="Courier New"/>
          <w:sz w:val="18"/>
          <w:szCs w:val="18"/>
        </w:rPr>
        <w:t xml:space="preserve">          │</w:t>
      </w:r>
    </w:p>
    <w:p w14:paraId="5C13E6F5">
      <w:pPr>
        <w:spacing w:after="0" w:line="240" w:lineRule="auto"/>
      </w:pPr>
      <w:r>
        <w:rPr>
          <w:rFonts w:ascii="Courier New" w:hAnsi="Courier New" w:eastAsia="Courier New" w:cs="Courier New"/>
          <w:sz w:val="18"/>
          <w:szCs w:val="18"/>
        </w:rPr>
        <w:t xml:space="preserve">          │ displacement higher + MSS</w:t>
      </w:r>
    </w:p>
    <w:p w14:paraId="0A50E33D">
      <w:pPr>
        <w:spacing w:after="0" w:line="240" w:lineRule="auto"/>
      </w:pPr>
      <w:r>
        <w:rPr>
          <w:rFonts w:ascii="Courier New" w:hAnsi="Courier New" w:eastAsia="Courier New" w:cs="Courier New"/>
          <w:sz w:val="18"/>
          <w:szCs w:val="18"/>
        </w:rPr>
        <w:t xml:space="preserve">          ↓</w:t>
      </w:r>
    </w:p>
    <w:p w14:paraId="30D64790">
      <w:pPr>
        <w:spacing w:after="0" w:line="240" w:lineRule="auto"/>
      </w:pPr>
      <w:r>
        <w:rPr>
          <w:rFonts w:ascii="Courier New" w:hAnsi="Courier New" w:eastAsia="Courier New" w:cs="Courier New"/>
          <w:sz w:val="18"/>
          <w:szCs w:val="18"/>
        </w:rPr>
        <w:t xml:space="preserve">   (later) price returns and CLOSES below OB low</w:t>
      </w:r>
    </w:p>
    <w:p w14:paraId="4D6EBA2C">
      <w:pPr>
        <w:spacing w:after="0" w:line="240" w:lineRule="auto"/>
      </w:pPr>
      <w:r>
        <w:rPr>
          <w:rFonts w:ascii="Courier New" w:hAnsi="Courier New" w:eastAsia="Courier New" w:cs="Courier New"/>
          <w:sz w:val="18"/>
          <w:szCs w:val="18"/>
        </w:rPr>
        <w:t xml:space="preserve">          │</w:t>
      </w:r>
    </w:p>
    <w:p w14:paraId="27DAAD5F">
      <w:pPr>
        <w:spacing w:after="0" w:line="240" w:lineRule="auto"/>
      </w:pPr>
      <w:r>
        <w:rPr>
          <w:rFonts w:ascii="Courier New" w:hAnsi="Courier New" w:eastAsia="Courier New" w:cs="Courier New"/>
          <w:sz w:val="18"/>
          <w:szCs w:val="18"/>
        </w:rPr>
        <w:t xml:space="preserve">          ↓</w:t>
      </w:r>
    </w:p>
    <w:p w14:paraId="7DC48022">
      <w:pPr>
        <w:spacing w:after="0" w:line="240" w:lineRule="auto"/>
      </w:pPr>
      <w:r>
        <w:rPr>
          <w:rFonts w:ascii="Courier New" w:hAnsi="Courier New" w:eastAsia="Courier New" w:cs="Courier New"/>
          <w:sz w:val="18"/>
          <w:szCs w:val="18"/>
        </w:rPr>
        <w:t xml:space="preserve">   Zone now acts as Breaker (resistance on return from below)</w:t>
      </w:r>
    </w:p>
    <w:p w14:paraId="4C256AE6">
      <w:pPr>
        <w:pStyle w:val="2"/>
        <w:spacing w:before="360" w:after="240"/>
      </w:pPr>
      <w:r>
        <w:rPr>
          <w:rFonts w:ascii="Arial" w:hAnsi="Arial" w:eastAsia="Arial" w:cs="Arial"/>
          <w:b/>
          <w:bCs/>
          <w:sz w:val="32"/>
          <w:szCs w:val="32"/>
        </w:rPr>
        <w:t>How These Concepts Connect</w:t>
      </w:r>
    </w:p>
    <w:p w14:paraId="07E8EF50">
      <w:pPr>
        <w:spacing w:after="200" w:line="276" w:lineRule="auto"/>
      </w:pPr>
      <w:r>
        <w:rPr>
          <w:rFonts w:ascii="Arial" w:hAnsi="Arial" w:eastAsia="Arial" w:cs="Arial"/>
          <w:sz w:val="22"/>
          <w:szCs w:val="22"/>
        </w:rPr>
        <w:t>Liquidity and displacement (Modules 2–3) create the conditions for a high-quality Order Block. The FVG (Module 4) often sits in or next to that Order Block, supplying confluence. Mitigation describes the return visit. Failure of the Order Block produces the Breaker with inverted polarity. The PD-array hierarchy ranks these tools when several compete inside the same dealing range. All of them remain subordinate to the higher-timeframe narrative and the Draw on Liquidity.</w:t>
      </w:r>
    </w:p>
    <w:p w14:paraId="0FDBE8DF">
      <w:pPr>
        <w:pStyle w:val="2"/>
        <w:spacing w:before="360" w:after="240"/>
      </w:pPr>
      <w:r>
        <w:rPr>
          <w:rFonts w:ascii="Arial" w:hAnsi="Arial" w:eastAsia="Arial" w:cs="Arial"/>
          <w:b/>
          <w:bCs/>
          <w:sz w:val="32"/>
          <w:szCs w:val="32"/>
        </w:rPr>
        <w:t>What You Should Now Be Able to Do</w:t>
      </w:r>
    </w:p>
    <w:p w14:paraId="65C35913">
      <w:pPr>
        <w:pStyle w:val="16"/>
        <w:numPr>
          <w:ilvl w:val="0"/>
          <w:numId w:val="1"/>
        </w:numPr>
        <w:spacing w:after="120" w:line="276" w:lineRule="auto"/>
      </w:pPr>
      <w:r>
        <w:rPr>
          <w:rFonts w:ascii="Arial" w:hAnsi="Arial" w:eastAsia="Arial" w:cs="Arial"/>
          <w:sz w:val="22"/>
          <w:szCs w:val="22"/>
        </w:rPr>
        <w:t>Mark the last opposing candle before a displacement as a candidate Order Block and grade its quality.</w:t>
      </w:r>
    </w:p>
    <w:p w14:paraId="73577055">
      <w:pPr>
        <w:pStyle w:val="16"/>
        <w:numPr>
          <w:ilvl w:val="0"/>
          <w:numId w:val="1"/>
        </w:numPr>
        <w:spacing w:after="120" w:line="276" w:lineRule="auto"/>
      </w:pPr>
      <w:r>
        <w:rPr>
          <w:rFonts w:ascii="Arial" w:hAnsi="Arial" w:eastAsia="Arial" w:cs="Arial"/>
          <w:sz w:val="22"/>
          <w:szCs w:val="22"/>
        </w:rPr>
        <w:t>Determine whether an Order Block has been partially or fully mitigated.</w:t>
      </w:r>
    </w:p>
    <w:p w14:paraId="59F49DA8">
      <w:pPr>
        <w:pStyle w:val="16"/>
        <w:numPr>
          <w:ilvl w:val="0"/>
          <w:numId w:val="1"/>
        </w:numPr>
        <w:spacing w:after="120" w:line="276" w:lineRule="auto"/>
      </w:pPr>
      <w:r>
        <w:rPr>
          <w:rFonts w:ascii="Arial" w:hAnsi="Arial" w:eastAsia="Arial" w:cs="Arial"/>
          <w:sz w:val="22"/>
          <w:szCs w:val="22"/>
        </w:rPr>
        <w:t>Apply the body-close test to distinguish a potential Mitigation / continuation case from a Breaker.</w:t>
      </w:r>
    </w:p>
    <w:p w14:paraId="3C505749">
      <w:pPr>
        <w:pStyle w:val="16"/>
        <w:numPr>
          <w:ilvl w:val="0"/>
          <w:numId w:val="1"/>
        </w:numPr>
        <w:spacing w:after="120" w:line="276" w:lineRule="auto"/>
      </w:pPr>
      <w:r>
        <w:rPr>
          <w:rFonts w:ascii="Arial" w:hAnsi="Arial" w:eastAsia="Arial" w:cs="Arial"/>
          <w:sz w:val="22"/>
          <w:szCs w:val="22"/>
        </w:rPr>
        <w:t>Re-label a failed Order Block as a Breaker and trade (or ignore) the inverted polarity according to context.</w:t>
      </w:r>
    </w:p>
    <w:p w14:paraId="470C6628">
      <w:pPr>
        <w:pStyle w:val="16"/>
        <w:numPr>
          <w:ilvl w:val="0"/>
          <w:numId w:val="1"/>
        </w:numPr>
        <w:spacing w:after="120" w:line="276" w:lineRule="auto"/>
      </w:pPr>
      <w:r>
        <w:rPr>
          <w:rFonts w:ascii="Arial" w:hAnsi="Arial" w:eastAsia="Arial" w:cs="Arial"/>
          <w:sz w:val="22"/>
          <w:szCs w:val="22"/>
        </w:rPr>
        <w:t>Seek confluence between Order Blocks, FVGs, liquidity events and MSS.</w:t>
      </w:r>
    </w:p>
    <w:p w14:paraId="118B2E65">
      <w:pPr>
        <w:pStyle w:val="16"/>
        <w:numPr>
          <w:ilvl w:val="0"/>
          <w:numId w:val="1"/>
        </w:numPr>
        <w:spacing w:after="120" w:line="276" w:lineRule="auto"/>
      </w:pPr>
      <w:r>
        <w:rPr>
          <w:rFonts w:ascii="Arial" w:hAnsi="Arial" w:eastAsia="Arial" w:cs="Arial"/>
          <w:sz w:val="22"/>
          <w:szCs w:val="22"/>
        </w:rPr>
        <w:t>Rank competing PD arrays inside a dealing range using the practical hierarchy in this module.</w:t>
      </w:r>
    </w:p>
    <w:p w14:paraId="1510AA0B">
      <w:pPr>
        <w:pStyle w:val="2"/>
        <w:spacing w:before="360" w:after="240"/>
      </w:pPr>
      <w:r>
        <w:rPr>
          <w:rFonts w:ascii="Arial" w:hAnsi="Arial" w:eastAsia="Arial" w:cs="Arial"/>
          <w:b/>
          <w:bCs/>
          <w:sz w:val="32"/>
          <w:szCs w:val="32"/>
        </w:rPr>
        <w:t>Module Review</w:t>
      </w:r>
    </w:p>
    <w:p w14:paraId="34F2C12D">
      <w:pPr>
        <w:pStyle w:val="3"/>
        <w:spacing w:before="280" w:after="180"/>
      </w:pPr>
      <w:r>
        <w:rPr>
          <w:rFonts w:ascii="Arial" w:hAnsi="Arial" w:eastAsia="Arial" w:cs="Arial"/>
          <w:b/>
          <w:bCs/>
          <w:sz w:val="26"/>
          <w:szCs w:val="26"/>
        </w:rPr>
        <w:t>Key Terms</w:t>
      </w:r>
    </w:p>
    <w:p w14:paraId="565988EB">
      <w:pPr>
        <w:pStyle w:val="16"/>
        <w:numPr>
          <w:ilvl w:val="0"/>
          <w:numId w:val="1"/>
        </w:numPr>
        <w:spacing w:after="120" w:line="276" w:lineRule="auto"/>
      </w:pPr>
      <w:r>
        <w:rPr>
          <w:rFonts w:ascii="Arial" w:hAnsi="Arial" w:eastAsia="Arial" w:cs="Arial"/>
          <w:sz w:val="22"/>
          <w:szCs w:val="22"/>
        </w:rPr>
        <w:t>Order Block (OB) — last opposing candle before displacement; presumed institutional origin.</w:t>
      </w:r>
    </w:p>
    <w:p w14:paraId="3FC6BE73">
      <w:pPr>
        <w:pStyle w:val="16"/>
        <w:numPr>
          <w:ilvl w:val="0"/>
          <w:numId w:val="1"/>
        </w:numPr>
        <w:spacing w:after="120" w:line="276" w:lineRule="auto"/>
      </w:pPr>
      <w:r>
        <w:rPr>
          <w:rFonts w:ascii="Arial" w:hAnsi="Arial" w:eastAsia="Arial" w:cs="Arial"/>
          <w:sz w:val="22"/>
          <w:szCs w:val="22"/>
        </w:rPr>
        <w:t>Mitigation — return of price into a PD array that fills residual interest.</w:t>
      </w:r>
    </w:p>
    <w:p w14:paraId="1351B06C">
      <w:pPr>
        <w:pStyle w:val="16"/>
        <w:numPr>
          <w:ilvl w:val="0"/>
          <w:numId w:val="1"/>
        </w:numPr>
        <w:spacing w:after="120" w:line="276" w:lineRule="auto"/>
      </w:pPr>
      <w:r>
        <w:rPr>
          <w:rFonts w:ascii="Arial" w:hAnsi="Arial" w:eastAsia="Arial" w:cs="Arial"/>
          <w:sz w:val="22"/>
          <w:szCs w:val="22"/>
        </w:rPr>
        <w:t>Mitigation Block — retest of an OB that holds (no body close through far side) and continues original direction.</w:t>
      </w:r>
    </w:p>
    <w:p w14:paraId="1E38F1FB">
      <w:pPr>
        <w:pStyle w:val="16"/>
        <w:numPr>
          <w:ilvl w:val="0"/>
          <w:numId w:val="1"/>
        </w:numPr>
        <w:spacing w:after="120" w:line="276" w:lineRule="auto"/>
      </w:pPr>
      <w:r>
        <w:rPr>
          <w:rFonts w:ascii="Arial" w:hAnsi="Arial" w:eastAsia="Arial" w:cs="Arial"/>
          <w:sz w:val="22"/>
          <w:szCs w:val="22"/>
        </w:rPr>
        <w:t>Breaker Block — violated OB whose polarity inverts after a body close beyond the far boundary.</w:t>
      </w:r>
    </w:p>
    <w:p w14:paraId="1107DE68">
      <w:pPr>
        <w:pStyle w:val="16"/>
        <w:numPr>
          <w:ilvl w:val="0"/>
          <w:numId w:val="1"/>
        </w:numPr>
        <w:spacing w:after="120" w:line="276" w:lineRule="auto"/>
      </w:pPr>
      <w:r>
        <w:rPr>
          <w:rFonts w:ascii="Arial" w:hAnsi="Arial" w:eastAsia="Arial" w:cs="Arial"/>
          <w:sz w:val="22"/>
          <w:szCs w:val="22"/>
        </w:rPr>
        <w:t>Failed Order Block — OB that does not hold on return; precursor to Breaker classification.</w:t>
      </w:r>
    </w:p>
    <w:p w14:paraId="677B4FE1">
      <w:pPr>
        <w:pStyle w:val="16"/>
        <w:numPr>
          <w:ilvl w:val="0"/>
          <w:numId w:val="1"/>
        </w:numPr>
        <w:spacing w:after="120" w:line="276" w:lineRule="auto"/>
      </w:pPr>
      <w:r>
        <w:rPr>
          <w:rFonts w:ascii="Arial" w:hAnsi="Arial" w:eastAsia="Arial" w:cs="Arial"/>
          <w:sz w:val="22"/>
          <w:szCs w:val="22"/>
        </w:rPr>
        <w:t>PD-array hierarchy — practical ranking of competing arrays by quality and context.</w:t>
      </w:r>
    </w:p>
    <w:p w14:paraId="63F8CDB7">
      <w:pPr>
        <w:pStyle w:val="3"/>
        <w:spacing w:before="280" w:after="180"/>
      </w:pPr>
      <w:r>
        <w:rPr>
          <w:rFonts w:ascii="Arial" w:hAnsi="Arial" w:eastAsia="Arial" w:cs="Arial"/>
          <w:b/>
          <w:bCs/>
          <w:sz w:val="26"/>
          <w:szCs w:val="26"/>
        </w:rPr>
        <w:t>Beginner Summary (Bridge)</w:t>
      </w:r>
    </w:p>
    <w:p w14:paraId="626726BD">
      <w:pPr>
        <w:spacing w:after="200" w:line="276" w:lineRule="auto"/>
      </w:pPr>
      <w:r>
        <w:rPr>
          <w:rFonts w:ascii="Arial" w:hAnsi="Arial" w:eastAsia="Arial" w:cs="Arial"/>
          <w:sz w:val="22"/>
          <w:szCs w:val="22"/>
        </w:rPr>
        <w:t>Beginner teaching introduced Order Blocks as the last candle before a strong move. Intermediate teaching adds quality filters (liquidity, displacement, MSS, premium/discount), the explicit concepts of mitigation and failure, the Breaker as inverted polarity after violation, and a working hierarchy among PD arrays.</w:t>
      </w:r>
    </w:p>
    <w:p w14:paraId="34473E4A">
      <w:pPr>
        <w:pStyle w:val="3"/>
        <w:spacing w:before="280" w:after="180"/>
      </w:pPr>
      <w:r>
        <w:rPr>
          <w:rFonts w:ascii="Arial" w:hAnsi="Arial" w:eastAsia="Arial" w:cs="Arial"/>
          <w:b/>
          <w:bCs/>
          <w:sz w:val="26"/>
          <w:szCs w:val="26"/>
        </w:rPr>
        <w:t>Concept Relationships</w:t>
      </w:r>
    </w:p>
    <w:p w14:paraId="784FBDB5">
      <w:pPr>
        <w:spacing w:after="200" w:line="276" w:lineRule="auto"/>
      </w:pPr>
      <w:r>
        <w:rPr>
          <w:rFonts w:ascii="Arial" w:hAnsi="Arial" w:eastAsia="Arial" w:cs="Arial"/>
          <w:sz w:val="22"/>
          <w:szCs w:val="22"/>
        </w:rPr>
        <w:t>Displacement creates both the Order Block (origin) and the FVG (imbalance). Liquidity events raise the quality of both. Structure (MSS) validates the shift. Mitigation and Breaker describe the two main outcomes when price returns. Hierarchy decides which array to prioritise when several are present.</w:t>
      </w:r>
    </w:p>
    <w:p w14:paraId="3A824A5A">
      <w:pPr>
        <w:pStyle w:val="3"/>
        <w:spacing w:before="280" w:after="180"/>
      </w:pPr>
      <w:r>
        <w:rPr>
          <w:rFonts w:ascii="Arial" w:hAnsi="Arial" w:eastAsia="Arial" w:cs="Arial"/>
          <w:b/>
          <w:bCs/>
          <w:sz w:val="26"/>
          <w:szCs w:val="26"/>
        </w:rPr>
        <w:t>Practical Chart Exercise</w:t>
      </w:r>
    </w:p>
    <w:p w14:paraId="28DF47C8">
      <w:pPr>
        <w:spacing w:after="200" w:line="276" w:lineRule="auto"/>
      </w:pPr>
      <w:r>
        <w:rPr>
          <w:rFonts w:ascii="Arial" w:hAnsi="Arial" w:eastAsia="Arial" w:cs="Arial"/>
          <w:sz w:val="22"/>
          <w:szCs w:val="22"/>
        </w:rPr>
        <w:t>On a liquid instrument, review the last several sessions on the 15-minute and 1-hour charts:</w:t>
      </w:r>
    </w:p>
    <w:p w14:paraId="5BDD5F53">
      <w:pPr>
        <w:pStyle w:val="16"/>
        <w:numPr>
          <w:ilvl w:val="0"/>
          <w:numId w:val="2"/>
        </w:numPr>
        <w:spacing w:after="120" w:line="276" w:lineRule="auto"/>
      </w:pPr>
      <w:r>
        <w:rPr>
          <w:rFonts w:ascii="Arial" w:hAnsi="Arial" w:eastAsia="Arial" w:cs="Arial"/>
          <w:sz w:val="22"/>
          <w:szCs w:val="22"/>
        </w:rPr>
        <w:t>Mark every candidate Order Block that preceded a clear displacement.</w:t>
      </w:r>
    </w:p>
    <w:p w14:paraId="778E1837">
      <w:pPr>
        <w:pStyle w:val="16"/>
        <w:numPr>
          <w:ilvl w:val="0"/>
          <w:numId w:val="2"/>
        </w:numPr>
        <w:spacing w:after="120" w:line="276" w:lineRule="auto"/>
      </w:pPr>
      <w:r>
        <w:rPr>
          <w:rFonts w:ascii="Arial" w:hAnsi="Arial" w:eastAsia="Arial" w:cs="Arial"/>
          <w:sz w:val="22"/>
          <w:szCs w:val="22"/>
        </w:rPr>
        <w:t>Note which of those OBs were later revisited.</w:t>
      </w:r>
    </w:p>
    <w:p w14:paraId="09101738">
      <w:pPr>
        <w:pStyle w:val="16"/>
        <w:numPr>
          <w:ilvl w:val="0"/>
          <w:numId w:val="2"/>
        </w:numPr>
        <w:spacing w:after="120" w:line="276" w:lineRule="auto"/>
      </w:pPr>
      <w:r>
        <w:rPr>
          <w:rFonts w:ascii="Arial" w:hAnsi="Arial" w:eastAsia="Arial" w:cs="Arial"/>
          <w:sz w:val="22"/>
          <w:szCs w:val="22"/>
        </w:rPr>
        <w:t>For each revisit, apply the body-close test and classify the outcome as respect/mitigation or violation/Breaker.</w:t>
      </w:r>
    </w:p>
    <w:p w14:paraId="2B6BD51E">
      <w:pPr>
        <w:pStyle w:val="16"/>
        <w:numPr>
          <w:ilvl w:val="0"/>
          <w:numId w:val="2"/>
        </w:numPr>
        <w:spacing w:after="120" w:line="276" w:lineRule="auto"/>
      </w:pPr>
      <w:r>
        <w:rPr>
          <w:rFonts w:ascii="Arial" w:hAnsi="Arial" w:eastAsia="Arial" w:cs="Arial"/>
          <w:sz w:val="22"/>
          <w:szCs w:val="22"/>
        </w:rPr>
        <w:t>Record any confluence with an FVG or liquidity pool.</w:t>
      </w:r>
    </w:p>
    <w:p w14:paraId="0BDD78E4">
      <w:pPr>
        <w:pStyle w:val="16"/>
        <w:numPr>
          <w:ilvl w:val="0"/>
          <w:numId w:val="2"/>
        </w:numPr>
        <w:spacing w:after="120" w:line="276" w:lineRule="auto"/>
      </w:pPr>
      <w:r>
        <w:rPr>
          <w:rFonts w:ascii="Arial" w:hAnsi="Arial" w:eastAsia="Arial" w:cs="Arial"/>
          <w:sz w:val="22"/>
          <w:szCs w:val="22"/>
        </w:rPr>
        <w:t>Rank the arrays that were present at the moment of the revisit using the hierarchy in this module.</w:t>
      </w:r>
    </w:p>
    <w:p w14:paraId="5CB1B7C2">
      <w:pPr>
        <w:pStyle w:val="16"/>
        <w:numPr>
          <w:ilvl w:val="0"/>
          <w:numId w:val="2"/>
        </w:numPr>
        <w:spacing w:after="120" w:line="276" w:lineRule="auto"/>
      </w:pPr>
      <w:r>
        <w:rPr>
          <w:rFonts w:ascii="Arial" w:hAnsi="Arial" w:eastAsia="Arial" w:cs="Arial"/>
          <w:sz w:val="22"/>
          <w:szCs w:val="22"/>
        </w:rPr>
        <w:t>Write a short assessment of which classifications would have led to the correct directional expectation.</w:t>
      </w:r>
    </w:p>
    <w:p w14:paraId="1414C9DA">
      <w:pPr>
        <w:pStyle w:val="3"/>
        <w:spacing w:before="280" w:after="180"/>
      </w:pPr>
      <w:r>
        <w:rPr>
          <w:rFonts w:ascii="Arial" w:hAnsi="Arial" w:eastAsia="Arial" w:cs="Arial"/>
          <w:b/>
          <w:bCs/>
          <w:sz w:val="26"/>
          <w:szCs w:val="26"/>
        </w:rPr>
        <w:t>Self-Test Questions</w:t>
      </w:r>
    </w:p>
    <w:p w14:paraId="6566DC93">
      <w:pPr>
        <w:pStyle w:val="16"/>
        <w:numPr>
          <w:ilvl w:val="0"/>
          <w:numId w:val="2"/>
        </w:numPr>
        <w:spacing w:after="120" w:line="276" w:lineRule="auto"/>
      </w:pPr>
      <w:r>
        <w:rPr>
          <w:rFonts w:ascii="Arial" w:hAnsi="Arial" w:eastAsia="Arial" w:cs="Arial"/>
          <w:sz w:val="22"/>
          <w:szCs w:val="22"/>
        </w:rPr>
        <w:t>What is the basic formation rule for a bullish Order Block?</w:t>
      </w:r>
    </w:p>
    <w:p w14:paraId="27E06ED2">
      <w:pPr>
        <w:pStyle w:val="16"/>
        <w:numPr>
          <w:ilvl w:val="0"/>
          <w:numId w:val="2"/>
        </w:numPr>
        <w:spacing w:after="120" w:line="276" w:lineRule="auto"/>
      </w:pPr>
      <w:r>
        <w:rPr>
          <w:rFonts w:ascii="Arial" w:hAnsi="Arial" w:eastAsia="Arial" w:cs="Arial"/>
          <w:sz w:val="22"/>
          <w:szCs w:val="22"/>
        </w:rPr>
        <w:t>List three quality filters that elevate an Order Block above a random down-close candle.</w:t>
      </w:r>
    </w:p>
    <w:p w14:paraId="68311A52">
      <w:pPr>
        <w:pStyle w:val="16"/>
        <w:numPr>
          <w:ilvl w:val="0"/>
          <w:numId w:val="2"/>
        </w:numPr>
        <w:spacing w:after="120" w:line="276" w:lineRule="auto"/>
      </w:pPr>
      <w:r>
        <w:rPr>
          <w:rFonts w:ascii="Arial" w:hAnsi="Arial" w:eastAsia="Arial" w:cs="Arial"/>
          <w:sz w:val="22"/>
          <w:szCs w:val="22"/>
        </w:rPr>
        <w:t>What is the practical body-close test that distinguishes a Mitigation-style respect from a Breaker?</w:t>
      </w:r>
    </w:p>
    <w:p w14:paraId="47EC2808">
      <w:pPr>
        <w:pStyle w:val="16"/>
        <w:numPr>
          <w:ilvl w:val="0"/>
          <w:numId w:val="2"/>
        </w:numPr>
        <w:spacing w:after="120" w:line="276" w:lineRule="auto"/>
      </w:pPr>
      <w:r>
        <w:rPr>
          <w:rFonts w:ascii="Arial" w:hAnsi="Arial" w:eastAsia="Arial" w:cs="Arial"/>
          <w:sz w:val="22"/>
          <w:szCs w:val="22"/>
        </w:rPr>
        <w:t>When a bullish Order Block fails with a body close below its low, what polarity does the zone acquire on the return?</w:t>
      </w:r>
    </w:p>
    <w:p w14:paraId="0029E6FD">
      <w:pPr>
        <w:pStyle w:val="16"/>
        <w:numPr>
          <w:ilvl w:val="0"/>
          <w:numId w:val="2"/>
        </w:numPr>
        <w:spacing w:after="120" w:line="276" w:lineRule="auto"/>
      </w:pPr>
      <w:r>
        <w:rPr>
          <w:rFonts w:ascii="Arial" w:hAnsi="Arial" w:eastAsia="Arial" w:cs="Arial"/>
          <w:sz w:val="22"/>
          <w:szCs w:val="22"/>
        </w:rPr>
        <w:t>Why does overlap between an Order Block and a Fair Value Gap raise confluence?</w:t>
      </w:r>
    </w:p>
    <w:p w14:paraId="026A3B0B">
      <w:pPr>
        <w:pStyle w:val="16"/>
        <w:numPr>
          <w:ilvl w:val="0"/>
          <w:numId w:val="2"/>
        </w:numPr>
        <w:spacing w:after="120" w:line="276" w:lineRule="auto"/>
      </w:pPr>
      <w:r>
        <w:rPr>
          <w:rFonts w:ascii="Arial" w:hAnsi="Arial" w:eastAsia="Arial" w:cs="Arial"/>
          <w:sz w:val="22"/>
          <w:szCs w:val="22"/>
        </w:rPr>
        <w:t>How should a trader rank an unmitigated higher-timeframe Order Block against a lower-timeframe FVG in the same region?</w:t>
      </w:r>
    </w:p>
    <w:p w14:paraId="2F8A91FF">
      <w:pPr>
        <w:pStyle w:val="3"/>
        <w:spacing w:before="280" w:after="180"/>
      </w:pPr>
      <w:r>
        <w:rPr>
          <w:rFonts w:ascii="Arial" w:hAnsi="Arial" w:eastAsia="Arial" w:cs="Arial"/>
          <w:b/>
          <w:bCs/>
          <w:sz w:val="26"/>
          <w:szCs w:val="26"/>
        </w:rPr>
        <w:t>Common Misconceptions</w:t>
      </w:r>
    </w:p>
    <w:p w14:paraId="0EE4B669">
      <w:pPr>
        <w:pStyle w:val="16"/>
        <w:numPr>
          <w:ilvl w:val="0"/>
          <w:numId w:val="1"/>
        </w:numPr>
        <w:spacing w:after="120" w:line="276" w:lineRule="auto"/>
      </w:pPr>
      <w:r>
        <w:rPr>
          <w:rFonts w:ascii="Arial" w:hAnsi="Arial" w:eastAsia="Arial" w:cs="Arial"/>
          <w:sz w:val="22"/>
          <w:szCs w:val="22"/>
        </w:rPr>
        <w:t>“Every down-close candle before an up-move is a high-probability Order Block.” — False. Context and displacement quality are required.</w:t>
      </w:r>
    </w:p>
    <w:p w14:paraId="6B9C37FF">
      <w:pPr>
        <w:pStyle w:val="16"/>
        <w:numPr>
          <w:ilvl w:val="0"/>
          <w:numId w:val="1"/>
        </w:numPr>
        <w:spacing w:after="120" w:line="276" w:lineRule="auto"/>
      </w:pPr>
      <w:r>
        <w:rPr>
          <w:rFonts w:ascii="Arial" w:hAnsi="Arial" w:eastAsia="Arial" w:cs="Arial"/>
          <w:sz w:val="22"/>
          <w:szCs w:val="22"/>
        </w:rPr>
        <w:t>“Once marked, an Order Block is permanent support/resistance.” — False. Mitigation and failure change its status.</w:t>
      </w:r>
    </w:p>
    <w:p w14:paraId="3491A3D2">
      <w:pPr>
        <w:pStyle w:val="16"/>
        <w:numPr>
          <w:ilvl w:val="0"/>
          <w:numId w:val="1"/>
        </w:numPr>
        <w:spacing w:after="120" w:line="276" w:lineRule="auto"/>
      </w:pPr>
      <w:r>
        <w:rPr>
          <w:rFonts w:ascii="Arial" w:hAnsi="Arial" w:eastAsia="Arial" w:cs="Arial"/>
          <w:sz w:val="22"/>
          <w:szCs w:val="22"/>
        </w:rPr>
        <w:t>“Breaker and Mitigation Block are interchangeable terms.” — False. The body-close test and resulting polarity differ.</w:t>
      </w:r>
    </w:p>
    <w:p w14:paraId="4D59BD66">
      <w:pPr>
        <w:pStyle w:val="16"/>
        <w:numPr>
          <w:ilvl w:val="0"/>
          <w:numId w:val="1"/>
        </w:numPr>
        <w:spacing w:after="120" w:line="276" w:lineRule="auto"/>
      </w:pPr>
      <w:r>
        <w:rPr>
          <w:rFonts w:ascii="Arial" w:hAnsi="Arial" w:eastAsia="Arial" w:cs="Arial"/>
          <w:sz w:val="22"/>
          <w:szCs w:val="22"/>
        </w:rPr>
        <w:t>“The highest-ranked PD array always wins.” — Overstated. Context (premium/discount, liquidity, HTF narrative) can override pure ranking.</w:t>
      </w:r>
    </w:p>
    <w:p w14:paraId="77325CA0">
      <w:pPr>
        <w:pStyle w:val="16"/>
        <w:numPr>
          <w:ilvl w:val="0"/>
          <w:numId w:val="1"/>
        </w:numPr>
        <w:spacing w:after="120" w:line="276" w:lineRule="auto"/>
      </w:pPr>
      <w:r>
        <w:rPr>
          <w:rFonts w:ascii="Arial" w:hAnsi="Arial" w:eastAsia="Arial" w:cs="Arial"/>
          <w:sz w:val="22"/>
          <w:szCs w:val="22"/>
        </w:rPr>
        <w:t>“If price wicks through an OB it has failed.” — Not necessarily; a body close beyond the far boundary is the clearer failure signal.</w:t>
      </w:r>
    </w:p>
    <w:p w14:paraId="32FD9FC2">
      <w:pPr>
        <w:pStyle w:val="3"/>
        <w:spacing w:before="280" w:after="180"/>
      </w:pPr>
      <w:r>
        <w:rPr>
          <w:rFonts w:ascii="Arial" w:hAnsi="Arial" w:eastAsia="Arial" w:cs="Arial"/>
          <w:b/>
          <w:bCs/>
          <w:sz w:val="26"/>
          <w:szCs w:val="26"/>
        </w:rPr>
        <w:t>Research Sources</w:t>
      </w:r>
    </w:p>
    <w:p w14:paraId="5E507BF7">
      <w:pPr>
        <w:spacing w:after="200" w:line="276" w:lineRule="auto"/>
      </w:pPr>
      <w:r>
        <w:rPr>
          <w:rFonts w:ascii="Arial" w:hAnsi="Arial" w:eastAsia="Arial" w:cs="Arial"/>
          <w:sz w:val="22"/>
          <w:szCs w:val="22"/>
        </w:rPr>
        <w:t>Primary orientation is taken from ICT’s presentation of Order Blocks as the origin of displacement, the subsequent behaviour of those zones on return, and the existence of Breaker-type inverted polarity after failure. Mitigation language appears across ICT material when describing the return to unfilled or partially filled institutional interest.</w:t>
      </w:r>
    </w:p>
    <w:p w14:paraId="3440D0A8">
      <w:pPr>
        <w:spacing w:after="200" w:line="276" w:lineRule="auto"/>
      </w:pPr>
      <w:r>
        <w:rPr>
          <w:rFonts w:ascii="Arial" w:hAnsi="Arial" w:eastAsia="Arial" w:cs="Arial"/>
          <w:sz w:val="22"/>
          <w:szCs w:val="22"/>
        </w:rPr>
        <w:t>Community sources show variation in the exact definitions of Mitigation Block versus Breaker. This module adopts the operational body-close test as the most consistent intermediate filter and explicitly notes definitional variation where it exists. PD-array hierarchy is presented as a practical synthesis rather than a rigid ICT dogma.</w:t>
      </w:r>
    </w:p>
    <w:p w14:paraId="4E282FB8">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Key references include ICT discussions of Order Blocks in the context of displacement and market structure, chart examples of failed OBs becoming resistance/support from the opposite side, and the broader PD-array framework. Secondary clarifications of Mitigation vs Breaker distinctions appear in community educational material; the body-close test is retained as the clearest practical delimiter.</w:t>
      </w:r>
    </w:p>
    <w:p w14:paraId="7F3D028E">
      <w:pPr>
        <w:pStyle w:val="2"/>
        <w:spacing w:before="360" w:after="240"/>
      </w:pPr>
      <w:r>
        <w:rPr>
          <w:rFonts w:ascii="Arial" w:hAnsi="Arial" w:eastAsia="Arial" w:cs="Arial"/>
          <w:b/>
          <w:bCs/>
          <w:sz w:val="32"/>
          <w:szCs w:val="32"/>
        </w:rPr>
        <w:t>Transition to Module 6</w:t>
      </w:r>
    </w:p>
    <w:p w14:paraId="335BF2C1">
      <w:pPr>
        <w:spacing w:after="200" w:line="276" w:lineRule="auto"/>
      </w:pPr>
      <w:r>
        <w:rPr>
          <w:rFonts w:ascii="Arial" w:hAnsi="Arial" w:eastAsia="Arial" w:cs="Arial"/>
          <w:sz w:val="22"/>
          <w:szCs w:val="22"/>
        </w:rPr>
        <w:t>Module 5 has completed the core set of candle-based and imbalance-based PD arrays (Order Blocks, Breakers, Mitigation concepts, and their interaction with FVGs). Module 6 (Dealing Ranges &amp; Premium/Discount) will deepen the container in which all of these arrays operate — refining how to select the correct dealing range, how premium and discount filter every PD array, and how range expansion and contraction alter the relevance of the arrays inside them. Many of the quality filters already introduced will be shown to rest on correct dealing-range definition.</w:t>
      </w:r>
    </w:p>
    <w:p w14:paraId="731EB839">
      <w:pPr>
        <w:spacing w:after="200" w:line="276" w:lineRule="auto"/>
        <w:rPr>
          <w:rFonts w:ascii="Arial" w:hAnsi="Arial" w:eastAsia="Arial" w:cs="Arial"/>
          <w:sz w:val="22"/>
          <w:szCs w:val="22"/>
        </w:rPr>
      </w:pPr>
    </w:p>
    <w:p w14:paraId="76FA4E2E">
      <w:pPr>
        <w:spacing w:after="200" w:line="276" w:lineRule="auto"/>
        <w:rPr>
          <w:rFonts w:ascii="Arial" w:hAnsi="Arial" w:eastAsia="Arial" w:cs="Arial"/>
          <w:sz w:val="22"/>
          <w:szCs w:val="22"/>
        </w:rPr>
      </w:pPr>
    </w:p>
    <w:p w14:paraId="19A252B1">
      <w:pPr>
        <w:spacing w:after="400"/>
        <w:jc w:val="center"/>
      </w:pPr>
      <w:r>
        <w:rPr>
          <w:rFonts w:ascii="Arial" w:hAnsi="Arial" w:eastAsia="Arial" w:cs="Arial"/>
          <w:b/>
          <w:bCs/>
          <w:sz w:val="36"/>
          <w:szCs w:val="36"/>
        </w:rPr>
        <w:t>MODULE 6</w:t>
      </w:r>
    </w:p>
    <w:p w14:paraId="1F676BFA">
      <w:pPr>
        <w:spacing w:after="200"/>
        <w:jc w:val="center"/>
      </w:pPr>
      <w:r>
        <w:rPr>
          <w:rFonts w:ascii="Arial" w:hAnsi="Arial" w:eastAsia="Arial" w:cs="Arial"/>
          <w:b/>
          <w:bCs/>
          <w:sz w:val="28"/>
          <w:szCs w:val="28"/>
        </w:rPr>
        <w:t>Dealing Ranges &amp; Premium/Discount</w:t>
      </w:r>
    </w:p>
    <w:p w14:paraId="138E7B0A">
      <w:pPr>
        <w:spacing w:after="400"/>
        <w:jc w:val="center"/>
      </w:pPr>
      <w:r>
        <w:rPr>
          <w:rFonts w:ascii="Arial" w:hAnsi="Arial" w:eastAsia="Arial" w:cs="Arial"/>
          <w:i/>
          <w:iCs/>
          <w:sz w:val="20"/>
          <w:szCs w:val="20"/>
        </w:rPr>
        <w:t>Selecting the Correct Range, Equilibrium, Expansion &amp; Contraction, Filtering Liquidity &amp; PD Arrays</w:t>
      </w:r>
    </w:p>
    <w:p w14:paraId="2AB909FA">
      <w:pPr>
        <w:pBdr>
          <w:left w:val="single" w:color="2E75B6" w:sz="24" w:space="8"/>
        </w:pBdr>
        <w:shd w:val="clear" w:fill="F5F5F5"/>
        <w:spacing w:before="120" w:after="200" w:line="276" w:lineRule="auto"/>
        <w:ind w:left="120"/>
      </w:pPr>
      <w:r>
        <w:rPr>
          <w:rFonts w:ascii="Arial" w:hAnsi="Arial" w:eastAsia="Arial" w:cs="Arial"/>
          <w:i/>
          <w:iCs/>
          <w:sz w:val="20"/>
          <w:szCs w:val="20"/>
        </w:rPr>
        <w:t>Prerequisite: Modules 1–5 assumed complete. The student already understands hierarchical structure, internal vs external liquidity, displacement, MSS, FVGs, Order Blocks, Breakers and the practical PD-array hierarchy. This module deepens the container in which all of those tools operate.</w:t>
      </w:r>
    </w:p>
    <w:p w14:paraId="6DD92613">
      <w:pPr>
        <w:pStyle w:val="2"/>
        <w:spacing w:before="360" w:after="240"/>
      </w:pPr>
      <w:r>
        <w:rPr>
          <w:rFonts w:ascii="Arial" w:hAnsi="Arial" w:eastAsia="Arial" w:cs="Arial"/>
          <w:b/>
          <w:bCs/>
          <w:sz w:val="32"/>
          <w:szCs w:val="32"/>
        </w:rPr>
        <w:t>Module Objectives</w:t>
      </w:r>
    </w:p>
    <w:p w14:paraId="2452886B">
      <w:pPr>
        <w:spacing w:after="200" w:line="276" w:lineRule="auto"/>
      </w:pPr>
      <w:r>
        <w:rPr>
          <w:rFonts w:ascii="Arial" w:hAnsi="Arial" w:eastAsia="Arial" w:cs="Arial"/>
          <w:sz w:val="22"/>
          <w:szCs w:val="22"/>
        </w:rPr>
        <w:t>By the end of this module the intermediate student should be able to:</w:t>
      </w:r>
    </w:p>
    <w:p w14:paraId="54B227CB">
      <w:pPr>
        <w:pStyle w:val="16"/>
        <w:numPr>
          <w:ilvl w:val="0"/>
          <w:numId w:val="1"/>
        </w:numPr>
        <w:spacing w:after="120" w:line="276" w:lineRule="auto"/>
      </w:pPr>
      <w:r>
        <w:rPr>
          <w:rFonts w:ascii="Arial" w:hAnsi="Arial" w:eastAsia="Arial" w:cs="Arial"/>
          <w:sz w:val="22"/>
          <w:szCs w:val="22"/>
        </w:rPr>
        <w:t>Select the correct dealing range for the timeframe and narrative being traded.</w:t>
      </w:r>
    </w:p>
    <w:p w14:paraId="2360F275">
      <w:pPr>
        <w:pStyle w:val="16"/>
        <w:numPr>
          <w:ilvl w:val="0"/>
          <w:numId w:val="1"/>
        </w:numPr>
        <w:spacing w:after="120" w:line="276" w:lineRule="auto"/>
      </w:pPr>
      <w:r>
        <w:rPr>
          <w:rFonts w:ascii="Arial" w:hAnsi="Arial" w:eastAsia="Arial" w:cs="Arial"/>
          <w:sz w:val="22"/>
          <w:szCs w:val="22"/>
        </w:rPr>
        <w:t>Locate equilibrium and correctly label premium and discount halves.</w:t>
      </w:r>
    </w:p>
    <w:p w14:paraId="4316EEEF">
      <w:pPr>
        <w:pStyle w:val="16"/>
        <w:numPr>
          <w:ilvl w:val="0"/>
          <w:numId w:val="1"/>
        </w:numPr>
        <w:spacing w:after="120" w:line="276" w:lineRule="auto"/>
      </w:pPr>
      <w:r>
        <w:rPr>
          <w:rFonts w:ascii="Arial" w:hAnsi="Arial" w:eastAsia="Arial" w:cs="Arial"/>
          <w:sz w:val="22"/>
          <w:szCs w:val="22"/>
        </w:rPr>
        <w:t>Recognise range expansion and range contraction and their implications for array relevance.</w:t>
      </w:r>
    </w:p>
    <w:p w14:paraId="204D2CB6">
      <w:pPr>
        <w:pStyle w:val="16"/>
        <w:numPr>
          <w:ilvl w:val="0"/>
          <w:numId w:val="1"/>
        </w:numPr>
        <w:spacing w:after="120" w:line="276" w:lineRule="auto"/>
      </w:pPr>
      <w:r>
        <w:rPr>
          <w:rFonts w:ascii="Arial" w:hAnsi="Arial" w:eastAsia="Arial" w:cs="Arial"/>
          <w:sz w:val="22"/>
          <w:szCs w:val="22"/>
        </w:rPr>
        <w:t>Filter liquidity objectives and PD arrays according to their location in premium or discount.</w:t>
      </w:r>
    </w:p>
    <w:p w14:paraId="06520A33">
      <w:pPr>
        <w:pStyle w:val="16"/>
        <w:numPr>
          <w:ilvl w:val="0"/>
          <w:numId w:val="1"/>
        </w:numPr>
        <w:spacing w:after="120" w:line="276" w:lineRule="auto"/>
      </w:pPr>
      <w:r>
        <w:rPr>
          <w:rFonts w:ascii="Arial" w:hAnsi="Arial" w:eastAsia="Arial" w:cs="Arial"/>
          <w:sz w:val="22"/>
          <w:szCs w:val="22"/>
        </w:rPr>
        <w:t>Apply the bullish-discount and bearish-premium frameworks consistently.</w:t>
      </w:r>
    </w:p>
    <w:p w14:paraId="2E9C5A0C">
      <w:pPr>
        <w:pStyle w:val="16"/>
        <w:numPr>
          <w:ilvl w:val="0"/>
          <w:numId w:val="1"/>
        </w:numPr>
        <w:spacing w:after="120" w:line="276" w:lineRule="auto"/>
      </w:pPr>
      <w:r>
        <w:rPr>
          <w:rFonts w:ascii="Arial" w:hAnsi="Arial" w:eastAsia="Arial" w:cs="Arial"/>
          <w:sz w:val="22"/>
          <w:szCs w:val="22"/>
        </w:rPr>
        <w:t>Avoid the common error of taking long setups in deep premium or short setups in deep discount without strong overriding context.</w:t>
      </w:r>
    </w:p>
    <w:p w14:paraId="5D4A559D">
      <w:pPr>
        <w:pStyle w:val="16"/>
        <w:numPr>
          <w:ilvl w:val="0"/>
          <w:numId w:val="1"/>
        </w:numPr>
        <w:spacing w:after="120" w:line="276" w:lineRule="auto"/>
      </w:pPr>
      <w:r>
        <w:rPr>
          <w:rFonts w:ascii="Arial" w:hAnsi="Arial" w:eastAsia="Arial" w:cs="Arial"/>
          <w:sz w:val="22"/>
          <w:szCs w:val="22"/>
        </w:rPr>
        <w:t>Update the dealing range when external structure expands and holds.</w:t>
      </w:r>
    </w:p>
    <w:p w14:paraId="7265E45D">
      <w:pPr>
        <w:pStyle w:val="2"/>
        <w:spacing w:before="360" w:after="240"/>
      </w:pPr>
      <w:r>
        <w:rPr>
          <w:rFonts w:ascii="Arial" w:hAnsi="Arial" w:eastAsia="Arial" w:cs="Arial"/>
          <w:b/>
          <w:bCs/>
          <w:sz w:val="32"/>
          <w:szCs w:val="32"/>
        </w:rPr>
        <w:t>Introduction: The Container That Filters Everything</w:t>
      </w:r>
    </w:p>
    <w:p w14:paraId="2C3442B4">
      <w:pPr>
        <w:spacing w:after="200" w:line="276" w:lineRule="auto"/>
      </w:pPr>
      <w:r>
        <w:rPr>
          <w:rFonts w:ascii="Arial" w:hAnsi="Arial" w:eastAsia="Arial" w:cs="Arial"/>
          <w:sz w:val="22"/>
          <w:szCs w:val="22"/>
        </w:rPr>
        <w:t>Every PD array, every liquidity pool and every Market Structure Shift exists inside a dealing range. The dealing range is the price container defined by a meaningful swing high and swing low. Its 50 % level — equilibrium — divides the container into premium (above) and discount (below).</w:t>
      </w:r>
    </w:p>
    <w:p w14:paraId="384B7CB5">
      <w:pPr>
        <w:spacing w:after="200" w:line="276" w:lineRule="auto"/>
      </w:pPr>
      <w:r>
        <w:rPr>
          <w:rFonts w:ascii="Arial" w:hAnsi="Arial" w:eastAsia="Arial" w:cs="Arial"/>
          <w:sz w:val="22"/>
          <w:szCs w:val="22"/>
        </w:rPr>
        <w:t>Intermediate practice treats this division as a primary filter: bullish ideas are preferentially sought in discount; bearish ideas are preferentially sought in premium. Arrays and liquidity pools that sit in the wrong half of the range are lower priority or require exceptional confluence to justify engagement.</w:t>
      </w:r>
    </w:p>
    <w:p w14:paraId="37ED888A">
      <w:pPr>
        <w:spacing w:after="200" w:line="276" w:lineRule="auto"/>
      </w:pPr>
      <w:r>
        <w:rPr>
          <w:rFonts w:ascii="Arial" w:hAnsi="Arial" w:eastAsia="Arial" w:cs="Arial"/>
          <w:sz w:val="22"/>
          <w:szCs w:val="22"/>
        </w:rPr>
        <w:t>This module refines how to choose the right container, how to read expansion and contraction inside it, and how to apply the premium/discount filter to everything learned in Modules 1–5.</w:t>
      </w:r>
    </w:p>
    <w:p w14:paraId="524B989D">
      <w:pPr>
        <w:pStyle w:val="2"/>
        <w:spacing w:before="360" w:after="240"/>
      </w:pPr>
      <w:r>
        <w:rPr>
          <w:rFonts w:ascii="Arial" w:hAnsi="Arial" w:eastAsia="Arial" w:cs="Arial"/>
          <w:b/>
          <w:bCs/>
          <w:sz w:val="32"/>
          <w:szCs w:val="32"/>
        </w:rPr>
        <w:t>1. The Dealing Range — Selection Discipline</w:t>
      </w:r>
    </w:p>
    <w:p w14:paraId="4D67A89E">
      <w:pPr>
        <w:pStyle w:val="3"/>
        <w:spacing w:before="280" w:after="180"/>
      </w:pPr>
      <w:r>
        <w:rPr>
          <w:rFonts w:ascii="Arial" w:hAnsi="Arial" w:eastAsia="Arial" w:cs="Arial"/>
          <w:b/>
          <w:bCs/>
          <w:sz w:val="26"/>
          <w:szCs w:val="26"/>
        </w:rPr>
        <w:t>1.1 Definition (Unchanged)</w:t>
      </w:r>
    </w:p>
    <w:p w14:paraId="51A81EF1">
      <w:pPr>
        <w:spacing w:after="200" w:line="276" w:lineRule="auto"/>
      </w:pPr>
      <w:r>
        <w:rPr>
          <w:rFonts w:ascii="Arial" w:hAnsi="Arial" w:eastAsia="Arial" w:cs="Arial"/>
          <w:sz w:val="22"/>
          <w:szCs w:val="22"/>
        </w:rPr>
        <w:t>A dealing range is the price territory bounded by a significant swing high (range high) and a significant swing low (range low). Equilibrium is the exact 50 % midpoint of that range.</w:t>
      </w:r>
    </w:p>
    <w:p w14:paraId="0DD2E7B2">
      <w:pPr>
        <w:pStyle w:val="3"/>
        <w:spacing w:before="280" w:after="180"/>
      </w:pPr>
      <w:r>
        <w:rPr>
          <w:rFonts w:ascii="Arial" w:hAnsi="Arial" w:eastAsia="Arial" w:cs="Arial"/>
          <w:b/>
          <w:bCs/>
          <w:sz w:val="26"/>
          <w:szCs w:val="26"/>
        </w:rPr>
        <w:t>1.2 Selecting the Correct Range</w:t>
      </w:r>
    </w:p>
    <w:p w14:paraId="3B074A37">
      <w:pPr>
        <w:spacing w:after="200" w:line="276" w:lineRule="auto"/>
      </w:pPr>
      <w:r>
        <w:rPr>
          <w:rFonts w:ascii="Arial" w:hAnsi="Arial" w:eastAsia="Arial" w:cs="Arial"/>
          <w:sz w:val="22"/>
          <w:szCs w:val="22"/>
        </w:rPr>
        <w:t>The most common intermediate error is marking an arbitrary or too-narrow range. Selection guidelines:</w:t>
      </w:r>
    </w:p>
    <w:p w14:paraId="62FBAA05">
      <w:pPr>
        <w:pStyle w:val="16"/>
        <w:numPr>
          <w:ilvl w:val="0"/>
          <w:numId w:val="2"/>
        </w:numPr>
        <w:spacing w:after="120" w:line="276" w:lineRule="auto"/>
      </w:pPr>
      <w:r>
        <w:rPr>
          <w:rFonts w:ascii="Arial" w:hAnsi="Arial" w:eastAsia="Arial" w:cs="Arial"/>
          <w:sz w:val="22"/>
          <w:szCs w:val="22"/>
        </w:rPr>
        <w:t>Prefer the range whose boundaries have been tested or have engineered liquidity (sweeps of both sides raise confidence that the range is “active”).</w:t>
      </w:r>
    </w:p>
    <w:p w14:paraId="6F8439AD">
      <w:pPr>
        <w:pStyle w:val="16"/>
        <w:numPr>
          <w:ilvl w:val="0"/>
          <w:numId w:val="2"/>
        </w:numPr>
        <w:spacing w:after="120" w:line="276" w:lineRule="auto"/>
      </w:pPr>
      <w:r>
        <w:rPr>
          <w:rFonts w:ascii="Arial" w:hAnsi="Arial" w:eastAsia="Arial" w:cs="Arial"/>
          <w:sz w:val="22"/>
          <w:szCs w:val="22"/>
        </w:rPr>
        <w:t>Align the range with the timeframe of the narrative being traded. A 15-minute execution model should reference a 15-minute or 1-hour dealing range that itself sits inside a higher-timeframe container.</w:t>
      </w:r>
    </w:p>
    <w:p w14:paraId="38195242">
      <w:pPr>
        <w:pStyle w:val="16"/>
        <w:numPr>
          <w:ilvl w:val="0"/>
          <w:numId w:val="2"/>
        </w:numPr>
        <w:spacing w:after="120" w:line="276" w:lineRule="auto"/>
      </w:pPr>
      <w:r>
        <w:rPr>
          <w:rFonts w:ascii="Arial" w:hAnsi="Arial" w:eastAsia="Arial" w:cs="Arial"/>
          <w:sz w:val="22"/>
          <w:szCs w:val="22"/>
        </w:rPr>
        <w:t>When nested ranges exist, keep the higher-timeframe range in view. A long that is in discount on the 1-hour but deep in premium on the daily requires additional justification.</w:t>
      </w:r>
    </w:p>
    <w:p w14:paraId="15612656">
      <w:pPr>
        <w:pStyle w:val="16"/>
        <w:numPr>
          <w:ilvl w:val="0"/>
          <w:numId w:val="2"/>
        </w:numPr>
        <w:spacing w:after="120" w:line="276" w:lineRule="auto"/>
      </w:pPr>
      <w:r>
        <w:rPr>
          <w:rFonts w:ascii="Arial" w:hAnsi="Arial" w:eastAsia="Arial" w:cs="Arial"/>
          <w:sz w:val="22"/>
          <w:szCs w:val="22"/>
        </w:rPr>
        <w:t>Update the range when price expands beyond a boundary with displacement and the new extreme holds. The old boundary is retired; a new container is defined.</w:t>
      </w:r>
    </w:p>
    <w:p w14:paraId="3B3D5F95">
      <w:pPr>
        <w:pStyle w:val="3"/>
        <w:spacing w:before="280" w:after="180"/>
      </w:pPr>
      <w:r>
        <w:rPr>
          <w:rFonts w:ascii="Arial" w:hAnsi="Arial" w:eastAsia="Arial" w:cs="Arial"/>
          <w:b/>
          <w:bCs/>
          <w:sz w:val="26"/>
          <w:szCs w:val="26"/>
        </w:rPr>
        <w:t>1.3 Nested / Fractal Ranges</w:t>
      </w:r>
    </w:p>
    <w:p w14:paraId="4A1FE8DE">
      <w:pPr>
        <w:spacing w:after="200" w:line="276" w:lineRule="auto"/>
      </w:pPr>
      <w:r>
        <w:rPr>
          <w:rFonts w:ascii="Arial" w:hAnsi="Arial" w:eastAsia="Arial" w:cs="Arial"/>
          <w:sz w:val="22"/>
          <w:szCs w:val="22"/>
        </w:rPr>
        <w:t>Dealing ranges nest. The daily range lives inside the weekly range; the 1-hour range lives inside the daily. Intermediate analysis maintains awareness of at least two levels so that a local discount is not mistaken for a higher-timeframe discount.</w:t>
      </w:r>
    </w:p>
    <w:p w14:paraId="314981B8">
      <w:pPr>
        <w:pStyle w:val="2"/>
        <w:spacing w:before="360" w:after="240"/>
      </w:pPr>
      <w:r>
        <w:rPr>
          <w:rFonts w:ascii="Arial" w:hAnsi="Arial" w:eastAsia="Arial" w:cs="Arial"/>
          <w:b/>
          <w:bCs/>
          <w:sz w:val="32"/>
          <w:szCs w:val="32"/>
        </w:rPr>
        <w:t>2. Equilibrium, Premium and Discount</w:t>
      </w:r>
    </w:p>
    <w:p w14:paraId="2228B6E6">
      <w:pPr>
        <w:pStyle w:val="3"/>
        <w:spacing w:before="280" w:after="180"/>
      </w:pPr>
      <w:r>
        <w:rPr>
          <w:rFonts w:ascii="Arial" w:hAnsi="Arial" w:eastAsia="Arial" w:cs="Arial"/>
          <w:b/>
          <w:bCs/>
          <w:sz w:val="26"/>
          <w:szCs w:val="26"/>
        </w:rPr>
        <w:t>2.1 Definitions</w:t>
      </w:r>
    </w:p>
    <w:p w14:paraId="40CBBDDB">
      <w:pPr>
        <w:spacing w:after="200" w:line="276" w:lineRule="auto"/>
      </w:pPr>
      <w:r>
        <w:rPr>
          <w:rFonts w:ascii="Arial" w:hAnsi="Arial" w:eastAsia="Arial" w:cs="Arial"/>
          <w:sz w:val="22"/>
          <w:szCs w:val="22"/>
        </w:rPr>
        <w:t>Equilibrium = (Range High + Range Low) / 2.</w:t>
      </w:r>
    </w:p>
    <w:p w14:paraId="1CA3A777">
      <w:pPr>
        <w:spacing w:after="200" w:line="276" w:lineRule="auto"/>
      </w:pPr>
      <w:r>
        <w:rPr>
          <w:rFonts w:ascii="Arial" w:hAnsi="Arial" w:eastAsia="Arial" w:cs="Arial"/>
          <w:sz w:val="22"/>
          <w:szCs w:val="22"/>
        </w:rPr>
        <w:t>Premium = the upper half of the range (price above equilibrium). Relative to the container, price is expensive.</w:t>
      </w:r>
    </w:p>
    <w:p w14:paraId="28BAFF66">
      <w:pPr>
        <w:spacing w:after="200" w:line="276" w:lineRule="auto"/>
      </w:pPr>
      <w:r>
        <w:rPr>
          <w:rFonts w:ascii="Arial" w:hAnsi="Arial" w:eastAsia="Arial" w:cs="Arial"/>
          <w:sz w:val="22"/>
          <w:szCs w:val="22"/>
        </w:rPr>
        <w:t>Discount = the lower half of the range (price below equilibrium). Relative to the container, price is cheap.</w:t>
      </w:r>
    </w:p>
    <w:p w14:paraId="70BC8271">
      <w:pPr>
        <w:pStyle w:val="3"/>
        <w:spacing w:before="280" w:after="180"/>
      </w:pPr>
      <w:r>
        <w:rPr>
          <w:rFonts w:ascii="Arial" w:hAnsi="Arial" w:eastAsia="Arial" w:cs="Arial"/>
          <w:b/>
          <w:bCs/>
          <w:sz w:val="26"/>
          <w:szCs w:val="26"/>
        </w:rPr>
        <w:t>2.2 Core Intermediate Rule</w:t>
      </w:r>
    </w:p>
    <w:p w14:paraId="65E3BF3C">
      <w:pPr>
        <w:spacing w:after="200" w:line="276" w:lineRule="auto"/>
      </w:pPr>
      <w:r>
        <w:rPr>
          <w:rFonts w:ascii="Arial" w:hAnsi="Arial" w:eastAsia="Arial" w:cs="Arial"/>
          <w:sz w:val="22"/>
          <w:szCs w:val="22"/>
        </w:rPr>
        <w:t>Seek long (bullish) setups preferentially when price is in discount. Seek short (bearish) setups preferentially when price is in premium. This single filter eliminates a large class of low-quality locations.</w:t>
      </w:r>
    </w:p>
    <w:p w14:paraId="08A72A44">
      <w:pPr>
        <w:pStyle w:val="3"/>
        <w:spacing w:before="280" w:after="180"/>
      </w:pPr>
      <w:r>
        <w:rPr>
          <w:rFonts w:ascii="Arial" w:hAnsi="Arial" w:eastAsia="Arial" w:cs="Arial"/>
          <w:b/>
          <w:bCs/>
          <w:sz w:val="26"/>
          <w:szCs w:val="26"/>
        </w:rPr>
        <w:t>2.3 Extremes</w:t>
      </w:r>
    </w:p>
    <w:p w14:paraId="1C36892D">
      <w:pPr>
        <w:spacing w:after="200" w:line="276" w:lineRule="auto"/>
      </w:pPr>
      <w:r>
        <w:rPr>
          <w:rFonts w:ascii="Arial" w:hAnsi="Arial" w:eastAsia="Arial" w:cs="Arial"/>
          <w:sz w:val="22"/>
          <w:szCs w:val="22"/>
        </w:rPr>
        <w:t>The deepest portions of premium and discount (roughly the outer 20–25 % of the range, often overlapping the 79 % / 21 % Fibonacci region of the range) are the highest-conviction areas for mean-reversion-style entries in the direction of the higher-timeframe bias, provided displacement and structure confirm.</w:t>
      </w:r>
    </w:p>
    <w:p w14:paraId="0FCD35E9">
      <w:pPr>
        <w:pStyle w:val="2"/>
        <w:spacing w:before="360" w:after="240"/>
      </w:pPr>
      <w:r>
        <w:rPr>
          <w:rFonts w:ascii="Arial" w:hAnsi="Arial" w:eastAsia="Arial" w:cs="Arial"/>
          <w:b/>
          <w:bCs/>
          <w:sz w:val="32"/>
          <w:szCs w:val="32"/>
        </w:rPr>
        <w:t>3. Range Expansion and Range Contraction</w:t>
      </w:r>
    </w:p>
    <w:p w14:paraId="51368840">
      <w:pPr>
        <w:pStyle w:val="3"/>
        <w:spacing w:before="280" w:after="180"/>
      </w:pPr>
      <w:r>
        <w:rPr>
          <w:rFonts w:ascii="Arial" w:hAnsi="Arial" w:eastAsia="Arial" w:cs="Arial"/>
          <w:b/>
          <w:bCs/>
          <w:sz w:val="26"/>
          <w:szCs w:val="26"/>
        </w:rPr>
        <w:t>3.1 Expansion</w:t>
      </w:r>
    </w:p>
    <w:p w14:paraId="260A49E7">
      <w:pPr>
        <w:spacing w:after="200" w:line="276" w:lineRule="auto"/>
      </w:pPr>
      <w:r>
        <w:rPr>
          <w:rFonts w:ascii="Arial" w:hAnsi="Arial" w:eastAsia="Arial" w:cs="Arial"/>
          <w:sz w:val="22"/>
          <w:szCs w:val="22"/>
        </w:rPr>
        <w:t>Range expansion occurs when price moves forcefully away from equilibrium or from a prior consolidation, creating new extremes, displacement and often Fair Value Gaps. Expansion is the phase in which external liquidity is frequently targeted and in which new Order Blocks and FVGs are born.</w:t>
      </w:r>
    </w:p>
    <w:p w14:paraId="48C5797C">
      <w:pPr>
        <w:pStyle w:val="3"/>
        <w:spacing w:before="280" w:after="180"/>
      </w:pPr>
      <w:r>
        <w:rPr>
          <w:rFonts w:ascii="Arial" w:hAnsi="Arial" w:eastAsia="Arial" w:cs="Arial"/>
          <w:b/>
          <w:bCs/>
          <w:sz w:val="26"/>
          <w:szCs w:val="26"/>
        </w:rPr>
        <w:t>3.2 Contraction</w:t>
      </w:r>
    </w:p>
    <w:p w14:paraId="7172BBD1">
      <w:pPr>
        <w:spacing w:after="200" w:line="276" w:lineRule="auto"/>
      </w:pPr>
      <w:r>
        <w:rPr>
          <w:rFonts w:ascii="Arial" w:hAnsi="Arial" w:eastAsia="Arial" w:cs="Arial"/>
          <w:sz w:val="22"/>
          <w:szCs w:val="22"/>
        </w:rPr>
        <w:t>Range contraction occurs when price compresses, volatility declines and the market builds or rebalances inside a tighter container. Contraction often precedes the next expansion. Trading deep inside prolonged contraction without evidence of displacement is a common intermediate error.</w:t>
      </w:r>
    </w:p>
    <w:p w14:paraId="3BBC3F02">
      <w:pPr>
        <w:pStyle w:val="3"/>
        <w:spacing w:before="280" w:after="180"/>
      </w:pPr>
      <w:r>
        <w:rPr>
          <w:rFonts w:ascii="Arial" w:hAnsi="Arial" w:eastAsia="Arial" w:cs="Arial"/>
          <w:b/>
          <w:bCs/>
          <w:sz w:val="26"/>
          <w:szCs w:val="26"/>
        </w:rPr>
        <w:t>3.3 Implications for Arrays</w:t>
      </w:r>
    </w:p>
    <w:p w14:paraId="6303CC67">
      <w:pPr>
        <w:spacing w:after="200" w:line="276" w:lineRule="auto"/>
      </w:pPr>
      <w:r>
        <w:rPr>
          <w:rFonts w:ascii="Arial" w:hAnsi="Arial" w:eastAsia="Arial" w:cs="Arial"/>
          <w:sz w:val="22"/>
          <w:szCs w:val="22"/>
        </w:rPr>
        <w:t>During expansion, newly formed PD arrays (OBs, FVGs) in the direction of the expansion are higher priority. During contraction, older arrays inside the range may be revisited, but the probability of a sustained directional move is lower until expansion resumes.</w:t>
      </w:r>
    </w:p>
    <w:p w14:paraId="23F9EBFB">
      <w:pPr>
        <w:pStyle w:val="2"/>
        <w:spacing w:before="360" w:after="240"/>
      </w:pPr>
      <w:r>
        <w:rPr>
          <w:rFonts w:ascii="Arial" w:hAnsi="Arial" w:eastAsia="Arial" w:cs="Arial"/>
          <w:b/>
          <w:bCs/>
          <w:sz w:val="32"/>
          <w:szCs w:val="32"/>
        </w:rPr>
        <w:t>4. Liquidity Relative to Premium and Discount</w:t>
      </w:r>
    </w:p>
    <w:p w14:paraId="0ABAFA8D">
      <w:pPr>
        <w:pStyle w:val="3"/>
        <w:spacing w:before="280" w:after="180"/>
      </w:pPr>
      <w:r>
        <w:rPr>
          <w:rFonts w:ascii="Arial" w:hAnsi="Arial" w:eastAsia="Arial" w:cs="Arial"/>
          <w:b/>
          <w:bCs/>
          <w:sz w:val="26"/>
          <w:szCs w:val="26"/>
        </w:rPr>
        <w:t>4.1 Filtering Liquidity Objectives</w:t>
      </w:r>
    </w:p>
    <w:p w14:paraId="66426AE3">
      <w:pPr>
        <w:spacing w:after="200" w:line="276" w:lineRule="auto"/>
      </w:pPr>
      <w:r>
        <w:rPr>
          <w:rFonts w:ascii="Arial" w:hAnsi="Arial" w:eastAsia="Arial" w:cs="Arial"/>
          <w:sz w:val="22"/>
          <w:szCs w:val="22"/>
        </w:rPr>
        <w:t>Buy-side liquidity that sits in premium is a natural target for a bearish narrative. Sell-side liquidity that sits in discount is a natural target for a bullish narrative. Liquidity that sits against the higher-timeframe bias and in the “wrong” half of the range is lower priority.</w:t>
      </w:r>
    </w:p>
    <w:p w14:paraId="16393B90">
      <w:pPr>
        <w:pStyle w:val="3"/>
        <w:spacing w:before="280" w:after="180"/>
      </w:pPr>
      <w:r>
        <w:rPr>
          <w:rFonts w:ascii="Arial" w:hAnsi="Arial" w:eastAsia="Arial" w:cs="Arial"/>
          <w:b/>
          <w:bCs/>
          <w:sz w:val="26"/>
          <w:szCs w:val="26"/>
        </w:rPr>
        <w:t>4.2 Sequential Reading</w:t>
      </w:r>
    </w:p>
    <w:p w14:paraId="6A7449C9">
      <w:pPr>
        <w:spacing w:after="200" w:line="276" w:lineRule="auto"/>
      </w:pPr>
      <w:r>
        <w:rPr>
          <w:rFonts w:ascii="Arial" w:hAnsi="Arial" w:eastAsia="Arial" w:cs="Arial"/>
          <w:sz w:val="22"/>
          <w:szCs w:val="22"/>
        </w:rPr>
        <w:t>A common high-quality sequence is: price in discount → raid of sell-side liquidity → displacement higher → expansion toward buy-side liquidity that may itself sit in premium or at the range high (external). The premium/discount filter helps the trader accept that the final target can be in premium even though the entry was taken in discount.</w:t>
      </w:r>
    </w:p>
    <w:p w14:paraId="50B8C25F">
      <w:pPr>
        <w:pStyle w:val="2"/>
        <w:spacing w:before="360" w:after="240"/>
      </w:pPr>
      <w:r>
        <w:rPr>
          <w:rFonts w:ascii="Arial" w:hAnsi="Arial" w:eastAsia="Arial" w:cs="Arial"/>
          <w:b/>
          <w:bCs/>
          <w:sz w:val="32"/>
          <w:szCs w:val="32"/>
        </w:rPr>
        <w:t>5. PD Arrays Relative to Premium and Discount</w:t>
      </w:r>
    </w:p>
    <w:p w14:paraId="0252A39F">
      <w:pPr>
        <w:pStyle w:val="3"/>
        <w:spacing w:before="280" w:after="180"/>
      </w:pPr>
      <w:r>
        <w:rPr>
          <w:rFonts w:ascii="Arial" w:hAnsi="Arial" w:eastAsia="Arial" w:cs="Arial"/>
          <w:b/>
          <w:bCs/>
          <w:sz w:val="26"/>
          <w:szCs w:val="26"/>
        </w:rPr>
        <w:t>5.1 The Filter Applied to Every Array</w:t>
      </w:r>
    </w:p>
    <w:p w14:paraId="2CC9ADCC">
      <w:pPr>
        <w:spacing w:after="200" w:line="276" w:lineRule="auto"/>
      </w:pPr>
      <w:r>
        <w:rPr>
          <w:rFonts w:ascii="Arial" w:hAnsi="Arial" w:eastAsia="Arial" w:cs="Arial"/>
          <w:sz w:val="22"/>
          <w:szCs w:val="22"/>
        </w:rPr>
        <w:t>Every Order Block, Fair Value Gap, Breaker and Mitigation concept is graded by its location:</w:t>
      </w:r>
    </w:p>
    <w:p w14:paraId="2BEC1BA2">
      <w:pPr>
        <w:pStyle w:val="16"/>
        <w:numPr>
          <w:ilvl w:val="0"/>
          <w:numId w:val="1"/>
        </w:numPr>
        <w:spacing w:after="120" w:line="276" w:lineRule="auto"/>
      </w:pPr>
      <w:r>
        <w:rPr>
          <w:rFonts w:ascii="Arial" w:hAnsi="Arial" w:eastAsia="Arial" w:cs="Arial"/>
          <w:sz w:val="22"/>
          <w:szCs w:val="22"/>
        </w:rPr>
        <w:t>Bullish PD arrays (bullish OB, bullish FVG, bullish Breaker) are highest quality in discount.</w:t>
      </w:r>
    </w:p>
    <w:p w14:paraId="757A8C90">
      <w:pPr>
        <w:pStyle w:val="16"/>
        <w:numPr>
          <w:ilvl w:val="0"/>
          <w:numId w:val="1"/>
        </w:numPr>
        <w:spacing w:after="120" w:line="276" w:lineRule="auto"/>
      </w:pPr>
      <w:r>
        <w:rPr>
          <w:rFonts w:ascii="Arial" w:hAnsi="Arial" w:eastAsia="Arial" w:cs="Arial"/>
          <w:sz w:val="22"/>
          <w:szCs w:val="22"/>
        </w:rPr>
        <w:t>Bearish PD arrays (bearish OB, bearish FVG, bearish Breaker) are highest quality in premium.</w:t>
      </w:r>
    </w:p>
    <w:p w14:paraId="79CEBCB7">
      <w:pPr>
        <w:pStyle w:val="3"/>
        <w:spacing w:before="280" w:after="180"/>
      </w:pPr>
      <w:r>
        <w:rPr>
          <w:rFonts w:ascii="Arial" w:hAnsi="Arial" w:eastAsia="Arial" w:cs="Arial"/>
          <w:b/>
          <w:bCs/>
          <w:sz w:val="26"/>
          <w:szCs w:val="26"/>
        </w:rPr>
        <w:t>5.2 Wrong-Half Arrays</w:t>
      </w:r>
    </w:p>
    <w:p w14:paraId="2B327CF9">
      <w:pPr>
        <w:spacing w:after="200" w:line="276" w:lineRule="auto"/>
      </w:pPr>
      <w:r>
        <w:rPr>
          <w:rFonts w:ascii="Arial" w:hAnsi="Arial" w:eastAsia="Arial" w:cs="Arial"/>
          <w:sz w:val="22"/>
          <w:szCs w:val="22"/>
        </w:rPr>
        <w:t>A bullish Order Block sitting in deep premium is fighting the dealing-range location filter. It may still work if higher-timeframe context is overwhelmingly bullish, but it is lower probability and requires stronger confluence. Intermediate discipline is to prefer the array that is both high-quality in formation and correctly located.</w:t>
      </w:r>
    </w:p>
    <w:p w14:paraId="22B4951B">
      <w:pPr>
        <w:pStyle w:val="2"/>
        <w:spacing w:before="360" w:after="240"/>
      </w:pPr>
      <w:r>
        <w:rPr>
          <w:rFonts w:ascii="Arial" w:hAnsi="Arial" w:eastAsia="Arial" w:cs="Arial"/>
          <w:b/>
          <w:bCs/>
          <w:sz w:val="32"/>
          <w:szCs w:val="32"/>
        </w:rPr>
        <w:t>6. Bullish Discount Framework</w:t>
      </w:r>
    </w:p>
    <w:p w14:paraId="0ECC49CD">
      <w:pPr>
        <w:pStyle w:val="3"/>
        <w:spacing w:before="280" w:after="180"/>
      </w:pPr>
      <w:r>
        <w:rPr>
          <w:rFonts w:ascii="Arial" w:hAnsi="Arial" w:eastAsia="Arial" w:cs="Arial"/>
          <w:b/>
          <w:bCs/>
          <w:sz w:val="26"/>
          <w:szCs w:val="26"/>
        </w:rPr>
        <w:t>6.1 Conditions</w:t>
      </w:r>
    </w:p>
    <w:p w14:paraId="74169D86">
      <w:pPr>
        <w:spacing w:after="200" w:line="276" w:lineRule="auto"/>
      </w:pPr>
      <w:r>
        <w:rPr>
          <w:rFonts w:ascii="Arial" w:hAnsi="Arial" w:eastAsia="Arial" w:cs="Arial"/>
          <w:sz w:val="22"/>
          <w:szCs w:val="22"/>
        </w:rPr>
        <w:t>Higher-timeframe bias is bullish (or at least not bearish). Price is trading in the discount half of the active dealing range (or has just raided sell-side liquidity and is returning into discount).</w:t>
      </w:r>
    </w:p>
    <w:p w14:paraId="42EA44F9">
      <w:pPr>
        <w:pStyle w:val="3"/>
        <w:spacing w:before="280" w:after="180"/>
      </w:pPr>
      <w:r>
        <w:rPr>
          <w:rFonts w:ascii="Arial" w:hAnsi="Arial" w:eastAsia="Arial" w:cs="Arial"/>
          <w:b/>
          <w:bCs/>
          <w:sz w:val="26"/>
          <w:szCs w:val="26"/>
        </w:rPr>
        <w:t>6.2 Preferred Sequence</w:t>
      </w:r>
    </w:p>
    <w:p w14:paraId="266C5202">
      <w:pPr>
        <w:pStyle w:val="16"/>
        <w:numPr>
          <w:ilvl w:val="0"/>
          <w:numId w:val="3"/>
        </w:numPr>
        <w:spacing w:after="120" w:line="276" w:lineRule="auto"/>
      </w:pPr>
      <w:r>
        <w:rPr>
          <w:rFonts w:ascii="Arial" w:hAnsi="Arial" w:eastAsia="Arial" w:cs="Arial"/>
          <w:sz w:val="22"/>
          <w:szCs w:val="22"/>
        </w:rPr>
        <w:t>Identify the dealing range and confirm price is in (or returning to) discount.</w:t>
      </w:r>
    </w:p>
    <w:p w14:paraId="52664336">
      <w:pPr>
        <w:pStyle w:val="16"/>
        <w:numPr>
          <w:ilvl w:val="0"/>
          <w:numId w:val="3"/>
        </w:numPr>
        <w:spacing w:after="120" w:line="276" w:lineRule="auto"/>
      </w:pPr>
      <w:r>
        <w:rPr>
          <w:rFonts w:ascii="Arial" w:hAnsi="Arial" w:eastAsia="Arial" w:cs="Arial"/>
          <w:sz w:val="22"/>
          <w:szCs w:val="22"/>
        </w:rPr>
        <w:t>Note sell-side liquidity that has been or is being raided.</w:t>
      </w:r>
    </w:p>
    <w:p w14:paraId="0C1B71A1">
      <w:pPr>
        <w:pStyle w:val="16"/>
        <w:numPr>
          <w:ilvl w:val="0"/>
          <w:numId w:val="3"/>
        </w:numPr>
        <w:spacing w:after="120" w:line="276" w:lineRule="auto"/>
      </w:pPr>
      <w:r>
        <w:rPr>
          <w:rFonts w:ascii="Arial" w:hAnsi="Arial" w:eastAsia="Arial" w:cs="Arial"/>
          <w:sz w:val="22"/>
          <w:szCs w:val="22"/>
        </w:rPr>
        <w:t>Wait for bullish displacement and an internal or external Market Structure Shift.</w:t>
      </w:r>
    </w:p>
    <w:p w14:paraId="09A41171">
      <w:pPr>
        <w:pStyle w:val="16"/>
        <w:numPr>
          <w:ilvl w:val="0"/>
          <w:numId w:val="3"/>
        </w:numPr>
        <w:spacing w:after="120" w:line="276" w:lineRule="auto"/>
      </w:pPr>
      <w:r>
        <w:rPr>
          <w:rFonts w:ascii="Arial" w:hAnsi="Arial" w:eastAsia="Arial" w:cs="Arial"/>
          <w:sz w:val="22"/>
          <w:szCs w:val="22"/>
        </w:rPr>
        <w:t>Locate the PD array created by that displacement (FVG and/or Order Block) that sits in discount.</w:t>
      </w:r>
    </w:p>
    <w:p w14:paraId="26EBE344">
      <w:pPr>
        <w:pStyle w:val="16"/>
        <w:numPr>
          <w:ilvl w:val="0"/>
          <w:numId w:val="3"/>
        </w:numPr>
        <w:spacing w:after="120" w:line="276" w:lineRule="auto"/>
      </w:pPr>
      <w:r>
        <w:rPr>
          <w:rFonts w:ascii="Arial" w:hAnsi="Arial" w:eastAsia="Arial" w:cs="Arial"/>
          <w:sz w:val="22"/>
          <w:szCs w:val="22"/>
        </w:rPr>
        <w:t>Enter on the retracement into that array (refined by Consequent Encroachment or lower-timeframe confirmation).</w:t>
      </w:r>
    </w:p>
    <w:p w14:paraId="6150C289">
      <w:pPr>
        <w:pStyle w:val="16"/>
        <w:numPr>
          <w:ilvl w:val="0"/>
          <w:numId w:val="3"/>
        </w:numPr>
        <w:spacing w:after="120" w:line="276" w:lineRule="auto"/>
      </w:pPr>
      <w:r>
        <w:rPr>
          <w:rFonts w:ascii="Arial" w:hAnsi="Arial" w:eastAsia="Arial" w:cs="Arial"/>
          <w:sz w:val="22"/>
          <w:szCs w:val="22"/>
        </w:rPr>
        <w:t>Target first internal buy-side liquidity, then external buy-side liquidity consistent with the Draw on Liquidity.</w:t>
      </w:r>
    </w:p>
    <w:p w14:paraId="63522403">
      <w:pPr>
        <w:pStyle w:val="3"/>
        <w:spacing w:before="280" w:after="180"/>
      </w:pPr>
      <w:r>
        <w:rPr>
          <w:rFonts w:ascii="Arial" w:hAnsi="Arial" w:eastAsia="Arial" w:cs="Arial"/>
          <w:b/>
          <w:bCs/>
          <w:sz w:val="26"/>
          <w:szCs w:val="26"/>
        </w:rPr>
        <w:t>6.3 Invalidation</w:t>
      </w:r>
    </w:p>
    <w:p w14:paraId="325E9B90">
      <w:pPr>
        <w:spacing w:after="200" w:line="276" w:lineRule="auto"/>
      </w:pPr>
      <w:r>
        <w:rPr>
          <w:rFonts w:ascii="Arial" w:hAnsi="Arial" w:eastAsia="Arial" w:cs="Arial"/>
          <w:sz w:val="22"/>
          <w:szCs w:val="22"/>
        </w:rPr>
        <w:t>A decisive close back below the origin of the bullish displacement or below the dealing-range low (if that low was the structural reference) challenges the bullish discount idea.</w:t>
      </w:r>
    </w:p>
    <w:p w14:paraId="5E6F6254">
      <w:pPr>
        <w:pStyle w:val="2"/>
        <w:spacing w:before="360" w:after="240"/>
      </w:pPr>
      <w:r>
        <w:rPr>
          <w:rFonts w:ascii="Arial" w:hAnsi="Arial" w:eastAsia="Arial" w:cs="Arial"/>
          <w:b/>
          <w:bCs/>
          <w:sz w:val="32"/>
          <w:szCs w:val="32"/>
        </w:rPr>
        <w:t>7. Bearish Premium Framework</w:t>
      </w:r>
    </w:p>
    <w:p w14:paraId="1138CA1E">
      <w:pPr>
        <w:pStyle w:val="3"/>
        <w:spacing w:before="280" w:after="180"/>
      </w:pPr>
      <w:r>
        <w:rPr>
          <w:rFonts w:ascii="Arial" w:hAnsi="Arial" w:eastAsia="Arial" w:cs="Arial"/>
          <w:b/>
          <w:bCs/>
          <w:sz w:val="26"/>
          <w:szCs w:val="26"/>
        </w:rPr>
        <w:t>7.1 Conditions</w:t>
      </w:r>
    </w:p>
    <w:p w14:paraId="41C4D98F">
      <w:pPr>
        <w:spacing w:after="200" w:line="276" w:lineRule="auto"/>
      </w:pPr>
      <w:r>
        <w:rPr>
          <w:rFonts w:ascii="Arial" w:hAnsi="Arial" w:eastAsia="Arial" w:cs="Arial"/>
          <w:sz w:val="22"/>
          <w:szCs w:val="22"/>
        </w:rPr>
        <w:t>Higher-timeframe bias is bearish (or at least not bullish). Price is trading in the premium half of the active dealing range (or has just raided buy-side liquidity and is returning into premium).</w:t>
      </w:r>
    </w:p>
    <w:p w14:paraId="30B4AE4C">
      <w:pPr>
        <w:pStyle w:val="3"/>
        <w:spacing w:before="280" w:after="180"/>
      </w:pPr>
      <w:r>
        <w:rPr>
          <w:rFonts w:ascii="Arial" w:hAnsi="Arial" w:eastAsia="Arial" w:cs="Arial"/>
          <w:b/>
          <w:bCs/>
          <w:sz w:val="26"/>
          <w:szCs w:val="26"/>
        </w:rPr>
        <w:t>7.2 Preferred Sequence</w:t>
      </w:r>
    </w:p>
    <w:p w14:paraId="20853B49">
      <w:pPr>
        <w:pStyle w:val="16"/>
        <w:numPr>
          <w:ilvl w:val="0"/>
          <w:numId w:val="3"/>
        </w:numPr>
        <w:spacing w:after="120" w:line="276" w:lineRule="auto"/>
      </w:pPr>
      <w:r>
        <w:rPr>
          <w:rFonts w:ascii="Arial" w:hAnsi="Arial" w:eastAsia="Arial" w:cs="Arial"/>
          <w:sz w:val="22"/>
          <w:szCs w:val="22"/>
        </w:rPr>
        <w:t>Identify the dealing range and confirm price is in (or returning to) premium.</w:t>
      </w:r>
    </w:p>
    <w:p w14:paraId="33535A11">
      <w:pPr>
        <w:pStyle w:val="16"/>
        <w:numPr>
          <w:ilvl w:val="0"/>
          <w:numId w:val="3"/>
        </w:numPr>
        <w:spacing w:after="120" w:line="276" w:lineRule="auto"/>
      </w:pPr>
      <w:r>
        <w:rPr>
          <w:rFonts w:ascii="Arial" w:hAnsi="Arial" w:eastAsia="Arial" w:cs="Arial"/>
          <w:sz w:val="22"/>
          <w:szCs w:val="22"/>
        </w:rPr>
        <w:t>Note buy-side liquidity that has been or is being raided.</w:t>
      </w:r>
    </w:p>
    <w:p w14:paraId="627DC848">
      <w:pPr>
        <w:pStyle w:val="16"/>
        <w:numPr>
          <w:ilvl w:val="0"/>
          <w:numId w:val="3"/>
        </w:numPr>
        <w:spacing w:after="120" w:line="276" w:lineRule="auto"/>
      </w:pPr>
      <w:r>
        <w:rPr>
          <w:rFonts w:ascii="Arial" w:hAnsi="Arial" w:eastAsia="Arial" w:cs="Arial"/>
          <w:sz w:val="22"/>
          <w:szCs w:val="22"/>
        </w:rPr>
        <w:t>Wait for bearish displacement and a Market Structure Shift.</w:t>
      </w:r>
    </w:p>
    <w:p w14:paraId="413F2C78">
      <w:pPr>
        <w:pStyle w:val="16"/>
        <w:numPr>
          <w:ilvl w:val="0"/>
          <w:numId w:val="3"/>
        </w:numPr>
        <w:spacing w:after="120" w:line="276" w:lineRule="auto"/>
      </w:pPr>
      <w:r>
        <w:rPr>
          <w:rFonts w:ascii="Arial" w:hAnsi="Arial" w:eastAsia="Arial" w:cs="Arial"/>
          <w:sz w:val="22"/>
          <w:szCs w:val="22"/>
        </w:rPr>
        <w:t>Locate the PD array created by that displacement that sits in premium.</w:t>
      </w:r>
    </w:p>
    <w:p w14:paraId="27B5E58A">
      <w:pPr>
        <w:pStyle w:val="16"/>
        <w:numPr>
          <w:ilvl w:val="0"/>
          <w:numId w:val="3"/>
        </w:numPr>
        <w:spacing w:after="120" w:line="276" w:lineRule="auto"/>
      </w:pPr>
      <w:r>
        <w:rPr>
          <w:rFonts w:ascii="Arial" w:hAnsi="Arial" w:eastAsia="Arial" w:cs="Arial"/>
          <w:sz w:val="22"/>
          <w:szCs w:val="22"/>
        </w:rPr>
        <w:t>Enter on the retracement into that array.</w:t>
      </w:r>
    </w:p>
    <w:p w14:paraId="46D11179">
      <w:pPr>
        <w:pStyle w:val="16"/>
        <w:numPr>
          <w:ilvl w:val="0"/>
          <w:numId w:val="3"/>
        </w:numPr>
        <w:spacing w:after="120" w:line="276" w:lineRule="auto"/>
      </w:pPr>
      <w:r>
        <w:rPr>
          <w:rFonts w:ascii="Arial" w:hAnsi="Arial" w:eastAsia="Arial" w:cs="Arial"/>
          <w:sz w:val="22"/>
          <w:szCs w:val="22"/>
        </w:rPr>
        <w:t>Target first internal sell-side liquidity, then external sell-side liquidity.</w:t>
      </w:r>
    </w:p>
    <w:p w14:paraId="020A61F8">
      <w:pPr>
        <w:pStyle w:val="3"/>
        <w:spacing w:before="280" w:after="180"/>
      </w:pPr>
      <w:r>
        <w:rPr>
          <w:rFonts w:ascii="Arial" w:hAnsi="Arial" w:eastAsia="Arial" w:cs="Arial"/>
          <w:b/>
          <w:bCs/>
          <w:sz w:val="26"/>
          <w:szCs w:val="26"/>
        </w:rPr>
        <w:t>7.3 Invalidation</w:t>
      </w:r>
    </w:p>
    <w:p w14:paraId="2367F357">
      <w:pPr>
        <w:spacing w:after="200" w:line="276" w:lineRule="auto"/>
      </w:pPr>
      <w:r>
        <w:rPr>
          <w:rFonts w:ascii="Arial" w:hAnsi="Arial" w:eastAsia="Arial" w:cs="Arial"/>
          <w:sz w:val="22"/>
          <w:szCs w:val="22"/>
        </w:rPr>
        <w:t>A decisive close back above the origin of the bearish displacement or above the dealing-range high challenges the bearish premium idea.</w:t>
      </w:r>
    </w:p>
    <w:p w14:paraId="68CAE4A0">
      <w:pPr>
        <w:pStyle w:val="2"/>
        <w:spacing w:before="360" w:after="240"/>
      </w:pPr>
      <w:r>
        <w:rPr>
          <w:rFonts w:ascii="Arial" w:hAnsi="Arial" w:eastAsia="Arial" w:cs="Arial"/>
          <w:b/>
          <w:bCs/>
          <w:sz w:val="32"/>
          <w:szCs w:val="32"/>
        </w:rPr>
        <w:t>Worked Example — Applying the Filter</w:t>
      </w:r>
    </w:p>
    <w:p w14:paraId="41906D05">
      <w:pPr>
        <w:spacing w:after="200" w:line="276" w:lineRule="auto"/>
      </w:pPr>
      <w:r>
        <w:rPr>
          <w:rFonts w:ascii="Arial" w:hAnsi="Arial" w:eastAsia="Arial" w:cs="Arial"/>
          <w:sz w:val="22"/>
          <w:szCs w:val="22"/>
        </w:rPr>
        <w:t>Context: Daily bias bullish. Active 1-hour dealing range: 1.0800–1.1000. Equilibrium = 1.0900.</w:t>
      </w:r>
    </w:p>
    <w:p w14:paraId="5384F700">
      <w:pPr>
        <w:spacing w:after="200" w:line="276" w:lineRule="auto"/>
      </w:pPr>
      <w:r>
        <w:rPr>
          <w:rFonts w:ascii="Arial" w:hAnsi="Arial" w:eastAsia="Arial" w:cs="Arial"/>
          <w:sz w:val="22"/>
          <w:szCs w:val="22"/>
        </w:rPr>
        <w:t>Price is currently at 1.0860 (discount). A bullish FVG and Order Block overlap between 1.0845–1.0865 after a sell-side liquidity raid and displacement.</w:t>
      </w:r>
    </w:p>
    <w:p w14:paraId="35595E33">
      <w:pPr>
        <w:spacing w:after="200" w:line="276" w:lineRule="auto"/>
      </w:pPr>
      <w:r>
        <w:rPr>
          <w:rFonts w:ascii="Arial" w:hAnsi="Arial" w:eastAsia="Arial" w:cs="Arial"/>
          <w:sz w:val="22"/>
          <w:szCs w:val="22"/>
        </w:rPr>
        <w:t>Assessment: The arrays sit in discount, the bias is bullish, liquidity has been taken, and displacement + MSS are present. This is a high-quality location under the bullish discount framework.</w:t>
      </w:r>
    </w:p>
    <w:p w14:paraId="36E458AF">
      <w:pPr>
        <w:spacing w:after="200" w:line="276" w:lineRule="auto"/>
      </w:pPr>
      <w:r>
        <w:rPr>
          <w:rFonts w:ascii="Arial" w:hAnsi="Arial" w:eastAsia="Arial" w:cs="Arial"/>
          <w:sz w:val="22"/>
          <w:szCs w:val="22"/>
        </w:rPr>
        <w:t>Counter-example: The same arrays form, but price is at 1.0960 (premium) after a shallow pullback. Even with a bullish daily bias, the location is in premium. The intermediate student treats the setup as lower quality and either waits for a deeper retracement into discount or requires exceptional additional confluence before engagement.</w:t>
      </w:r>
    </w:p>
    <w:p w14:paraId="7306A50B">
      <w:pPr>
        <w:pStyle w:val="2"/>
        <w:spacing w:before="360" w:after="240"/>
      </w:pPr>
      <w:r>
        <w:rPr>
          <w:rFonts w:ascii="Arial" w:hAnsi="Arial" w:eastAsia="Arial" w:cs="Arial"/>
          <w:b/>
          <w:bCs/>
          <w:sz w:val="32"/>
          <w:szCs w:val="32"/>
        </w:rPr>
        <w:t>Visual Reference — Premium / Discount Inside a Dealing Range</w:t>
      </w:r>
    </w:p>
    <w:p w14:paraId="65404123">
      <w:pPr>
        <w:spacing w:after="0" w:line="240" w:lineRule="auto"/>
      </w:pPr>
      <w:r>
        <w:rPr>
          <w:rFonts w:ascii="Courier New" w:hAnsi="Courier New" w:eastAsia="Courier New" w:cs="Courier New"/>
          <w:sz w:val="18"/>
          <w:szCs w:val="18"/>
        </w:rPr>
        <w:t xml:space="preserve">          Range High (ERL / BSL)</w:t>
      </w:r>
    </w:p>
    <w:p w14:paraId="3BE33489">
      <w:pPr>
        <w:spacing w:after="0" w:line="240" w:lineRule="auto"/>
      </w:pPr>
      <w:r>
        <w:rPr>
          <w:rFonts w:ascii="Courier New" w:hAnsi="Courier New" w:eastAsia="Courier New" w:cs="Courier New"/>
          <w:sz w:val="18"/>
          <w:szCs w:val="18"/>
        </w:rPr>
        <w:t xml:space="preserve">    ─────────────────────────────</w:t>
      </w:r>
    </w:p>
    <w:p w14:paraId="666043CB">
      <w:pPr>
        <w:spacing w:after="0" w:line="240" w:lineRule="auto"/>
      </w:pPr>
      <w:r>
        <w:rPr>
          <w:rFonts w:ascii="Courier New" w:hAnsi="Courier New" w:eastAsia="Courier New" w:cs="Courier New"/>
          <w:sz w:val="18"/>
          <w:szCs w:val="18"/>
        </w:rPr>
        <w:t xml:space="preserve">    |                           |</w:t>
      </w:r>
    </w:p>
    <w:p w14:paraId="56921EA1">
      <w:pPr>
        <w:spacing w:after="0" w:line="240" w:lineRule="auto"/>
      </w:pPr>
      <w:r>
        <w:rPr>
          <w:rFonts w:ascii="Courier New" w:hAnsi="Courier New" w:eastAsia="Courier New" w:cs="Courier New"/>
          <w:sz w:val="18"/>
          <w:szCs w:val="18"/>
        </w:rPr>
        <w:t xml:space="preserve">    |      PREMIUM              |  ← prefer short PD arrays here</w:t>
      </w:r>
    </w:p>
    <w:p w14:paraId="2610536F">
      <w:pPr>
        <w:spacing w:after="0" w:line="240" w:lineRule="auto"/>
      </w:pPr>
      <w:r>
        <w:rPr>
          <w:rFonts w:ascii="Courier New" w:hAnsi="Courier New" w:eastAsia="Courier New" w:cs="Courier New"/>
          <w:sz w:val="18"/>
          <w:szCs w:val="18"/>
        </w:rPr>
        <w:t xml:space="preserve">    |                           |</w:t>
      </w:r>
    </w:p>
    <w:p w14:paraId="56237D4F">
      <w:pPr>
        <w:spacing w:after="0" w:line="240" w:lineRule="auto"/>
      </w:pPr>
      <w:r>
        <w:rPr>
          <w:rFonts w:ascii="Courier New" w:hAnsi="Courier New" w:eastAsia="Courier New" w:cs="Courier New"/>
          <w:sz w:val="18"/>
          <w:szCs w:val="18"/>
        </w:rPr>
        <w:t xml:space="preserve">    |──────── Equilibrium ──────|  ← 50 %</w:t>
      </w:r>
    </w:p>
    <w:p w14:paraId="08CC55A7">
      <w:pPr>
        <w:spacing w:after="0" w:line="240" w:lineRule="auto"/>
      </w:pPr>
      <w:r>
        <w:rPr>
          <w:rFonts w:ascii="Courier New" w:hAnsi="Courier New" w:eastAsia="Courier New" w:cs="Courier New"/>
          <w:sz w:val="18"/>
          <w:szCs w:val="18"/>
        </w:rPr>
        <w:t xml:space="preserve">    |                           |</w:t>
      </w:r>
    </w:p>
    <w:p w14:paraId="33259B60">
      <w:pPr>
        <w:spacing w:after="0" w:line="240" w:lineRule="auto"/>
      </w:pPr>
      <w:r>
        <w:rPr>
          <w:rFonts w:ascii="Courier New" w:hAnsi="Courier New" w:eastAsia="Courier New" w:cs="Courier New"/>
          <w:sz w:val="18"/>
          <w:szCs w:val="18"/>
        </w:rPr>
        <w:t xml:space="preserve">    |      DISCOUNT             |  ← prefer long PD arrays here</w:t>
      </w:r>
    </w:p>
    <w:p w14:paraId="053E51D6">
      <w:pPr>
        <w:spacing w:after="0" w:line="240" w:lineRule="auto"/>
      </w:pPr>
      <w:r>
        <w:rPr>
          <w:rFonts w:ascii="Courier New" w:hAnsi="Courier New" w:eastAsia="Courier New" w:cs="Courier New"/>
          <w:sz w:val="18"/>
          <w:szCs w:val="18"/>
        </w:rPr>
        <w:t xml:space="preserve">    |                           |</w:t>
      </w:r>
    </w:p>
    <w:p w14:paraId="1416B31A">
      <w:pPr>
        <w:spacing w:after="0" w:line="240" w:lineRule="auto"/>
      </w:pPr>
      <w:r>
        <w:rPr>
          <w:rFonts w:ascii="Courier New" w:hAnsi="Courier New" w:eastAsia="Courier New" w:cs="Courier New"/>
          <w:sz w:val="18"/>
          <w:szCs w:val="18"/>
        </w:rPr>
        <w:t xml:space="preserve">    ─────────────────────────────</w:t>
      </w:r>
    </w:p>
    <w:p w14:paraId="354B85D7">
      <w:pPr>
        <w:spacing w:after="0" w:line="240" w:lineRule="auto"/>
      </w:pPr>
      <w:r>
        <w:rPr>
          <w:rFonts w:ascii="Courier New" w:hAnsi="Courier New" w:eastAsia="Courier New" w:cs="Courier New"/>
          <w:sz w:val="18"/>
          <w:szCs w:val="18"/>
        </w:rPr>
        <w:t xml:space="preserve">          Range Low (ERL / SSL)</w:t>
      </w:r>
    </w:p>
    <w:p w14:paraId="49F76CCD">
      <w:pPr>
        <w:spacing w:after="200" w:line="276" w:lineRule="auto"/>
      </w:pPr>
      <w:r>
        <w:rPr>
          <w:rFonts w:ascii="Arial" w:hAnsi="Arial" w:eastAsia="Arial" w:cs="Arial"/>
          <w:sz w:val="22"/>
          <w:szCs w:val="22"/>
        </w:rPr>
        <w:t>All Order Blocks, FVGs, Breakers and liquidity objectives are graded by which half of this container they occupy relative to the intended trade direction.</w:t>
      </w:r>
    </w:p>
    <w:p w14:paraId="6FEF90A0">
      <w:pPr>
        <w:pStyle w:val="2"/>
        <w:spacing w:before="360" w:after="240"/>
      </w:pPr>
      <w:r>
        <w:rPr>
          <w:rFonts w:ascii="Arial" w:hAnsi="Arial" w:eastAsia="Arial" w:cs="Arial"/>
          <w:b/>
          <w:bCs/>
          <w:sz w:val="32"/>
          <w:szCs w:val="32"/>
        </w:rPr>
        <w:t>How These Concepts Connect</w:t>
      </w:r>
    </w:p>
    <w:p w14:paraId="22287B6E">
      <w:pPr>
        <w:spacing w:after="200" w:line="276" w:lineRule="auto"/>
      </w:pPr>
      <w:r>
        <w:rPr>
          <w:rFonts w:ascii="Arial" w:hAnsi="Arial" w:eastAsia="Arial" w:cs="Arial"/>
          <w:sz w:val="22"/>
          <w:szCs w:val="22"/>
        </w:rPr>
        <w:t>The dealing range is the master container. Equilibrium divides it into premium and discount. That division filters every liquidity pool (Module 2) and every PD array (Modules 4–5). Expansion and contraction describe the volatility regime inside the container and influence which arrays are newly formed versus merely being revisited. The bullish-discount and bearish-premium frameworks convert the filter into a repeatable decision process. Multi-timeframe nested ranges (Module 1) keep the local filter subordinate to the higher-timeframe narrative.</w:t>
      </w:r>
    </w:p>
    <w:p w14:paraId="6A4BCA0B">
      <w:pPr>
        <w:pStyle w:val="2"/>
        <w:spacing w:before="360" w:after="240"/>
      </w:pPr>
      <w:r>
        <w:rPr>
          <w:rFonts w:ascii="Arial" w:hAnsi="Arial" w:eastAsia="Arial" w:cs="Arial"/>
          <w:b/>
          <w:bCs/>
          <w:sz w:val="32"/>
          <w:szCs w:val="32"/>
        </w:rPr>
        <w:t>What You Should Now Be Able to Do</w:t>
      </w:r>
    </w:p>
    <w:p w14:paraId="66873C17">
      <w:pPr>
        <w:pStyle w:val="16"/>
        <w:numPr>
          <w:ilvl w:val="0"/>
          <w:numId w:val="1"/>
        </w:numPr>
        <w:spacing w:after="120" w:line="276" w:lineRule="auto"/>
      </w:pPr>
      <w:r>
        <w:rPr>
          <w:rFonts w:ascii="Arial" w:hAnsi="Arial" w:eastAsia="Arial" w:cs="Arial"/>
          <w:sz w:val="22"/>
          <w:szCs w:val="22"/>
        </w:rPr>
        <w:t>Select and mark the active dealing range for the timeframe being traded and note its equilibrium.</w:t>
      </w:r>
    </w:p>
    <w:p w14:paraId="59642A17">
      <w:pPr>
        <w:pStyle w:val="16"/>
        <w:numPr>
          <w:ilvl w:val="0"/>
          <w:numId w:val="1"/>
        </w:numPr>
        <w:spacing w:after="120" w:line="276" w:lineRule="auto"/>
      </w:pPr>
      <w:r>
        <w:rPr>
          <w:rFonts w:ascii="Arial" w:hAnsi="Arial" w:eastAsia="Arial" w:cs="Arial"/>
          <w:sz w:val="22"/>
          <w:szCs w:val="22"/>
        </w:rPr>
        <w:t>Instantly classify any price location or PD array as premium or discount relative to that range.</w:t>
      </w:r>
    </w:p>
    <w:p w14:paraId="7D575AC5">
      <w:pPr>
        <w:pStyle w:val="16"/>
        <w:numPr>
          <w:ilvl w:val="0"/>
          <w:numId w:val="1"/>
        </w:numPr>
        <w:spacing w:after="120" w:line="276" w:lineRule="auto"/>
      </w:pPr>
      <w:r>
        <w:rPr>
          <w:rFonts w:ascii="Arial" w:hAnsi="Arial" w:eastAsia="Arial" w:cs="Arial"/>
          <w:sz w:val="22"/>
          <w:szCs w:val="22"/>
        </w:rPr>
        <w:t>Recognise expansion versus contraction and adjust expectations for array formation and relevance.</w:t>
      </w:r>
    </w:p>
    <w:p w14:paraId="219E3D7C">
      <w:pPr>
        <w:pStyle w:val="16"/>
        <w:numPr>
          <w:ilvl w:val="0"/>
          <w:numId w:val="1"/>
        </w:numPr>
        <w:spacing w:after="120" w:line="276" w:lineRule="auto"/>
      </w:pPr>
      <w:r>
        <w:rPr>
          <w:rFonts w:ascii="Arial" w:hAnsi="Arial" w:eastAsia="Arial" w:cs="Arial"/>
          <w:sz w:val="22"/>
          <w:szCs w:val="22"/>
        </w:rPr>
        <w:t>Apply the bullish-discount and bearish-premium frameworks to a live chart and state the preferred sequence.</w:t>
      </w:r>
    </w:p>
    <w:p w14:paraId="2A187E5C">
      <w:pPr>
        <w:pStyle w:val="16"/>
        <w:numPr>
          <w:ilvl w:val="0"/>
          <w:numId w:val="1"/>
        </w:numPr>
        <w:spacing w:after="120" w:line="276" w:lineRule="auto"/>
      </w:pPr>
      <w:r>
        <w:rPr>
          <w:rFonts w:ascii="Arial" w:hAnsi="Arial" w:eastAsia="Arial" w:cs="Arial"/>
          <w:sz w:val="22"/>
          <w:szCs w:val="22"/>
        </w:rPr>
        <w:t>Reject or de-prioritise otherwise attractive arrays that sit in the wrong half of the range.</w:t>
      </w:r>
    </w:p>
    <w:p w14:paraId="18C5832D">
      <w:pPr>
        <w:pStyle w:val="16"/>
        <w:numPr>
          <w:ilvl w:val="0"/>
          <w:numId w:val="1"/>
        </w:numPr>
        <w:spacing w:after="120" w:line="276" w:lineRule="auto"/>
      </w:pPr>
      <w:r>
        <w:rPr>
          <w:rFonts w:ascii="Arial" w:hAnsi="Arial" w:eastAsia="Arial" w:cs="Arial"/>
          <w:sz w:val="22"/>
          <w:szCs w:val="22"/>
        </w:rPr>
        <w:t>Update the dealing range when external structure expands and holds.</w:t>
      </w:r>
    </w:p>
    <w:p w14:paraId="373F62F5">
      <w:pPr>
        <w:pStyle w:val="2"/>
        <w:spacing w:before="360" w:after="240"/>
      </w:pPr>
      <w:r>
        <w:rPr>
          <w:rFonts w:ascii="Arial" w:hAnsi="Arial" w:eastAsia="Arial" w:cs="Arial"/>
          <w:b/>
          <w:bCs/>
          <w:sz w:val="32"/>
          <w:szCs w:val="32"/>
        </w:rPr>
        <w:t>Module Review</w:t>
      </w:r>
    </w:p>
    <w:p w14:paraId="0C6F17C1">
      <w:pPr>
        <w:pStyle w:val="3"/>
        <w:spacing w:before="280" w:after="180"/>
      </w:pPr>
      <w:r>
        <w:rPr>
          <w:rFonts w:ascii="Arial" w:hAnsi="Arial" w:eastAsia="Arial" w:cs="Arial"/>
          <w:b/>
          <w:bCs/>
          <w:sz w:val="26"/>
          <w:szCs w:val="26"/>
        </w:rPr>
        <w:t>Key Terms</w:t>
      </w:r>
    </w:p>
    <w:p w14:paraId="0CB3CC17">
      <w:pPr>
        <w:pStyle w:val="16"/>
        <w:numPr>
          <w:ilvl w:val="0"/>
          <w:numId w:val="1"/>
        </w:numPr>
        <w:spacing w:after="120" w:line="276" w:lineRule="auto"/>
      </w:pPr>
      <w:r>
        <w:rPr>
          <w:rFonts w:ascii="Arial" w:hAnsi="Arial" w:eastAsia="Arial" w:cs="Arial"/>
          <w:sz w:val="22"/>
          <w:szCs w:val="22"/>
        </w:rPr>
        <w:t>Dealing range — price container defined by significant swing high and swing low.</w:t>
      </w:r>
    </w:p>
    <w:p w14:paraId="190D9DAD">
      <w:pPr>
        <w:pStyle w:val="16"/>
        <w:numPr>
          <w:ilvl w:val="0"/>
          <w:numId w:val="1"/>
        </w:numPr>
        <w:spacing w:after="120" w:line="276" w:lineRule="auto"/>
      </w:pPr>
      <w:r>
        <w:rPr>
          <w:rFonts w:ascii="Arial" w:hAnsi="Arial" w:eastAsia="Arial" w:cs="Arial"/>
          <w:sz w:val="22"/>
          <w:szCs w:val="22"/>
        </w:rPr>
        <w:t>Equilibrium — exact 50 % midpoint of the dealing range.</w:t>
      </w:r>
    </w:p>
    <w:p w14:paraId="7D63AD6A">
      <w:pPr>
        <w:pStyle w:val="16"/>
        <w:numPr>
          <w:ilvl w:val="0"/>
          <w:numId w:val="1"/>
        </w:numPr>
        <w:spacing w:after="120" w:line="276" w:lineRule="auto"/>
      </w:pPr>
      <w:r>
        <w:rPr>
          <w:rFonts w:ascii="Arial" w:hAnsi="Arial" w:eastAsia="Arial" w:cs="Arial"/>
          <w:sz w:val="22"/>
          <w:szCs w:val="22"/>
        </w:rPr>
        <w:t>Premium — upper half of the range (price expensive relative to the container).</w:t>
      </w:r>
    </w:p>
    <w:p w14:paraId="1E68B9EE">
      <w:pPr>
        <w:pStyle w:val="16"/>
        <w:numPr>
          <w:ilvl w:val="0"/>
          <w:numId w:val="1"/>
        </w:numPr>
        <w:spacing w:after="120" w:line="276" w:lineRule="auto"/>
      </w:pPr>
      <w:r>
        <w:rPr>
          <w:rFonts w:ascii="Arial" w:hAnsi="Arial" w:eastAsia="Arial" w:cs="Arial"/>
          <w:sz w:val="22"/>
          <w:szCs w:val="22"/>
        </w:rPr>
        <w:t>Discount — lower half of the range (price cheap relative to the container).</w:t>
      </w:r>
    </w:p>
    <w:p w14:paraId="4D34CF41">
      <w:pPr>
        <w:pStyle w:val="16"/>
        <w:numPr>
          <w:ilvl w:val="0"/>
          <w:numId w:val="1"/>
        </w:numPr>
        <w:spacing w:after="120" w:line="276" w:lineRule="auto"/>
      </w:pPr>
      <w:r>
        <w:rPr>
          <w:rFonts w:ascii="Arial" w:hAnsi="Arial" w:eastAsia="Arial" w:cs="Arial"/>
          <w:sz w:val="22"/>
          <w:szCs w:val="22"/>
        </w:rPr>
        <w:t>Range expansion — forceful movement that creates new extremes and new PD arrays.</w:t>
      </w:r>
    </w:p>
    <w:p w14:paraId="1C22D072">
      <w:pPr>
        <w:pStyle w:val="16"/>
        <w:numPr>
          <w:ilvl w:val="0"/>
          <w:numId w:val="1"/>
        </w:numPr>
        <w:spacing w:after="120" w:line="276" w:lineRule="auto"/>
      </w:pPr>
      <w:r>
        <w:rPr>
          <w:rFonts w:ascii="Arial" w:hAnsi="Arial" w:eastAsia="Arial" w:cs="Arial"/>
          <w:sz w:val="22"/>
          <w:szCs w:val="22"/>
        </w:rPr>
        <w:t>Range contraction — compression of range and volatility, often preceding expansion.</w:t>
      </w:r>
    </w:p>
    <w:p w14:paraId="0494FD4D">
      <w:pPr>
        <w:pStyle w:val="16"/>
        <w:numPr>
          <w:ilvl w:val="0"/>
          <w:numId w:val="1"/>
        </w:numPr>
        <w:spacing w:after="120" w:line="276" w:lineRule="auto"/>
      </w:pPr>
      <w:r>
        <w:rPr>
          <w:rFonts w:ascii="Arial" w:hAnsi="Arial" w:eastAsia="Arial" w:cs="Arial"/>
          <w:sz w:val="22"/>
          <w:szCs w:val="22"/>
        </w:rPr>
        <w:t>Bullish discount framework — long setups preferentially taken in discount after liquidity + displacement + MSS.</w:t>
      </w:r>
    </w:p>
    <w:p w14:paraId="0F8633BF">
      <w:pPr>
        <w:pStyle w:val="16"/>
        <w:numPr>
          <w:ilvl w:val="0"/>
          <w:numId w:val="1"/>
        </w:numPr>
        <w:spacing w:after="120" w:line="276" w:lineRule="auto"/>
      </w:pPr>
      <w:r>
        <w:rPr>
          <w:rFonts w:ascii="Arial" w:hAnsi="Arial" w:eastAsia="Arial" w:cs="Arial"/>
          <w:sz w:val="22"/>
          <w:szCs w:val="22"/>
        </w:rPr>
        <w:t>Bearish premium framework — short setups preferentially taken in premium after liquidity + displacement + MSS.</w:t>
      </w:r>
    </w:p>
    <w:p w14:paraId="7D5998D3">
      <w:pPr>
        <w:pStyle w:val="3"/>
        <w:spacing w:before="280" w:after="180"/>
      </w:pPr>
      <w:r>
        <w:rPr>
          <w:rFonts w:ascii="Arial" w:hAnsi="Arial" w:eastAsia="Arial" w:cs="Arial"/>
          <w:b/>
          <w:bCs/>
          <w:sz w:val="26"/>
          <w:szCs w:val="26"/>
        </w:rPr>
        <w:t>Beginner Summary (Bridge)</w:t>
      </w:r>
    </w:p>
    <w:p w14:paraId="4D5767A2">
      <w:pPr>
        <w:spacing w:after="200" w:line="276" w:lineRule="auto"/>
      </w:pPr>
      <w:r>
        <w:rPr>
          <w:rFonts w:ascii="Arial" w:hAnsi="Arial" w:eastAsia="Arial" w:cs="Arial"/>
          <w:sz w:val="22"/>
          <w:szCs w:val="22"/>
        </w:rPr>
        <w:t>Beginner teaching introduced premium and discount as the halves of a range. Intermediate teaching makes the dealing-range selection disciplined, nests ranges across timeframes, links expansion/contraction to array formation, and converts the filter into explicit bullish-discount and bearish-premium decision frameworks that govern every PD array and liquidity objective.</w:t>
      </w:r>
    </w:p>
    <w:p w14:paraId="1CE65817">
      <w:pPr>
        <w:pStyle w:val="3"/>
        <w:spacing w:before="280" w:after="180"/>
      </w:pPr>
      <w:r>
        <w:rPr>
          <w:rFonts w:ascii="Arial" w:hAnsi="Arial" w:eastAsia="Arial" w:cs="Arial"/>
          <w:b/>
          <w:bCs/>
          <w:sz w:val="26"/>
          <w:szCs w:val="26"/>
        </w:rPr>
        <w:t>Concept Relationships</w:t>
      </w:r>
    </w:p>
    <w:p w14:paraId="336329CD">
      <w:pPr>
        <w:spacing w:after="200" w:line="276" w:lineRule="auto"/>
      </w:pPr>
      <w:r>
        <w:rPr>
          <w:rFonts w:ascii="Arial" w:hAnsi="Arial" w:eastAsia="Arial" w:cs="Arial"/>
          <w:sz w:val="22"/>
          <w:szCs w:val="22"/>
        </w:rPr>
        <w:t>Structure (Module 1) defines the boundaries of the range. Liquidity (Module 2) is filtered by which half of the range it occupies. Displacement and MSS (Module 3) create the PD arrays that are then graded by premium/discount location (Modules 4–5). The frameworks in this module are the practical synthesis that decides which of those arrays are allowed to generate trades.</w:t>
      </w:r>
    </w:p>
    <w:p w14:paraId="05F78F82">
      <w:pPr>
        <w:pStyle w:val="3"/>
        <w:spacing w:before="280" w:after="180"/>
      </w:pPr>
      <w:r>
        <w:rPr>
          <w:rFonts w:ascii="Arial" w:hAnsi="Arial" w:eastAsia="Arial" w:cs="Arial"/>
          <w:b/>
          <w:bCs/>
          <w:sz w:val="26"/>
          <w:szCs w:val="26"/>
        </w:rPr>
        <w:t>Practical Chart Exercise</w:t>
      </w:r>
    </w:p>
    <w:p w14:paraId="695CBF91">
      <w:pPr>
        <w:spacing w:after="200" w:line="276" w:lineRule="auto"/>
      </w:pPr>
      <w:r>
        <w:rPr>
          <w:rFonts w:ascii="Arial" w:hAnsi="Arial" w:eastAsia="Arial" w:cs="Arial"/>
          <w:sz w:val="22"/>
          <w:szCs w:val="22"/>
        </w:rPr>
        <w:t>Before the next session:</w:t>
      </w:r>
    </w:p>
    <w:p w14:paraId="0ECDF28A">
      <w:pPr>
        <w:pStyle w:val="16"/>
        <w:numPr>
          <w:ilvl w:val="0"/>
          <w:numId w:val="3"/>
        </w:numPr>
        <w:spacing w:after="120" w:line="276" w:lineRule="auto"/>
      </w:pPr>
      <w:r>
        <w:rPr>
          <w:rFonts w:ascii="Arial" w:hAnsi="Arial" w:eastAsia="Arial" w:cs="Arial"/>
          <w:sz w:val="22"/>
          <w:szCs w:val="22"/>
        </w:rPr>
        <w:t>On the daily and 1-hour charts mark the active dealing ranges and their equilibrium levels.</w:t>
      </w:r>
    </w:p>
    <w:p w14:paraId="3D9CEB7A">
      <w:pPr>
        <w:pStyle w:val="16"/>
        <w:numPr>
          <w:ilvl w:val="0"/>
          <w:numId w:val="3"/>
        </w:numPr>
        <w:spacing w:after="120" w:line="276" w:lineRule="auto"/>
      </w:pPr>
      <w:r>
        <w:rPr>
          <w:rFonts w:ascii="Arial" w:hAnsi="Arial" w:eastAsia="Arial" w:cs="Arial"/>
          <w:sz w:val="22"/>
          <w:szCs w:val="22"/>
        </w:rPr>
        <w:t>Note whether price is currently in premium or discount on each timeframe.</w:t>
      </w:r>
    </w:p>
    <w:p w14:paraId="6C7B47C5">
      <w:pPr>
        <w:pStyle w:val="16"/>
        <w:numPr>
          <w:ilvl w:val="0"/>
          <w:numId w:val="3"/>
        </w:numPr>
        <w:spacing w:after="120" w:line="276" w:lineRule="auto"/>
      </w:pPr>
      <w:r>
        <w:rPr>
          <w:rFonts w:ascii="Arial" w:hAnsi="Arial" w:eastAsia="Arial" w:cs="Arial"/>
          <w:sz w:val="22"/>
          <w:szCs w:val="22"/>
        </w:rPr>
        <w:t>List the nearest unmitigated PD arrays and classify each as correctly or incorrectly located for a long and for a short.</w:t>
      </w:r>
    </w:p>
    <w:p w14:paraId="1561FC54">
      <w:pPr>
        <w:pStyle w:val="16"/>
        <w:numPr>
          <w:ilvl w:val="0"/>
          <w:numId w:val="3"/>
        </w:numPr>
        <w:spacing w:after="120" w:line="276" w:lineRule="auto"/>
      </w:pPr>
      <w:r>
        <w:rPr>
          <w:rFonts w:ascii="Arial" w:hAnsi="Arial" w:eastAsia="Arial" w:cs="Arial"/>
          <w:sz w:val="22"/>
          <w:szCs w:val="22"/>
        </w:rPr>
        <w:t>Identify any expansion or contraction phase currently in progress.</w:t>
      </w:r>
    </w:p>
    <w:p w14:paraId="6AFB2F6A">
      <w:pPr>
        <w:pStyle w:val="16"/>
        <w:numPr>
          <w:ilvl w:val="0"/>
          <w:numId w:val="3"/>
        </w:numPr>
        <w:spacing w:after="120" w:line="276" w:lineRule="auto"/>
      </w:pPr>
      <w:r>
        <w:rPr>
          <w:rFonts w:ascii="Arial" w:hAnsi="Arial" w:eastAsia="Arial" w:cs="Arial"/>
          <w:sz w:val="22"/>
          <w:szCs w:val="22"/>
        </w:rPr>
        <w:t>Write the preferred bullish-discount or bearish-premium sequence that would be required before engagement.</w:t>
      </w:r>
    </w:p>
    <w:p w14:paraId="72AF131E">
      <w:pPr>
        <w:pStyle w:val="16"/>
        <w:numPr>
          <w:ilvl w:val="0"/>
          <w:numId w:val="3"/>
        </w:numPr>
        <w:spacing w:after="120" w:line="276" w:lineRule="auto"/>
      </w:pPr>
      <w:r>
        <w:rPr>
          <w:rFonts w:ascii="Arial" w:hAnsi="Arial" w:eastAsia="Arial" w:cs="Arial"/>
          <w:sz w:val="22"/>
          <w:szCs w:val="22"/>
        </w:rPr>
        <w:t>After the session, record whether price respected the premium/discount filter and what that implies for the next session’s range definition.</w:t>
      </w:r>
    </w:p>
    <w:p w14:paraId="52487847">
      <w:pPr>
        <w:pStyle w:val="3"/>
        <w:spacing w:before="280" w:after="180"/>
      </w:pPr>
      <w:r>
        <w:rPr>
          <w:rFonts w:ascii="Arial" w:hAnsi="Arial" w:eastAsia="Arial" w:cs="Arial"/>
          <w:b/>
          <w:bCs/>
          <w:sz w:val="26"/>
          <w:szCs w:val="26"/>
        </w:rPr>
        <w:t>Self-Test Questions</w:t>
      </w:r>
    </w:p>
    <w:p w14:paraId="750D86AF">
      <w:pPr>
        <w:pStyle w:val="16"/>
        <w:numPr>
          <w:ilvl w:val="0"/>
          <w:numId w:val="3"/>
        </w:numPr>
        <w:spacing w:after="120" w:line="276" w:lineRule="auto"/>
      </w:pPr>
      <w:r>
        <w:rPr>
          <w:rFonts w:ascii="Arial" w:hAnsi="Arial" w:eastAsia="Arial" w:cs="Arial"/>
          <w:sz w:val="22"/>
          <w:szCs w:val="22"/>
        </w:rPr>
        <w:t>How is equilibrium calculated and why does it matter?</w:t>
      </w:r>
    </w:p>
    <w:p w14:paraId="62659390">
      <w:pPr>
        <w:pStyle w:val="16"/>
        <w:numPr>
          <w:ilvl w:val="0"/>
          <w:numId w:val="3"/>
        </w:numPr>
        <w:spacing w:after="120" w:line="276" w:lineRule="auto"/>
      </w:pPr>
      <w:r>
        <w:rPr>
          <w:rFonts w:ascii="Arial" w:hAnsi="Arial" w:eastAsia="Arial" w:cs="Arial"/>
          <w:sz w:val="22"/>
          <w:szCs w:val="22"/>
        </w:rPr>
        <w:t>What is the core intermediate rule relating trade direction to premium and discount?</w:t>
      </w:r>
    </w:p>
    <w:p w14:paraId="63514F76">
      <w:pPr>
        <w:pStyle w:val="16"/>
        <w:numPr>
          <w:ilvl w:val="0"/>
          <w:numId w:val="3"/>
        </w:numPr>
        <w:spacing w:after="120" w:line="276" w:lineRule="auto"/>
      </w:pPr>
      <w:r>
        <w:rPr>
          <w:rFonts w:ascii="Arial" w:hAnsi="Arial" w:eastAsia="Arial" w:cs="Arial"/>
          <w:sz w:val="22"/>
          <w:szCs w:val="22"/>
        </w:rPr>
        <w:t>How should a trader treat a high-quality bullish Order Block that sits in deep premium?</w:t>
      </w:r>
    </w:p>
    <w:p w14:paraId="472D279A">
      <w:pPr>
        <w:pStyle w:val="16"/>
        <w:numPr>
          <w:ilvl w:val="0"/>
          <w:numId w:val="3"/>
        </w:numPr>
        <w:spacing w:after="120" w:line="276" w:lineRule="auto"/>
      </w:pPr>
      <w:r>
        <w:rPr>
          <w:rFonts w:ascii="Arial" w:hAnsi="Arial" w:eastAsia="Arial" w:cs="Arial"/>
          <w:sz w:val="22"/>
          <w:szCs w:val="22"/>
        </w:rPr>
        <w:t>What typically characterises range expansion versus range contraction?</w:t>
      </w:r>
    </w:p>
    <w:p w14:paraId="32A85881">
      <w:pPr>
        <w:pStyle w:val="16"/>
        <w:numPr>
          <w:ilvl w:val="0"/>
          <w:numId w:val="3"/>
        </w:numPr>
        <w:spacing w:after="120" w:line="276" w:lineRule="auto"/>
      </w:pPr>
      <w:r>
        <w:rPr>
          <w:rFonts w:ascii="Arial" w:hAnsi="Arial" w:eastAsia="Arial" w:cs="Arial"/>
          <w:sz w:val="22"/>
          <w:szCs w:val="22"/>
        </w:rPr>
        <w:t>Outline the preferred sequence of the bullish discount framework.</w:t>
      </w:r>
    </w:p>
    <w:p w14:paraId="16C0DEC3">
      <w:pPr>
        <w:pStyle w:val="16"/>
        <w:numPr>
          <w:ilvl w:val="0"/>
          <w:numId w:val="3"/>
        </w:numPr>
        <w:spacing w:after="120" w:line="276" w:lineRule="auto"/>
      </w:pPr>
      <w:r>
        <w:rPr>
          <w:rFonts w:ascii="Arial" w:hAnsi="Arial" w:eastAsia="Arial" w:cs="Arial"/>
          <w:sz w:val="22"/>
          <w:szCs w:val="22"/>
        </w:rPr>
        <w:t>When should the dealing range itself be updated?</w:t>
      </w:r>
    </w:p>
    <w:p w14:paraId="1F6BB34B">
      <w:pPr>
        <w:pStyle w:val="3"/>
        <w:spacing w:before="280" w:after="180"/>
      </w:pPr>
      <w:r>
        <w:rPr>
          <w:rFonts w:ascii="Arial" w:hAnsi="Arial" w:eastAsia="Arial" w:cs="Arial"/>
          <w:b/>
          <w:bCs/>
          <w:sz w:val="26"/>
          <w:szCs w:val="26"/>
        </w:rPr>
        <w:t>Common Misconceptions</w:t>
      </w:r>
    </w:p>
    <w:p w14:paraId="38A0979A">
      <w:pPr>
        <w:pStyle w:val="16"/>
        <w:numPr>
          <w:ilvl w:val="0"/>
          <w:numId w:val="1"/>
        </w:numPr>
        <w:spacing w:after="120" w:line="276" w:lineRule="auto"/>
      </w:pPr>
      <w:r>
        <w:rPr>
          <w:rFonts w:ascii="Arial" w:hAnsi="Arial" w:eastAsia="Arial" w:cs="Arial"/>
          <w:sz w:val="22"/>
          <w:szCs w:val="22"/>
        </w:rPr>
        <w:t>“Any range high and low will do.” — False. Selection must reflect meaningful, preferably liquidity-tested boundaries.</w:t>
      </w:r>
    </w:p>
    <w:p w14:paraId="3E6BEDDE">
      <w:pPr>
        <w:pStyle w:val="16"/>
        <w:numPr>
          <w:ilvl w:val="0"/>
          <w:numId w:val="1"/>
        </w:numPr>
        <w:spacing w:after="120" w:line="276" w:lineRule="auto"/>
      </w:pPr>
      <w:r>
        <w:rPr>
          <w:rFonts w:ascii="Arial" w:hAnsi="Arial" w:eastAsia="Arial" w:cs="Arial"/>
          <w:sz w:val="22"/>
          <w:szCs w:val="22"/>
        </w:rPr>
        <w:t>“If the daily is bullish I can buy anywhere.” — False. Location inside the operating dealing range still matters.</w:t>
      </w:r>
    </w:p>
    <w:p w14:paraId="526A072B">
      <w:pPr>
        <w:pStyle w:val="16"/>
        <w:numPr>
          <w:ilvl w:val="0"/>
          <w:numId w:val="1"/>
        </w:numPr>
        <w:spacing w:after="120" w:line="276" w:lineRule="auto"/>
      </w:pPr>
      <w:r>
        <w:rPr>
          <w:rFonts w:ascii="Arial" w:hAnsi="Arial" w:eastAsia="Arial" w:cs="Arial"/>
          <w:sz w:val="22"/>
          <w:szCs w:val="22"/>
        </w:rPr>
        <w:t>“Premium and discount are absolute.” — False. They are relative to the chosen container; nested ranges can disagree.</w:t>
      </w:r>
    </w:p>
    <w:p w14:paraId="710C5FE0">
      <w:pPr>
        <w:pStyle w:val="16"/>
        <w:numPr>
          <w:ilvl w:val="0"/>
          <w:numId w:val="1"/>
        </w:numPr>
        <w:spacing w:after="120" w:line="276" w:lineRule="auto"/>
      </w:pPr>
      <w:r>
        <w:rPr>
          <w:rFonts w:ascii="Arial" w:hAnsi="Arial" w:eastAsia="Arial" w:cs="Arial"/>
          <w:sz w:val="22"/>
          <w:szCs w:val="22"/>
        </w:rPr>
        <w:t>“Once in discount the long is automatic.” — False. Liquidity, displacement and MSS are still required.</w:t>
      </w:r>
    </w:p>
    <w:p w14:paraId="77B593B1">
      <w:pPr>
        <w:pStyle w:val="16"/>
        <w:numPr>
          <w:ilvl w:val="0"/>
          <w:numId w:val="1"/>
        </w:numPr>
        <w:spacing w:after="120" w:line="276" w:lineRule="auto"/>
      </w:pPr>
      <w:r>
        <w:rPr>
          <w:rFonts w:ascii="Arial" w:hAnsi="Arial" w:eastAsia="Arial" w:cs="Arial"/>
          <w:sz w:val="22"/>
          <w:szCs w:val="22"/>
        </w:rPr>
        <w:t>“The dealing range never changes.” — False. Expansion that holds creates a new container.</w:t>
      </w:r>
    </w:p>
    <w:p w14:paraId="374514C1">
      <w:pPr>
        <w:pStyle w:val="3"/>
        <w:spacing w:before="280" w:after="180"/>
      </w:pPr>
      <w:r>
        <w:rPr>
          <w:rFonts w:ascii="Arial" w:hAnsi="Arial" w:eastAsia="Arial" w:cs="Arial"/>
          <w:b/>
          <w:bCs/>
          <w:sz w:val="26"/>
          <w:szCs w:val="26"/>
        </w:rPr>
        <w:t>Research Sources</w:t>
      </w:r>
    </w:p>
    <w:p w14:paraId="41E58008">
      <w:pPr>
        <w:spacing w:after="200" w:line="276" w:lineRule="auto"/>
      </w:pPr>
      <w:r>
        <w:rPr>
          <w:rFonts w:ascii="Arial" w:hAnsi="Arial" w:eastAsia="Arial" w:cs="Arial"/>
          <w:sz w:val="22"/>
          <w:szCs w:val="22"/>
        </w:rPr>
        <w:t>Primary orientation is taken from ICT’s consistent use of dealing ranges (including the interbank dealing range concept), the 50 % equilibrium division into premium and discount, and the repeated preference for buying in discount and selling in premium. Nested timeframe application follows from the fractal nature of ICT structure.</w:t>
      </w:r>
    </w:p>
    <w:p w14:paraId="27029D8B">
      <w:pPr>
        <w:spacing w:after="200" w:line="276" w:lineRule="auto"/>
      </w:pPr>
      <w:r>
        <w:rPr>
          <w:rFonts w:ascii="Arial" w:hAnsi="Arial" w:eastAsia="Arial" w:cs="Arial"/>
          <w:sz w:val="22"/>
          <w:szCs w:val="22"/>
        </w:rPr>
        <w:t>Community resources that formalise selection checklists and expansion/contraction readings are used where they remain faithful to the primary logic of the dealing range as the master filter for all other concepts.</w:t>
      </w:r>
    </w:p>
    <w:p w14:paraId="5E2E91CC">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Key references include ICT mentorship and public material on dealing ranges, premium/discount pricing, and chart examples in which entries are explicitly located in the correct half of the range. Secondary refinements of nested-range discipline appear in high-quality community educational material aligned with those teachings.</w:t>
      </w:r>
    </w:p>
    <w:p w14:paraId="732783D3">
      <w:pPr>
        <w:pStyle w:val="2"/>
        <w:spacing w:before="360" w:after="240"/>
      </w:pPr>
      <w:r>
        <w:rPr>
          <w:rFonts w:ascii="Arial" w:hAnsi="Arial" w:eastAsia="Arial" w:cs="Arial"/>
          <w:b/>
          <w:bCs/>
          <w:sz w:val="32"/>
          <w:szCs w:val="32"/>
        </w:rPr>
        <w:t>Transition to Module 7</w:t>
      </w:r>
    </w:p>
    <w:p w14:paraId="2A022EAB">
      <w:pPr>
        <w:spacing w:after="200" w:line="276" w:lineRule="auto"/>
        <w:rPr>
          <w:rFonts w:ascii="Arial" w:hAnsi="Arial" w:eastAsia="Arial" w:cs="Arial"/>
          <w:sz w:val="22"/>
          <w:szCs w:val="22"/>
        </w:rPr>
      </w:pPr>
      <w:r>
        <w:rPr>
          <w:rFonts w:ascii="Arial" w:hAnsi="Arial" w:eastAsia="Arial" w:cs="Arial"/>
          <w:sz w:val="22"/>
          <w:szCs w:val="22"/>
        </w:rPr>
        <w:t>Module 6 has refined the container and the primary location filter that governs every other tool. Module 7 (Advanced Fibonacci &amp; OTE) will place the Optimal Trade Entry zone inside that container, showing how to measure the correct displacement leg, how the 62 %–79 % band interacts with premium/discount, and when the OTE should be used or ignored relative to the dealing-range narrative already established.</w:t>
      </w:r>
    </w:p>
    <w:p w14:paraId="23DD1323">
      <w:pPr>
        <w:spacing w:after="200" w:line="276" w:lineRule="auto"/>
        <w:rPr>
          <w:rFonts w:ascii="Arial" w:hAnsi="Arial" w:eastAsia="Arial" w:cs="Arial"/>
          <w:sz w:val="22"/>
          <w:szCs w:val="22"/>
        </w:rPr>
      </w:pPr>
    </w:p>
    <w:p w14:paraId="44D680C5">
      <w:pPr>
        <w:spacing w:after="200" w:line="276" w:lineRule="auto"/>
        <w:rPr>
          <w:rFonts w:ascii="Arial" w:hAnsi="Arial" w:eastAsia="Arial" w:cs="Arial"/>
          <w:sz w:val="22"/>
          <w:szCs w:val="22"/>
        </w:rPr>
      </w:pPr>
    </w:p>
    <w:p w14:paraId="0FF60E5C">
      <w:pPr>
        <w:spacing w:after="200" w:line="276" w:lineRule="auto"/>
        <w:rPr>
          <w:rFonts w:ascii="Arial" w:hAnsi="Arial" w:eastAsia="Arial" w:cs="Arial"/>
          <w:sz w:val="22"/>
          <w:szCs w:val="22"/>
        </w:rPr>
      </w:pPr>
    </w:p>
    <w:p w14:paraId="004BC3AA">
      <w:pPr>
        <w:spacing w:after="200" w:line="276" w:lineRule="auto"/>
        <w:rPr>
          <w:rFonts w:ascii="Arial" w:hAnsi="Arial" w:eastAsia="Arial" w:cs="Arial"/>
          <w:sz w:val="22"/>
          <w:szCs w:val="22"/>
        </w:rPr>
      </w:pPr>
    </w:p>
    <w:p w14:paraId="0BB11CF9">
      <w:pPr>
        <w:spacing w:after="200" w:line="276" w:lineRule="auto"/>
        <w:rPr>
          <w:rFonts w:ascii="Arial" w:hAnsi="Arial" w:eastAsia="Arial" w:cs="Arial"/>
          <w:sz w:val="22"/>
          <w:szCs w:val="22"/>
        </w:rPr>
      </w:pPr>
    </w:p>
    <w:p w14:paraId="32F5B8E9">
      <w:pPr>
        <w:spacing w:after="200" w:line="276" w:lineRule="auto"/>
        <w:rPr>
          <w:rFonts w:ascii="Arial" w:hAnsi="Arial" w:eastAsia="Arial" w:cs="Arial"/>
          <w:sz w:val="22"/>
          <w:szCs w:val="22"/>
        </w:rPr>
      </w:pPr>
    </w:p>
    <w:p w14:paraId="62210D55">
      <w:pPr>
        <w:spacing w:after="400"/>
        <w:jc w:val="center"/>
      </w:pPr>
      <w:r>
        <w:rPr>
          <w:rFonts w:ascii="Arial" w:hAnsi="Arial" w:eastAsia="Arial" w:cs="Arial"/>
          <w:b/>
          <w:bCs/>
          <w:sz w:val="36"/>
          <w:szCs w:val="36"/>
        </w:rPr>
        <w:t>MODULE 7</w:t>
      </w:r>
    </w:p>
    <w:p w14:paraId="4E97BE14">
      <w:pPr>
        <w:spacing w:after="200"/>
        <w:jc w:val="center"/>
      </w:pPr>
      <w:r>
        <w:rPr>
          <w:rFonts w:ascii="Arial" w:hAnsi="Arial" w:eastAsia="Arial" w:cs="Arial"/>
          <w:b/>
          <w:bCs/>
          <w:sz w:val="28"/>
          <w:szCs w:val="28"/>
        </w:rPr>
        <w:t>Advanced Fibonacci &amp; Optimal Trade Entry (OTE)</w:t>
      </w:r>
    </w:p>
    <w:p w14:paraId="11FB3A9D">
      <w:pPr>
        <w:spacing w:after="400"/>
        <w:jc w:val="center"/>
      </w:pPr>
      <w:r>
        <w:rPr>
          <w:rFonts w:ascii="Arial" w:hAnsi="Arial" w:eastAsia="Arial" w:cs="Arial"/>
          <w:i/>
          <w:iCs/>
          <w:sz w:val="20"/>
          <w:szCs w:val="20"/>
        </w:rPr>
        <w:t>Contextual Application within Dealing Ranges, Premium/Discount, Liquidity and PD Arrays</w:t>
      </w:r>
    </w:p>
    <w:p w14:paraId="52DF961F">
      <w:pPr>
        <w:pBdr>
          <w:left w:val="single" w:color="2E75B6" w:sz="24" w:space="8"/>
        </w:pBdr>
        <w:shd w:val="clear" w:fill="F5F5F5"/>
        <w:spacing w:before="120" w:after="200" w:line="276" w:lineRule="auto"/>
        <w:ind w:left="120"/>
      </w:pPr>
      <w:r>
        <w:rPr>
          <w:rFonts w:ascii="Arial" w:hAnsi="Arial" w:eastAsia="Arial" w:cs="Arial"/>
          <w:i/>
          <w:iCs/>
          <w:sz w:val="20"/>
          <w:szCs w:val="20"/>
        </w:rPr>
        <w:t>Prerequisite: The student is assumed to have completed the ICT Beginner textbook and Intermediate Modules 1–6. Concepts such as dealing range, premium, discount, equilibrium, displacement, MSS, FVG, Order Block, and basic OTE are treated as known.</w:t>
      </w:r>
    </w:p>
    <w:p w14:paraId="63042536">
      <w:pPr>
        <w:pStyle w:val="2"/>
        <w:spacing w:before="360" w:after="240"/>
      </w:pPr>
      <w:r>
        <w:rPr>
          <w:rFonts w:ascii="Arial" w:hAnsi="Arial" w:eastAsia="Arial" w:cs="Arial"/>
          <w:b/>
          <w:bCs/>
          <w:sz w:val="32"/>
          <w:szCs w:val="32"/>
        </w:rPr>
        <w:t>Module Objectives</w:t>
      </w:r>
    </w:p>
    <w:p w14:paraId="0E1A02C7">
      <w:pPr>
        <w:spacing w:after="200" w:line="276" w:lineRule="auto"/>
      </w:pPr>
      <w:r>
        <w:rPr>
          <w:rFonts w:ascii="Arial" w:hAnsi="Arial" w:eastAsia="Arial" w:cs="Arial"/>
          <w:sz w:val="22"/>
          <w:szCs w:val="22"/>
        </w:rPr>
        <w:t>By the end of this module the intermediate student should be able to:</w:t>
      </w:r>
    </w:p>
    <w:p w14:paraId="5EF6DD42">
      <w:pPr>
        <w:pStyle w:val="16"/>
        <w:numPr>
          <w:ilvl w:val="0"/>
          <w:numId w:val="1"/>
        </w:numPr>
        <w:spacing w:after="120" w:line="276" w:lineRule="auto"/>
      </w:pPr>
      <w:r>
        <w:rPr>
          <w:rFonts w:ascii="Arial" w:hAnsi="Arial" w:eastAsia="Arial" w:cs="Arial"/>
          <w:sz w:val="22"/>
          <w:szCs w:val="22"/>
        </w:rPr>
        <w:t>Select the correct swing points for Fibonacci anchoring relative to a defined dealing range and displacement leg.</w:t>
      </w:r>
    </w:p>
    <w:p w14:paraId="7BC3D0F7">
      <w:pPr>
        <w:pStyle w:val="16"/>
        <w:numPr>
          <w:ilvl w:val="0"/>
          <w:numId w:val="1"/>
        </w:numPr>
        <w:spacing w:after="120" w:line="276" w:lineRule="auto"/>
      </w:pPr>
      <w:r>
        <w:rPr>
          <w:rFonts w:ascii="Arial" w:hAnsi="Arial" w:eastAsia="Arial" w:cs="Arial"/>
          <w:sz w:val="22"/>
          <w:szCs w:val="22"/>
        </w:rPr>
        <w:t>Distinguish shallow, standard, and deep retracements and interpret their implications within ICT’s framework.</w:t>
      </w:r>
    </w:p>
    <w:p w14:paraId="45D3ED43">
      <w:pPr>
        <w:pStyle w:val="16"/>
        <w:numPr>
          <w:ilvl w:val="0"/>
          <w:numId w:val="1"/>
        </w:numPr>
        <w:spacing w:after="120" w:line="276" w:lineRule="auto"/>
      </w:pPr>
      <w:r>
        <w:rPr>
          <w:rFonts w:ascii="Arial" w:hAnsi="Arial" w:eastAsia="Arial" w:cs="Arial"/>
          <w:sz w:val="22"/>
          <w:szCs w:val="22"/>
        </w:rPr>
        <w:t>Locate the Optimal Trade Entry (OTE) zone (62 %–79 %, with 70.5 % as the central reference) inside the correct premium or discount half of a dealing range.</w:t>
      </w:r>
    </w:p>
    <w:p w14:paraId="77AF0E98">
      <w:pPr>
        <w:pStyle w:val="16"/>
        <w:numPr>
          <w:ilvl w:val="0"/>
          <w:numId w:val="1"/>
        </w:numPr>
        <w:spacing w:after="120" w:line="276" w:lineRule="auto"/>
      </w:pPr>
      <w:r>
        <w:rPr>
          <w:rFonts w:ascii="Arial" w:hAnsi="Arial" w:eastAsia="Arial" w:cs="Arial"/>
          <w:sz w:val="22"/>
          <w:szCs w:val="22"/>
        </w:rPr>
        <w:t>Combine OTE with liquidity events, displacement, Market Structure Shift, Fair Value Gaps and Order Blocks.</w:t>
      </w:r>
    </w:p>
    <w:p w14:paraId="4B5F38FA">
      <w:pPr>
        <w:pStyle w:val="16"/>
        <w:numPr>
          <w:ilvl w:val="0"/>
          <w:numId w:val="1"/>
        </w:numPr>
        <w:spacing w:after="120" w:line="276" w:lineRule="auto"/>
      </w:pPr>
      <w:r>
        <w:rPr>
          <w:rFonts w:ascii="Arial" w:hAnsi="Arial" w:eastAsia="Arial" w:cs="Arial"/>
          <w:sz w:val="22"/>
          <w:szCs w:val="22"/>
        </w:rPr>
        <w:t>Recognise when an OTE retracement is high-quality versus when it should be ignored or treated as lower probability.</w:t>
      </w:r>
    </w:p>
    <w:p w14:paraId="5AFB2659">
      <w:pPr>
        <w:pStyle w:val="16"/>
        <w:numPr>
          <w:ilvl w:val="0"/>
          <w:numId w:val="1"/>
        </w:numPr>
        <w:spacing w:after="120" w:line="276" w:lineRule="auto"/>
      </w:pPr>
      <w:r>
        <w:rPr>
          <w:rFonts w:ascii="Arial" w:hAnsi="Arial" w:eastAsia="Arial" w:cs="Arial"/>
          <w:sz w:val="22"/>
          <w:szCs w:val="22"/>
        </w:rPr>
        <w:t>Identify conditions under which the OTE concept should not be forced.</w:t>
      </w:r>
    </w:p>
    <w:p w14:paraId="28F26094">
      <w:pPr>
        <w:pStyle w:val="16"/>
        <w:numPr>
          <w:ilvl w:val="0"/>
          <w:numId w:val="1"/>
        </w:numPr>
        <w:spacing w:after="120" w:line="276" w:lineRule="auto"/>
      </w:pPr>
      <w:r>
        <w:rPr>
          <w:rFonts w:ascii="Arial" w:hAnsi="Arial" w:eastAsia="Arial" w:cs="Arial"/>
          <w:sz w:val="22"/>
          <w:szCs w:val="22"/>
        </w:rPr>
        <w:t>Apply Fibonacci extensions for objective target projection while remaining subordinate to liquidity objectives.</w:t>
      </w:r>
    </w:p>
    <w:p w14:paraId="7D4F8841">
      <w:pPr>
        <w:pStyle w:val="2"/>
        <w:spacing w:before="360" w:after="240"/>
      </w:pPr>
      <w:r>
        <w:rPr>
          <w:rFonts w:ascii="Arial" w:hAnsi="Arial" w:eastAsia="Arial" w:cs="Arial"/>
          <w:b/>
          <w:bCs/>
          <w:sz w:val="32"/>
          <w:szCs w:val="32"/>
        </w:rPr>
        <w:t>Introduction: From Beginner OTE to Intermediate Application</w:t>
      </w:r>
    </w:p>
    <w:p w14:paraId="2CF928EC">
      <w:pPr>
        <w:spacing w:after="200" w:line="276" w:lineRule="auto"/>
      </w:pPr>
      <w:r>
        <w:rPr>
          <w:rFonts w:ascii="Arial" w:hAnsi="Arial" w:eastAsia="Arial" w:cs="Arial"/>
          <w:sz w:val="22"/>
          <w:szCs w:val="22"/>
        </w:rPr>
        <w:t>In the Beginner textbook the student learned that Optimal Trade Entry is the 62 %–79 % Fibonacci retracement zone of a confirmed displacement leg, with 70.5 % often treated as the central “sweet spot.” That definition remains valid. What changes at the intermediate level is the surrounding context.</w:t>
      </w:r>
    </w:p>
    <w:p w14:paraId="6D726A69">
      <w:pPr>
        <w:spacing w:after="200" w:line="276" w:lineRule="auto"/>
      </w:pPr>
      <w:r>
        <w:rPr>
          <w:rFonts w:ascii="Arial" w:hAnsi="Arial" w:eastAsia="Arial" w:cs="Arial"/>
          <w:sz w:val="22"/>
          <w:szCs w:val="22"/>
        </w:rPr>
        <w:t>The beginner question was: “Where is the OTE?”</w:t>
      </w:r>
    </w:p>
    <w:p w14:paraId="46E56695">
      <w:pPr>
        <w:spacing w:after="200" w:line="276" w:lineRule="auto"/>
      </w:pPr>
      <w:r>
        <w:rPr>
          <w:rFonts w:ascii="Arial" w:hAnsi="Arial" w:eastAsia="Arial" w:cs="Arial"/>
          <w:sz w:val="22"/>
          <w:szCs w:val="22"/>
        </w:rPr>
        <w:t>The intermediate question is: “Which swing should I measure, is the resulting OTE located inside the correct half of the current dealing range, what liquidity event preceded the displacement, does a PD array sit inside the zone, and is the higher-timeframe narrative aligned?”</w:t>
      </w:r>
    </w:p>
    <w:p w14:paraId="75F22054">
      <w:pPr>
        <w:spacing w:after="200" w:line="276" w:lineRule="auto"/>
      </w:pPr>
      <w:r>
        <w:rPr>
          <w:rFonts w:ascii="Arial" w:hAnsi="Arial" w:eastAsia="Arial" w:cs="Arial"/>
          <w:sz w:val="22"/>
          <w:szCs w:val="22"/>
        </w:rPr>
        <w:t>Fibonacci is not treated in ICT as a predictive magic ratio system. It is a measuring tool that quantifies how deep a retracement has travelled relative to a defined impulse. The OTE zone simply marks the region that, within a healthy continuation, tends to offer favourable risk relative to the remaining distance to the next liquidity objective.</w:t>
      </w:r>
    </w:p>
    <w:p w14:paraId="2C088902">
      <w:pPr>
        <w:spacing w:after="200" w:line="276" w:lineRule="auto"/>
      </w:pPr>
      <w:r>
        <w:rPr>
          <w:rFonts w:ascii="Arial" w:hAnsi="Arial" w:eastAsia="Arial" w:cs="Arial"/>
          <w:sz w:val="22"/>
          <w:szCs w:val="22"/>
        </w:rPr>
        <w:t>This module therefore focuses on correct anchor selection, relationship to dealing ranges and premium/discount, confluence with other PD arrays, failure conditions, and practical filtering.</w:t>
      </w:r>
    </w:p>
    <w:p w14:paraId="4CE0219E">
      <w:pPr>
        <w:pStyle w:val="2"/>
        <w:spacing w:before="360" w:after="240"/>
      </w:pPr>
      <w:r>
        <w:rPr>
          <w:rFonts w:ascii="Arial" w:hAnsi="Arial" w:eastAsia="Arial" w:cs="Arial"/>
          <w:b/>
          <w:bCs/>
          <w:sz w:val="32"/>
          <w:szCs w:val="32"/>
        </w:rPr>
        <w:t>1. Correct Fibonacci Anchor Selection</w:t>
      </w:r>
    </w:p>
    <w:p w14:paraId="17F3DBEC">
      <w:pPr>
        <w:pStyle w:val="3"/>
        <w:spacing w:before="280" w:after="180"/>
      </w:pPr>
      <w:r>
        <w:rPr>
          <w:rFonts w:ascii="Arial" w:hAnsi="Arial" w:eastAsia="Arial" w:cs="Arial"/>
          <w:b/>
          <w:bCs/>
          <w:sz w:val="26"/>
          <w:szCs w:val="26"/>
        </w:rPr>
        <w:t>1.1 ICT Definition / Intermediate Refinement</w:t>
      </w:r>
    </w:p>
    <w:p w14:paraId="29BB9683">
      <w:pPr>
        <w:spacing w:after="200" w:line="276" w:lineRule="auto"/>
      </w:pPr>
      <w:r>
        <w:rPr>
          <w:rFonts w:ascii="Arial" w:hAnsi="Arial" w:eastAsia="Arial" w:cs="Arial"/>
          <w:sz w:val="22"/>
          <w:szCs w:val="22"/>
        </w:rPr>
        <w:t>Within ICT teaching, the Fibonacci retracement tool is anchored to the origin and termination of a specific price swing that represents a displacement or the expansion leg of a dealing range. The choice of swing is not arbitrary; it must correspond to the leg that created the structural change the trader intends to trade.</w:t>
      </w:r>
    </w:p>
    <w:p w14:paraId="06CD8C7B">
      <w:pPr>
        <w:pStyle w:val="3"/>
        <w:spacing w:before="280" w:after="180"/>
      </w:pPr>
      <w:r>
        <w:rPr>
          <w:rFonts w:ascii="Arial" w:hAnsi="Arial" w:eastAsia="Arial" w:cs="Arial"/>
          <w:b/>
          <w:bCs/>
          <w:sz w:val="26"/>
          <w:szCs w:val="26"/>
        </w:rPr>
        <w:t>1.2 What Changed from Beginner Understanding</w:t>
      </w:r>
    </w:p>
    <w:p w14:paraId="6609ABEE">
      <w:pPr>
        <w:spacing w:after="200" w:line="276" w:lineRule="auto"/>
      </w:pPr>
      <w:r>
        <w:rPr>
          <w:rFonts w:ascii="Arial" w:hAnsi="Arial" w:eastAsia="Arial" w:cs="Arial"/>
          <w:sz w:val="22"/>
          <w:szCs w:val="22"/>
        </w:rPr>
        <w:t>Beginners often draw Fibonacci on any visible swing. Intermediate practice requires the measured leg to be the displacement that produced a Market Structure Shift or the leg that expanded the current dealing range after a liquidity event.</w:t>
      </w:r>
    </w:p>
    <w:p w14:paraId="30028E9B">
      <w:pPr>
        <w:pStyle w:val="3"/>
        <w:spacing w:before="280" w:after="180"/>
      </w:pPr>
      <w:r>
        <w:rPr>
          <w:rFonts w:ascii="Arial" w:hAnsi="Arial" w:eastAsia="Arial" w:cs="Arial"/>
          <w:b/>
          <w:bCs/>
          <w:sz w:val="26"/>
          <w:szCs w:val="26"/>
        </w:rPr>
        <w:t>1.3 Why It Matters</w:t>
      </w:r>
    </w:p>
    <w:p w14:paraId="6F9BA28E">
      <w:pPr>
        <w:spacing w:after="200" w:line="276" w:lineRule="auto"/>
      </w:pPr>
      <w:r>
        <w:rPr>
          <w:rFonts w:ascii="Arial" w:hAnsi="Arial" w:eastAsia="Arial" w:cs="Arial"/>
          <w:sz w:val="22"/>
          <w:szCs w:val="22"/>
        </w:rPr>
        <w:t>Incorrect anchors produce an OTE zone that has no relationship to institutional order flow. A correctly anchored OTE sits inside the discount (for buys) or premium (for sells) of the relevant dealing range and frequently coincides with an FVG or Order Block.</w:t>
      </w:r>
    </w:p>
    <w:p w14:paraId="72C418FD">
      <w:pPr>
        <w:pStyle w:val="3"/>
        <w:spacing w:before="280" w:after="180"/>
      </w:pPr>
      <w:r>
        <w:rPr>
          <w:rFonts w:ascii="Arial" w:hAnsi="Arial" w:eastAsia="Arial" w:cs="Arial"/>
          <w:b/>
          <w:bCs/>
          <w:sz w:val="26"/>
          <w:szCs w:val="26"/>
        </w:rPr>
        <w:t>1.4 How to Identify / Procedure</w:t>
      </w:r>
    </w:p>
    <w:p w14:paraId="0E3F28BE">
      <w:pPr>
        <w:pStyle w:val="16"/>
        <w:numPr>
          <w:ilvl w:val="0"/>
          <w:numId w:val="2"/>
        </w:numPr>
        <w:spacing w:after="120" w:line="276" w:lineRule="auto"/>
      </w:pPr>
      <w:r>
        <w:rPr>
          <w:rFonts w:ascii="Arial" w:hAnsi="Arial" w:eastAsia="Arial" w:cs="Arial"/>
          <w:sz w:val="22"/>
          <w:szCs w:val="22"/>
        </w:rPr>
        <w:t>Identify the higher-timeframe narrative and the current dealing range (Module 6).</w:t>
      </w:r>
    </w:p>
    <w:p w14:paraId="26B0E3A3">
      <w:pPr>
        <w:pStyle w:val="16"/>
        <w:numPr>
          <w:ilvl w:val="0"/>
          <w:numId w:val="2"/>
        </w:numPr>
        <w:spacing w:after="120" w:line="276" w:lineRule="auto"/>
      </w:pPr>
      <w:r>
        <w:rPr>
          <w:rFonts w:ascii="Arial" w:hAnsi="Arial" w:eastAsia="Arial" w:cs="Arial"/>
          <w:sz w:val="22"/>
          <w:szCs w:val="22"/>
        </w:rPr>
        <w:t>Locate the most recent significant liquidity event (raid of buy-side or sell-side liquidity).</w:t>
      </w:r>
    </w:p>
    <w:p w14:paraId="1758DD78">
      <w:pPr>
        <w:pStyle w:val="16"/>
        <w:numPr>
          <w:ilvl w:val="0"/>
          <w:numId w:val="2"/>
        </w:numPr>
        <w:spacing w:after="120" w:line="276" w:lineRule="auto"/>
      </w:pPr>
      <w:r>
        <w:rPr>
          <w:rFonts w:ascii="Arial" w:hAnsi="Arial" w:eastAsia="Arial" w:cs="Arial"/>
          <w:sz w:val="22"/>
          <w:szCs w:val="22"/>
        </w:rPr>
        <w:t>Identify the subsequent displacement leg that produced a Market Structure Shift or clear expansion away from the liquidity pool.</w:t>
      </w:r>
    </w:p>
    <w:p w14:paraId="1B88339A">
      <w:pPr>
        <w:pStyle w:val="16"/>
        <w:numPr>
          <w:ilvl w:val="0"/>
          <w:numId w:val="2"/>
        </w:numPr>
        <w:spacing w:after="120" w:line="276" w:lineRule="auto"/>
      </w:pPr>
      <w:r>
        <w:rPr>
          <w:rFonts w:ascii="Arial" w:hAnsi="Arial" w:eastAsia="Arial" w:cs="Arial"/>
          <w:sz w:val="22"/>
          <w:szCs w:val="22"/>
        </w:rPr>
        <w:t>For a bullish scenario: anchor the Fibonacci tool from the low of the displacement origin (often the wick extreme of the liquidity sweep) to the high of the displacement.</w:t>
      </w:r>
    </w:p>
    <w:p w14:paraId="22B823D6">
      <w:pPr>
        <w:pStyle w:val="16"/>
        <w:numPr>
          <w:ilvl w:val="0"/>
          <w:numId w:val="2"/>
        </w:numPr>
        <w:spacing w:after="120" w:line="276" w:lineRule="auto"/>
      </w:pPr>
      <w:r>
        <w:rPr>
          <w:rFonts w:ascii="Arial" w:hAnsi="Arial" w:eastAsia="Arial" w:cs="Arial"/>
          <w:sz w:val="22"/>
          <w:szCs w:val="22"/>
        </w:rPr>
        <w:t>For a bearish scenario: anchor from the high of the displacement origin to the low of the displacement.</w:t>
      </w:r>
    </w:p>
    <w:p w14:paraId="541A5FDD">
      <w:pPr>
        <w:pStyle w:val="16"/>
        <w:numPr>
          <w:ilvl w:val="0"/>
          <w:numId w:val="2"/>
        </w:numPr>
        <w:spacing w:after="120" w:line="276" w:lineRule="auto"/>
      </w:pPr>
      <w:r>
        <w:rPr>
          <w:rFonts w:ascii="Arial" w:hAnsi="Arial" w:eastAsia="Arial" w:cs="Arial"/>
          <w:sz w:val="22"/>
          <w:szCs w:val="22"/>
        </w:rPr>
        <w:t>Confirm that the resulting 50 % level aligns with the equilibrium of the dealing range being traded, or at least that the OTE zone falls inside the correct premium/discount half.</w:t>
      </w:r>
    </w:p>
    <w:p w14:paraId="4B706EC4">
      <w:pPr>
        <w:pStyle w:val="3"/>
        <w:spacing w:before="280" w:after="180"/>
      </w:pPr>
      <w:r>
        <w:rPr>
          <w:rFonts w:ascii="Arial" w:hAnsi="Arial" w:eastAsia="Arial" w:cs="Arial"/>
          <w:b/>
          <w:bCs/>
          <w:sz w:val="26"/>
          <w:szCs w:val="26"/>
        </w:rPr>
        <w:t>1.5 Required Context</w:t>
      </w:r>
    </w:p>
    <w:p w14:paraId="0152C36B">
      <w:pPr>
        <w:spacing w:after="200" w:line="276" w:lineRule="auto"/>
      </w:pPr>
      <w:r>
        <w:rPr>
          <w:rFonts w:ascii="Arial" w:hAnsi="Arial" w:eastAsia="Arial" w:cs="Arial"/>
          <w:sz w:val="22"/>
          <w:szCs w:val="22"/>
        </w:rPr>
        <w:t>A defined dealing range, a clear displacement, and a directional bias derived from higher-timeframe structure and liquidity.</w:t>
      </w:r>
    </w:p>
    <w:p w14:paraId="16BD4D00">
      <w:pPr>
        <w:pStyle w:val="3"/>
        <w:spacing w:before="280" w:after="180"/>
      </w:pPr>
      <w:r>
        <w:rPr>
          <w:rFonts w:ascii="Arial" w:hAnsi="Arial" w:eastAsia="Arial" w:cs="Arial"/>
          <w:b/>
          <w:bCs/>
          <w:sz w:val="26"/>
          <w:szCs w:val="26"/>
        </w:rPr>
        <w:t>1.6 Pairings</w:t>
      </w:r>
    </w:p>
    <w:p w14:paraId="323EC4C0">
      <w:pPr>
        <w:spacing w:after="200" w:line="276" w:lineRule="auto"/>
      </w:pPr>
      <w:r>
        <w:rPr>
          <w:rFonts w:ascii="Arial" w:hAnsi="Arial" w:eastAsia="Arial" w:cs="Arial"/>
          <w:sz w:val="22"/>
          <w:szCs w:val="22"/>
        </w:rPr>
        <w:t>Correct anchor selection is paired with: dealing-range definition, premium/discount filter, liquidity sweep identification, and subsequent PD-array confluence inside the OTE zone.</w:t>
      </w:r>
    </w:p>
    <w:p w14:paraId="322FC48C">
      <w:pPr>
        <w:pStyle w:val="3"/>
        <w:spacing w:before="280" w:after="180"/>
      </w:pPr>
      <w:r>
        <w:rPr>
          <w:rFonts w:ascii="Arial" w:hAnsi="Arial" w:eastAsia="Arial" w:cs="Arial"/>
          <w:b/>
          <w:bCs/>
          <w:sz w:val="26"/>
          <w:szCs w:val="26"/>
        </w:rPr>
        <w:t>1.7 Example</w:t>
      </w:r>
    </w:p>
    <w:p w14:paraId="0C0E8237">
      <w:pPr>
        <w:spacing w:after="200" w:line="276" w:lineRule="auto"/>
      </w:pPr>
      <w:r>
        <w:rPr>
          <w:rFonts w:ascii="Arial" w:hAnsi="Arial" w:eastAsia="Arial" w:cs="Arial"/>
          <w:sz w:val="22"/>
          <w:szCs w:val="22"/>
        </w:rPr>
        <w:t>Price sweeps sell-side liquidity below a prior low at 1.0850, then displaces higher with consecutive large-range candles, closing above a short-term high and leaving an FVG. The displacement high reaches 1.0920. The Fibonacci is drawn from 1.0850 (sweep low) to 1.0920 (displacement high). The OTE zone (62 %–79 %) falls between approximately 1.0873 and 1.0887. Price later retraces into this zone, which also contains the FVG, and resumes higher.</w:t>
      </w:r>
    </w:p>
    <w:p w14:paraId="076728D4">
      <w:pPr>
        <w:pStyle w:val="3"/>
        <w:spacing w:before="280" w:after="180"/>
      </w:pPr>
      <w:r>
        <w:rPr>
          <w:rFonts w:ascii="Arial" w:hAnsi="Arial" w:eastAsia="Arial" w:cs="Arial"/>
          <w:b/>
          <w:bCs/>
          <w:sz w:val="26"/>
          <w:szCs w:val="26"/>
        </w:rPr>
        <w:t>1.8 Counter-Example</w:t>
      </w:r>
    </w:p>
    <w:p w14:paraId="5293DDCB">
      <w:pPr>
        <w:spacing w:after="200" w:line="276" w:lineRule="auto"/>
      </w:pPr>
      <w:r>
        <w:rPr>
          <w:rFonts w:ascii="Arial" w:hAnsi="Arial" w:eastAsia="Arial" w:cs="Arial"/>
          <w:sz w:val="22"/>
          <w:szCs w:val="22"/>
        </w:rPr>
        <w:t>A trader draws Fibonacci from a minor internal swing that occurred after the main displacement. The resulting “OTE” sits above the 50 % equilibrium of the true dealing range. Price reaches that zone and continues lower because the measured leg was not the institutional expansion.</w:t>
      </w:r>
    </w:p>
    <w:p w14:paraId="53408165">
      <w:pPr>
        <w:pStyle w:val="3"/>
        <w:spacing w:before="280" w:after="180"/>
      </w:pPr>
      <w:r>
        <w:rPr>
          <w:rFonts w:ascii="Arial" w:hAnsi="Arial" w:eastAsia="Arial" w:cs="Arial"/>
          <w:b/>
          <w:bCs/>
          <w:sz w:val="26"/>
          <w:szCs w:val="26"/>
        </w:rPr>
        <w:t>1.9 Common Mistake</w:t>
      </w:r>
    </w:p>
    <w:p w14:paraId="151A2174">
      <w:pPr>
        <w:pStyle w:val="16"/>
        <w:numPr>
          <w:ilvl w:val="0"/>
          <w:numId w:val="3"/>
        </w:numPr>
        <w:spacing w:after="120" w:line="276" w:lineRule="auto"/>
      </w:pPr>
      <w:r>
        <w:rPr>
          <w:rFonts w:ascii="Arial" w:hAnsi="Arial" w:eastAsia="Arial" w:cs="Arial"/>
          <w:sz w:val="22"/>
          <w:szCs w:val="22"/>
        </w:rPr>
        <w:t>Anchoring to wicks inconsistently or mixing body-to-body and wick-to-wick without a consistent rule. ICT examples frequently include the extreme of the liquidity-sweep wick as the origin when that wick represents the true low/high of the raid.</w:t>
      </w:r>
    </w:p>
    <w:p w14:paraId="28B00054">
      <w:pPr>
        <w:pStyle w:val="16"/>
        <w:numPr>
          <w:ilvl w:val="0"/>
          <w:numId w:val="3"/>
        </w:numPr>
        <w:spacing w:after="120" w:line="276" w:lineRule="auto"/>
      </w:pPr>
      <w:r>
        <w:rPr>
          <w:rFonts w:ascii="Arial" w:hAnsi="Arial" w:eastAsia="Arial" w:cs="Arial"/>
          <w:sz w:val="22"/>
          <w:szCs w:val="22"/>
        </w:rPr>
        <w:t>Measuring a consolidation leg instead of the displacement leg.</w:t>
      </w:r>
    </w:p>
    <w:p w14:paraId="5386CE50">
      <w:pPr>
        <w:pStyle w:val="3"/>
        <w:spacing w:before="280" w:after="180"/>
      </w:pPr>
      <w:r>
        <w:rPr>
          <w:rFonts w:ascii="Arial" w:hAnsi="Arial" w:eastAsia="Arial" w:cs="Arial"/>
          <w:b/>
          <w:bCs/>
          <w:sz w:val="26"/>
          <w:szCs w:val="26"/>
        </w:rPr>
        <w:t>1.10 Source</w:t>
      </w:r>
    </w:p>
    <w:p w14:paraId="0816BBD9">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ICT’s OTE Pattern Recognition Series and multiple mentorship examples demonstrate Fibonacci drawn from the origin of the displacement (often the liquidity-sweep extreme) to its termination. Community sources consistently codify the 0.62 / 0.705 / 0.79 set; the precise numerical values appear across ICT video demonstrations.</w:t>
      </w:r>
    </w:p>
    <w:p w14:paraId="2346C011">
      <w:pPr>
        <w:pStyle w:val="2"/>
        <w:spacing w:before="360" w:after="240"/>
      </w:pPr>
      <w:r>
        <w:rPr>
          <w:rFonts w:ascii="Arial" w:hAnsi="Arial" w:eastAsia="Arial" w:cs="Arial"/>
          <w:b/>
          <w:bCs/>
          <w:sz w:val="32"/>
          <w:szCs w:val="32"/>
        </w:rPr>
        <w:t>2. Fibonacci Relative to the Dealing Range</w:t>
      </w:r>
    </w:p>
    <w:p w14:paraId="03A3BD9B">
      <w:pPr>
        <w:pStyle w:val="3"/>
        <w:spacing w:before="280" w:after="180"/>
      </w:pPr>
      <w:r>
        <w:rPr>
          <w:rFonts w:ascii="Arial" w:hAnsi="Arial" w:eastAsia="Arial" w:cs="Arial"/>
          <w:b/>
          <w:bCs/>
          <w:sz w:val="26"/>
          <w:szCs w:val="26"/>
        </w:rPr>
        <w:t>2.1 Definition</w:t>
      </w:r>
    </w:p>
    <w:p w14:paraId="2120171F">
      <w:pPr>
        <w:spacing w:after="200" w:line="276" w:lineRule="auto"/>
      </w:pPr>
      <w:r>
        <w:rPr>
          <w:rFonts w:ascii="Arial" w:hAnsi="Arial" w:eastAsia="Arial" w:cs="Arial"/>
          <w:sz w:val="22"/>
          <w:szCs w:val="22"/>
        </w:rPr>
        <w:t>The dealing range (established in Module 6) supplies the container. Fibonacci is applied either to the full dealing range or, more commonly for entry timing, to the specific displacement leg that expanded or shifted structure inside that range.</w:t>
      </w:r>
    </w:p>
    <w:p w14:paraId="1C6E271D">
      <w:pPr>
        <w:pStyle w:val="3"/>
        <w:spacing w:before="280" w:after="180"/>
      </w:pPr>
      <w:r>
        <w:rPr>
          <w:rFonts w:ascii="Arial" w:hAnsi="Arial" w:eastAsia="Arial" w:cs="Arial"/>
          <w:b/>
          <w:bCs/>
          <w:sz w:val="26"/>
          <w:szCs w:val="26"/>
        </w:rPr>
        <w:t>2.2 Intermediate Emphasis</w:t>
      </w:r>
    </w:p>
    <w:p w14:paraId="44FBCD4D">
      <w:pPr>
        <w:spacing w:after="200" w:line="276" w:lineRule="auto"/>
      </w:pPr>
      <w:r>
        <w:rPr>
          <w:rFonts w:ascii="Arial" w:hAnsi="Arial" w:eastAsia="Arial" w:cs="Arial"/>
          <w:sz w:val="22"/>
          <w:szCs w:val="22"/>
        </w:rPr>
        <w:t>The 50 % level of the dealing range is equilibrium. Long entries are preferentially sought below equilibrium (discount); short entries above equilibrium (premium). The OTE zone of a bullish displacement therefore ideally resides inside the discount half of the dealing range.</w:t>
      </w:r>
    </w:p>
    <w:p w14:paraId="60D9CF13">
      <w:pPr>
        <w:pStyle w:val="3"/>
        <w:spacing w:before="280" w:after="180"/>
      </w:pPr>
      <w:r>
        <w:rPr>
          <w:rFonts w:ascii="Arial" w:hAnsi="Arial" w:eastAsia="Arial" w:cs="Arial"/>
          <w:b/>
          <w:bCs/>
          <w:sz w:val="26"/>
          <w:szCs w:val="26"/>
        </w:rPr>
        <w:t>2.3 Practical Rule</w:t>
      </w:r>
    </w:p>
    <w:p w14:paraId="6B297A0D">
      <w:pPr>
        <w:spacing w:after="200" w:line="276" w:lineRule="auto"/>
      </w:pPr>
      <w:r>
        <w:rPr>
          <w:rFonts w:ascii="Arial" w:hAnsi="Arial" w:eastAsia="Arial" w:cs="Arial"/>
          <w:sz w:val="22"/>
          <w:szCs w:val="22"/>
        </w:rPr>
        <w:t>If the OTE calculated from the displacement leg falls above the dealing-range equilibrium while the trader is looking for a long, the setup is lower quality or requires additional confluence. Conversely, a bullish OTE that sits deep in discount is higher quality.</w:t>
      </w:r>
    </w:p>
    <w:p w14:paraId="353D0D83">
      <w:pPr>
        <w:pStyle w:val="3"/>
        <w:spacing w:before="280" w:after="180"/>
      </w:pPr>
      <w:r>
        <w:rPr>
          <w:rFonts w:ascii="Arial" w:hAnsi="Arial" w:eastAsia="Arial" w:cs="Arial"/>
          <w:b/>
          <w:bCs/>
          <w:sz w:val="26"/>
          <w:szCs w:val="26"/>
        </w:rPr>
        <w:t>2.4 Example</w:t>
      </w:r>
    </w:p>
    <w:p w14:paraId="6267FCBE">
      <w:pPr>
        <w:spacing w:after="200" w:line="276" w:lineRule="auto"/>
      </w:pPr>
      <w:r>
        <w:rPr>
          <w:rFonts w:ascii="Arial" w:hAnsi="Arial" w:eastAsia="Arial" w:cs="Arial"/>
          <w:sz w:val="22"/>
          <w:szCs w:val="22"/>
        </w:rPr>
        <w:t>Dealing range: 1.0800 (low) – 1.1000 (high). Equilibrium = 1.0900. A bullish displacement runs from 1.0820 to 1.0950. The OTE of that leg (62 %–79 %) falls roughly 1.0850–1.0870 — well inside discount. This is preferred. If the same displacement had run only from 1.0910 to 1.0980, its OTE would sit above 1.0900 (premium) and would be less suitable for a long.</w:t>
      </w:r>
    </w:p>
    <w:p w14:paraId="540B8249">
      <w:pPr>
        <w:pStyle w:val="2"/>
        <w:spacing w:before="360" w:after="240"/>
      </w:pPr>
      <w:r>
        <w:rPr>
          <w:rFonts w:ascii="Arial" w:hAnsi="Arial" w:eastAsia="Arial" w:cs="Arial"/>
          <w:b/>
          <w:bCs/>
          <w:sz w:val="32"/>
          <w:szCs w:val="32"/>
        </w:rPr>
        <w:t>3. OTE within a Dealing Range</w:t>
      </w:r>
    </w:p>
    <w:p w14:paraId="5C6F2329">
      <w:pPr>
        <w:pStyle w:val="3"/>
        <w:spacing w:before="280" w:after="180"/>
      </w:pPr>
      <w:r>
        <w:rPr>
          <w:rFonts w:ascii="Arial" w:hAnsi="Arial" w:eastAsia="Arial" w:cs="Arial"/>
          <w:b/>
          <w:bCs/>
          <w:sz w:val="26"/>
          <w:szCs w:val="26"/>
        </w:rPr>
        <w:t>3.1 Definition</w:t>
      </w:r>
    </w:p>
    <w:p w14:paraId="4791E148">
      <w:pPr>
        <w:spacing w:after="200" w:line="276" w:lineRule="auto"/>
      </w:pPr>
      <w:r>
        <w:rPr>
          <w:rFonts w:ascii="Arial" w:hAnsi="Arial" w:eastAsia="Arial" w:cs="Arial"/>
          <w:sz w:val="22"/>
          <w:szCs w:val="22"/>
        </w:rPr>
        <w:t>Optimal Trade Entry is the zone between the 62 % and 79 % retracement of the measured displacement leg. The 70.5 % level is the mathematical midpoint of that band and is frequently referenced as the highest-probability single reference inside the zone.</w:t>
      </w:r>
    </w:p>
    <w:p w14:paraId="1A8C8DE3">
      <w:pPr>
        <w:pStyle w:val="3"/>
        <w:spacing w:before="280" w:after="180"/>
      </w:pPr>
      <w:r>
        <w:rPr>
          <w:rFonts w:ascii="Arial" w:hAnsi="Arial" w:eastAsia="Arial" w:cs="Arial"/>
          <w:b/>
          <w:bCs/>
          <w:sz w:val="26"/>
          <w:szCs w:val="26"/>
        </w:rPr>
        <w:t>3.2 ICT Levels (Standard Intermediate Set)</w:t>
      </w:r>
    </w:p>
    <w:p w14:paraId="3F2DC5AA">
      <w:pPr>
        <w:spacing w:after="200" w:line="276" w:lineRule="auto"/>
      </w:pPr>
      <w:r>
        <w:rPr>
          <w:rFonts w:ascii="Arial" w:hAnsi="Arial" w:eastAsia="Arial" w:cs="Arial"/>
          <w:sz w:val="22"/>
          <w:szCs w:val="22"/>
        </w:rPr>
        <w:t>Common ICT Fibonacci configuration used for OTE work:</w:t>
      </w:r>
    </w:p>
    <w:p w14:paraId="2030E6F1">
      <w:pPr>
        <w:pStyle w:val="16"/>
        <w:numPr>
          <w:ilvl w:val="0"/>
          <w:numId w:val="1"/>
        </w:numPr>
        <w:spacing w:after="120" w:line="276" w:lineRule="auto"/>
      </w:pPr>
      <w:r>
        <w:rPr>
          <w:rFonts w:ascii="Arial" w:hAnsi="Arial" w:eastAsia="Arial" w:cs="Arial"/>
          <w:sz w:val="22"/>
          <w:szCs w:val="22"/>
        </w:rPr>
        <w:t>0 % — termination of the measured leg (displacement high for bullish, low for bearish)</w:t>
      </w:r>
    </w:p>
    <w:p w14:paraId="0E9FFE50">
      <w:pPr>
        <w:pStyle w:val="16"/>
        <w:numPr>
          <w:ilvl w:val="0"/>
          <w:numId w:val="1"/>
        </w:numPr>
        <w:spacing w:after="120" w:line="276" w:lineRule="auto"/>
      </w:pPr>
      <w:r>
        <w:rPr>
          <w:rFonts w:ascii="Arial" w:hAnsi="Arial" w:eastAsia="Arial" w:cs="Arial"/>
          <w:sz w:val="22"/>
          <w:szCs w:val="22"/>
        </w:rPr>
        <w:t>50 % — equilibrium of the measured leg</w:t>
      </w:r>
    </w:p>
    <w:p w14:paraId="7C689FD4">
      <w:pPr>
        <w:pStyle w:val="16"/>
        <w:numPr>
          <w:ilvl w:val="0"/>
          <w:numId w:val="1"/>
        </w:numPr>
        <w:spacing w:after="120" w:line="276" w:lineRule="auto"/>
      </w:pPr>
      <w:r>
        <w:rPr>
          <w:rFonts w:ascii="Arial" w:hAnsi="Arial" w:eastAsia="Arial" w:cs="Arial"/>
          <w:sz w:val="22"/>
          <w:szCs w:val="22"/>
        </w:rPr>
        <w:t>62 % (0.62) — start of the OTE zone</w:t>
      </w:r>
    </w:p>
    <w:p w14:paraId="7A3CB477">
      <w:pPr>
        <w:pStyle w:val="16"/>
        <w:numPr>
          <w:ilvl w:val="0"/>
          <w:numId w:val="1"/>
        </w:numPr>
        <w:spacing w:after="120" w:line="276" w:lineRule="auto"/>
      </w:pPr>
      <w:r>
        <w:rPr>
          <w:rFonts w:ascii="Arial" w:hAnsi="Arial" w:eastAsia="Arial" w:cs="Arial"/>
          <w:sz w:val="22"/>
          <w:szCs w:val="22"/>
        </w:rPr>
        <w:t>70.5 % (0.705) — central OTE reference / “sweet spot”</w:t>
      </w:r>
    </w:p>
    <w:p w14:paraId="699BFD09">
      <w:pPr>
        <w:pStyle w:val="16"/>
        <w:numPr>
          <w:ilvl w:val="0"/>
          <w:numId w:val="1"/>
        </w:numPr>
        <w:spacing w:after="120" w:line="276" w:lineRule="auto"/>
      </w:pPr>
      <w:r>
        <w:rPr>
          <w:rFonts w:ascii="Arial" w:hAnsi="Arial" w:eastAsia="Arial" w:cs="Arial"/>
          <w:sz w:val="22"/>
          <w:szCs w:val="22"/>
        </w:rPr>
        <w:t>79 % (0.79) — end of the OTE zone</w:t>
      </w:r>
    </w:p>
    <w:p w14:paraId="3C7BFCCD">
      <w:pPr>
        <w:pStyle w:val="16"/>
        <w:numPr>
          <w:ilvl w:val="0"/>
          <w:numId w:val="1"/>
        </w:numPr>
        <w:spacing w:after="120" w:line="276" w:lineRule="auto"/>
      </w:pPr>
      <w:r>
        <w:rPr>
          <w:rFonts w:ascii="Arial" w:hAnsi="Arial" w:eastAsia="Arial" w:cs="Arial"/>
          <w:sz w:val="22"/>
          <w:szCs w:val="22"/>
        </w:rPr>
        <w:t>100 % — origin of the measured leg (stop-loss reference area)</w:t>
      </w:r>
    </w:p>
    <w:p w14:paraId="768515A1">
      <w:pPr>
        <w:pStyle w:val="16"/>
        <w:numPr>
          <w:ilvl w:val="0"/>
          <w:numId w:val="1"/>
        </w:numPr>
        <w:spacing w:after="120" w:line="276" w:lineRule="auto"/>
      </w:pPr>
      <w:r>
        <w:rPr>
          <w:rFonts w:ascii="Arial" w:hAnsi="Arial" w:eastAsia="Arial" w:cs="Arial"/>
          <w:sz w:val="22"/>
          <w:szCs w:val="22"/>
        </w:rPr>
        <w:t>Negative extensions (−0.27, −0.62, −1.0, etc.) — projection targets beyond the 0 % level</w:t>
      </w:r>
    </w:p>
    <w:p w14:paraId="2D223289">
      <w:pPr>
        <w:spacing w:after="200" w:line="276" w:lineRule="auto"/>
      </w:pPr>
      <w:r>
        <w:rPr>
          <w:rFonts w:ascii="Arial" w:hAnsi="Arial" w:eastAsia="Arial" w:cs="Arial"/>
          <w:sz w:val="22"/>
          <w:szCs w:val="22"/>
        </w:rPr>
        <w:t>Note: Some presentations use 0.618 / 0.786. ICT teaching and the majority of consistent community codifications settle on approximately 0.62 / 0.705 / 0.79. The difference is minor; consistency of application matters more than the exact third decimal.</w:t>
      </w:r>
    </w:p>
    <w:p w14:paraId="2710C4CD">
      <w:pPr>
        <w:pStyle w:val="3"/>
        <w:spacing w:before="280" w:after="180"/>
      </w:pPr>
      <w:r>
        <w:rPr>
          <w:rFonts w:ascii="Arial" w:hAnsi="Arial" w:eastAsia="Arial" w:cs="Arial"/>
          <w:b/>
          <w:bCs/>
          <w:sz w:val="26"/>
          <w:szCs w:val="26"/>
        </w:rPr>
        <w:t>3.3 Why the Zone Matters</w:t>
      </w:r>
    </w:p>
    <w:p w14:paraId="321DCB66">
      <w:pPr>
        <w:spacing w:after="200" w:line="276" w:lineRule="auto"/>
      </w:pPr>
      <w:r>
        <w:rPr>
          <w:rFonts w:ascii="Arial" w:hAnsi="Arial" w:eastAsia="Arial" w:cs="Arial"/>
          <w:sz w:val="22"/>
          <w:szCs w:val="22"/>
        </w:rPr>
        <w:t>Within a healthy continuation after displacement, price often returns into this deeper portion of the leg before expanding further. The zone therefore offers a location where risk (distance to the origin extreme) is relatively tight while the remaining distance to the opposite side of the dealing range or the next external liquidity remains large.</w:t>
      </w:r>
    </w:p>
    <w:p w14:paraId="3BADD4EC">
      <w:pPr>
        <w:pStyle w:val="3"/>
        <w:spacing w:before="280" w:after="180"/>
      </w:pPr>
      <w:r>
        <w:rPr>
          <w:rFonts w:ascii="Arial" w:hAnsi="Arial" w:eastAsia="Arial" w:cs="Arial"/>
          <w:b/>
          <w:bCs/>
          <w:sz w:val="26"/>
          <w:szCs w:val="26"/>
        </w:rPr>
        <w:t>3.4 Identification Steps</w:t>
      </w:r>
    </w:p>
    <w:p w14:paraId="0B17B2A0">
      <w:pPr>
        <w:pStyle w:val="16"/>
        <w:numPr>
          <w:ilvl w:val="0"/>
          <w:numId w:val="4"/>
        </w:numPr>
        <w:spacing w:after="120" w:line="276" w:lineRule="auto"/>
      </w:pPr>
      <w:r>
        <w:rPr>
          <w:rFonts w:ascii="Arial" w:hAnsi="Arial" w:eastAsia="Arial" w:cs="Arial"/>
          <w:sz w:val="22"/>
          <w:szCs w:val="22"/>
        </w:rPr>
        <w:t>Confirm displacement and, where applicable, Market Structure Shift.</w:t>
      </w:r>
    </w:p>
    <w:p w14:paraId="1E50E34C">
      <w:pPr>
        <w:pStyle w:val="16"/>
        <w:numPr>
          <w:ilvl w:val="0"/>
          <w:numId w:val="4"/>
        </w:numPr>
        <w:spacing w:after="120" w:line="276" w:lineRule="auto"/>
      </w:pPr>
      <w:r>
        <w:rPr>
          <w:rFonts w:ascii="Arial" w:hAnsi="Arial" w:eastAsia="Arial" w:cs="Arial"/>
          <w:sz w:val="22"/>
          <w:szCs w:val="22"/>
        </w:rPr>
        <w:t>Draw Fibonacci from origin to termination of the displacement leg.</w:t>
      </w:r>
    </w:p>
    <w:p w14:paraId="452BE7C4">
      <w:pPr>
        <w:pStyle w:val="16"/>
        <w:numPr>
          <w:ilvl w:val="0"/>
          <w:numId w:val="4"/>
        </w:numPr>
        <w:spacing w:after="120" w:line="276" w:lineRule="auto"/>
      </w:pPr>
      <w:r>
        <w:rPr>
          <w:rFonts w:ascii="Arial" w:hAnsi="Arial" w:eastAsia="Arial" w:cs="Arial"/>
          <w:sz w:val="22"/>
          <w:szCs w:val="22"/>
        </w:rPr>
        <w:t>Highlight the band between 62 % and 79 %.</w:t>
      </w:r>
    </w:p>
    <w:p w14:paraId="7DC145E5">
      <w:pPr>
        <w:pStyle w:val="16"/>
        <w:numPr>
          <w:ilvl w:val="0"/>
          <w:numId w:val="4"/>
        </w:numPr>
        <w:spacing w:after="120" w:line="276" w:lineRule="auto"/>
      </w:pPr>
      <w:r>
        <w:rPr>
          <w:rFonts w:ascii="Arial" w:hAnsi="Arial" w:eastAsia="Arial" w:cs="Arial"/>
          <w:sz w:val="22"/>
          <w:szCs w:val="22"/>
        </w:rPr>
        <w:t>Note the 70.5 % level as the primary internal reference.</w:t>
      </w:r>
    </w:p>
    <w:p w14:paraId="1F0EE42B">
      <w:pPr>
        <w:pStyle w:val="16"/>
        <w:numPr>
          <w:ilvl w:val="0"/>
          <w:numId w:val="4"/>
        </w:numPr>
        <w:spacing w:after="120" w:line="276" w:lineRule="auto"/>
      </w:pPr>
      <w:r>
        <w:rPr>
          <w:rFonts w:ascii="Arial" w:hAnsi="Arial" w:eastAsia="Arial" w:cs="Arial"/>
          <w:sz w:val="22"/>
          <w:szCs w:val="22"/>
        </w:rPr>
        <w:t>Verify the band lies inside the correct premium or discount half of the larger dealing range.</w:t>
      </w:r>
    </w:p>
    <w:p w14:paraId="4B9590C9">
      <w:pPr>
        <w:pStyle w:val="16"/>
        <w:numPr>
          <w:ilvl w:val="0"/>
          <w:numId w:val="4"/>
        </w:numPr>
        <w:spacing w:after="120" w:line="276" w:lineRule="auto"/>
      </w:pPr>
      <w:r>
        <w:rPr>
          <w:rFonts w:ascii="Arial" w:hAnsi="Arial" w:eastAsia="Arial" w:cs="Arial"/>
          <w:sz w:val="22"/>
          <w:szCs w:val="22"/>
        </w:rPr>
        <w:t>Look for additional PD-array confluence (FVG, Order Block, breaker) inside or immediately adjacent to the band.</w:t>
      </w:r>
    </w:p>
    <w:p w14:paraId="5F9F2771">
      <w:pPr>
        <w:pStyle w:val="2"/>
        <w:spacing w:before="360" w:after="240"/>
      </w:pPr>
      <w:r>
        <w:rPr>
          <w:rFonts w:ascii="Arial" w:hAnsi="Arial" w:eastAsia="Arial" w:cs="Arial"/>
          <w:b/>
          <w:bCs/>
          <w:sz w:val="32"/>
          <w:szCs w:val="32"/>
        </w:rPr>
        <w:t>4. OTE + Liquidity</w:t>
      </w:r>
    </w:p>
    <w:p w14:paraId="24BA5984">
      <w:pPr>
        <w:pStyle w:val="3"/>
        <w:spacing w:before="280" w:after="180"/>
      </w:pPr>
      <w:r>
        <w:rPr>
          <w:rFonts w:ascii="Arial" w:hAnsi="Arial" w:eastAsia="Arial" w:cs="Arial"/>
          <w:b/>
          <w:bCs/>
          <w:sz w:val="26"/>
          <w:szCs w:val="26"/>
        </w:rPr>
        <w:t>4.1 Relationship</w:t>
      </w:r>
    </w:p>
    <w:p w14:paraId="01FDD416">
      <w:pPr>
        <w:spacing w:after="200" w:line="276" w:lineRule="auto"/>
      </w:pPr>
      <w:r>
        <w:rPr>
          <w:rFonts w:ascii="Arial" w:hAnsi="Arial" w:eastAsia="Arial" w:cs="Arial"/>
          <w:sz w:val="22"/>
          <w:szCs w:val="22"/>
        </w:rPr>
        <w:t>The highest-quality OTE setups are those that follow a clear liquidity event. The sequence is typically:</w:t>
      </w:r>
    </w:p>
    <w:p w14:paraId="151F7D8E">
      <w:pPr>
        <w:spacing w:after="200" w:line="276" w:lineRule="auto"/>
      </w:pPr>
      <w:r>
        <w:rPr>
          <w:rFonts w:ascii="Arial" w:hAnsi="Arial" w:eastAsia="Arial" w:cs="Arial"/>
          <w:sz w:val="22"/>
          <w:szCs w:val="22"/>
        </w:rPr>
        <w:t>Liquidity raid (SSL for bullish / BSL for bearish) → Displacement away from the raided pool → Market Structure Shift → Retracement into OTE of the displacement leg → Continuation toward the opposite liquidity.</w:t>
      </w:r>
    </w:p>
    <w:p w14:paraId="361E4B0B">
      <w:pPr>
        <w:spacing w:after="200" w:line="276" w:lineRule="auto"/>
      </w:pPr>
      <w:r>
        <w:rPr>
          <w:rFonts w:ascii="Arial" w:hAnsi="Arial" w:eastAsia="Arial" w:cs="Arial"/>
          <w:sz w:val="22"/>
          <w:szCs w:val="22"/>
        </w:rPr>
        <w:t>The OTE is therefore not an independent signal; it is the timing tool applied after liquidity has been engineered and price has shown displacement.</w:t>
      </w:r>
    </w:p>
    <w:p w14:paraId="46C0D0E6">
      <w:pPr>
        <w:pStyle w:val="3"/>
        <w:spacing w:before="280" w:after="180"/>
      </w:pPr>
      <w:r>
        <w:rPr>
          <w:rFonts w:ascii="Arial" w:hAnsi="Arial" w:eastAsia="Arial" w:cs="Arial"/>
          <w:b/>
          <w:bCs/>
          <w:sz w:val="26"/>
          <w:szCs w:val="26"/>
        </w:rPr>
        <w:t>4.2 Practical Implication</w:t>
      </w:r>
    </w:p>
    <w:p w14:paraId="34165547">
      <w:pPr>
        <w:spacing w:after="200" w:line="276" w:lineRule="auto"/>
      </w:pPr>
      <w:r>
        <w:rPr>
          <w:rFonts w:ascii="Arial" w:hAnsi="Arial" w:eastAsia="Arial" w:cs="Arial"/>
          <w:sz w:val="22"/>
          <w:szCs w:val="22"/>
        </w:rPr>
        <w:t>If no meaningful liquidity has been taken prior to the displacement, the subsequent OTE retracement is lower probability. The market has not yet performed the “stop run + expansion” sequence that ICT models treat as foundational.</w:t>
      </w:r>
    </w:p>
    <w:p w14:paraId="3D0C1B78">
      <w:pPr>
        <w:pStyle w:val="3"/>
        <w:spacing w:before="280" w:after="180"/>
      </w:pPr>
      <w:r>
        <w:rPr>
          <w:rFonts w:ascii="Arial" w:hAnsi="Arial" w:eastAsia="Arial" w:cs="Arial"/>
          <w:b/>
          <w:bCs/>
          <w:sz w:val="26"/>
          <w:szCs w:val="26"/>
        </w:rPr>
        <w:t>4.3 Example</w:t>
      </w:r>
    </w:p>
    <w:p w14:paraId="7FC19748">
      <w:pPr>
        <w:spacing w:after="200" w:line="276" w:lineRule="auto"/>
      </w:pPr>
      <w:r>
        <w:rPr>
          <w:rFonts w:ascii="Arial" w:hAnsi="Arial" w:eastAsia="Arial" w:cs="Arial"/>
          <w:sz w:val="22"/>
          <w:szCs w:val="22"/>
        </w:rPr>
        <w:t>Equal lows at 1.2500 are raided. Price sweeps to 1.2485 and immediately displaces higher, breaking a short-term high and leaving an FVG. Fibonacci from 1.2485 to the displacement high places OTE near 1.2520–1.2540. Price returns into that zone (which overlaps the FVG), holds, and continues toward buy-side liquidity above the prior high.</w:t>
      </w:r>
    </w:p>
    <w:p w14:paraId="095748FD">
      <w:pPr>
        <w:pStyle w:val="2"/>
        <w:spacing w:before="360" w:after="240"/>
      </w:pPr>
      <w:r>
        <w:rPr>
          <w:rFonts w:ascii="Arial" w:hAnsi="Arial" w:eastAsia="Arial" w:cs="Arial"/>
          <w:b/>
          <w:bCs/>
          <w:sz w:val="32"/>
          <w:szCs w:val="32"/>
        </w:rPr>
        <w:t>5. OTE + Fair Value Gap</w:t>
      </w:r>
    </w:p>
    <w:p w14:paraId="0CE651CA">
      <w:pPr>
        <w:pStyle w:val="3"/>
        <w:spacing w:before="280" w:after="180"/>
      </w:pPr>
      <w:r>
        <w:rPr>
          <w:rFonts w:ascii="Arial" w:hAnsi="Arial" w:eastAsia="Arial" w:cs="Arial"/>
          <w:b/>
          <w:bCs/>
          <w:sz w:val="26"/>
          <w:szCs w:val="26"/>
        </w:rPr>
        <w:t>5.1 Confluence Logic</w:t>
      </w:r>
    </w:p>
    <w:p w14:paraId="3DAA87F5">
      <w:pPr>
        <w:spacing w:after="200" w:line="276" w:lineRule="auto"/>
      </w:pPr>
      <w:r>
        <w:rPr>
          <w:rFonts w:ascii="Arial" w:hAnsi="Arial" w:eastAsia="Arial" w:cs="Arial"/>
          <w:sz w:val="22"/>
          <w:szCs w:val="22"/>
        </w:rPr>
        <w:t>A Fair Value Gap that forms during the displacement and later sits inside the OTE zone of that same leg constitutes strong confluence. Price is simultaneously:</w:t>
      </w:r>
    </w:p>
    <w:p w14:paraId="3775D6A0">
      <w:pPr>
        <w:pStyle w:val="16"/>
        <w:numPr>
          <w:ilvl w:val="0"/>
          <w:numId w:val="1"/>
        </w:numPr>
        <w:spacing w:after="120" w:line="276" w:lineRule="auto"/>
      </w:pPr>
      <w:r>
        <w:rPr>
          <w:rFonts w:ascii="Arial" w:hAnsi="Arial" w:eastAsia="Arial" w:cs="Arial"/>
          <w:sz w:val="22"/>
          <w:szCs w:val="22"/>
        </w:rPr>
        <w:t>Inside the optimal retracement depth of the impulse,</w:t>
      </w:r>
    </w:p>
    <w:p w14:paraId="1508B3C5">
      <w:pPr>
        <w:pStyle w:val="16"/>
        <w:numPr>
          <w:ilvl w:val="0"/>
          <w:numId w:val="1"/>
        </w:numPr>
        <w:spacing w:after="120" w:line="276" w:lineRule="auto"/>
      </w:pPr>
      <w:r>
        <w:rPr>
          <w:rFonts w:ascii="Arial" w:hAnsi="Arial" w:eastAsia="Arial" w:cs="Arial"/>
          <w:sz w:val="22"/>
          <w:szCs w:val="22"/>
        </w:rPr>
        <w:t>Inside an imbalance created by the impulse,</w:t>
      </w:r>
    </w:p>
    <w:p w14:paraId="4471673F">
      <w:pPr>
        <w:pStyle w:val="16"/>
        <w:numPr>
          <w:ilvl w:val="0"/>
          <w:numId w:val="1"/>
        </w:numPr>
        <w:spacing w:after="120" w:line="276" w:lineRule="auto"/>
      </w:pPr>
      <w:r>
        <w:rPr>
          <w:rFonts w:ascii="Arial" w:hAnsi="Arial" w:eastAsia="Arial" w:cs="Arial"/>
          <w:sz w:val="22"/>
          <w:szCs w:val="22"/>
        </w:rPr>
        <w:t>Inside the correct premium/discount half of the dealing range.</w:t>
      </w:r>
    </w:p>
    <w:p w14:paraId="4D609C71">
      <w:pPr>
        <w:spacing w:after="200" w:line="276" w:lineRule="auto"/>
      </w:pPr>
      <w:r>
        <w:rPr>
          <w:rFonts w:ascii="Arial" w:hAnsi="Arial" w:eastAsia="Arial" w:cs="Arial"/>
          <w:sz w:val="22"/>
          <w:szCs w:val="22"/>
        </w:rPr>
        <w:t>This combination is frequently cited in intermediate ICT model construction as higher quality than either element alone.</w:t>
      </w:r>
    </w:p>
    <w:p w14:paraId="2807318E">
      <w:pPr>
        <w:pStyle w:val="3"/>
        <w:spacing w:before="280" w:after="180"/>
      </w:pPr>
      <w:r>
        <w:rPr>
          <w:rFonts w:ascii="Arial" w:hAnsi="Arial" w:eastAsia="Arial" w:cs="Arial"/>
          <w:b/>
          <w:bCs/>
          <w:sz w:val="26"/>
          <w:szCs w:val="26"/>
        </w:rPr>
        <w:t>5.2 Nested / Multiple FVGs</w:t>
      </w:r>
    </w:p>
    <w:p w14:paraId="57ED196D">
      <w:pPr>
        <w:spacing w:after="200" w:line="276" w:lineRule="auto"/>
      </w:pPr>
      <w:r>
        <w:rPr>
          <w:rFonts w:ascii="Arial" w:hAnsi="Arial" w:eastAsia="Arial" w:cs="Arial"/>
          <w:sz w:val="22"/>
          <w:szCs w:val="22"/>
        </w:rPr>
        <w:t>When several FVGs exist, preference is given to the FVG that overlaps the OTE band and is closest to the 70.5 % level, provided it has not already been fully mitigated.</w:t>
      </w:r>
    </w:p>
    <w:p w14:paraId="6D384CB4">
      <w:pPr>
        <w:pStyle w:val="3"/>
        <w:spacing w:before="280" w:after="180"/>
      </w:pPr>
      <w:r>
        <w:rPr>
          <w:rFonts w:ascii="Arial" w:hAnsi="Arial" w:eastAsia="Arial" w:cs="Arial"/>
          <w:b/>
          <w:bCs/>
          <w:sz w:val="26"/>
          <w:szCs w:val="26"/>
        </w:rPr>
        <w:t>5.3 Counter-Example</w:t>
      </w:r>
    </w:p>
    <w:p w14:paraId="38C9425B">
      <w:pPr>
        <w:spacing w:after="200" w:line="276" w:lineRule="auto"/>
      </w:pPr>
      <w:r>
        <w:rPr>
          <w:rFonts w:ascii="Arial" w:hAnsi="Arial" w:eastAsia="Arial" w:cs="Arial"/>
          <w:sz w:val="22"/>
          <w:szCs w:val="22"/>
        </w:rPr>
        <w:t>An FVG exists but lies well above the OTE zone (shallow retracement only). Price reaches the FVG, reacts modestly, then continues lower through the deeper OTE. Entering solely on the shallow FVG without regard to the OTE depth produced a lower-quality location.</w:t>
      </w:r>
    </w:p>
    <w:p w14:paraId="4D8064C5">
      <w:pPr>
        <w:pStyle w:val="2"/>
        <w:spacing w:before="360" w:after="240"/>
      </w:pPr>
      <w:r>
        <w:rPr>
          <w:rFonts w:ascii="Arial" w:hAnsi="Arial" w:eastAsia="Arial" w:cs="Arial"/>
          <w:b/>
          <w:bCs/>
          <w:sz w:val="32"/>
          <w:szCs w:val="32"/>
        </w:rPr>
        <w:t>6. OTE + Order Block</w:t>
      </w:r>
    </w:p>
    <w:p w14:paraId="36DCF9E1">
      <w:pPr>
        <w:pStyle w:val="3"/>
        <w:spacing w:before="280" w:after="180"/>
      </w:pPr>
      <w:r>
        <w:rPr>
          <w:rFonts w:ascii="Arial" w:hAnsi="Arial" w:eastAsia="Arial" w:cs="Arial"/>
          <w:b/>
          <w:bCs/>
          <w:sz w:val="26"/>
          <w:szCs w:val="26"/>
        </w:rPr>
        <w:t>6.1 Confluence Logic</w:t>
      </w:r>
    </w:p>
    <w:p w14:paraId="369F6083">
      <w:pPr>
        <w:spacing w:after="200" w:line="276" w:lineRule="auto"/>
      </w:pPr>
      <w:r>
        <w:rPr>
          <w:rFonts w:ascii="Arial" w:hAnsi="Arial" w:eastAsia="Arial" w:cs="Arial"/>
          <w:sz w:val="22"/>
          <w:szCs w:val="22"/>
        </w:rPr>
        <w:t>An Order Block (the last opposing candle before the displacement) that overlaps the OTE zone provides another layer of confluence. The Order Block represents a potential area of unfilled or institutional interest; the OTE quantifies that the retracement has reached a statistically deeper portion of the leg.</w:t>
      </w:r>
    </w:p>
    <w:p w14:paraId="5DF6B4B2">
      <w:pPr>
        <w:pStyle w:val="3"/>
        <w:spacing w:before="280" w:after="180"/>
      </w:pPr>
      <w:r>
        <w:rPr>
          <w:rFonts w:ascii="Arial" w:hAnsi="Arial" w:eastAsia="Arial" w:cs="Arial"/>
          <w:b/>
          <w:bCs/>
          <w:sz w:val="26"/>
          <w:szCs w:val="26"/>
        </w:rPr>
        <w:t>6.2 Hierarchy Note</w:t>
      </w:r>
    </w:p>
    <w:p w14:paraId="3458D637">
      <w:pPr>
        <w:spacing w:after="200" w:line="276" w:lineRule="auto"/>
      </w:pPr>
      <w:r>
        <w:rPr>
          <w:rFonts w:ascii="Arial" w:hAnsi="Arial" w:eastAsia="Arial" w:cs="Arial"/>
          <w:sz w:val="22"/>
          <w:szCs w:val="22"/>
        </w:rPr>
        <w:t>In practice many intermediate traders treat the overlapping zone (OB ∩ OTE) as the refined entry area and use the extreme of the Order Block or the 79 % level as the invalidation reference, whichever is more conservative relative to the narrative.</w:t>
      </w:r>
    </w:p>
    <w:p w14:paraId="7CD3C0F2">
      <w:pPr>
        <w:pStyle w:val="2"/>
        <w:spacing w:before="360" w:after="240"/>
      </w:pPr>
      <w:r>
        <w:rPr>
          <w:rFonts w:ascii="Arial" w:hAnsi="Arial" w:eastAsia="Arial" w:cs="Arial"/>
          <w:b/>
          <w:bCs/>
          <w:sz w:val="32"/>
          <w:szCs w:val="32"/>
        </w:rPr>
        <w:t>7. OTE Failure</w:t>
      </w:r>
    </w:p>
    <w:p w14:paraId="1B11314F">
      <w:pPr>
        <w:pStyle w:val="3"/>
        <w:spacing w:before="280" w:after="180"/>
      </w:pPr>
      <w:r>
        <w:rPr>
          <w:rFonts w:ascii="Arial" w:hAnsi="Arial" w:eastAsia="Arial" w:cs="Arial"/>
          <w:b/>
          <w:bCs/>
          <w:sz w:val="26"/>
          <w:szCs w:val="26"/>
        </w:rPr>
        <w:t>7.1 Definition</w:t>
      </w:r>
    </w:p>
    <w:p w14:paraId="39571D15">
      <w:pPr>
        <w:spacing w:after="200" w:line="276" w:lineRule="auto"/>
      </w:pPr>
      <w:r>
        <w:rPr>
          <w:rFonts w:ascii="Arial" w:hAnsi="Arial" w:eastAsia="Arial" w:cs="Arial"/>
          <w:sz w:val="22"/>
          <w:szCs w:val="22"/>
        </w:rPr>
        <w:t>An OTE failure occurs when price enters the 62 %–79 % zone (or reaches 70.5 %) and then continues through the 100 % origin of the measured leg, violating the structural premise of the setup.</w:t>
      </w:r>
    </w:p>
    <w:p w14:paraId="71787417">
      <w:pPr>
        <w:pStyle w:val="3"/>
        <w:spacing w:before="280" w:after="180"/>
      </w:pPr>
      <w:r>
        <w:rPr>
          <w:rFonts w:ascii="Arial" w:hAnsi="Arial" w:eastAsia="Arial" w:cs="Arial"/>
          <w:b/>
          <w:bCs/>
          <w:sz w:val="26"/>
          <w:szCs w:val="26"/>
        </w:rPr>
        <w:t>7.2 Interpretation</w:t>
      </w:r>
    </w:p>
    <w:p w14:paraId="0139ECDC">
      <w:pPr>
        <w:spacing w:after="200" w:line="276" w:lineRule="auto"/>
      </w:pPr>
      <w:r>
        <w:rPr>
          <w:rFonts w:ascii="Arial" w:hAnsi="Arial" w:eastAsia="Arial" w:cs="Arial"/>
          <w:sz w:val="22"/>
          <w:szCs w:val="22"/>
        </w:rPr>
        <w:t>Failure does not mean “Fibonacci is wrong.” It means the underlying narrative (continuation after displacement) was incorrect or incomplete. Common reasons include:</w:t>
      </w:r>
    </w:p>
    <w:p w14:paraId="27BCCA79">
      <w:pPr>
        <w:pStyle w:val="16"/>
        <w:numPr>
          <w:ilvl w:val="0"/>
          <w:numId w:val="1"/>
        </w:numPr>
        <w:spacing w:after="120" w:line="276" w:lineRule="auto"/>
      </w:pPr>
      <w:r>
        <w:rPr>
          <w:rFonts w:ascii="Arial" w:hAnsi="Arial" w:eastAsia="Arial" w:cs="Arial"/>
          <w:sz w:val="22"/>
          <w:szCs w:val="22"/>
        </w:rPr>
        <w:t>Higher-timeframe opposing liquidity still unaddressed,</w:t>
      </w:r>
    </w:p>
    <w:p w14:paraId="7245D30C">
      <w:pPr>
        <w:pStyle w:val="16"/>
        <w:numPr>
          <w:ilvl w:val="0"/>
          <w:numId w:val="1"/>
        </w:numPr>
        <w:spacing w:after="120" w:line="276" w:lineRule="auto"/>
      </w:pPr>
      <w:r>
        <w:rPr>
          <w:rFonts w:ascii="Arial" w:hAnsi="Arial" w:eastAsia="Arial" w:cs="Arial"/>
          <w:sz w:val="22"/>
          <w:szCs w:val="22"/>
        </w:rPr>
        <w:t>The measured leg was not true displacement,</w:t>
      </w:r>
    </w:p>
    <w:p w14:paraId="35852CCD">
      <w:pPr>
        <w:pStyle w:val="16"/>
        <w:numPr>
          <w:ilvl w:val="0"/>
          <w:numId w:val="1"/>
        </w:numPr>
        <w:spacing w:after="120" w:line="276" w:lineRule="auto"/>
      </w:pPr>
      <w:r>
        <w:rPr>
          <w:rFonts w:ascii="Arial" w:hAnsi="Arial" w:eastAsia="Arial" w:cs="Arial"/>
          <w:sz w:val="22"/>
          <w:szCs w:val="22"/>
        </w:rPr>
        <w:t>The dealing-range context was misidentified,</w:t>
      </w:r>
    </w:p>
    <w:p w14:paraId="700EED71">
      <w:pPr>
        <w:pStyle w:val="16"/>
        <w:numPr>
          <w:ilvl w:val="0"/>
          <w:numId w:val="1"/>
        </w:numPr>
        <w:spacing w:after="120" w:line="276" w:lineRule="auto"/>
      </w:pPr>
      <w:r>
        <w:rPr>
          <w:rFonts w:ascii="Arial" w:hAnsi="Arial" w:eastAsia="Arial" w:cs="Arial"/>
          <w:sz w:val="22"/>
          <w:szCs w:val="22"/>
        </w:rPr>
        <w:t>Session timing was unfavourable,</w:t>
      </w:r>
    </w:p>
    <w:p w14:paraId="7775C90B">
      <w:pPr>
        <w:pStyle w:val="16"/>
        <w:numPr>
          <w:ilvl w:val="0"/>
          <w:numId w:val="1"/>
        </w:numPr>
        <w:spacing w:after="120" w:line="276" w:lineRule="auto"/>
      </w:pPr>
      <w:r>
        <w:rPr>
          <w:rFonts w:ascii="Arial" w:hAnsi="Arial" w:eastAsia="Arial" w:cs="Arial"/>
          <w:sz w:val="22"/>
          <w:szCs w:val="22"/>
        </w:rPr>
        <w:t>The PD-array confluence was weak or already mitigated.</w:t>
      </w:r>
    </w:p>
    <w:p w14:paraId="5DF63315">
      <w:pPr>
        <w:pStyle w:val="3"/>
        <w:spacing w:before="280" w:after="180"/>
      </w:pPr>
      <w:r>
        <w:rPr>
          <w:rFonts w:ascii="Arial" w:hAnsi="Arial" w:eastAsia="Arial" w:cs="Arial"/>
          <w:b/>
          <w:bCs/>
          <w:sz w:val="26"/>
          <w:szCs w:val="26"/>
        </w:rPr>
        <w:t>7.3 Practical Response</w:t>
      </w:r>
    </w:p>
    <w:p w14:paraId="2025DFA6">
      <w:pPr>
        <w:spacing w:after="200" w:line="276" w:lineRule="auto"/>
      </w:pPr>
      <w:r>
        <w:rPr>
          <w:rFonts w:ascii="Arial" w:hAnsi="Arial" w:eastAsia="Arial" w:cs="Arial"/>
          <w:sz w:val="22"/>
          <w:szCs w:val="22"/>
        </w:rPr>
        <w:t>When price closes beyond the origin extreme of the measured leg, the OTE-based idea is invalidated. The trader does not “average” or hope for recovery inside the same framework; the narrative must be reassessed.</w:t>
      </w:r>
    </w:p>
    <w:p w14:paraId="32E7EFBF">
      <w:pPr>
        <w:pStyle w:val="2"/>
        <w:spacing w:before="360" w:after="240"/>
      </w:pPr>
      <w:r>
        <w:rPr>
          <w:rFonts w:ascii="Arial" w:hAnsi="Arial" w:eastAsia="Arial" w:cs="Arial"/>
          <w:b/>
          <w:bCs/>
          <w:sz w:val="32"/>
          <w:szCs w:val="32"/>
        </w:rPr>
        <w:t>8. Deep Retracement vs Shallow Retracement</w:t>
      </w:r>
    </w:p>
    <w:p w14:paraId="1A2CE3A9">
      <w:pPr>
        <w:pStyle w:val="3"/>
        <w:spacing w:before="280" w:after="180"/>
      </w:pPr>
      <w:r>
        <w:rPr>
          <w:rFonts w:ascii="Arial" w:hAnsi="Arial" w:eastAsia="Arial" w:cs="Arial"/>
          <w:b/>
          <w:bCs/>
          <w:sz w:val="26"/>
          <w:szCs w:val="26"/>
        </w:rPr>
        <w:t>8.1 Definitions</w:t>
      </w:r>
    </w:p>
    <w:p w14:paraId="4DFA463D">
      <w:pPr>
        <w:spacing w:after="200" w:line="276" w:lineRule="auto"/>
      </w:pPr>
      <w:r>
        <w:rPr>
          <w:rFonts w:ascii="Arial" w:hAnsi="Arial" w:eastAsia="Arial" w:cs="Arial"/>
          <w:sz w:val="22"/>
          <w:szCs w:val="22"/>
        </w:rPr>
        <w:t>Shallow retracement: price returns only to the 50 % level or shallower (above 50 % for a bullish leg).</w:t>
      </w:r>
    </w:p>
    <w:p w14:paraId="0CD8CA1D">
      <w:pPr>
        <w:spacing w:after="200" w:line="276" w:lineRule="auto"/>
      </w:pPr>
      <w:r>
        <w:rPr>
          <w:rFonts w:ascii="Arial" w:hAnsi="Arial" w:eastAsia="Arial" w:cs="Arial"/>
          <w:sz w:val="22"/>
          <w:szCs w:val="22"/>
        </w:rPr>
        <w:t>Standard / OTE retracement: price reaches the 62 %–79 % band.</w:t>
      </w:r>
    </w:p>
    <w:p w14:paraId="037D1D69">
      <w:pPr>
        <w:spacing w:after="200" w:line="276" w:lineRule="auto"/>
      </w:pPr>
      <w:r>
        <w:rPr>
          <w:rFonts w:ascii="Arial" w:hAnsi="Arial" w:eastAsia="Arial" w:cs="Arial"/>
          <w:sz w:val="22"/>
          <w:szCs w:val="22"/>
        </w:rPr>
        <w:t>Deep retracement: price moves beyond 79 % and approaches or exceeds the 100 % origin.</w:t>
      </w:r>
    </w:p>
    <w:p w14:paraId="754E211C">
      <w:pPr>
        <w:pStyle w:val="3"/>
        <w:spacing w:before="280" w:after="180"/>
      </w:pPr>
      <w:r>
        <w:rPr>
          <w:rFonts w:ascii="Arial" w:hAnsi="Arial" w:eastAsia="Arial" w:cs="Arial"/>
          <w:b/>
          <w:bCs/>
          <w:sz w:val="26"/>
          <w:szCs w:val="26"/>
        </w:rPr>
        <w:t>8.2 Intermediate Reading</w:t>
      </w:r>
    </w:p>
    <w:p w14:paraId="244524A0">
      <w:pPr>
        <w:spacing w:after="200" w:line="276" w:lineRule="auto"/>
      </w:pPr>
      <w:r>
        <w:rPr>
          <w:rFonts w:ascii="Arial" w:hAnsi="Arial" w:eastAsia="Arial" w:cs="Arial"/>
          <w:sz w:val="22"/>
          <w:szCs w:val="22"/>
        </w:rPr>
        <w:t>A shallow retracement may still be tradeable if a high-quality PD array (especially an unmitigated FVG or Order Block) sits at that level and the higher-timeframe narrative is strong; however, risk-to-reward is often inferior because the stop must still be placed beyond the origin.</w:t>
      </w:r>
    </w:p>
    <w:p w14:paraId="376F4C39">
      <w:pPr>
        <w:spacing w:after="200" w:line="276" w:lineRule="auto"/>
      </w:pPr>
      <w:r>
        <w:rPr>
          <w:rFonts w:ascii="Arial" w:hAnsi="Arial" w:eastAsia="Arial" w:cs="Arial"/>
          <w:sz w:val="22"/>
          <w:szCs w:val="22"/>
        </w:rPr>
        <w:t>A standard OTE retracement is the textbook location.</w:t>
      </w:r>
    </w:p>
    <w:p w14:paraId="0A1FF202">
      <w:pPr>
        <w:spacing w:after="200" w:line="276" w:lineRule="auto"/>
      </w:pPr>
      <w:r>
        <w:rPr>
          <w:rFonts w:ascii="Arial" w:hAnsi="Arial" w:eastAsia="Arial" w:cs="Arial"/>
          <w:sz w:val="22"/>
          <w:szCs w:val="22"/>
        </w:rPr>
        <w:t>A deep retracement that violates the origin often signals that the displacement leg has failed and a larger structural change is underway.</w:t>
      </w:r>
    </w:p>
    <w:p w14:paraId="79F5AEFE">
      <w:pPr>
        <w:pStyle w:val="3"/>
        <w:spacing w:before="280" w:after="180"/>
      </w:pPr>
      <w:r>
        <w:rPr>
          <w:rFonts w:ascii="Arial" w:hAnsi="Arial" w:eastAsia="Arial" w:cs="Arial"/>
          <w:b/>
          <w:bCs/>
          <w:sz w:val="26"/>
          <w:szCs w:val="26"/>
        </w:rPr>
        <w:t>8.3 When Shallow Is Acceptable</w:t>
      </w:r>
    </w:p>
    <w:p w14:paraId="12AB669C">
      <w:pPr>
        <w:spacing w:after="200" w:line="276" w:lineRule="auto"/>
      </w:pPr>
      <w:r>
        <w:rPr>
          <w:rFonts w:ascii="Arial" w:hAnsi="Arial" w:eastAsia="Arial" w:cs="Arial"/>
          <w:sz w:val="22"/>
          <w:szCs w:val="22"/>
        </w:rPr>
        <w:t>In very strong trend conditions or during high-volatility session expansions, price may only deliver a 50 % retracement before continuing. ICT examples occasionally show entries at shallower levels when displacement is extreme and liquidity objectives remain clear. The intermediate student should treat these as secondary and require extra confluence.</w:t>
      </w:r>
    </w:p>
    <w:p w14:paraId="5CDFEF69">
      <w:pPr>
        <w:pStyle w:val="2"/>
        <w:spacing w:before="360" w:after="240"/>
      </w:pPr>
      <w:r>
        <w:rPr>
          <w:rFonts w:ascii="Arial" w:hAnsi="Arial" w:eastAsia="Arial" w:cs="Arial"/>
          <w:b/>
          <w:bCs/>
          <w:sz w:val="32"/>
          <w:szCs w:val="32"/>
        </w:rPr>
        <w:t>9. Fibonacci Confluence</w:t>
      </w:r>
    </w:p>
    <w:p w14:paraId="76B1C886">
      <w:pPr>
        <w:pStyle w:val="3"/>
        <w:spacing w:before="280" w:after="180"/>
      </w:pPr>
      <w:r>
        <w:rPr>
          <w:rFonts w:ascii="Arial" w:hAnsi="Arial" w:eastAsia="Arial" w:cs="Arial"/>
          <w:b/>
          <w:bCs/>
          <w:sz w:val="26"/>
          <w:szCs w:val="26"/>
        </w:rPr>
        <w:t>9.1 Meaning</w:t>
      </w:r>
    </w:p>
    <w:p w14:paraId="21BDADEC">
      <w:pPr>
        <w:spacing w:after="200" w:line="276" w:lineRule="auto"/>
      </w:pPr>
      <w:r>
        <w:rPr>
          <w:rFonts w:ascii="Arial" w:hAnsi="Arial" w:eastAsia="Arial" w:cs="Arial"/>
          <w:sz w:val="22"/>
          <w:szCs w:val="22"/>
        </w:rPr>
        <w:t>Confluence arises when the OTE zone of the displacement leg overlaps with:</w:t>
      </w:r>
    </w:p>
    <w:p w14:paraId="1CD23F46">
      <w:pPr>
        <w:pStyle w:val="16"/>
        <w:numPr>
          <w:ilvl w:val="0"/>
          <w:numId w:val="1"/>
        </w:numPr>
        <w:spacing w:after="120" w:line="276" w:lineRule="auto"/>
      </w:pPr>
      <w:r>
        <w:rPr>
          <w:rFonts w:ascii="Arial" w:hAnsi="Arial" w:eastAsia="Arial" w:cs="Arial"/>
          <w:sz w:val="22"/>
          <w:szCs w:val="22"/>
        </w:rPr>
        <w:t>A higher-timeframe PD array (HTF FVG or Order Block),</w:t>
      </w:r>
    </w:p>
    <w:p w14:paraId="469227F1">
      <w:pPr>
        <w:pStyle w:val="16"/>
        <w:numPr>
          <w:ilvl w:val="0"/>
          <w:numId w:val="1"/>
        </w:numPr>
        <w:spacing w:after="120" w:line="276" w:lineRule="auto"/>
      </w:pPr>
      <w:r>
        <w:rPr>
          <w:rFonts w:ascii="Arial" w:hAnsi="Arial" w:eastAsia="Arial" w:cs="Arial"/>
          <w:sz w:val="22"/>
          <w:szCs w:val="22"/>
        </w:rPr>
        <w:t>The equilibrium or a key level of a larger dealing range,</w:t>
      </w:r>
    </w:p>
    <w:p w14:paraId="2AE67C4A">
      <w:pPr>
        <w:pStyle w:val="16"/>
        <w:numPr>
          <w:ilvl w:val="0"/>
          <w:numId w:val="1"/>
        </w:numPr>
        <w:spacing w:after="120" w:line="276" w:lineRule="auto"/>
      </w:pPr>
      <w:r>
        <w:rPr>
          <w:rFonts w:ascii="Arial" w:hAnsi="Arial" w:eastAsia="Arial" w:cs="Arial"/>
          <w:sz w:val="22"/>
          <w:szCs w:val="22"/>
        </w:rPr>
        <w:t>A session-specific level (Asian range extreme, previous day high/low),</w:t>
      </w:r>
    </w:p>
    <w:p w14:paraId="19D03092">
      <w:pPr>
        <w:pStyle w:val="16"/>
        <w:numPr>
          <w:ilvl w:val="0"/>
          <w:numId w:val="1"/>
        </w:numPr>
        <w:spacing w:after="120" w:line="276" w:lineRule="auto"/>
      </w:pPr>
      <w:r>
        <w:rPr>
          <w:rFonts w:ascii="Arial" w:hAnsi="Arial" w:eastAsia="Arial" w:cs="Arial"/>
          <w:sz w:val="22"/>
          <w:szCs w:val="22"/>
        </w:rPr>
        <w:t>An unmitigated lower-timeframe FVG or breaker inside the zone.</w:t>
      </w:r>
    </w:p>
    <w:p w14:paraId="2978377F">
      <w:pPr>
        <w:spacing w:after="200" w:line="276" w:lineRule="auto"/>
      </w:pPr>
      <w:r>
        <w:rPr>
          <w:rFonts w:ascii="Arial" w:hAnsi="Arial" w:eastAsia="Arial" w:cs="Arial"/>
          <w:sz w:val="22"/>
          <w:szCs w:val="22"/>
        </w:rPr>
        <w:t>Multiple independent ICT elements pointing to the same price region raise the quality of the location.</w:t>
      </w:r>
    </w:p>
    <w:p w14:paraId="7BE2B30C">
      <w:pPr>
        <w:pStyle w:val="3"/>
        <w:spacing w:before="280" w:after="180"/>
      </w:pPr>
      <w:r>
        <w:rPr>
          <w:rFonts w:ascii="Arial" w:hAnsi="Arial" w:eastAsia="Arial" w:cs="Arial"/>
          <w:b/>
          <w:bCs/>
          <w:sz w:val="26"/>
          <w:szCs w:val="26"/>
        </w:rPr>
        <w:t>9.2 Caution</w:t>
      </w:r>
    </w:p>
    <w:p w14:paraId="23D0E271">
      <w:pPr>
        <w:spacing w:after="200" w:line="276" w:lineRule="auto"/>
      </w:pPr>
      <w:r>
        <w:rPr>
          <w:rFonts w:ascii="Arial" w:hAnsi="Arial" w:eastAsia="Arial" w:cs="Arial"/>
          <w:sz w:val="22"/>
          <w:szCs w:val="22"/>
        </w:rPr>
        <w:t>Confluence is not infinite. Adding every possible Fibonacci level from every swing creates noise. Restrict measurement to the displacement leg that matters for the current narrative.</w:t>
      </w:r>
    </w:p>
    <w:p w14:paraId="166EC66D">
      <w:pPr>
        <w:pStyle w:val="2"/>
        <w:spacing w:before="360" w:after="240"/>
      </w:pPr>
      <w:r>
        <w:rPr>
          <w:rFonts w:ascii="Arial" w:hAnsi="Arial" w:eastAsia="Arial" w:cs="Arial"/>
          <w:b/>
          <w:bCs/>
          <w:sz w:val="32"/>
          <w:szCs w:val="32"/>
        </w:rPr>
        <w:t>10. When NOT to Use OTE</w:t>
      </w:r>
    </w:p>
    <w:p w14:paraId="71F8D5B5">
      <w:pPr>
        <w:pStyle w:val="3"/>
        <w:spacing w:before="280" w:after="180"/>
      </w:pPr>
      <w:r>
        <w:rPr>
          <w:rFonts w:ascii="Arial" w:hAnsi="Arial" w:eastAsia="Arial" w:cs="Arial"/>
          <w:b/>
          <w:bCs/>
          <w:sz w:val="26"/>
          <w:szCs w:val="26"/>
        </w:rPr>
        <w:t>10.1 Explicit Conditions</w:t>
      </w:r>
    </w:p>
    <w:p w14:paraId="5C88971B">
      <w:pPr>
        <w:spacing w:after="200" w:line="276" w:lineRule="auto"/>
      </w:pPr>
      <w:r>
        <w:rPr>
          <w:rFonts w:ascii="Arial" w:hAnsi="Arial" w:eastAsia="Arial" w:cs="Arial"/>
          <w:sz w:val="22"/>
          <w:szCs w:val="22"/>
        </w:rPr>
        <w:t>Within the intermediate framework, the OTE concept should be de-emphasised or ignored when:</w:t>
      </w:r>
    </w:p>
    <w:p w14:paraId="0AEC222B">
      <w:pPr>
        <w:pStyle w:val="16"/>
        <w:numPr>
          <w:ilvl w:val="0"/>
          <w:numId w:val="1"/>
        </w:numPr>
        <w:spacing w:after="120" w:line="276" w:lineRule="auto"/>
      </w:pPr>
      <w:r>
        <w:rPr>
          <w:rFonts w:ascii="Arial" w:hAnsi="Arial" w:eastAsia="Arial" w:cs="Arial"/>
          <w:sz w:val="22"/>
          <w:szCs w:val="22"/>
        </w:rPr>
        <w:t>No clear displacement has occurred after a liquidity event.</w:t>
      </w:r>
    </w:p>
    <w:p w14:paraId="4E02230E">
      <w:pPr>
        <w:pStyle w:val="16"/>
        <w:numPr>
          <w:ilvl w:val="0"/>
          <w:numId w:val="1"/>
        </w:numPr>
        <w:spacing w:after="120" w:line="276" w:lineRule="auto"/>
      </w:pPr>
      <w:r>
        <w:rPr>
          <w:rFonts w:ascii="Arial" w:hAnsi="Arial" w:eastAsia="Arial" w:cs="Arial"/>
          <w:sz w:val="22"/>
          <w:szCs w:val="22"/>
        </w:rPr>
        <w:t>The higher-timeframe narrative is ambiguous or conflicting.</w:t>
      </w:r>
    </w:p>
    <w:p w14:paraId="46814C30">
      <w:pPr>
        <w:pStyle w:val="16"/>
        <w:numPr>
          <w:ilvl w:val="0"/>
          <w:numId w:val="1"/>
        </w:numPr>
        <w:spacing w:after="120" w:line="276" w:lineRule="auto"/>
      </w:pPr>
      <w:r>
        <w:rPr>
          <w:rFonts w:ascii="Arial" w:hAnsi="Arial" w:eastAsia="Arial" w:cs="Arial"/>
          <w:sz w:val="22"/>
          <w:szCs w:val="22"/>
        </w:rPr>
        <w:t>Price is still inside a tight consolidation with no expansion leg to measure.</w:t>
      </w:r>
    </w:p>
    <w:p w14:paraId="62DD2F6E">
      <w:pPr>
        <w:pStyle w:val="16"/>
        <w:numPr>
          <w:ilvl w:val="0"/>
          <w:numId w:val="1"/>
        </w:numPr>
        <w:spacing w:after="120" w:line="276" w:lineRule="auto"/>
      </w:pPr>
      <w:r>
        <w:rPr>
          <w:rFonts w:ascii="Arial" w:hAnsi="Arial" w:eastAsia="Arial" w:cs="Arial"/>
          <w:sz w:val="22"/>
          <w:szCs w:val="22"/>
        </w:rPr>
        <w:t>The calculated OTE falls on the wrong side of dealing-range equilibrium relative to the intended direction.</w:t>
      </w:r>
    </w:p>
    <w:p w14:paraId="193564BF">
      <w:pPr>
        <w:pStyle w:val="16"/>
        <w:numPr>
          <w:ilvl w:val="0"/>
          <w:numId w:val="1"/>
        </w:numPr>
        <w:spacing w:after="120" w:line="276" w:lineRule="auto"/>
      </w:pPr>
      <w:r>
        <w:rPr>
          <w:rFonts w:ascii="Arial" w:hAnsi="Arial" w:eastAsia="Arial" w:cs="Arial"/>
          <w:sz w:val="22"/>
          <w:szCs w:val="22"/>
        </w:rPr>
        <w:t>The only available PD arrays inside the zone have already been mitigated.</w:t>
      </w:r>
    </w:p>
    <w:p w14:paraId="1073788D">
      <w:pPr>
        <w:pStyle w:val="16"/>
        <w:numPr>
          <w:ilvl w:val="0"/>
          <w:numId w:val="1"/>
        </w:numPr>
        <w:spacing w:after="120" w:line="276" w:lineRule="auto"/>
      </w:pPr>
      <w:r>
        <w:rPr>
          <w:rFonts w:ascii="Arial" w:hAnsi="Arial" w:eastAsia="Arial" w:cs="Arial"/>
          <w:sz w:val="22"/>
          <w:szCs w:val="22"/>
        </w:rPr>
        <w:t>Session timing is unfavourable (for example, attempting a full OTE model in a low-volatility period with no kill-zone alignment).</w:t>
      </w:r>
    </w:p>
    <w:p w14:paraId="38F20D67">
      <w:pPr>
        <w:pStyle w:val="16"/>
        <w:numPr>
          <w:ilvl w:val="0"/>
          <w:numId w:val="1"/>
        </w:numPr>
        <w:spacing w:after="120" w:line="276" w:lineRule="auto"/>
      </w:pPr>
      <w:r>
        <w:rPr>
          <w:rFonts w:ascii="Arial" w:hAnsi="Arial" w:eastAsia="Arial" w:cs="Arial"/>
          <w:sz w:val="22"/>
          <w:szCs w:val="22"/>
        </w:rPr>
        <w:t>The trader is forcing a Fibonacci on a leg that is not the institutional expansion.</w:t>
      </w:r>
    </w:p>
    <w:p w14:paraId="24E1B178">
      <w:pPr>
        <w:pStyle w:val="3"/>
        <w:spacing w:before="280" w:after="180"/>
      </w:pPr>
      <w:r>
        <w:rPr>
          <w:rFonts w:ascii="Arial" w:hAnsi="Arial" w:eastAsia="Arial" w:cs="Arial"/>
          <w:b/>
          <w:bCs/>
          <w:sz w:val="26"/>
          <w:szCs w:val="26"/>
        </w:rPr>
        <w:t>10.2 Community Interpretation Note</w:t>
      </w:r>
    </w:p>
    <w:p w14:paraId="70EDB985">
      <w:pPr>
        <w:spacing w:after="200" w:line="276" w:lineRule="auto"/>
      </w:pPr>
      <w:r>
        <w:rPr>
          <w:rFonts w:ascii="Arial" w:hAnsi="Arial" w:eastAsia="Arial" w:cs="Arial"/>
          <w:sz w:val="22"/>
          <w:szCs w:val="22"/>
        </w:rPr>
        <w:t>Community interpretation: Some retail presentations treat every 62 %–79 % retracement as a trade signal. ICT’s own examples consistently embed the Fibonacci measurement inside a larger sequence of liquidity, displacement and structure. Presenting bare OTE without that sequence is a common community oversimplification and should be labelled as such.</w:t>
      </w:r>
    </w:p>
    <w:p w14:paraId="5440872C">
      <w:pPr>
        <w:pStyle w:val="2"/>
        <w:spacing w:before="360" w:after="240"/>
      </w:pPr>
      <w:r>
        <w:rPr>
          <w:rFonts w:ascii="Arial" w:hAnsi="Arial" w:eastAsia="Arial" w:cs="Arial"/>
          <w:b/>
          <w:bCs/>
          <w:sz w:val="32"/>
          <w:szCs w:val="32"/>
        </w:rPr>
        <w:t>Worked Example — Intermediate Bullish OTE Sequence</w:t>
      </w:r>
    </w:p>
    <w:p w14:paraId="4F46A502">
      <w:pPr>
        <w:spacing w:after="200" w:line="276" w:lineRule="auto"/>
      </w:pPr>
      <w:r>
        <w:rPr>
          <w:rFonts w:ascii="Arial" w:hAnsi="Arial" w:eastAsia="Arial" w:cs="Arial"/>
          <w:sz w:val="22"/>
          <w:szCs w:val="22"/>
        </w:rPr>
        <w:t>Context: Daily and 4-hour structure are bullish. Price has been respecting a series of higher lows. A dealing range is defined on the 1-hour chart from 1.0800 to 1.0950 (equilibrium 1.0875).</w:t>
      </w:r>
    </w:p>
    <w:p w14:paraId="02A21D0B">
      <w:pPr>
        <w:spacing w:after="200" w:line="276" w:lineRule="auto"/>
      </w:pPr>
      <w:r>
        <w:rPr>
          <w:rFonts w:ascii="Arial" w:hAnsi="Arial" w:eastAsia="Arial" w:cs="Arial"/>
          <w:sz w:val="22"/>
          <w:szCs w:val="22"/>
        </w:rPr>
        <w:t>Sequence:</w:t>
      </w:r>
    </w:p>
    <w:p w14:paraId="6CA151E6">
      <w:pPr>
        <w:pStyle w:val="16"/>
        <w:numPr>
          <w:ilvl w:val="0"/>
          <w:numId w:val="5"/>
        </w:numPr>
        <w:spacing w:after="120" w:line="276" w:lineRule="auto"/>
      </w:pPr>
      <w:r>
        <w:rPr>
          <w:rFonts w:ascii="Arial" w:hAnsi="Arial" w:eastAsia="Arial" w:cs="Arial"/>
          <w:sz w:val="22"/>
          <w:szCs w:val="22"/>
        </w:rPr>
        <w:t>Sell-side liquidity below 1.0820 (equal lows) is raided during the London session. Price prints a low at 1.0810.</w:t>
      </w:r>
    </w:p>
    <w:p w14:paraId="7A3D2FF6">
      <w:pPr>
        <w:pStyle w:val="16"/>
        <w:numPr>
          <w:ilvl w:val="0"/>
          <w:numId w:val="5"/>
        </w:numPr>
        <w:spacing w:after="120" w:line="276" w:lineRule="auto"/>
      </w:pPr>
      <w:r>
        <w:rPr>
          <w:rFonts w:ascii="Arial" w:hAnsi="Arial" w:eastAsia="Arial" w:cs="Arial"/>
          <w:sz w:val="22"/>
          <w:szCs w:val="22"/>
        </w:rPr>
        <w:t>Immediate bullish displacement occurs: large-range candles push through short-term highs, creating a clear FVG between 1.0835–1.0850 and a Market Structure Shift.</w:t>
      </w:r>
    </w:p>
    <w:p w14:paraId="330E5778">
      <w:pPr>
        <w:pStyle w:val="16"/>
        <w:numPr>
          <w:ilvl w:val="0"/>
          <w:numId w:val="5"/>
        </w:numPr>
        <w:spacing w:after="120" w:line="276" w:lineRule="auto"/>
      </w:pPr>
      <w:r>
        <w:rPr>
          <w:rFonts w:ascii="Arial" w:hAnsi="Arial" w:eastAsia="Arial" w:cs="Arial"/>
          <w:sz w:val="22"/>
          <w:szCs w:val="22"/>
        </w:rPr>
        <w:t>Displacement high reaches 1.0910.</w:t>
      </w:r>
    </w:p>
    <w:p w14:paraId="4D001AFA">
      <w:pPr>
        <w:pStyle w:val="16"/>
        <w:numPr>
          <w:ilvl w:val="0"/>
          <w:numId w:val="5"/>
        </w:numPr>
        <w:spacing w:after="120" w:line="276" w:lineRule="auto"/>
      </w:pPr>
      <w:r>
        <w:rPr>
          <w:rFonts w:ascii="Arial" w:hAnsi="Arial" w:eastAsia="Arial" w:cs="Arial"/>
          <w:sz w:val="22"/>
          <w:szCs w:val="22"/>
        </w:rPr>
        <w:t>Fibonacci is drawn from 1.0810 (sweep extreme) to 1.0910. OTE zone (62 %–79 %) calculates approximately 1.0848–1.0867. The 70.5 % level is near 1.0857.</w:t>
      </w:r>
    </w:p>
    <w:p w14:paraId="63730ABF">
      <w:pPr>
        <w:pStyle w:val="16"/>
        <w:numPr>
          <w:ilvl w:val="0"/>
          <w:numId w:val="5"/>
        </w:numPr>
        <w:spacing w:after="120" w:line="276" w:lineRule="auto"/>
      </w:pPr>
      <w:r>
        <w:rPr>
          <w:rFonts w:ascii="Arial" w:hAnsi="Arial" w:eastAsia="Arial" w:cs="Arial"/>
          <w:sz w:val="22"/>
          <w:szCs w:val="22"/>
        </w:rPr>
        <w:t>The FVG created by the displacement overlaps the upper portion of the OTE zone.</w:t>
      </w:r>
    </w:p>
    <w:p w14:paraId="41F5D2E0">
      <w:pPr>
        <w:pStyle w:val="16"/>
        <w:numPr>
          <w:ilvl w:val="0"/>
          <w:numId w:val="5"/>
        </w:numPr>
        <w:spacing w:after="120" w:line="276" w:lineRule="auto"/>
      </w:pPr>
      <w:r>
        <w:rPr>
          <w:rFonts w:ascii="Arial" w:hAnsi="Arial" w:eastAsia="Arial" w:cs="Arial"/>
          <w:sz w:val="22"/>
          <w:szCs w:val="22"/>
        </w:rPr>
        <w:t>Price retraces during the New York open into the OTE / FVG overlap, holds above 1.0845, and resumes higher.</w:t>
      </w:r>
    </w:p>
    <w:p w14:paraId="19D62BE4">
      <w:pPr>
        <w:pStyle w:val="16"/>
        <w:numPr>
          <w:ilvl w:val="0"/>
          <w:numId w:val="5"/>
        </w:numPr>
        <w:spacing w:after="120" w:line="276" w:lineRule="auto"/>
      </w:pPr>
      <w:r>
        <w:rPr>
          <w:rFonts w:ascii="Arial" w:hAnsi="Arial" w:eastAsia="Arial" w:cs="Arial"/>
          <w:sz w:val="22"/>
          <w:szCs w:val="22"/>
        </w:rPr>
        <w:t>Target is buy-side liquidity above the dealing-range high at 1.0950 and any relative equal highs beyond.</w:t>
      </w:r>
    </w:p>
    <w:p w14:paraId="2887812C">
      <w:pPr>
        <w:pStyle w:val="16"/>
        <w:numPr>
          <w:ilvl w:val="0"/>
          <w:numId w:val="5"/>
        </w:numPr>
        <w:spacing w:after="120" w:line="276" w:lineRule="auto"/>
      </w:pPr>
      <w:r>
        <w:rPr>
          <w:rFonts w:ascii="Arial" w:hAnsi="Arial" w:eastAsia="Arial" w:cs="Arial"/>
          <w:sz w:val="22"/>
          <w:szCs w:val="22"/>
        </w:rPr>
        <w:t>Invalidation is a decisive close below the origin extreme (1.0810).</w:t>
      </w:r>
    </w:p>
    <w:p w14:paraId="1585346B">
      <w:pPr>
        <w:spacing w:after="200" w:line="276" w:lineRule="auto"/>
      </w:pPr>
      <w:r>
        <w:rPr>
          <w:rFonts w:ascii="Arial" w:hAnsi="Arial" w:eastAsia="Arial" w:cs="Arial"/>
          <w:sz w:val="22"/>
          <w:szCs w:val="22"/>
        </w:rPr>
        <w:t>Why each element matters:</w:t>
      </w:r>
    </w:p>
    <w:p w14:paraId="48970E24">
      <w:pPr>
        <w:pStyle w:val="16"/>
        <w:numPr>
          <w:ilvl w:val="0"/>
          <w:numId w:val="1"/>
        </w:numPr>
        <w:spacing w:after="120" w:line="276" w:lineRule="auto"/>
      </w:pPr>
      <w:r>
        <w:rPr>
          <w:rFonts w:ascii="Arial" w:hAnsi="Arial" w:eastAsia="Arial" w:cs="Arial"/>
          <w:sz w:val="22"/>
          <w:szCs w:val="22"/>
        </w:rPr>
        <w:t>Liquidity raid supplies the fuel and the narrative catalyst.</w:t>
      </w:r>
    </w:p>
    <w:p w14:paraId="1139F23F">
      <w:pPr>
        <w:pStyle w:val="16"/>
        <w:numPr>
          <w:ilvl w:val="0"/>
          <w:numId w:val="1"/>
        </w:numPr>
        <w:spacing w:after="120" w:line="276" w:lineRule="auto"/>
      </w:pPr>
      <w:r>
        <w:rPr>
          <w:rFonts w:ascii="Arial" w:hAnsi="Arial" w:eastAsia="Arial" w:cs="Arial"/>
          <w:sz w:val="22"/>
          <w:szCs w:val="22"/>
        </w:rPr>
        <w:t>Displacement and MSS confirm that the raid was not a continuation lower.</w:t>
      </w:r>
    </w:p>
    <w:p w14:paraId="642D2CF7">
      <w:pPr>
        <w:pStyle w:val="16"/>
        <w:numPr>
          <w:ilvl w:val="0"/>
          <w:numId w:val="1"/>
        </w:numPr>
        <w:spacing w:after="120" w:line="276" w:lineRule="auto"/>
      </w:pPr>
      <w:r>
        <w:rPr>
          <w:rFonts w:ascii="Arial" w:hAnsi="Arial" w:eastAsia="Arial" w:cs="Arial"/>
          <w:sz w:val="22"/>
          <w:szCs w:val="22"/>
        </w:rPr>
        <w:t>OTE quantifies a favourable depth of retracement.</w:t>
      </w:r>
    </w:p>
    <w:p w14:paraId="68711CD8">
      <w:pPr>
        <w:pStyle w:val="16"/>
        <w:numPr>
          <w:ilvl w:val="0"/>
          <w:numId w:val="1"/>
        </w:numPr>
        <w:spacing w:after="120" w:line="276" w:lineRule="auto"/>
      </w:pPr>
      <w:r>
        <w:rPr>
          <w:rFonts w:ascii="Arial" w:hAnsi="Arial" w:eastAsia="Arial" w:cs="Arial"/>
          <w:sz w:val="22"/>
          <w:szCs w:val="22"/>
        </w:rPr>
        <w:t>FVG overlap supplies a precise PD-array entry refinement.</w:t>
      </w:r>
    </w:p>
    <w:p w14:paraId="55C9AAB5">
      <w:pPr>
        <w:pStyle w:val="16"/>
        <w:numPr>
          <w:ilvl w:val="0"/>
          <w:numId w:val="1"/>
        </w:numPr>
        <w:spacing w:after="120" w:line="276" w:lineRule="auto"/>
      </w:pPr>
      <w:r>
        <w:rPr>
          <w:rFonts w:ascii="Arial" w:hAnsi="Arial" w:eastAsia="Arial" w:cs="Arial"/>
          <w:sz w:val="22"/>
          <w:szCs w:val="22"/>
        </w:rPr>
        <w:t>Premium/discount filter is satisfied because the entire OTE sits below dealing-range equilibrium.</w:t>
      </w:r>
    </w:p>
    <w:p w14:paraId="72962807">
      <w:pPr>
        <w:pStyle w:val="2"/>
        <w:spacing w:before="360" w:after="240"/>
      </w:pPr>
      <w:r>
        <w:rPr>
          <w:rFonts w:ascii="Arial" w:hAnsi="Arial" w:eastAsia="Arial" w:cs="Arial"/>
          <w:b/>
          <w:bCs/>
          <w:sz w:val="32"/>
          <w:szCs w:val="32"/>
        </w:rPr>
        <w:t>Worked Example — Intermediate Bearish OTE Sequence</w:t>
      </w:r>
    </w:p>
    <w:p w14:paraId="6AE7B332">
      <w:pPr>
        <w:spacing w:after="200" w:line="276" w:lineRule="auto"/>
      </w:pPr>
      <w:r>
        <w:rPr>
          <w:rFonts w:ascii="Arial" w:hAnsi="Arial" w:eastAsia="Arial" w:cs="Arial"/>
          <w:sz w:val="22"/>
          <w:szCs w:val="22"/>
        </w:rPr>
        <w:t>Context: Higher-timeframe bias is bearish. Dealing range on the operating timeframe runs from 1.2650 (high) to 1.2500 (low); equilibrium 1.2575.</w:t>
      </w:r>
    </w:p>
    <w:p w14:paraId="213630C2">
      <w:pPr>
        <w:spacing w:after="200" w:line="276" w:lineRule="auto"/>
      </w:pPr>
      <w:r>
        <w:rPr>
          <w:rFonts w:ascii="Arial" w:hAnsi="Arial" w:eastAsia="Arial" w:cs="Arial"/>
          <w:sz w:val="22"/>
          <w:szCs w:val="22"/>
        </w:rPr>
        <w:t>Sequence:</w:t>
      </w:r>
    </w:p>
    <w:p w14:paraId="7166C4E2">
      <w:pPr>
        <w:pStyle w:val="16"/>
        <w:numPr>
          <w:ilvl w:val="0"/>
          <w:numId w:val="6"/>
        </w:numPr>
        <w:spacing w:after="120" w:line="276" w:lineRule="auto"/>
      </w:pPr>
      <w:r>
        <w:rPr>
          <w:rFonts w:ascii="Arial" w:hAnsi="Arial" w:eastAsia="Arial" w:cs="Arial"/>
          <w:sz w:val="22"/>
          <w:szCs w:val="22"/>
        </w:rPr>
        <w:t>Buy-side liquidity above 1.2620 is raided; price spikes to 1.2635.</w:t>
      </w:r>
    </w:p>
    <w:p w14:paraId="0FC5A4D9">
      <w:pPr>
        <w:pStyle w:val="16"/>
        <w:numPr>
          <w:ilvl w:val="0"/>
          <w:numId w:val="6"/>
        </w:numPr>
        <w:spacing w:after="120" w:line="276" w:lineRule="auto"/>
      </w:pPr>
      <w:r>
        <w:rPr>
          <w:rFonts w:ascii="Arial" w:hAnsi="Arial" w:eastAsia="Arial" w:cs="Arial"/>
          <w:sz w:val="22"/>
          <w:szCs w:val="22"/>
        </w:rPr>
        <w:t>Bearish displacement follows, breaking short-term structure and leaving a bearish FVG.</w:t>
      </w:r>
    </w:p>
    <w:p w14:paraId="5D3DB206">
      <w:pPr>
        <w:pStyle w:val="16"/>
        <w:numPr>
          <w:ilvl w:val="0"/>
          <w:numId w:val="6"/>
        </w:numPr>
        <w:spacing w:after="120" w:line="276" w:lineRule="auto"/>
      </w:pPr>
      <w:r>
        <w:rPr>
          <w:rFonts w:ascii="Arial" w:hAnsi="Arial" w:eastAsia="Arial" w:cs="Arial"/>
          <w:sz w:val="22"/>
          <w:szCs w:val="22"/>
        </w:rPr>
        <w:t>Displacement low reaches 1.2540.</w:t>
      </w:r>
    </w:p>
    <w:p w14:paraId="4D504105">
      <w:pPr>
        <w:pStyle w:val="16"/>
        <w:numPr>
          <w:ilvl w:val="0"/>
          <w:numId w:val="6"/>
        </w:numPr>
        <w:spacing w:after="120" w:line="276" w:lineRule="auto"/>
      </w:pPr>
      <w:r>
        <w:rPr>
          <w:rFonts w:ascii="Arial" w:hAnsi="Arial" w:eastAsia="Arial" w:cs="Arial"/>
          <w:sz w:val="22"/>
          <w:szCs w:val="22"/>
        </w:rPr>
        <w:t>Fibonacci drawn from 1.2635 to 1.2540. OTE zone falls roughly 1.2590–1.2605 (inside premium).</w:t>
      </w:r>
    </w:p>
    <w:p w14:paraId="30CC1BDC">
      <w:pPr>
        <w:pStyle w:val="16"/>
        <w:numPr>
          <w:ilvl w:val="0"/>
          <w:numId w:val="6"/>
        </w:numPr>
        <w:spacing w:after="120" w:line="276" w:lineRule="auto"/>
      </w:pPr>
      <w:r>
        <w:rPr>
          <w:rFonts w:ascii="Arial" w:hAnsi="Arial" w:eastAsia="Arial" w:cs="Arial"/>
          <w:sz w:val="22"/>
          <w:szCs w:val="22"/>
        </w:rPr>
        <w:t>Price retraces into the OTE, which overlaps a residual Order Block and the FVG, then continues lower toward sell-side liquidity below 1.2500.</w:t>
      </w:r>
    </w:p>
    <w:p w14:paraId="077C5154">
      <w:pPr>
        <w:pStyle w:val="16"/>
        <w:numPr>
          <w:ilvl w:val="0"/>
          <w:numId w:val="6"/>
        </w:numPr>
        <w:spacing w:after="120" w:line="276" w:lineRule="auto"/>
      </w:pPr>
      <w:r>
        <w:rPr>
          <w:rFonts w:ascii="Arial" w:hAnsi="Arial" w:eastAsia="Arial" w:cs="Arial"/>
          <w:sz w:val="22"/>
          <w:szCs w:val="22"/>
        </w:rPr>
        <w:t>Invalidation: decisive close above the displacement origin high.</w:t>
      </w:r>
    </w:p>
    <w:p w14:paraId="2F06F3FD">
      <w:pPr>
        <w:pStyle w:val="2"/>
        <w:spacing w:before="360" w:after="240"/>
      </w:pPr>
      <w:r>
        <w:rPr>
          <w:rFonts w:ascii="Arial" w:hAnsi="Arial" w:eastAsia="Arial" w:cs="Arial"/>
          <w:b/>
          <w:bCs/>
          <w:sz w:val="32"/>
          <w:szCs w:val="32"/>
        </w:rPr>
        <w:t>Visual Reference — Bullish OTE Inside Discount</w:t>
      </w:r>
    </w:p>
    <w:p w14:paraId="07080FCD">
      <w:pPr>
        <w:spacing w:after="0" w:line="240" w:lineRule="auto"/>
      </w:pPr>
      <w:r>
        <w:rPr>
          <w:rFonts w:ascii="Courier New" w:hAnsi="Courier New" w:eastAsia="Courier New" w:cs="Courier New"/>
          <w:sz w:val="18"/>
          <w:szCs w:val="18"/>
        </w:rPr>
        <w:t xml:space="preserve">  BSL (external target)</w:t>
      </w:r>
    </w:p>
    <w:p w14:paraId="359627B4">
      <w:pPr>
        <w:spacing w:after="0" w:line="240" w:lineRule="auto"/>
      </w:pPr>
      <w:r>
        <w:rPr>
          <w:rFonts w:ascii="Courier New" w:hAnsi="Courier New" w:eastAsia="Courier New" w:cs="Courier New"/>
          <w:sz w:val="18"/>
          <w:szCs w:val="18"/>
        </w:rPr>
        <w:t xml:space="preserve">  ───────────────────────</w:t>
      </w:r>
    </w:p>
    <w:p w14:paraId="677BDC9E">
      <w:pPr>
        <w:spacing w:after="0" w:line="240" w:lineRule="auto"/>
      </w:pPr>
      <w:r>
        <w:rPr>
          <w:rFonts w:ascii="Courier New" w:hAnsi="Courier New" w:eastAsia="Courier New" w:cs="Courier New"/>
          <w:sz w:val="18"/>
          <w:szCs w:val="18"/>
        </w:rPr>
        <w:t xml:space="preserve">           ↑</w:t>
      </w:r>
    </w:p>
    <w:p w14:paraId="2DB13095">
      <w:pPr>
        <w:spacing w:after="0" w:line="240" w:lineRule="auto"/>
      </w:pPr>
      <w:r>
        <w:rPr>
          <w:rFonts w:ascii="Courier New" w:hAnsi="Courier New" w:eastAsia="Courier New" w:cs="Courier New"/>
          <w:sz w:val="18"/>
          <w:szCs w:val="18"/>
        </w:rPr>
        <w:t xml:space="preserve">           │  expansion</w:t>
      </w:r>
    </w:p>
    <w:p w14:paraId="63A04CE8">
      <w:pPr>
        <w:spacing w:after="0" w:line="240" w:lineRule="auto"/>
      </w:pPr>
      <w:r>
        <w:rPr>
          <w:rFonts w:ascii="Courier New" w:hAnsi="Courier New" w:eastAsia="Courier New" w:cs="Courier New"/>
          <w:sz w:val="18"/>
          <w:szCs w:val="18"/>
        </w:rPr>
        <w:t xml:space="preserve">           │</w:t>
      </w:r>
    </w:p>
    <w:p w14:paraId="7E873970">
      <w:pPr>
        <w:spacing w:after="0" w:line="240" w:lineRule="auto"/>
      </w:pPr>
      <w:r>
        <w:rPr>
          <w:rFonts w:ascii="Courier New" w:hAnsi="Courier New" w:eastAsia="Courier New" w:cs="Courier New"/>
          <w:sz w:val="18"/>
          <w:szCs w:val="18"/>
        </w:rPr>
        <w:t xml:space="preserve">  1.0910 ──┤ displacement high (0 % Fib)</w:t>
      </w:r>
    </w:p>
    <w:p w14:paraId="1917E1D4">
      <w:pPr>
        <w:spacing w:after="0" w:line="240" w:lineRule="auto"/>
      </w:pPr>
      <w:r>
        <w:rPr>
          <w:rFonts w:ascii="Courier New" w:hAnsi="Courier New" w:eastAsia="Courier New" w:cs="Courier New"/>
          <w:sz w:val="18"/>
          <w:szCs w:val="18"/>
        </w:rPr>
        <w:t xml:space="preserve">           │</w:t>
      </w:r>
    </w:p>
    <w:p w14:paraId="1756A0F1">
      <w:pPr>
        <w:spacing w:after="0" w:line="240" w:lineRule="auto"/>
      </w:pPr>
      <w:r>
        <w:rPr>
          <w:rFonts w:ascii="Courier New" w:hAnsi="Courier New" w:eastAsia="Courier New" w:cs="Courier New"/>
          <w:sz w:val="18"/>
          <w:szCs w:val="18"/>
        </w:rPr>
        <w:t xml:space="preserve">  1.0875 ──┤ dealing-range equilibrium</w:t>
      </w:r>
    </w:p>
    <w:p w14:paraId="7DA327E8">
      <w:pPr>
        <w:spacing w:after="0" w:line="240" w:lineRule="auto"/>
      </w:pPr>
      <w:r>
        <w:rPr>
          <w:rFonts w:ascii="Courier New" w:hAnsi="Courier New" w:eastAsia="Courier New" w:cs="Courier New"/>
          <w:sz w:val="18"/>
          <w:szCs w:val="18"/>
        </w:rPr>
        <w:t xml:space="preserve">           │</w:t>
      </w:r>
    </w:p>
    <w:p w14:paraId="4D6C12A9">
      <w:pPr>
        <w:spacing w:after="0" w:line="240" w:lineRule="auto"/>
      </w:pPr>
      <w:r>
        <w:rPr>
          <w:rFonts w:ascii="Courier New" w:hAnsi="Courier New" w:eastAsia="Courier New" w:cs="Courier New"/>
          <w:sz w:val="18"/>
          <w:szCs w:val="18"/>
        </w:rPr>
        <w:t xml:space="preserve">  1.0867 ──┤ 62 % (OTE start)</w:t>
      </w:r>
    </w:p>
    <w:p w14:paraId="5058BC1B">
      <w:pPr>
        <w:spacing w:after="0" w:line="240" w:lineRule="auto"/>
      </w:pPr>
      <w:r>
        <w:rPr>
          <w:rFonts w:ascii="Courier New" w:hAnsi="Courier New" w:eastAsia="Courier New" w:cs="Courier New"/>
          <w:sz w:val="18"/>
          <w:szCs w:val="18"/>
        </w:rPr>
        <w:t xml:space="preserve">  1.0857 ──┤ 70.5 % (sweet spot)   ← FVG / OB overlap here</w:t>
      </w:r>
    </w:p>
    <w:p w14:paraId="66BCE0B8">
      <w:pPr>
        <w:spacing w:after="0" w:line="240" w:lineRule="auto"/>
      </w:pPr>
      <w:r>
        <w:rPr>
          <w:rFonts w:ascii="Courier New" w:hAnsi="Courier New" w:eastAsia="Courier New" w:cs="Courier New"/>
          <w:sz w:val="18"/>
          <w:szCs w:val="18"/>
        </w:rPr>
        <w:t xml:space="preserve">  1.0848 ──┤ 79 % (OTE end)</w:t>
      </w:r>
    </w:p>
    <w:p w14:paraId="6705217D">
      <w:pPr>
        <w:spacing w:after="0" w:line="240" w:lineRule="auto"/>
      </w:pPr>
      <w:r>
        <w:rPr>
          <w:rFonts w:ascii="Courier New" w:hAnsi="Courier New" w:eastAsia="Courier New" w:cs="Courier New"/>
          <w:sz w:val="18"/>
          <w:szCs w:val="18"/>
        </w:rPr>
        <w:t xml:space="preserve">           │</w:t>
      </w:r>
    </w:p>
    <w:p w14:paraId="64BCE5F4">
      <w:pPr>
        <w:spacing w:after="0" w:line="240" w:lineRule="auto"/>
      </w:pPr>
      <w:r>
        <w:rPr>
          <w:rFonts w:ascii="Courier New" w:hAnsi="Courier New" w:eastAsia="Courier New" w:cs="Courier New"/>
          <w:sz w:val="18"/>
          <w:szCs w:val="18"/>
        </w:rPr>
        <w:t xml:space="preserve">  1.0810 ──┤ SSL sweep low (100 % Fib / origin)</w:t>
      </w:r>
    </w:p>
    <w:p w14:paraId="7C3FFF8E">
      <w:pPr>
        <w:spacing w:after="0" w:line="240" w:lineRule="auto"/>
      </w:pPr>
      <w:r>
        <w:rPr>
          <w:rFonts w:ascii="Courier New" w:hAnsi="Courier New" w:eastAsia="Courier New" w:cs="Courier New"/>
          <w:sz w:val="18"/>
          <w:szCs w:val="18"/>
        </w:rPr>
        <w:t xml:space="preserve">           │</w:t>
      </w:r>
    </w:p>
    <w:p w14:paraId="4E93EC4D">
      <w:pPr>
        <w:spacing w:after="0" w:line="240" w:lineRule="auto"/>
      </w:pPr>
      <w:r>
        <w:rPr>
          <w:rFonts w:ascii="Courier New" w:hAnsi="Courier New" w:eastAsia="Courier New" w:cs="Courier New"/>
          <w:sz w:val="18"/>
          <w:szCs w:val="18"/>
        </w:rPr>
        <w:t xml:space="preserve">           ↓  (invalidation if broken)</w:t>
      </w:r>
    </w:p>
    <w:p w14:paraId="71EF0329">
      <w:pPr>
        <w:spacing w:after="200" w:line="276" w:lineRule="auto"/>
      </w:pPr>
      <w:r>
        <w:rPr>
          <w:rFonts w:ascii="Arial" w:hAnsi="Arial" w:eastAsia="Arial" w:cs="Arial"/>
          <w:sz w:val="22"/>
          <w:szCs w:val="22"/>
        </w:rPr>
        <w:t>Explanation: After the sell-side liquidity sweep and bullish displacement, price is expected to retrace into the shaded OTE band. Because that band lies below dealing-range equilibrium, the location is in discount. Confluence with an FVG or Order Block inside the band refines the entry. The logical invalidation sits beyond the origin of the measured leg.</w:t>
      </w:r>
    </w:p>
    <w:p w14:paraId="193200E4">
      <w:pPr>
        <w:pStyle w:val="2"/>
        <w:spacing w:before="360" w:after="240"/>
      </w:pPr>
      <w:r>
        <w:rPr>
          <w:rFonts w:ascii="Arial" w:hAnsi="Arial" w:eastAsia="Arial" w:cs="Arial"/>
          <w:b/>
          <w:bCs/>
          <w:sz w:val="32"/>
          <w:szCs w:val="32"/>
        </w:rPr>
        <w:t>How These Concepts Connect</w:t>
      </w:r>
    </w:p>
    <w:p w14:paraId="67FDFB65">
      <w:pPr>
        <w:spacing w:after="200" w:line="276" w:lineRule="auto"/>
      </w:pPr>
      <w:r>
        <w:rPr>
          <w:rFonts w:ascii="Arial" w:hAnsi="Arial" w:eastAsia="Arial" w:cs="Arial"/>
          <w:sz w:val="22"/>
          <w:szCs w:val="22"/>
        </w:rPr>
        <w:t>Correct Fibonacci application is never performed in isolation. The logical chain is:</w:t>
      </w:r>
    </w:p>
    <w:p w14:paraId="563FCF6F">
      <w:pPr>
        <w:spacing w:after="200" w:line="276" w:lineRule="auto"/>
      </w:pPr>
      <w:r>
        <w:rPr>
          <w:rFonts w:ascii="Arial" w:hAnsi="Arial" w:eastAsia="Arial" w:cs="Arial"/>
          <w:sz w:val="22"/>
          <w:szCs w:val="22"/>
        </w:rPr>
        <w:t>Higher-timeframe narrative and bias → Definition of the current dealing range and its equilibrium → Identification of relevant liquidity pools → Liquidity event (raid) → Displacement and Market Structure Shift → Measurement of the displacement leg with Fibonacci → Location of the OTE zone inside the correct premium/discount half → Search for PD-array confluence (FVG, Order Block, breaker) inside that zone → Lower-timeframe entry refinement → Management toward the next liquidity objective.</w:t>
      </w:r>
    </w:p>
    <w:p w14:paraId="6F905B78">
      <w:pPr>
        <w:spacing w:after="200" w:line="276" w:lineRule="auto"/>
      </w:pPr>
      <w:r>
        <w:rPr>
          <w:rFonts w:ascii="Arial" w:hAnsi="Arial" w:eastAsia="Arial" w:cs="Arial"/>
          <w:sz w:val="22"/>
          <w:szCs w:val="22"/>
        </w:rPr>
        <w:t>Each preceding element filters the next. Removing the liquidity and displacement context reduces OTE to a generic Fibonacci retracement of limited value inside the ICT framework.</w:t>
      </w:r>
    </w:p>
    <w:p w14:paraId="5B50A88F">
      <w:pPr>
        <w:pStyle w:val="2"/>
        <w:spacing w:before="360" w:after="240"/>
      </w:pPr>
      <w:r>
        <w:rPr>
          <w:rFonts w:ascii="Arial" w:hAnsi="Arial" w:eastAsia="Arial" w:cs="Arial"/>
          <w:b/>
          <w:bCs/>
          <w:sz w:val="32"/>
          <w:szCs w:val="32"/>
        </w:rPr>
        <w:t>What You Should Now Be Able to Do</w:t>
      </w:r>
    </w:p>
    <w:p w14:paraId="08F78B5E">
      <w:pPr>
        <w:pStyle w:val="16"/>
        <w:numPr>
          <w:ilvl w:val="0"/>
          <w:numId w:val="1"/>
        </w:numPr>
        <w:spacing w:after="120" w:line="276" w:lineRule="auto"/>
      </w:pPr>
      <w:r>
        <w:rPr>
          <w:rFonts w:ascii="Arial" w:hAnsi="Arial" w:eastAsia="Arial" w:cs="Arial"/>
          <w:sz w:val="22"/>
          <w:szCs w:val="22"/>
        </w:rPr>
        <w:t>Select the displacement leg that corresponds to a genuine structural expansion rather than an internal swing.</w:t>
      </w:r>
    </w:p>
    <w:p w14:paraId="00E13E27">
      <w:pPr>
        <w:pStyle w:val="16"/>
        <w:numPr>
          <w:ilvl w:val="0"/>
          <w:numId w:val="1"/>
        </w:numPr>
        <w:spacing w:after="120" w:line="276" w:lineRule="auto"/>
      </w:pPr>
      <w:r>
        <w:rPr>
          <w:rFonts w:ascii="Arial" w:hAnsi="Arial" w:eastAsia="Arial" w:cs="Arial"/>
          <w:sz w:val="22"/>
          <w:szCs w:val="22"/>
        </w:rPr>
        <w:t>Draw the ICT Fibonacci set (0, 0.5, 0.62, 0.705, 0.79, 1.0) and correctly interpret the OTE band.</w:t>
      </w:r>
    </w:p>
    <w:p w14:paraId="3E830960">
      <w:pPr>
        <w:pStyle w:val="16"/>
        <w:numPr>
          <w:ilvl w:val="0"/>
          <w:numId w:val="1"/>
        </w:numPr>
        <w:spacing w:after="120" w:line="276" w:lineRule="auto"/>
      </w:pPr>
      <w:r>
        <w:rPr>
          <w:rFonts w:ascii="Arial" w:hAnsi="Arial" w:eastAsia="Arial" w:cs="Arial"/>
          <w:sz w:val="22"/>
          <w:szCs w:val="22"/>
        </w:rPr>
        <w:t>Verify that the OTE sits inside discount for longs and premium for shorts relative to the dealing range.</w:t>
      </w:r>
    </w:p>
    <w:p w14:paraId="49D30E66">
      <w:pPr>
        <w:pStyle w:val="16"/>
        <w:numPr>
          <w:ilvl w:val="0"/>
          <w:numId w:val="1"/>
        </w:numPr>
        <w:spacing w:after="120" w:line="276" w:lineRule="auto"/>
      </w:pPr>
      <w:r>
        <w:rPr>
          <w:rFonts w:ascii="Arial" w:hAnsi="Arial" w:eastAsia="Arial" w:cs="Arial"/>
          <w:sz w:val="22"/>
          <w:szCs w:val="22"/>
        </w:rPr>
        <w:t>Combine OTE with a preceding liquidity sweep and with an FVG or Order Block.</w:t>
      </w:r>
    </w:p>
    <w:p w14:paraId="5DE2B83A">
      <w:pPr>
        <w:pStyle w:val="16"/>
        <w:numPr>
          <w:ilvl w:val="0"/>
          <w:numId w:val="1"/>
        </w:numPr>
        <w:spacing w:after="120" w:line="276" w:lineRule="auto"/>
      </w:pPr>
      <w:r>
        <w:rPr>
          <w:rFonts w:ascii="Arial" w:hAnsi="Arial" w:eastAsia="Arial" w:cs="Arial"/>
          <w:sz w:val="22"/>
          <w:szCs w:val="22"/>
        </w:rPr>
        <w:t>Recognise shallow, standard and deep retracements and adjust expectations accordingly.</w:t>
      </w:r>
    </w:p>
    <w:p w14:paraId="0C1588C5">
      <w:pPr>
        <w:pStyle w:val="16"/>
        <w:numPr>
          <w:ilvl w:val="0"/>
          <w:numId w:val="1"/>
        </w:numPr>
        <w:spacing w:after="120" w:line="276" w:lineRule="auto"/>
      </w:pPr>
      <w:r>
        <w:rPr>
          <w:rFonts w:ascii="Arial" w:hAnsi="Arial" w:eastAsia="Arial" w:cs="Arial"/>
          <w:sz w:val="22"/>
          <w:szCs w:val="22"/>
        </w:rPr>
        <w:t>State clear invalidation conditions when price violates the origin of the measured leg.</w:t>
      </w:r>
    </w:p>
    <w:p w14:paraId="73B4469E">
      <w:pPr>
        <w:pStyle w:val="16"/>
        <w:numPr>
          <w:ilvl w:val="0"/>
          <w:numId w:val="1"/>
        </w:numPr>
        <w:spacing w:after="120" w:line="276" w:lineRule="auto"/>
      </w:pPr>
      <w:r>
        <w:rPr>
          <w:rFonts w:ascii="Arial" w:hAnsi="Arial" w:eastAsia="Arial" w:cs="Arial"/>
          <w:sz w:val="22"/>
          <w:szCs w:val="22"/>
        </w:rPr>
        <w:t>Identify situations in which the OTE concept should not be applied.</w:t>
      </w:r>
    </w:p>
    <w:p w14:paraId="1C6580AF">
      <w:pPr>
        <w:pStyle w:val="2"/>
        <w:spacing w:before="360" w:after="240"/>
      </w:pPr>
      <w:r>
        <w:rPr>
          <w:rFonts w:ascii="Arial" w:hAnsi="Arial" w:eastAsia="Arial" w:cs="Arial"/>
          <w:b/>
          <w:bCs/>
          <w:sz w:val="32"/>
          <w:szCs w:val="32"/>
        </w:rPr>
        <w:t>Module Review</w:t>
      </w:r>
    </w:p>
    <w:p w14:paraId="4439E6FE">
      <w:pPr>
        <w:pStyle w:val="3"/>
        <w:spacing w:before="280" w:after="180"/>
      </w:pPr>
      <w:r>
        <w:rPr>
          <w:rFonts w:ascii="Arial" w:hAnsi="Arial" w:eastAsia="Arial" w:cs="Arial"/>
          <w:b/>
          <w:bCs/>
          <w:sz w:val="26"/>
          <w:szCs w:val="26"/>
        </w:rPr>
        <w:t>Key Terms</w:t>
      </w:r>
    </w:p>
    <w:p w14:paraId="579AAB0C">
      <w:pPr>
        <w:pStyle w:val="16"/>
        <w:numPr>
          <w:ilvl w:val="0"/>
          <w:numId w:val="1"/>
        </w:numPr>
        <w:spacing w:after="120" w:line="276" w:lineRule="auto"/>
      </w:pPr>
      <w:r>
        <w:rPr>
          <w:rFonts w:ascii="Arial" w:hAnsi="Arial" w:eastAsia="Arial" w:cs="Arial"/>
          <w:sz w:val="22"/>
          <w:szCs w:val="22"/>
        </w:rPr>
        <w:t>Optimal Trade Entry (OTE) — 62 %–79 % retracement zone of a measured displacement leg; 70.5 % central reference.</w:t>
      </w:r>
    </w:p>
    <w:p w14:paraId="51C6CD04">
      <w:pPr>
        <w:pStyle w:val="16"/>
        <w:numPr>
          <w:ilvl w:val="0"/>
          <w:numId w:val="1"/>
        </w:numPr>
        <w:spacing w:after="120" w:line="276" w:lineRule="auto"/>
      </w:pPr>
      <w:r>
        <w:rPr>
          <w:rFonts w:ascii="Arial" w:hAnsi="Arial" w:eastAsia="Arial" w:cs="Arial"/>
          <w:sz w:val="22"/>
          <w:szCs w:val="22"/>
        </w:rPr>
        <w:t>Fibonacci anchor — the origin and termination points chosen for measurement; must correspond to the institutional expansion leg.</w:t>
      </w:r>
    </w:p>
    <w:p w14:paraId="0BD7504A">
      <w:pPr>
        <w:pStyle w:val="16"/>
        <w:numPr>
          <w:ilvl w:val="0"/>
          <w:numId w:val="1"/>
        </w:numPr>
        <w:spacing w:after="120" w:line="276" w:lineRule="auto"/>
      </w:pPr>
      <w:r>
        <w:rPr>
          <w:rFonts w:ascii="Arial" w:hAnsi="Arial" w:eastAsia="Arial" w:cs="Arial"/>
          <w:sz w:val="22"/>
          <w:szCs w:val="22"/>
        </w:rPr>
        <w:t>Shallow retracement — return only to or above the 50 % level of the measured leg.</w:t>
      </w:r>
    </w:p>
    <w:p w14:paraId="50750556">
      <w:pPr>
        <w:pStyle w:val="16"/>
        <w:numPr>
          <w:ilvl w:val="0"/>
          <w:numId w:val="1"/>
        </w:numPr>
        <w:spacing w:after="120" w:line="276" w:lineRule="auto"/>
      </w:pPr>
      <w:r>
        <w:rPr>
          <w:rFonts w:ascii="Arial" w:hAnsi="Arial" w:eastAsia="Arial" w:cs="Arial"/>
          <w:sz w:val="22"/>
          <w:szCs w:val="22"/>
        </w:rPr>
        <w:t>Deep retracement — movement beyond the 79 % level, threatening the origin.</w:t>
      </w:r>
    </w:p>
    <w:p w14:paraId="474B6183">
      <w:pPr>
        <w:pStyle w:val="16"/>
        <w:numPr>
          <w:ilvl w:val="0"/>
          <w:numId w:val="1"/>
        </w:numPr>
        <w:spacing w:after="120" w:line="276" w:lineRule="auto"/>
      </w:pPr>
      <w:r>
        <w:rPr>
          <w:rFonts w:ascii="Arial" w:hAnsi="Arial" w:eastAsia="Arial" w:cs="Arial"/>
          <w:sz w:val="22"/>
          <w:szCs w:val="22"/>
        </w:rPr>
        <w:t>OTE failure — price enters the zone and then violates the origin extreme, invalidating the continuation premise.</w:t>
      </w:r>
    </w:p>
    <w:p w14:paraId="1AC64622">
      <w:pPr>
        <w:pStyle w:val="16"/>
        <w:numPr>
          <w:ilvl w:val="0"/>
          <w:numId w:val="1"/>
        </w:numPr>
        <w:spacing w:after="120" w:line="276" w:lineRule="auto"/>
      </w:pPr>
      <w:r>
        <w:rPr>
          <w:rFonts w:ascii="Arial" w:hAnsi="Arial" w:eastAsia="Arial" w:cs="Arial"/>
          <w:sz w:val="22"/>
          <w:szCs w:val="22"/>
        </w:rPr>
        <w:t>Confluence zone — overlap of OTE with one or more PD arrays and the correct premium/discount half.</w:t>
      </w:r>
    </w:p>
    <w:p w14:paraId="50A3F37F">
      <w:pPr>
        <w:pStyle w:val="3"/>
        <w:spacing w:before="280" w:after="180"/>
      </w:pPr>
      <w:r>
        <w:rPr>
          <w:rFonts w:ascii="Arial" w:hAnsi="Arial" w:eastAsia="Arial" w:cs="Arial"/>
          <w:b/>
          <w:bCs/>
          <w:sz w:val="26"/>
          <w:szCs w:val="26"/>
        </w:rPr>
        <w:t>Beginner Summary (Refresher)</w:t>
      </w:r>
    </w:p>
    <w:p w14:paraId="0C753635">
      <w:pPr>
        <w:spacing w:after="200" w:line="276" w:lineRule="auto"/>
      </w:pPr>
      <w:r>
        <w:rPr>
          <w:rFonts w:ascii="Arial" w:hAnsi="Arial" w:eastAsia="Arial" w:cs="Arial"/>
          <w:sz w:val="22"/>
          <w:szCs w:val="22"/>
        </w:rPr>
        <w:t>OTE is a Fibonacci-defined entry zone used after displacement. Intermediate practice adds the requirement that the zone must sit inside the correct half of the dealing range and should ideally follow a liquidity event and contain PD-array confluence.</w:t>
      </w:r>
    </w:p>
    <w:p w14:paraId="5365E03F">
      <w:pPr>
        <w:pStyle w:val="3"/>
        <w:spacing w:before="280" w:after="180"/>
      </w:pPr>
      <w:r>
        <w:rPr>
          <w:rFonts w:ascii="Arial" w:hAnsi="Arial" w:eastAsia="Arial" w:cs="Arial"/>
          <w:b/>
          <w:bCs/>
          <w:sz w:val="26"/>
          <w:szCs w:val="26"/>
        </w:rPr>
        <w:t>Concept Relationships</w:t>
      </w:r>
    </w:p>
    <w:p w14:paraId="12242171">
      <w:pPr>
        <w:spacing w:after="200" w:line="276" w:lineRule="auto"/>
      </w:pPr>
      <w:r>
        <w:rPr>
          <w:rFonts w:ascii="Arial" w:hAnsi="Arial" w:eastAsia="Arial" w:cs="Arial"/>
          <w:sz w:val="22"/>
          <w:szCs w:val="22"/>
        </w:rPr>
        <w:t>Dealing range and premium/discount (Module 6) supply the container and directional filter. Liquidity engineering (Module 2) supplies the catalyst. Displacement and MSS (Module 3) supply the leg to measure. FVGs and Order Blocks (Modules 4–5) supply the refinement inside the OTE. Later modules on multi-timeframe narrative, sessions and advanced bias will further constrain when the entire sequence is permitted.</w:t>
      </w:r>
    </w:p>
    <w:p w14:paraId="41A6F3FF">
      <w:pPr>
        <w:pStyle w:val="3"/>
        <w:spacing w:before="280" w:after="180"/>
      </w:pPr>
      <w:r>
        <w:rPr>
          <w:rFonts w:ascii="Arial" w:hAnsi="Arial" w:eastAsia="Arial" w:cs="Arial"/>
          <w:b/>
          <w:bCs/>
          <w:sz w:val="26"/>
          <w:szCs w:val="26"/>
        </w:rPr>
        <w:t>Practical Chart Exercise</w:t>
      </w:r>
    </w:p>
    <w:p w14:paraId="3111EE9D">
      <w:pPr>
        <w:spacing w:after="200" w:line="276" w:lineRule="auto"/>
      </w:pPr>
      <w:r>
        <w:rPr>
          <w:rFonts w:ascii="Arial" w:hAnsi="Arial" w:eastAsia="Arial" w:cs="Arial"/>
          <w:sz w:val="22"/>
          <w:szCs w:val="22"/>
        </w:rPr>
        <w:t>Select any liquid pair or index. On a 15-minute or 5-minute chart:</w:t>
      </w:r>
    </w:p>
    <w:p w14:paraId="59813A69">
      <w:pPr>
        <w:pStyle w:val="16"/>
        <w:numPr>
          <w:ilvl w:val="0"/>
          <w:numId w:val="6"/>
        </w:numPr>
        <w:spacing w:after="120" w:line="276" w:lineRule="auto"/>
      </w:pPr>
      <w:r>
        <w:rPr>
          <w:rFonts w:ascii="Arial" w:hAnsi="Arial" w:eastAsia="Arial" w:cs="Arial"/>
          <w:sz w:val="22"/>
          <w:szCs w:val="22"/>
        </w:rPr>
        <w:t>Mark the current dealing range and its equilibrium.</w:t>
      </w:r>
    </w:p>
    <w:p w14:paraId="42F4BCD6">
      <w:pPr>
        <w:pStyle w:val="16"/>
        <w:numPr>
          <w:ilvl w:val="0"/>
          <w:numId w:val="6"/>
        </w:numPr>
        <w:spacing w:after="120" w:line="276" w:lineRule="auto"/>
      </w:pPr>
      <w:r>
        <w:rPr>
          <w:rFonts w:ascii="Arial" w:hAnsi="Arial" w:eastAsia="Arial" w:cs="Arial"/>
          <w:sz w:val="22"/>
          <w:szCs w:val="22"/>
        </w:rPr>
        <w:t>Locate the most recent clear liquidity sweep and the subsequent displacement.</w:t>
      </w:r>
    </w:p>
    <w:p w14:paraId="05EAEBFC">
      <w:pPr>
        <w:pStyle w:val="16"/>
        <w:numPr>
          <w:ilvl w:val="0"/>
          <w:numId w:val="6"/>
        </w:numPr>
        <w:spacing w:after="120" w:line="276" w:lineRule="auto"/>
      </w:pPr>
      <w:r>
        <w:rPr>
          <w:rFonts w:ascii="Arial" w:hAnsi="Arial" w:eastAsia="Arial" w:cs="Arial"/>
          <w:sz w:val="22"/>
          <w:szCs w:val="22"/>
        </w:rPr>
        <w:t>Draw the ICT Fibonacci from the sweep extreme to the displacement extreme.</w:t>
      </w:r>
    </w:p>
    <w:p w14:paraId="40432E55">
      <w:pPr>
        <w:pStyle w:val="16"/>
        <w:numPr>
          <w:ilvl w:val="0"/>
          <w:numId w:val="6"/>
        </w:numPr>
        <w:spacing w:after="120" w:line="276" w:lineRule="auto"/>
      </w:pPr>
      <w:r>
        <w:rPr>
          <w:rFonts w:ascii="Arial" w:hAnsi="Arial" w:eastAsia="Arial" w:cs="Arial"/>
          <w:sz w:val="22"/>
          <w:szCs w:val="22"/>
        </w:rPr>
        <w:t>Highlight the 62 %–79 % band and note whether it lies in premium or discount.</w:t>
      </w:r>
    </w:p>
    <w:p w14:paraId="40BD28F8">
      <w:pPr>
        <w:pStyle w:val="16"/>
        <w:numPr>
          <w:ilvl w:val="0"/>
          <w:numId w:val="6"/>
        </w:numPr>
        <w:spacing w:after="120" w:line="276" w:lineRule="auto"/>
      </w:pPr>
      <w:r>
        <w:rPr>
          <w:rFonts w:ascii="Arial" w:hAnsi="Arial" w:eastAsia="Arial" w:cs="Arial"/>
          <w:sz w:val="22"/>
          <w:szCs w:val="22"/>
        </w:rPr>
        <w:t>Record any FVG or Order Block that overlaps the band.</w:t>
      </w:r>
    </w:p>
    <w:p w14:paraId="0638B022">
      <w:pPr>
        <w:pStyle w:val="16"/>
        <w:numPr>
          <w:ilvl w:val="0"/>
          <w:numId w:val="6"/>
        </w:numPr>
        <w:spacing w:after="120" w:line="276" w:lineRule="auto"/>
      </w:pPr>
      <w:r>
        <w:rPr>
          <w:rFonts w:ascii="Arial" w:hAnsi="Arial" w:eastAsia="Arial" w:cs="Arial"/>
          <w:sz w:val="22"/>
          <w:szCs w:val="22"/>
        </w:rPr>
        <w:t>Note what price actually did on the retracement and where it ultimately travelled.</w:t>
      </w:r>
    </w:p>
    <w:p w14:paraId="3514801C">
      <w:pPr>
        <w:pStyle w:val="16"/>
        <w:numPr>
          <w:ilvl w:val="0"/>
          <w:numId w:val="6"/>
        </w:numPr>
        <w:spacing w:after="120" w:line="276" w:lineRule="auto"/>
      </w:pPr>
      <w:r>
        <w:rPr>
          <w:rFonts w:ascii="Arial" w:hAnsi="Arial" w:eastAsia="Arial" w:cs="Arial"/>
          <w:sz w:val="22"/>
          <w:szCs w:val="22"/>
        </w:rPr>
        <w:t>Write a one-paragraph assessment of whether the OTE location was high-quality, medium-quality or should have been ignored, and why.</w:t>
      </w:r>
    </w:p>
    <w:p w14:paraId="525F12B0">
      <w:pPr>
        <w:pStyle w:val="3"/>
        <w:spacing w:before="280" w:after="180"/>
      </w:pPr>
      <w:r>
        <w:rPr>
          <w:rFonts w:ascii="Arial" w:hAnsi="Arial" w:eastAsia="Arial" w:cs="Arial"/>
          <w:b/>
          <w:bCs/>
          <w:sz w:val="26"/>
          <w:szCs w:val="26"/>
        </w:rPr>
        <w:t>Self-Test Questions</w:t>
      </w:r>
    </w:p>
    <w:p w14:paraId="31FEC1BA">
      <w:pPr>
        <w:pStyle w:val="16"/>
        <w:numPr>
          <w:ilvl w:val="0"/>
          <w:numId w:val="6"/>
        </w:numPr>
        <w:spacing w:after="120" w:line="276" w:lineRule="auto"/>
      </w:pPr>
      <w:r>
        <w:rPr>
          <w:rFonts w:ascii="Arial" w:hAnsi="Arial" w:eastAsia="Arial" w:cs="Arial"/>
          <w:sz w:val="22"/>
          <w:szCs w:val="22"/>
        </w:rPr>
        <w:t>Why is anchoring Fibonacci to an internal swing after the main displacement usually incorrect?</w:t>
      </w:r>
    </w:p>
    <w:p w14:paraId="1034C269">
      <w:pPr>
        <w:pStyle w:val="16"/>
        <w:numPr>
          <w:ilvl w:val="0"/>
          <w:numId w:val="6"/>
        </w:numPr>
        <w:spacing w:after="120" w:line="276" w:lineRule="auto"/>
      </w:pPr>
      <w:r>
        <w:rPr>
          <w:rFonts w:ascii="Arial" w:hAnsi="Arial" w:eastAsia="Arial" w:cs="Arial"/>
          <w:sz w:val="22"/>
          <w:szCs w:val="22"/>
        </w:rPr>
        <w:t>If a bullish OTE calculates above the dealing-range equilibrium, what does that imply about setup quality?</w:t>
      </w:r>
    </w:p>
    <w:p w14:paraId="4D5B9396">
      <w:pPr>
        <w:pStyle w:val="16"/>
        <w:numPr>
          <w:ilvl w:val="0"/>
          <w:numId w:val="6"/>
        </w:numPr>
        <w:spacing w:after="120" w:line="276" w:lineRule="auto"/>
      </w:pPr>
      <w:r>
        <w:rPr>
          <w:rFonts w:ascii="Arial" w:hAnsi="Arial" w:eastAsia="Arial" w:cs="Arial"/>
          <w:sz w:val="22"/>
          <w:szCs w:val="22"/>
        </w:rPr>
        <w:t>Describe the preferred sequence that should precede an OTE retracement.</w:t>
      </w:r>
    </w:p>
    <w:p w14:paraId="49AAD2D5">
      <w:pPr>
        <w:pStyle w:val="16"/>
        <w:numPr>
          <w:ilvl w:val="0"/>
          <w:numId w:val="6"/>
        </w:numPr>
        <w:spacing w:after="120" w:line="276" w:lineRule="auto"/>
      </w:pPr>
      <w:r>
        <w:rPr>
          <w:rFonts w:ascii="Arial" w:hAnsi="Arial" w:eastAsia="Arial" w:cs="Arial"/>
          <w:sz w:val="22"/>
          <w:szCs w:val="22"/>
        </w:rPr>
        <w:t>What constitutes an OTE failure and what should the trader do?</w:t>
      </w:r>
    </w:p>
    <w:p w14:paraId="38315CF5">
      <w:pPr>
        <w:pStyle w:val="16"/>
        <w:numPr>
          <w:ilvl w:val="0"/>
          <w:numId w:val="6"/>
        </w:numPr>
        <w:spacing w:after="120" w:line="276" w:lineRule="auto"/>
      </w:pPr>
      <w:r>
        <w:rPr>
          <w:rFonts w:ascii="Arial" w:hAnsi="Arial" w:eastAsia="Arial" w:cs="Arial"/>
          <w:sz w:val="22"/>
          <w:szCs w:val="22"/>
        </w:rPr>
        <w:t>When might a shallow (50 %) retracement still be considered, and what extra conditions are required?</w:t>
      </w:r>
    </w:p>
    <w:p w14:paraId="2D1FCE71">
      <w:pPr>
        <w:pStyle w:val="16"/>
        <w:numPr>
          <w:ilvl w:val="0"/>
          <w:numId w:val="6"/>
        </w:numPr>
        <w:spacing w:after="120" w:line="276" w:lineRule="auto"/>
      </w:pPr>
      <w:r>
        <w:rPr>
          <w:rFonts w:ascii="Arial" w:hAnsi="Arial" w:eastAsia="Arial" w:cs="Arial"/>
          <w:sz w:val="22"/>
          <w:szCs w:val="22"/>
        </w:rPr>
        <w:t>How does an FVG overlapping the 70.5 % level change the interpretation of the zone?</w:t>
      </w:r>
    </w:p>
    <w:p w14:paraId="2C73B29B">
      <w:pPr>
        <w:pStyle w:val="3"/>
        <w:spacing w:before="280" w:after="180"/>
      </w:pPr>
      <w:r>
        <w:rPr>
          <w:rFonts w:ascii="Arial" w:hAnsi="Arial" w:eastAsia="Arial" w:cs="Arial"/>
          <w:b/>
          <w:bCs/>
          <w:sz w:val="26"/>
          <w:szCs w:val="26"/>
        </w:rPr>
        <w:t>Common Misconceptions</w:t>
      </w:r>
    </w:p>
    <w:p w14:paraId="7C4450CF">
      <w:pPr>
        <w:pStyle w:val="16"/>
        <w:numPr>
          <w:ilvl w:val="0"/>
          <w:numId w:val="1"/>
        </w:numPr>
        <w:spacing w:after="120" w:line="276" w:lineRule="auto"/>
      </w:pPr>
      <w:r>
        <w:rPr>
          <w:rFonts w:ascii="Arial" w:hAnsi="Arial" w:eastAsia="Arial" w:cs="Arial"/>
          <w:sz w:val="22"/>
          <w:szCs w:val="22"/>
        </w:rPr>
        <w:t>“Every 62 %–79 % retracement is a high-probability ICT trade.” — False. Context (liquidity, displacement, dealing range, narrative) is required.</w:t>
      </w:r>
    </w:p>
    <w:p w14:paraId="0C3122BB">
      <w:pPr>
        <w:pStyle w:val="16"/>
        <w:numPr>
          <w:ilvl w:val="0"/>
          <w:numId w:val="1"/>
        </w:numPr>
        <w:spacing w:after="120" w:line="276" w:lineRule="auto"/>
      </w:pPr>
      <w:r>
        <w:rPr>
          <w:rFonts w:ascii="Arial" w:hAnsi="Arial" w:eastAsia="Arial" w:cs="Arial"/>
          <w:sz w:val="22"/>
          <w:szCs w:val="22"/>
        </w:rPr>
        <w:t>“The 70.5 % level is a magic price that always reverses.” — False. It is a central reference inside a zone that still requires confluence and narrative alignment.</w:t>
      </w:r>
    </w:p>
    <w:p w14:paraId="0A899FFC">
      <w:pPr>
        <w:pStyle w:val="16"/>
        <w:numPr>
          <w:ilvl w:val="0"/>
          <w:numId w:val="1"/>
        </w:numPr>
        <w:spacing w:after="120" w:line="276" w:lineRule="auto"/>
      </w:pPr>
      <w:r>
        <w:rPr>
          <w:rFonts w:ascii="Arial" w:hAnsi="Arial" w:eastAsia="Arial" w:cs="Arial"/>
          <w:sz w:val="22"/>
          <w:szCs w:val="22"/>
        </w:rPr>
        <w:t>“Fibonacci replaces the need for Market Structure Shift.” — False. Structure confirmation remains primary; Fibonacci times the entry after structure has shifted.</w:t>
      </w:r>
    </w:p>
    <w:p w14:paraId="08428C03">
      <w:pPr>
        <w:pStyle w:val="16"/>
        <w:numPr>
          <w:ilvl w:val="0"/>
          <w:numId w:val="1"/>
        </w:numPr>
        <w:spacing w:after="120" w:line="276" w:lineRule="auto"/>
      </w:pPr>
      <w:r>
        <w:rPr>
          <w:rFonts w:ascii="Arial" w:hAnsi="Arial" w:eastAsia="Arial" w:cs="Arial"/>
          <w:sz w:val="22"/>
          <w:szCs w:val="22"/>
        </w:rPr>
        <w:t>“Deeper is always better.” — Not necessarily. Beyond 79 % the continuation premise weakens; beyond 100 % it is usually invalidated.</w:t>
      </w:r>
    </w:p>
    <w:p w14:paraId="56703ED3">
      <w:pPr>
        <w:pStyle w:val="3"/>
        <w:spacing w:before="280" w:after="180"/>
      </w:pPr>
      <w:r>
        <w:rPr>
          <w:rFonts w:ascii="Arial" w:hAnsi="Arial" w:eastAsia="Arial" w:cs="Arial"/>
          <w:b/>
          <w:bCs/>
          <w:sz w:val="26"/>
          <w:szCs w:val="26"/>
        </w:rPr>
        <w:t>Research Sources</w:t>
      </w:r>
    </w:p>
    <w:p w14:paraId="72955486">
      <w:pPr>
        <w:spacing w:after="200" w:line="276" w:lineRule="auto"/>
      </w:pPr>
      <w:r>
        <w:rPr>
          <w:rFonts w:ascii="Arial" w:hAnsi="Arial" w:eastAsia="Arial" w:cs="Arial"/>
          <w:sz w:val="22"/>
          <w:szCs w:val="22"/>
        </w:rPr>
        <w:t>Primary direction is taken from ICT’s own video demonstrations (OTE Pattern Recognition Series, various mentorship core content, and public YouTube examples showing Fibonacci applied to displacement legs after liquidity events). Numerical levels (0.62 / 0.705 / 0.79) are consistently reproduced across ICT chart examples and have been codified by high-quality secondary references that directly reference those examples.</w:t>
      </w:r>
    </w:p>
    <w:p w14:paraId="0B99F18E">
      <w:pPr>
        <w:spacing w:after="200" w:line="276" w:lineRule="auto"/>
      </w:pPr>
      <w:r>
        <w:rPr>
          <w:rFonts w:ascii="Arial" w:hAnsi="Arial" w:eastAsia="Arial" w:cs="Arial"/>
          <w:sz w:val="22"/>
          <w:szCs w:val="22"/>
        </w:rPr>
        <w:t>Where community sources expand on exact TradingView settings or add minor numerical variations (0.618 vs 0.62, 0.786 vs 0.79), the differences are noted as community standardisation rather than contradictory ICT doctrine. The pedagogical emphasis remains on correct leg selection, premium/discount location, and confluence rather than on the third decimal place.</w:t>
      </w:r>
    </w:p>
    <w:p w14:paraId="2AA5976C">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Key public ICT references include the OTE Pattern Recognition Series (The Inner Circle Trader YouTube channel) and multiple mentorship lectures in which Fibonacci is applied after displacement. Secondary clarifications of the exact coefficient set appear in well-documented community educational material that cites those primary examples.</w:t>
      </w:r>
    </w:p>
    <w:p w14:paraId="52F39BD9">
      <w:pPr>
        <w:pStyle w:val="2"/>
        <w:spacing w:before="360" w:after="240"/>
      </w:pPr>
      <w:r>
        <w:rPr>
          <w:rFonts w:ascii="Arial" w:hAnsi="Arial" w:eastAsia="Arial" w:cs="Arial"/>
          <w:b/>
          <w:bCs/>
          <w:sz w:val="32"/>
          <w:szCs w:val="32"/>
        </w:rPr>
        <w:t>Transition to Module 8</w:t>
      </w:r>
    </w:p>
    <w:p w14:paraId="7C4C7379">
      <w:pPr>
        <w:spacing w:after="200" w:line="276" w:lineRule="auto"/>
      </w:pPr>
      <w:r>
        <w:rPr>
          <w:rFonts w:ascii="Arial" w:hAnsi="Arial" w:eastAsia="Arial" w:cs="Arial"/>
          <w:sz w:val="22"/>
          <w:szCs w:val="22"/>
        </w:rPr>
        <w:t>Module 7 has refined the entry-timing tool. Module 8 (Multi-Timeframe Narrative) will place that tool inside a coherent top-down story: higher-timeframe liquidity and PD arrays set the destination; intermediate timeframes refine the dealing range and bias; lower timeframes deliver the OTE-based execution. The student will learn to keep the Fibonacci measurement subordinate to the larger narrative rather than letting a pretty OTE override a conflicting higher-timeframe picture.</w:t>
      </w:r>
    </w:p>
    <w:p w14:paraId="4AC120AA">
      <w:pPr>
        <w:spacing w:after="200" w:line="276" w:lineRule="auto"/>
        <w:rPr>
          <w:rFonts w:ascii="Arial" w:hAnsi="Arial" w:eastAsia="Arial" w:cs="Arial"/>
          <w:sz w:val="22"/>
          <w:szCs w:val="22"/>
        </w:rPr>
      </w:pPr>
    </w:p>
    <w:p w14:paraId="4294C56F">
      <w:pPr>
        <w:spacing w:after="200" w:line="276" w:lineRule="auto"/>
        <w:rPr>
          <w:rFonts w:ascii="Arial" w:hAnsi="Arial" w:eastAsia="Arial" w:cs="Arial"/>
          <w:sz w:val="22"/>
          <w:szCs w:val="22"/>
        </w:rPr>
      </w:pPr>
    </w:p>
    <w:p w14:paraId="01295B63">
      <w:pPr>
        <w:spacing w:after="200" w:line="276" w:lineRule="auto"/>
        <w:rPr>
          <w:rFonts w:ascii="Arial" w:hAnsi="Arial" w:eastAsia="Arial" w:cs="Arial"/>
          <w:sz w:val="22"/>
          <w:szCs w:val="22"/>
        </w:rPr>
      </w:pPr>
    </w:p>
    <w:p w14:paraId="552E437A">
      <w:pPr>
        <w:spacing w:after="200" w:line="276" w:lineRule="auto"/>
        <w:rPr>
          <w:rFonts w:ascii="Arial" w:hAnsi="Arial" w:eastAsia="Arial" w:cs="Arial"/>
          <w:sz w:val="22"/>
          <w:szCs w:val="22"/>
        </w:rPr>
      </w:pPr>
    </w:p>
    <w:p w14:paraId="1E4A2BC1">
      <w:pPr>
        <w:spacing w:after="200" w:line="276" w:lineRule="auto"/>
        <w:rPr>
          <w:rFonts w:ascii="Arial" w:hAnsi="Arial" w:eastAsia="Arial" w:cs="Arial"/>
          <w:sz w:val="22"/>
          <w:szCs w:val="22"/>
        </w:rPr>
      </w:pPr>
    </w:p>
    <w:p w14:paraId="70845370">
      <w:pPr>
        <w:spacing w:after="200" w:line="276" w:lineRule="auto"/>
        <w:rPr>
          <w:rFonts w:ascii="Arial" w:hAnsi="Arial" w:eastAsia="Arial" w:cs="Arial"/>
          <w:sz w:val="22"/>
          <w:szCs w:val="22"/>
        </w:rPr>
      </w:pPr>
    </w:p>
    <w:p w14:paraId="5242DA91">
      <w:pPr>
        <w:spacing w:after="200" w:line="276" w:lineRule="auto"/>
        <w:rPr>
          <w:rFonts w:ascii="Arial" w:hAnsi="Arial" w:eastAsia="Arial" w:cs="Arial"/>
          <w:sz w:val="22"/>
          <w:szCs w:val="22"/>
        </w:rPr>
      </w:pPr>
    </w:p>
    <w:p w14:paraId="39284EB6">
      <w:pPr>
        <w:spacing w:after="200" w:line="276" w:lineRule="auto"/>
        <w:rPr>
          <w:rFonts w:ascii="Arial" w:hAnsi="Arial" w:eastAsia="Arial" w:cs="Arial"/>
          <w:sz w:val="22"/>
          <w:szCs w:val="22"/>
        </w:rPr>
      </w:pPr>
    </w:p>
    <w:p w14:paraId="7AFB3759">
      <w:pPr>
        <w:spacing w:after="200" w:line="276" w:lineRule="auto"/>
        <w:rPr>
          <w:rFonts w:ascii="Arial" w:hAnsi="Arial" w:eastAsia="Arial" w:cs="Arial"/>
          <w:sz w:val="22"/>
          <w:szCs w:val="22"/>
        </w:rPr>
      </w:pPr>
    </w:p>
    <w:p w14:paraId="31F1D4E4">
      <w:pPr>
        <w:spacing w:after="200" w:line="276" w:lineRule="auto"/>
        <w:rPr>
          <w:rFonts w:ascii="Arial" w:hAnsi="Arial" w:eastAsia="Arial" w:cs="Arial"/>
          <w:sz w:val="22"/>
          <w:szCs w:val="22"/>
        </w:rPr>
      </w:pPr>
    </w:p>
    <w:p w14:paraId="43BB7E1D">
      <w:pPr>
        <w:spacing w:after="200" w:line="276" w:lineRule="auto"/>
        <w:rPr>
          <w:rFonts w:ascii="Arial" w:hAnsi="Arial" w:eastAsia="Arial" w:cs="Arial"/>
          <w:sz w:val="22"/>
          <w:szCs w:val="22"/>
        </w:rPr>
      </w:pPr>
    </w:p>
    <w:p w14:paraId="4F765A3F">
      <w:pPr>
        <w:spacing w:after="200" w:line="276" w:lineRule="auto"/>
        <w:rPr>
          <w:rFonts w:ascii="Arial" w:hAnsi="Arial" w:eastAsia="Arial" w:cs="Arial"/>
          <w:sz w:val="22"/>
          <w:szCs w:val="22"/>
        </w:rPr>
      </w:pPr>
    </w:p>
    <w:p w14:paraId="56308BB2">
      <w:pPr>
        <w:spacing w:after="400"/>
        <w:jc w:val="center"/>
      </w:pPr>
      <w:r>
        <w:rPr>
          <w:rFonts w:ascii="Arial" w:hAnsi="Arial" w:eastAsia="Arial" w:cs="Arial"/>
          <w:b/>
          <w:bCs/>
          <w:sz w:val="36"/>
          <w:szCs w:val="36"/>
        </w:rPr>
        <w:t>MODULE 8</w:t>
      </w:r>
    </w:p>
    <w:p w14:paraId="78FCDF4F">
      <w:pPr>
        <w:spacing w:after="200"/>
        <w:jc w:val="center"/>
      </w:pPr>
      <w:r>
        <w:rPr>
          <w:rFonts w:ascii="Arial" w:hAnsi="Arial" w:eastAsia="Arial" w:cs="Arial"/>
          <w:b/>
          <w:bCs/>
          <w:sz w:val="28"/>
          <w:szCs w:val="28"/>
        </w:rPr>
        <w:t>Multi-Timeframe Narrative</w:t>
      </w:r>
    </w:p>
    <w:p w14:paraId="10512A41">
      <w:pPr>
        <w:spacing w:after="400"/>
        <w:jc w:val="center"/>
      </w:pPr>
      <w:r>
        <w:rPr>
          <w:rFonts w:ascii="Arial" w:hAnsi="Arial" w:eastAsia="Arial" w:cs="Arial"/>
          <w:i/>
          <w:iCs/>
          <w:sz w:val="20"/>
          <w:szCs w:val="20"/>
        </w:rPr>
        <w:t>Top-Down Analysis, HTF/LTF Roles, Alignment vs Conflict, Fractal Delivery, HTF Target → LTF Entry</w:t>
      </w:r>
    </w:p>
    <w:p w14:paraId="494801D7">
      <w:pPr>
        <w:pBdr>
          <w:left w:val="single" w:color="2E75B6" w:sz="24" w:space="8"/>
        </w:pBdr>
        <w:shd w:val="clear" w:fill="F5F5F5"/>
        <w:spacing w:before="120" w:after="200" w:line="276" w:lineRule="auto"/>
        <w:ind w:left="120"/>
      </w:pPr>
      <w:r>
        <w:rPr>
          <w:rFonts w:ascii="Arial" w:hAnsi="Arial" w:eastAsia="Arial" w:cs="Arial"/>
          <w:i/>
          <w:iCs/>
          <w:sz w:val="20"/>
          <w:szCs w:val="20"/>
        </w:rPr>
        <w:t>Prerequisite: Modules 1–7 assumed complete. The student can define dealing ranges, grade liquidity and PD arrays, recognise high-quality displacement and MSS, and apply OTE inside the correct premium/discount half.</w:t>
      </w:r>
    </w:p>
    <w:p w14:paraId="22574A8D">
      <w:pPr>
        <w:pStyle w:val="2"/>
        <w:spacing w:before="360" w:after="240"/>
      </w:pPr>
      <w:r>
        <w:rPr>
          <w:rFonts w:ascii="Arial" w:hAnsi="Arial" w:eastAsia="Arial" w:cs="Arial"/>
          <w:b/>
          <w:bCs/>
          <w:sz w:val="32"/>
          <w:szCs w:val="32"/>
        </w:rPr>
        <w:t>Module Objectives</w:t>
      </w:r>
    </w:p>
    <w:p w14:paraId="6FDBF184">
      <w:pPr>
        <w:spacing w:after="200" w:line="276" w:lineRule="auto"/>
      </w:pPr>
      <w:r>
        <w:rPr>
          <w:rFonts w:ascii="Arial" w:hAnsi="Arial" w:eastAsia="Arial" w:cs="Arial"/>
          <w:sz w:val="22"/>
          <w:szCs w:val="22"/>
        </w:rPr>
        <w:t>By the end of this module the intermediate student should be able to:</w:t>
      </w:r>
    </w:p>
    <w:p w14:paraId="4F740CD8">
      <w:pPr>
        <w:pStyle w:val="16"/>
        <w:numPr>
          <w:ilvl w:val="0"/>
          <w:numId w:val="1"/>
        </w:numPr>
        <w:spacing w:after="120" w:line="276" w:lineRule="auto"/>
      </w:pPr>
      <w:r>
        <w:rPr>
          <w:rFonts w:ascii="Arial" w:hAnsi="Arial" w:eastAsia="Arial" w:cs="Arial"/>
          <w:sz w:val="22"/>
          <w:szCs w:val="22"/>
        </w:rPr>
        <w:t>Construct a coherent higher-timeframe (HTF) narrative that includes bias, dealing range, liquidity objectives and key PD arrays.</w:t>
      </w:r>
    </w:p>
    <w:p w14:paraId="747DC408">
      <w:pPr>
        <w:pStyle w:val="16"/>
        <w:numPr>
          <w:ilvl w:val="0"/>
          <w:numId w:val="1"/>
        </w:numPr>
        <w:spacing w:after="120" w:line="276" w:lineRule="auto"/>
      </w:pPr>
      <w:r>
        <w:rPr>
          <w:rFonts w:ascii="Arial" w:hAnsi="Arial" w:eastAsia="Arial" w:cs="Arial"/>
          <w:sz w:val="22"/>
          <w:szCs w:val="22"/>
        </w:rPr>
        <w:t>Refine that narrative on an intermediate timeframe without contradicting the HTF story.</w:t>
      </w:r>
    </w:p>
    <w:p w14:paraId="2628D6D1">
      <w:pPr>
        <w:pStyle w:val="16"/>
        <w:numPr>
          <w:ilvl w:val="0"/>
          <w:numId w:val="1"/>
        </w:numPr>
        <w:spacing w:after="120" w:line="276" w:lineRule="auto"/>
      </w:pPr>
      <w:r>
        <w:rPr>
          <w:rFonts w:ascii="Arial" w:hAnsi="Arial" w:eastAsia="Arial" w:cs="Arial"/>
          <w:sz w:val="22"/>
          <w:szCs w:val="22"/>
        </w:rPr>
        <w:t>Use the lower timeframe (LTF) strictly for confirmation and precise entry timing.</w:t>
      </w:r>
    </w:p>
    <w:p w14:paraId="1C753AF3">
      <w:pPr>
        <w:pStyle w:val="16"/>
        <w:numPr>
          <w:ilvl w:val="0"/>
          <w:numId w:val="1"/>
        </w:numPr>
        <w:spacing w:after="120" w:line="276" w:lineRule="auto"/>
      </w:pPr>
      <w:r>
        <w:rPr>
          <w:rFonts w:ascii="Arial" w:hAnsi="Arial" w:eastAsia="Arial" w:cs="Arial"/>
          <w:sz w:val="22"/>
          <w:szCs w:val="22"/>
        </w:rPr>
        <w:t>Recognise timeframe alignment and timeframe conflict, and know which takes priority.</w:t>
      </w:r>
    </w:p>
    <w:p w14:paraId="1929F351">
      <w:pPr>
        <w:pStyle w:val="16"/>
        <w:numPr>
          <w:ilvl w:val="0"/>
          <w:numId w:val="1"/>
        </w:numPr>
        <w:spacing w:after="120" w:line="276" w:lineRule="auto"/>
      </w:pPr>
      <w:r>
        <w:rPr>
          <w:rFonts w:ascii="Arial" w:hAnsi="Arial" w:eastAsia="Arial" w:cs="Arial"/>
          <w:sz w:val="22"/>
          <w:szCs w:val="22"/>
        </w:rPr>
        <w:t>Map an HTF target to an LTF entry sequence (liquidity → displacement → MSS → PD array / OTE).</w:t>
      </w:r>
    </w:p>
    <w:p w14:paraId="33827DD3">
      <w:pPr>
        <w:pStyle w:val="16"/>
        <w:numPr>
          <w:ilvl w:val="0"/>
          <w:numId w:val="1"/>
        </w:numPr>
        <w:spacing w:after="120" w:line="276" w:lineRule="auto"/>
      </w:pPr>
      <w:r>
        <w:rPr>
          <w:rFonts w:ascii="Arial" w:hAnsi="Arial" w:eastAsia="Arial" w:cs="Arial"/>
          <w:sz w:val="22"/>
          <w:szCs w:val="22"/>
        </w:rPr>
        <w:t>Treat price delivery as fractal: the same principles operate on every timeframe, but roles differ.</w:t>
      </w:r>
    </w:p>
    <w:p w14:paraId="0C71D33E">
      <w:pPr>
        <w:pStyle w:val="16"/>
        <w:numPr>
          <w:ilvl w:val="0"/>
          <w:numId w:val="1"/>
        </w:numPr>
        <w:spacing w:after="120" w:line="276" w:lineRule="auto"/>
      </w:pPr>
      <w:r>
        <w:rPr>
          <w:rFonts w:ascii="Arial" w:hAnsi="Arial" w:eastAsia="Arial" w:cs="Arial"/>
          <w:sz w:val="22"/>
          <w:szCs w:val="22"/>
        </w:rPr>
        <w:t>Avoid the common error of letting an attractive LTF setup override a conflicting HTF narrative.</w:t>
      </w:r>
    </w:p>
    <w:p w14:paraId="7CA8C7C6">
      <w:pPr>
        <w:pStyle w:val="2"/>
        <w:spacing w:before="360" w:after="240"/>
      </w:pPr>
      <w:r>
        <w:rPr>
          <w:rFonts w:ascii="Arial" w:hAnsi="Arial" w:eastAsia="Arial" w:cs="Arial"/>
          <w:b/>
          <w:bCs/>
          <w:sz w:val="32"/>
          <w:szCs w:val="32"/>
        </w:rPr>
        <w:t>Introduction: One Story, Three Roles</w:t>
      </w:r>
    </w:p>
    <w:p w14:paraId="20662240">
      <w:pPr>
        <w:spacing w:after="200" w:line="276" w:lineRule="auto"/>
      </w:pPr>
      <w:r>
        <w:rPr>
          <w:rFonts w:ascii="Arial" w:hAnsi="Arial" w:eastAsia="Arial" w:cs="Arial"/>
          <w:sz w:val="22"/>
          <w:szCs w:val="22"/>
        </w:rPr>
        <w:t>Every ICT concept examined so far — structure, liquidity, displacement, MSS, FVG, Order Block, dealing range, premium/discount, OTE — is fractal. The same patterns appear on the weekly chart and on the one-minute chart. Intermediate skill consists in assigning the correct role to each timeframe so that the trader does not confuse a local story with the larger narrative.</w:t>
      </w:r>
    </w:p>
    <w:p w14:paraId="07981DEB">
      <w:pPr>
        <w:spacing w:after="200" w:line="276" w:lineRule="auto"/>
      </w:pPr>
      <w:r>
        <w:rPr>
          <w:rFonts w:ascii="Arial" w:hAnsi="Arial" w:eastAsia="Arial" w:cs="Arial"/>
          <w:sz w:val="22"/>
          <w:szCs w:val="22"/>
        </w:rPr>
        <w:t>A practical three-layer model is:</w:t>
      </w:r>
    </w:p>
    <w:p w14:paraId="203D8CB5">
      <w:pPr>
        <w:pStyle w:val="16"/>
        <w:numPr>
          <w:ilvl w:val="0"/>
          <w:numId w:val="1"/>
        </w:numPr>
        <w:spacing w:after="120" w:line="276" w:lineRule="auto"/>
      </w:pPr>
      <w:r>
        <w:rPr>
          <w:rFonts w:ascii="Arial" w:hAnsi="Arial" w:eastAsia="Arial" w:cs="Arial"/>
          <w:sz w:val="22"/>
          <w:szCs w:val="22"/>
        </w:rPr>
        <w:t>Higher timeframe (e.g., Daily / 4-hour) — sets the narrative: bias, primary dealing range, major liquidity draw, and the HTF PD arrays that matter.</w:t>
      </w:r>
    </w:p>
    <w:p w14:paraId="12D19D1F">
      <w:pPr>
        <w:pStyle w:val="16"/>
        <w:numPr>
          <w:ilvl w:val="0"/>
          <w:numId w:val="1"/>
        </w:numPr>
        <w:spacing w:after="120" w:line="276" w:lineRule="auto"/>
      </w:pPr>
      <w:r>
        <w:rPr>
          <w:rFonts w:ascii="Arial" w:hAnsi="Arial" w:eastAsia="Arial" w:cs="Arial"/>
          <w:sz w:val="22"/>
          <w:szCs w:val="22"/>
        </w:rPr>
        <w:t>Intermediate timeframe (e.g., 1-hour / 15-minute) — refines location: the active dealing range, internal structure, and the PD arrays that will host the entry.</w:t>
      </w:r>
    </w:p>
    <w:p w14:paraId="459776DF">
      <w:pPr>
        <w:pStyle w:val="16"/>
        <w:numPr>
          <w:ilvl w:val="0"/>
          <w:numId w:val="1"/>
        </w:numPr>
        <w:spacing w:after="120" w:line="276" w:lineRule="auto"/>
      </w:pPr>
      <w:r>
        <w:rPr>
          <w:rFonts w:ascii="Arial" w:hAnsi="Arial" w:eastAsia="Arial" w:cs="Arial"/>
          <w:sz w:val="22"/>
          <w:szCs w:val="22"/>
        </w:rPr>
        <w:t>Lower timeframe (e.g., 5-minute / 1-minute) — times the entry: liquidity sweep, displacement, MSS, and the precise FVG / OTE / Order Block trigger.</w:t>
      </w:r>
    </w:p>
    <w:p w14:paraId="39F99E63">
      <w:pPr>
        <w:spacing w:after="200" w:line="276" w:lineRule="auto"/>
      </w:pPr>
      <w:r>
        <w:rPr>
          <w:rFonts w:ascii="Arial" w:hAnsi="Arial" w:eastAsia="Arial" w:cs="Arial"/>
          <w:sz w:val="22"/>
          <w:szCs w:val="22"/>
        </w:rPr>
        <w:t>The HTF tells you where and which direction. The LTF tells you when. Reversing those roles is one of the most expensive intermediate mistakes.</w:t>
      </w:r>
    </w:p>
    <w:p w14:paraId="3C681E7A">
      <w:pPr>
        <w:pStyle w:val="2"/>
        <w:spacing w:before="360" w:after="240"/>
      </w:pPr>
      <w:r>
        <w:rPr>
          <w:rFonts w:ascii="Arial" w:hAnsi="Arial" w:eastAsia="Arial" w:cs="Arial"/>
          <w:b/>
          <w:bCs/>
          <w:sz w:val="32"/>
          <w:szCs w:val="32"/>
        </w:rPr>
        <w:t>1. Higher-Timeframe Narrative</w:t>
      </w:r>
    </w:p>
    <w:p w14:paraId="37B5EE5A">
      <w:pPr>
        <w:pStyle w:val="3"/>
        <w:spacing w:before="280" w:after="180"/>
      </w:pPr>
      <w:r>
        <w:rPr>
          <w:rFonts w:ascii="Arial" w:hAnsi="Arial" w:eastAsia="Arial" w:cs="Arial"/>
          <w:b/>
          <w:bCs/>
          <w:sz w:val="26"/>
          <w:szCs w:val="26"/>
        </w:rPr>
        <w:t>1.1 Components</w:t>
      </w:r>
    </w:p>
    <w:p w14:paraId="0B937AF1">
      <w:pPr>
        <w:spacing w:after="200" w:line="276" w:lineRule="auto"/>
      </w:pPr>
      <w:r>
        <w:rPr>
          <w:rFonts w:ascii="Arial" w:hAnsi="Arial" w:eastAsia="Arial" w:cs="Arial"/>
          <w:sz w:val="22"/>
          <w:szCs w:val="22"/>
        </w:rPr>
        <w:t>A complete HTF narrative answers:</w:t>
      </w:r>
    </w:p>
    <w:p w14:paraId="5D042B39">
      <w:pPr>
        <w:pStyle w:val="16"/>
        <w:numPr>
          <w:ilvl w:val="0"/>
          <w:numId w:val="1"/>
        </w:numPr>
        <w:spacing w:after="120" w:line="276" w:lineRule="auto"/>
      </w:pPr>
      <w:r>
        <w:rPr>
          <w:rFonts w:ascii="Arial" w:hAnsi="Arial" w:eastAsia="Arial" w:cs="Arial"/>
          <w:sz w:val="22"/>
          <w:szCs w:val="22"/>
        </w:rPr>
        <w:t>What is the prevailing structural sequence (bullish, bearish, or transitional)?</w:t>
      </w:r>
    </w:p>
    <w:p w14:paraId="5A713AD6">
      <w:pPr>
        <w:pStyle w:val="16"/>
        <w:numPr>
          <w:ilvl w:val="0"/>
          <w:numId w:val="1"/>
        </w:numPr>
        <w:spacing w:after="120" w:line="276" w:lineRule="auto"/>
      </w:pPr>
      <w:r>
        <w:rPr>
          <w:rFonts w:ascii="Arial" w:hAnsi="Arial" w:eastAsia="Arial" w:cs="Arial"/>
          <w:sz w:val="22"/>
          <w:szCs w:val="22"/>
        </w:rPr>
        <w:t>What is the active HTF dealing range and where is equilibrium?</w:t>
      </w:r>
    </w:p>
    <w:p w14:paraId="05496D1B">
      <w:pPr>
        <w:pStyle w:val="16"/>
        <w:numPr>
          <w:ilvl w:val="0"/>
          <w:numId w:val="1"/>
        </w:numPr>
        <w:spacing w:after="120" w:line="276" w:lineRule="auto"/>
      </w:pPr>
      <w:r>
        <w:rPr>
          <w:rFonts w:ascii="Arial" w:hAnsi="Arial" w:eastAsia="Arial" w:cs="Arial"/>
          <w:sz w:val="22"/>
          <w:szCs w:val="22"/>
        </w:rPr>
        <w:t>Where is the primary Draw on Liquidity (which side, internal or external)?</w:t>
      </w:r>
    </w:p>
    <w:p w14:paraId="6BCF624B">
      <w:pPr>
        <w:pStyle w:val="16"/>
        <w:numPr>
          <w:ilvl w:val="0"/>
          <w:numId w:val="1"/>
        </w:numPr>
        <w:spacing w:after="120" w:line="276" w:lineRule="auto"/>
      </w:pPr>
      <w:r>
        <w:rPr>
          <w:rFonts w:ascii="Arial" w:hAnsi="Arial" w:eastAsia="Arial" w:cs="Arial"/>
          <w:sz w:val="22"/>
          <w:szCs w:val="22"/>
        </w:rPr>
        <w:t>Which HTF PD arrays (Order Blocks, FVGs, Breakers) are unmitigated and correctly located?</w:t>
      </w:r>
    </w:p>
    <w:p w14:paraId="52C09847">
      <w:pPr>
        <w:pStyle w:val="16"/>
        <w:numPr>
          <w:ilvl w:val="0"/>
          <w:numId w:val="1"/>
        </w:numPr>
        <w:spacing w:after="120" w:line="276" w:lineRule="auto"/>
      </w:pPr>
      <w:r>
        <w:rPr>
          <w:rFonts w:ascii="Arial" w:hAnsi="Arial" w:eastAsia="Arial" w:cs="Arial"/>
          <w:sz w:val="22"/>
          <w:szCs w:val="22"/>
        </w:rPr>
        <w:t>Is the market in expansion or contraction on the HTF?</w:t>
      </w:r>
    </w:p>
    <w:p w14:paraId="6A61F863">
      <w:pPr>
        <w:pStyle w:val="3"/>
        <w:spacing w:before="280" w:after="180"/>
      </w:pPr>
      <w:r>
        <w:rPr>
          <w:rFonts w:ascii="Arial" w:hAnsi="Arial" w:eastAsia="Arial" w:cs="Arial"/>
          <w:b/>
          <w:bCs/>
          <w:sz w:val="26"/>
          <w:szCs w:val="26"/>
        </w:rPr>
        <w:t>1.2 Output</w:t>
      </w:r>
    </w:p>
    <w:p w14:paraId="3D8A0EA5">
      <w:pPr>
        <w:spacing w:after="200" w:line="276" w:lineRule="auto"/>
      </w:pPr>
      <w:r>
        <w:rPr>
          <w:rFonts w:ascii="Arial" w:hAnsi="Arial" w:eastAsia="Arial" w:cs="Arial"/>
          <w:sz w:val="22"/>
          <w:szCs w:val="22"/>
        </w:rPr>
        <w:t>The output is a directional expectation (bullish / bearish / neutral) and a short list of HTF targets and invalidation levels. Everything that follows on lower timeframes is subordinate to this story.</w:t>
      </w:r>
    </w:p>
    <w:p w14:paraId="2FF39DA5">
      <w:pPr>
        <w:pStyle w:val="2"/>
        <w:spacing w:before="360" w:after="240"/>
      </w:pPr>
      <w:r>
        <w:rPr>
          <w:rFonts w:ascii="Arial" w:hAnsi="Arial" w:eastAsia="Arial" w:cs="Arial"/>
          <w:b/>
          <w:bCs/>
          <w:sz w:val="32"/>
          <w:szCs w:val="32"/>
        </w:rPr>
        <w:t>2. Intermediate-Timeframe Narrative</w:t>
      </w:r>
    </w:p>
    <w:p w14:paraId="427F9999">
      <w:pPr>
        <w:pStyle w:val="3"/>
        <w:spacing w:before="280" w:after="180"/>
      </w:pPr>
      <w:r>
        <w:rPr>
          <w:rFonts w:ascii="Arial" w:hAnsi="Arial" w:eastAsia="Arial" w:cs="Arial"/>
          <w:b/>
          <w:bCs/>
          <w:sz w:val="26"/>
          <w:szCs w:val="26"/>
        </w:rPr>
        <w:t>2.1 Role</w:t>
      </w:r>
    </w:p>
    <w:p w14:paraId="3B9BE668">
      <w:pPr>
        <w:spacing w:after="200" w:line="276" w:lineRule="auto"/>
      </w:pPr>
      <w:r>
        <w:rPr>
          <w:rFonts w:ascii="Arial" w:hAnsi="Arial" w:eastAsia="Arial" w:cs="Arial"/>
          <w:sz w:val="22"/>
          <w:szCs w:val="22"/>
        </w:rPr>
        <w:t>The intermediate timeframe translates the HTF story into a working container. It defines the dealing range that will actually be traded, locates the relevant internal liquidity and PD arrays, and identifies the session or expansion phase in which the move is most likely to develop.</w:t>
      </w:r>
    </w:p>
    <w:p w14:paraId="306DF886">
      <w:pPr>
        <w:pStyle w:val="3"/>
        <w:spacing w:before="280" w:after="180"/>
      </w:pPr>
      <w:r>
        <w:rPr>
          <w:rFonts w:ascii="Arial" w:hAnsi="Arial" w:eastAsia="Arial" w:cs="Arial"/>
          <w:b/>
          <w:bCs/>
          <w:sz w:val="26"/>
          <w:szCs w:val="26"/>
        </w:rPr>
        <w:t>2.2 Discipline</w:t>
      </w:r>
    </w:p>
    <w:p w14:paraId="42C9A623">
      <w:pPr>
        <w:spacing w:after="200" w:line="276" w:lineRule="auto"/>
      </w:pPr>
      <w:r>
        <w:rPr>
          <w:rFonts w:ascii="Arial" w:hAnsi="Arial" w:eastAsia="Arial" w:cs="Arial"/>
          <w:sz w:val="22"/>
          <w:szCs w:val="22"/>
        </w:rPr>
        <w:t>The intermediate timeframe may refine or delay the HTF idea; it should not invert it without clear external structural failure on the HTF itself.</w:t>
      </w:r>
    </w:p>
    <w:p w14:paraId="46E37E3E">
      <w:pPr>
        <w:pStyle w:val="2"/>
        <w:spacing w:before="360" w:after="240"/>
      </w:pPr>
      <w:r>
        <w:rPr>
          <w:rFonts w:ascii="Arial" w:hAnsi="Arial" w:eastAsia="Arial" w:cs="Arial"/>
          <w:b/>
          <w:bCs/>
          <w:sz w:val="32"/>
          <w:szCs w:val="32"/>
        </w:rPr>
        <w:t>3. Lower-Timeframe Narrative</w:t>
      </w:r>
    </w:p>
    <w:p w14:paraId="228CE622">
      <w:pPr>
        <w:pStyle w:val="3"/>
        <w:spacing w:before="280" w:after="180"/>
      </w:pPr>
      <w:r>
        <w:rPr>
          <w:rFonts w:ascii="Arial" w:hAnsi="Arial" w:eastAsia="Arial" w:cs="Arial"/>
          <w:b/>
          <w:bCs/>
          <w:sz w:val="26"/>
          <w:szCs w:val="26"/>
        </w:rPr>
        <w:t>3.1 Role</w:t>
      </w:r>
    </w:p>
    <w:p w14:paraId="3F8C4987">
      <w:pPr>
        <w:spacing w:after="200" w:line="276" w:lineRule="auto"/>
      </w:pPr>
      <w:r>
        <w:rPr>
          <w:rFonts w:ascii="Arial" w:hAnsi="Arial" w:eastAsia="Arial" w:cs="Arial"/>
          <w:sz w:val="22"/>
          <w:szCs w:val="22"/>
        </w:rPr>
        <w:t>The lower timeframe exists for confirmation and timing. Once price reaches an HTF or intermediate PD array, the LTF is used to observe:</w:t>
      </w:r>
    </w:p>
    <w:p w14:paraId="4C1BC1F2">
      <w:pPr>
        <w:pStyle w:val="16"/>
        <w:numPr>
          <w:ilvl w:val="0"/>
          <w:numId w:val="1"/>
        </w:numPr>
        <w:spacing w:after="120" w:line="276" w:lineRule="auto"/>
      </w:pPr>
      <w:r>
        <w:rPr>
          <w:rFonts w:ascii="Arial" w:hAnsi="Arial" w:eastAsia="Arial" w:cs="Arial"/>
          <w:sz w:val="22"/>
          <w:szCs w:val="22"/>
        </w:rPr>
        <w:t>A liquidity event (sweep of local BSL or SSL),</w:t>
      </w:r>
    </w:p>
    <w:p w14:paraId="19367267">
      <w:pPr>
        <w:pStyle w:val="16"/>
        <w:numPr>
          <w:ilvl w:val="0"/>
          <w:numId w:val="1"/>
        </w:numPr>
        <w:spacing w:after="120" w:line="276" w:lineRule="auto"/>
      </w:pPr>
      <w:r>
        <w:rPr>
          <w:rFonts w:ascii="Arial" w:hAnsi="Arial" w:eastAsia="Arial" w:cs="Arial"/>
          <w:sz w:val="22"/>
          <w:szCs w:val="22"/>
        </w:rPr>
        <w:t>Displacement away from that liquidity,</w:t>
      </w:r>
    </w:p>
    <w:p w14:paraId="4D90309B">
      <w:pPr>
        <w:pStyle w:val="16"/>
        <w:numPr>
          <w:ilvl w:val="0"/>
          <w:numId w:val="1"/>
        </w:numPr>
        <w:spacing w:after="120" w:line="276" w:lineRule="auto"/>
      </w:pPr>
      <w:r>
        <w:rPr>
          <w:rFonts w:ascii="Arial" w:hAnsi="Arial" w:eastAsia="Arial" w:cs="Arial"/>
          <w:sz w:val="22"/>
          <w:szCs w:val="22"/>
        </w:rPr>
        <w:t>A Market Structure Shift,</w:t>
      </w:r>
    </w:p>
    <w:p w14:paraId="3F87E454">
      <w:pPr>
        <w:pStyle w:val="16"/>
        <w:numPr>
          <w:ilvl w:val="0"/>
          <w:numId w:val="1"/>
        </w:numPr>
        <w:spacing w:after="120" w:line="276" w:lineRule="auto"/>
      </w:pPr>
      <w:r>
        <w:rPr>
          <w:rFonts w:ascii="Arial" w:hAnsi="Arial" w:eastAsia="Arial" w:cs="Arial"/>
          <w:sz w:val="22"/>
          <w:szCs w:val="22"/>
        </w:rPr>
        <w:t>The creation of an LTF Fair Value Gap or the refinement of an OTE / Order Block entry.</w:t>
      </w:r>
    </w:p>
    <w:p w14:paraId="6AEE5416">
      <w:pPr>
        <w:pStyle w:val="3"/>
        <w:spacing w:before="280" w:after="180"/>
      </w:pPr>
      <w:r>
        <w:rPr>
          <w:rFonts w:ascii="Arial" w:hAnsi="Arial" w:eastAsia="Arial" w:cs="Arial"/>
          <w:b/>
          <w:bCs/>
          <w:sz w:val="26"/>
          <w:szCs w:val="26"/>
        </w:rPr>
        <w:t>3.2 Strict Limitation</w:t>
      </w:r>
    </w:p>
    <w:p w14:paraId="2E8A297D">
      <w:pPr>
        <w:spacing w:after="200" w:line="276" w:lineRule="auto"/>
      </w:pPr>
      <w:r>
        <w:rPr>
          <w:rFonts w:ascii="Arial" w:hAnsi="Arial" w:eastAsia="Arial" w:cs="Arial"/>
          <w:sz w:val="22"/>
          <w:szCs w:val="22"/>
        </w:rPr>
        <w:t>The LTF does not generate independent bias. An attractive LTF long inside a clear HTF bearish narrative is a low-quality idea unless the HTF narrative has itself been invalidated.</w:t>
      </w:r>
    </w:p>
    <w:p w14:paraId="45398F4B">
      <w:pPr>
        <w:pStyle w:val="2"/>
        <w:spacing w:before="360" w:after="240"/>
      </w:pPr>
      <w:r>
        <w:rPr>
          <w:rFonts w:ascii="Arial" w:hAnsi="Arial" w:eastAsia="Arial" w:cs="Arial"/>
          <w:b/>
          <w:bCs/>
          <w:sz w:val="32"/>
          <w:szCs w:val="32"/>
        </w:rPr>
        <w:t>4. Top-Down Analysis Process</w:t>
      </w:r>
    </w:p>
    <w:p w14:paraId="577A47F5">
      <w:pPr>
        <w:pStyle w:val="3"/>
        <w:spacing w:before="280" w:after="180"/>
      </w:pPr>
      <w:r>
        <w:rPr>
          <w:rFonts w:ascii="Arial" w:hAnsi="Arial" w:eastAsia="Arial" w:cs="Arial"/>
          <w:b/>
          <w:bCs/>
          <w:sz w:val="26"/>
          <w:szCs w:val="26"/>
        </w:rPr>
        <w:t>4.1 Recommended Sequence</w:t>
      </w:r>
    </w:p>
    <w:p w14:paraId="51BDE415">
      <w:pPr>
        <w:pStyle w:val="16"/>
        <w:numPr>
          <w:ilvl w:val="0"/>
          <w:numId w:val="2"/>
        </w:numPr>
        <w:spacing w:after="120" w:line="276" w:lineRule="auto"/>
      </w:pPr>
      <w:r>
        <w:rPr>
          <w:rFonts w:ascii="Arial" w:hAnsi="Arial" w:eastAsia="Arial" w:cs="Arial"/>
          <w:sz w:val="22"/>
          <w:szCs w:val="22"/>
        </w:rPr>
        <w:t>HTF: Mark dealing range, equilibrium, structural sequence, major liquidity pools, and unmitigated PD arrays. State bias in one sentence.</w:t>
      </w:r>
    </w:p>
    <w:p w14:paraId="155CCC41">
      <w:pPr>
        <w:pStyle w:val="16"/>
        <w:numPr>
          <w:ilvl w:val="0"/>
          <w:numId w:val="2"/>
        </w:numPr>
        <w:spacing w:after="120" w:line="276" w:lineRule="auto"/>
      </w:pPr>
      <w:r>
        <w:rPr>
          <w:rFonts w:ascii="Arial" w:hAnsi="Arial" w:eastAsia="Arial" w:cs="Arial"/>
          <w:sz w:val="22"/>
          <w:szCs w:val="22"/>
        </w:rPr>
        <w:t>Intermediate: Mark the active dealing range that nests inside the HTF range. Identify internal liquidity and the PD arrays most likely to be used for entry.</w:t>
      </w:r>
    </w:p>
    <w:p w14:paraId="0B798CC2">
      <w:pPr>
        <w:pStyle w:val="16"/>
        <w:numPr>
          <w:ilvl w:val="0"/>
          <w:numId w:val="2"/>
        </w:numPr>
        <w:spacing w:after="120" w:line="276" w:lineRule="auto"/>
      </w:pPr>
      <w:r>
        <w:rPr>
          <w:rFonts w:ascii="Arial" w:hAnsi="Arial" w:eastAsia="Arial" w:cs="Arial"/>
          <w:sz w:val="22"/>
          <w:szCs w:val="22"/>
        </w:rPr>
        <w:t>LTF: Wait for price to reach the intermediate / HTF zone of interest. Then require the confirmation sequence (liquidity → displacement → MSS → PD-array / OTE entry).</w:t>
      </w:r>
    </w:p>
    <w:p w14:paraId="643DF24A">
      <w:pPr>
        <w:pStyle w:val="16"/>
        <w:numPr>
          <w:ilvl w:val="0"/>
          <w:numId w:val="2"/>
        </w:numPr>
        <w:spacing w:after="120" w:line="276" w:lineRule="auto"/>
      </w:pPr>
      <w:r>
        <w:rPr>
          <w:rFonts w:ascii="Arial" w:hAnsi="Arial" w:eastAsia="Arial" w:cs="Arial"/>
          <w:sz w:val="22"/>
          <w:szCs w:val="22"/>
        </w:rPr>
        <w:t>Management: Targets and invalidation remain anchored to the HTF and intermediate maps; the LTF only times the entry and may supply tight stop placement.</w:t>
      </w:r>
    </w:p>
    <w:p w14:paraId="0E4F6BCE">
      <w:pPr>
        <w:pStyle w:val="3"/>
        <w:spacing w:before="280" w:after="180"/>
      </w:pPr>
      <w:r>
        <w:rPr>
          <w:rFonts w:ascii="Arial" w:hAnsi="Arial" w:eastAsia="Arial" w:cs="Arial"/>
          <w:b/>
          <w:bCs/>
          <w:sz w:val="26"/>
          <w:szCs w:val="26"/>
        </w:rPr>
        <w:t>4.2 Fractal Price Delivery</w:t>
      </w:r>
    </w:p>
    <w:p w14:paraId="43DB3DC2">
      <w:pPr>
        <w:spacing w:after="200" w:line="276" w:lineRule="auto"/>
      </w:pPr>
      <w:r>
        <w:rPr>
          <w:rFonts w:ascii="Arial" w:hAnsi="Arial" w:eastAsia="Arial" w:cs="Arial"/>
          <w:sz w:val="22"/>
          <w:szCs w:val="22"/>
        </w:rPr>
        <w:t>Because delivery is fractal, a complete HTF cycle (raid external liquidity → return to internal PD array → expansion to opposite external liquidity) will contain many smaller cycles of the same type on intermediate and lower timeframes. The intermediate student learns to see the smaller cycles as the mechanism by which the larger cycle is delivered, not as independent stories.</w:t>
      </w:r>
    </w:p>
    <w:p w14:paraId="37575640">
      <w:pPr>
        <w:pStyle w:val="2"/>
        <w:spacing w:before="360" w:after="240"/>
      </w:pPr>
      <w:r>
        <w:rPr>
          <w:rFonts w:ascii="Arial" w:hAnsi="Arial" w:eastAsia="Arial" w:cs="Arial"/>
          <w:b/>
          <w:bCs/>
          <w:sz w:val="32"/>
          <w:szCs w:val="32"/>
        </w:rPr>
        <w:t>5. Timeframe Alignment</w:t>
      </w:r>
    </w:p>
    <w:p w14:paraId="21471F22">
      <w:pPr>
        <w:pStyle w:val="3"/>
        <w:spacing w:before="280" w:after="180"/>
      </w:pPr>
      <w:r>
        <w:rPr>
          <w:rFonts w:ascii="Arial" w:hAnsi="Arial" w:eastAsia="Arial" w:cs="Arial"/>
          <w:b/>
          <w:bCs/>
          <w:sz w:val="26"/>
          <w:szCs w:val="26"/>
        </w:rPr>
        <w:t>5.1 Definition</w:t>
      </w:r>
    </w:p>
    <w:p w14:paraId="7F2A6160">
      <w:pPr>
        <w:spacing w:after="200" w:line="276" w:lineRule="auto"/>
      </w:pPr>
      <w:r>
        <w:rPr>
          <w:rFonts w:ascii="Arial" w:hAnsi="Arial" w:eastAsia="Arial" w:cs="Arial"/>
          <w:sz w:val="22"/>
          <w:szCs w:val="22"/>
        </w:rPr>
        <w:t>Alignment exists when the directional expectation, the premium/discount location, and the active Draw on Liquidity are consistent across the HTF and intermediate timeframes, and the LTF is used only to time entry in that shared direction.</w:t>
      </w:r>
    </w:p>
    <w:p w14:paraId="4C6EEFB0">
      <w:pPr>
        <w:pStyle w:val="3"/>
        <w:spacing w:before="280" w:after="180"/>
      </w:pPr>
      <w:r>
        <w:rPr>
          <w:rFonts w:ascii="Arial" w:hAnsi="Arial" w:eastAsia="Arial" w:cs="Arial"/>
          <w:b/>
          <w:bCs/>
          <w:sz w:val="26"/>
          <w:szCs w:val="26"/>
        </w:rPr>
        <w:t>5.2 Practical Benefit</w:t>
      </w:r>
    </w:p>
    <w:p w14:paraId="311B15AB">
      <w:pPr>
        <w:spacing w:after="200" w:line="276" w:lineRule="auto"/>
      </w:pPr>
      <w:r>
        <w:rPr>
          <w:rFonts w:ascii="Arial" w:hAnsi="Arial" w:eastAsia="Arial" w:cs="Arial"/>
          <w:sz w:val="22"/>
          <w:szCs w:val="22"/>
        </w:rPr>
        <w:t>Aligned setups reduce the frequency of fighting the larger order flow. They do not guarantee profitability, but they raise the quality of the average trade by ensuring the trader is not positioned against the HTF narrative.</w:t>
      </w:r>
    </w:p>
    <w:p w14:paraId="634F4DC5">
      <w:pPr>
        <w:pStyle w:val="2"/>
        <w:spacing w:before="360" w:after="240"/>
      </w:pPr>
      <w:r>
        <w:rPr>
          <w:rFonts w:ascii="Arial" w:hAnsi="Arial" w:eastAsia="Arial" w:cs="Arial"/>
          <w:b/>
          <w:bCs/>
          <w:sz w:val="32"/>
          <w:szCs w:val="32"/>
        </w:rPr>
        <w:t>6. Timeframe Conflict</w:t>
      </w:r>
    </w:p>
    <w:p w14:paraId="2B0B8122">
      <w:pPr>
        <w:pStyle w:val="3"/>
        <w:spacing w:before="280" w:after="180"/>
      </w:pPr>
      <w:r>
        <w:rPr>
          <w:rFonts w:ascii="Arial" w:hAnsi="Arial" w:eastAsia="Arial" w:cs="Arial"/>
          <w:b/>
          <w:bCs/>
          <w:sz w:val="26"/>
          <w:szCs w:val="26"/>
        </w:rPr>
        <w:t>6.1 Definition</w:t>
      </w:r>
    </w:p>
    <w:p w14:paraId="3BB55705">
      <w:pPr>
        <w:spacing w:after="200" w:line="276" w:lineRule="auto"/>
      </w:pPr>
      <w:r>
        <w:rPr>
          <w:rFonts w:ascii="Arial" w:hAnsi="Arial" w:eastAsia="Arial" w:cs="Arial"/>
          <w:sz w:val="22"/>
          <w:szCs w:val="22"/>
        </w:rPr>
        <w:t>Conflict exists when the LTF or intermediate timeframe produces a directional signal opposite to the HTF narrative (for example, a clean LTF bullish MSS while the daily dealing range and bias remain clearly bearish).</w:t>
      </w:r>
    </w:p>
    <w:p w14:paraId="53EBBF32">
      <w:pPr>
        <w:pStyle w:val="3"/>
        <w:spacing w:before="280" w:after="180"/>
      </w:pPr>
      <w:r>
        <w:rPr>
          <w:rFonts w:ascii="Arial" w:hAnsi="Arial" w:eastAsia="Arial" w:cs="Arial"/>
          <w:b/>
          <w:bCs/>
          <w:sz w:val="26"/>
          <w:szCs w:val="26"/>
        </w:rPr>
        <w:t>6.2 Resolution Rule</w:t>
      </w:r>
    </w:p>
    <w:p w14:paraId="7A341657">
      <w:pPr>
        <w:spacing w:after="200" w:line="276" w:lineRule="auto"/>
      </w:pPr>
      <w:r>
        <w:rPr>
          <w:rFonts w:ascii="Arial" w:hAnsi="Arial" w:eastAsia="Arial" w:cs="Arial"/>
          <w:sz w:val="22"/>
          <w:szCs w:val="22"/>
        </w:rPr>
        <w:t>In the presence of conflict, the higher-timeframe narrative takes priority for bias. The lower-timeframe signal may be used for a counter-trend scalp only if the trader explicitly accepts the reduced probability and defines a tight invalidation; it should not be treated as a change in the larger story.</w:t>
      </w:r>
    </w:p>
    <w:p w14:paraId="6E1EB056">
      <w:pPr>
        <w:pStyle w:val="3"/>
        <w:spacing w:before="280" w:after="180"/>
      </w:pPr>
      <w:r>
        <w:rPr>
          <w:rFonts w:ascii="Arial" w:hAnsi="Arial" w:eastAsia="Arial" w:cs="Arial"/>
          <w:b/>
          <w:bCs/>
          <w:sz w:val="26"/>
          <w:szCs w:val="26"/>
        </w:rPr>
        <w:t>6.3 Common Intermediate Error</w:t>
      </w:r>
    </w:p>
    <w:p w14:paraId="4AC18554">
      <w:pPr>
        <w:pStyle w:val="16"/>
        <w:numPr>
          <w:ilvl w:val="0"/>
          <w:numId w:val="3"/>
        </w:numPr>
        <w:spacing w:after="120" w:line="276" w:lineRule="auto"/>
      </w:pPr>
      <w:r>
        <w:rPr>
          <w:rFonts w:ascii="Arial" w:hAnsi="Arial" w:eastAsia="Arial" w:cs="Arial"/>
          <w:sz w:val="22"/>
          <w:szCs w:val="22"/>
        </w:rPr>
        <w:t>Seeing a beautiful LTF OTE or FVG and reversing the HTF bias to accommodate it. This is the most frequent cause of “death by a thousand lower-timeframe cuts.”</w:t>
      </w:r>
    </w:p>
    <w:p w14:paraId="25A46E7F">
      <w:pPr>
        <w:pStyle w:val="2"/>
        <w:spacing w:before="360" w:after="240"/>
      </w:pPr>
      <w:r>
        <w:rPr>
          <w:rFonts w:ascii="Arial" w:hAnsi="Arial" w:eastAsia="Arial" w:cs="Arial"/>
          <w:b/>
          <w:bCs/>
          <w:sz w:val="32"/>
          <w:szCs w:val="32"/>
        </w:rPr>
        <w:t>7. HTF Target → LTF Entry</w:t>
      </w:r>
    </w:p>
    <w:p w14:paraId="73C7C3B0">
      <w:pPr>
        <w:pStyle w:val="3"/>
        <w:spacing w:before="280" w:after="180"/>
      </w:pPr>
      <w:r>
        <w:rPr>
          <w:rFonts w:ascii="Arial" w:hAnsi="Arial" w:eastAsia="Arial" w:cs="Arial"/>
          <w:b/>
          <w:bCs/>
          <w:sz w:val="26"/>
          <w:szCs w:val="26"/>
        </w:rPr>
        <w:t>7.1 The Bridge</w:t>
      </w:r>
    </w:p>
    <w:p w14:paraId="41A03A21">
      <w:pPr>
        <w:spacing w:after="200" w:line="276" w:lineRule="auto"/>
      </w:pPr>
      <w:r>
        <w:rPr>
          <w:rFonts w:ascii="Arial" w:hAnsi="Arial" w:eastAsia="Arial" w:cs="Arial"/>
          <w:sz w:val="22"/>
          <w:szCs w:val="22"/>
        </w:rPr>
        <w:t>The practical link between timeframes is:</w:t>
      </w:r>
    </w:p>
    <w:p w14:paraId="7C30C7BD">
      <w:pPr>
        <w:spacing w:after="200" w:line="276" w:lineRule="auto"/>
      </w:pPr>
      <w:r>
        <w:rPr>
          <w:rFonts w:ascii="Arial" w:hAnsi="Arial" w:eastAsia="Arial" w:cs="Arial"/>
          <w:sz w:val="22"/>
          <w:szCs w:val="22"/>
        </w:rPr>
        <w:t>HTF defines the target (Draw on Liquidity) and the zone of interest (HTF PD array in the correct premium/discount half).</w:t>
      </w:r>
    </w:p>
    <w:p w14:paraId="2B4FAB06">
      <w:pPr>
        <w:spacing w:after="200" w:line="276" w:lineRule="auto"/>
      </w:pPr>
      <w:r>
        <w:rPr>
          <w:rFonts w:ascii="Arial" w:hAnsi="Arial" w:eastAsia="Arial" w:cs="Arial"/>
          <w:sz w:val="22"/>
          <w:szCs w:val="22"/>
        </w:rPr>
        <w:t>Price arrives at that zone.</w:t>
      </w:r>
    </w:p>
    <w:p w14:paraId="6E60BB36">
      <w:pPr>
        <w:spacing w:after="200" w:line="276" w:lineRule="auto"/>
      </w:pPr>
      <w:r>
        <w:rPr>
          <w:rFonts w:ascii="Arial" w:hAnsi="Arial" w:eastAsia="Arial" w:cs="Arial"/>
          <w:sz w:val="22"/>
          <w:szCs w:val="22"/>
        </w:rPr>
        <w:t>LTF delivers the confirmation sequence: local liquidity sweep → displacement → MSS → entry at LTF FVG / OTE / Order Block.</w:t>
      </w:r>
    </w:p>
    <w:p w14:paraId="451DB675">
      <w:pPr>
        <w:spacing w:after="200" w:line="276" w:lineRule="auto"/>
      </w:pPr>
      <w:r>
        <w:rPr>
          <w:rFonts w:ascii="Arial" w:hAnsi="Arial" w:eastAsia="Arial" w:cs="Arial"/>
          <w:sz w:val="22"/>
          <w:szCs w:val="22"/>
        </w:rPr>
        <w:t>Management aims first at intermediate targets and ultimately at the HTF liquidity objective.</w:t>
      </w:r>
    </w:p>
    <w:p w14:paraId="2D099768">
      <w:pPr>
        <w:pStyle w:val="3"/>
        <w:spacing w:before="280" w:after="180"/>
      </w:pPr>
      <w:r>
        <w:rPr>
          <w:rFonts w:ascii="Arial" w:hAnsi="Arial" w:eastAsia="Arial" w:cs="Arial"/>
          <w:b/>
          <w:bCs/>
          <w:sz w:val="26"/>
          <w:szCs w:val="26"/>
        </w:rPr>
        <w:t>7.2 Invalidation Hierarchy</w:t>
      </w:r>
    </w:p>
    <w:p w14:paraId="5C4BEDE2">
      <w:pPr>
        <w:spacing w:after="200" w:line="276" w:lineRule="auto"/>
      </w:pPr>
      <w:r>
        <w:rPr>
          <w:rFonts w:ascii="Arial" w:hAnsi="Arial" w:eastAsia="Arial" w:cs="Arial"/>
          <w:sz w:val="22"/>
          <w:szCs w:val="22"/>
        </w:rPr>
        <w:t>A decisive HTF close beyond the HTF invalidation level ends the idea regardless of how clean the LTF entry looked. An LTF stop-out does not automatically invalidate the HTF narrative; it may simply mean the entry timing was imperfect.</w:t>
      </w:r>
    </w:p>
    <w:p w14:paraId="0002EB4E">
      <w:pPr>
        <w:pStyle w:val="2"/>
        <w:spacing w:before="360" w:after="240"/>
      </w:pPr>
      <w:r>
        <w:rPr>
          <w:rFonts w:ascii="Arial" w:hAnsi="Arial" w:eastAsia="Arial" w:cs="Arial"/>
          <w:b/>
          <w:bCs/>
          <w:sz w:val="32"/>
          <w:szCs w:val="32"/>
        </w:rPr>
        <w:t>Worked Example — Top-Down Narrative</w:t>
      </w:r>
    </w:p>
    <w:p w14:paraId="6EFD3353">
      <w:pPr>
        <w:spacing w:after="200" w:line="276" w:lineRule="auto"/>
      </w:pPr>
      <w:r>
        <w:rPr>
          <w:rFonts w:ascii="Arial" w:hAnsi="Arial" w:eastAsia="Arial" w:cs="Arial"/>
          <w:sz w:val="22"/>
          <w:szCs w:val="22"/>
        </w:rPr>
        <w:t>HTF (Daily): Bias bullish. Dealing range 1.0500–1.1000, equilibrium 1.0750. Price is in discount. Primary Draw on Liquidity is buy-side above 1.1000 and a prior weekly high. An unmitigated daily bullish FVG sits near 1.0600–1.0650.</w:t>
      </w:r>
    </w:p>
    <w:p w14:paraId="5924B175">
      <w:pPr>
        <w:spacing w:after="200" w:line="276" w:lineRule="auto"/>
      </w:pPr>
      <w:r>
        <w:rPr>
          <w:rFonts w:ascii="Arial" w:hAnsi="Arial" w:eastAsia="Arial" w:cs="Arial"/>
          <w:sz w:val="22"/>
          <w:szCs w:val="22"/>
        </w:rPr>
        <w:t>Intermediate (1-hour): Active dealing range 1.0550–1.0800. Price has raided sell-side liquidity near 1.0560 and is displacing higher. A 1-hour bullish Order Block and FVG overlap in discount around 1.0620–1.0650, nested inside the daily FVG.</w:t>
      </w:r>
    </w:p>
    <w:p w14:paraId="37883D7B">
      <w:pPr>
        <w:spacing w:after="200" w:line="276" w:lineRule="auto"/>
      </w:pPr>
      <w:r>
        <w:rPr>
          <w:rFonts w:ascii="Arial" w:hAnsi="Arial" w:eastAsia="Arial" w:cs="Arial"/>
          <w:sz w:val="22"/>
          <w:szCs w:val="22"/>
        </w:rPr>
        <w:t>LTF (5-minute): Price returns into the 1-hour / daily confluence zone. A local sell-side sweep occurs, followed by bullish displacement and a 5-minute MSS. Entry is taken on the retracement into the 5-minute FVG / OTE that formed during the displacement.</w:t>
      </w:r>
    </w:p>
    <w:p w14:paraId="2B532207">
      <w:pPr>
        <w:spacing w:after="200" w:line="276" w:lineRule="auto"/>
      </w:pPr>
      <w:r>
        <w:rPr>
          <w:rFonts w:ascii="Arial" w:hAnsi="Arial" w:eastAsia="Arial" w:cs="Arial"/>
          <w:sz w:val="22"/>
          <w:szCs w:val="22"/>
        </w:rPr>
        <w:t>Management: Partial profits at internal 1-hour buy-side liquidity; remainder held toward the daily external target. Invalidation remains a decisive daily close below the daily dealing-range low or below the origin of the daily bullish structure.</w:t>
      </w:r>
    </w:p>
    <w:p w14:paraId="65E85043">
      <w:pPr>
        <w:spacing w:after="200" w:line="276" w:lineRule="auto"/>
      </w:pPr>
      <w:r>
        <w:rPr>
          <w:rFonts w:ascii="Arial" w:hAnsi="Arial" w:eastAsia="Arial" w:cs="Arial"/>
          <w:sz w:val="22"/>
          <w:szCs w:val="22"/>
        </w:rPr>
        <w:t>This is alignment: every timeframe is telling a compatible story, and the LTF is used only for timing.</w:t>
      </w:r>
    </w:p>
    <w:p w14:paraId="66ECBFCC">
      <w:pPr>
        <w:pStyle w:val="2"/>
        <w:spacing w:before="360" w:after="240"/>
      </w:pPr>
      <w:r>
        <w:rPr>
          <w:rFonts w:ascii="Arial" w:hAnsi="Arial" w:eastAsia="Arial" w:cs="Arial"/>
          <w:b/>
          <w:bCs/>
          <w:sz w:val="32"/>
          <w:szCs w:val="32"/>
        </w:rPr>
        <w:t>Visual Reference — Timeframe Roles</w:t>
      </w:r>
    </w:p>
    <w:p w14:paraId="7DF1A5AB">
      <w:pPr>
        <w:spacing w:after="0" w:line="240" w:lineRule="auto"/>
      </w:pPr>
      <w:r>
        <w:rPr>
          <w:rFonts w:ascii="Courier New" w:hAnsi="Courier New" w:eastAsia="Courier New" w:cs="Courier New"/>
          <w:sz w:val="18"/>
          <w:szCs w:val="18"/>
        </w:rPr>
        <w:t>HTF (Daily / 4H)</w:t>
      </w:r>
    </w:p>
    <w:p w14:paraId="6507F729">
      <w:pPr>
        <w:spacing w:after="0" w:line="240" w:lineRule="auto"/>
      </w:pPr>
      <w:r>
        <w:rPr>
          <w:rFonts w:ascii="Courier New" w:hAnsi="Courier New" w:eastAsia="Courier New" w:cs="Courier New"/>
          <w:sz w:val="18"/>
          <w:szCs w:val="18"/>
        </w:rPr>
        <w:t xml:space="preserve">  Bias + Dealing Range + Major DOL + HTF PD Arrays</w:t>
      </w:r>
    </w:p>
    <w:p w14:paraId="55D17856">
      <w:pPr>
        <w:spacing w:after="0" w:line="240" w:lineRule="auto"/>
      </w:pPr>
      <w:r>
        <w:rPr>
          <w:rFonts w:ascii="Courier New" w:hAnsi="Courier New" w:eastAsia="Courier New" w:cs="Courier New"/>
          <w:sz w:val="18"/>
          <w:szCs w:val="18"/>
        </w:rPr>
        <w:t xml:space="preserve">          │</w:t>
      </w:r>
    </w:p>
    <w:p w14:paraId="06EC1CD7">
      <w:pPr>
        <w:spacing w:after="0" w:line="240" w:lineRule="auto"/>
      </w:pPr>
      <w:r>
        <w:rPr>
          <w:rFonts w:ascii="Courier New" w:hAnsi="Courier New" w:eastAsia="Courier New" w:cs="Courier New"/>
          <w:sz w:val="18"/>
          <w:szCs w:val="18"/>
        </w:rPr>
        <w:t xml:space="preserve">          ▼</w:t>
      </w:r>
    </w:p>
    <w:p w14:paraId="6C38B601">
      <w:pPr>
        <w:spacing w:after="0" w:line="240" w:lineRule="auto"/>
      </w:pPr>
      <w:r>
        <w:rPr>
          <w:rFonts w:ascii="Courier New" w:hAnsi="Courier New" w:eastAsia="Courier New" w:cs="Courier New"/>
          <w:sz w:val="18"/>
          <w:szCs w:val="18"/>
        </w:rPr>
        <w:t>Intermediate (1H / 15M)</w:t>
      </w:r>
    </w:p>
    <w:p w14:paraId="23C2EAE3">
      <w:pPr>
        <w:spacing w:after="0" w:line="240" w:lineRule="auto"/>
      </w:pPr>
      <w:r>
        <w:rPr>
          <w:rFonts w:ascii="Courier New" w:hAnsi="Courier New" w:eastAsia="Courier New" w:cs="Courier New"/>
          <w:sz w:val="18"/>
          <w:szCs w:val="18"/>
        </w:rPr>
        <w:t xml:space="preserve">  Active Range + Internal Liquidity + Entry-Zone PD Arrays</w:t>
      </w:r>
    </w:p>
    <w:p w14:paraId="72311705">
      <w:pPr>
        <w:spacing w:after="0" w:line="240" w:lineRule="auto"/>
      </w:pPr>
      <w:r>
        <w:rPr>
          <w:rFonts w:ascii="Courier New" w:hAnsi="Courier New" w:eastAsia="Courier New" w:cs="Courier New"/>
          <w:sz w:val="18"/>
          <w:szCs w:val="18"/>
        </w:rPr>
        <w:t xml:space="preserve">          │</w:t>
      </w:r>
    </w:p>
    <w:p w14:paraId="33C228C2">
      <w:pPr>
        <w:spacing w:after="0" w:line="240" w:lineRule="auto"/>
      </w:pPr>
      <w:r>
        <w:rPr>
          <w:rFonts w:ascii="Courier New" w:hAnsi="Courier New" w:eastAsia="Courier New" w:cs="Courier New"/>
          <w:sz w:val="18"/>
          <w:szCs w:val="18"/>
        </w:rPr>
        <w:t xml:space="preserve">          ▼</w:t>
      </w:r>
    </w:p>
    <w:p w14:paraId="28FFC7C5">
      <w:pPr>
        <w:spacing w:after="0" w:line="240" w:lineRule="auto"/>
      </w:pPr>
      <w:r>
        <w:rPr>
          <w:rFonts w:ascii="Courier New" w:hAnsi="Courier New" w:eastAsia="Courier New" w:cs="Courier New"/>
          <w:sz w:val="18"/>
          <w:szCs w:val="18"/>
        </w:rPr>
        <w:t>LTF (5M / 1M)</w:t>
      </w:r>
    </w:p>
    <w:p w14:paraId="44426A0E">
      <w:pPr>
        <w:spacing w:after="0" w:line="240" w:lineRule="auto"/>
      </w:pPr>
      <w:r>
        <w:rPr>
          <w:rFonts w:ascii="Courier New" w:hAnsi="Courier New" w:eastAsia="Courier New" w:cs="Courier New"/>
          <w:sz w:val="18"/>
          <w:szCs w:val="18"/>
        </w:rPr>
        <w:t xml:space="preserve">  Sweep → Displacement → MSS → FVG / OTE Entry</w:t>
      </w:r>
    </w:p>
    <w:p w14:paraId="1988709B">
      <w:pPr>
        <w:spacing w:after="200" w:line="276" w:lineRule="auto"/>
      </w:pPr>
      <w:r>
        <w:rPr>
          <w:rFonts w:ascii="Arial" w:hAnsi="Arial" w:eastAsia="Arial" w:cs="Arial"/>
          <w:sz w:val="22"/>
          <w:szCs w:val="22"/>
        </w:rPr>
        <w:t>The arrow of authority runs downward. Lower timeframes refine; they do not override.</w:t>
      </w:r>
    </w:p>
    <w:p w14:paraId="0BD05AD3">
      <w:pPr>
        <w:pStyle w:val="2"/>
        <w:spacing w:before="360" w:after="240"/>
      </w:pPr>
      <w:r>
        <w:rPr>
          <w:rFonts w:ascii="Arial" w:hAnsi="Arial" w:eastAsia="Arial" w:cs="Arial"/>
          <w:b/>
          <w:bCs/>
          <w:sz w:val="32"/>
          <w:szCs w:val="32"/>
        </w:rPr>
        <w:t>How These Concepts Connect</w:t>
      </w:r>
    </w:p>
    <w:p w14:paraId="5A41570A">
      <w:pPr>
        <w:spacing w:after="200" w:line="276" w:lineRule="auto"/>
      </w:pPr>
      <w:r>
        <w:rPr>
          <w:rFonts w:ascii="Arial" w:hAnsi="Arial" w:eastAsia="Arial" w:cs="Arial"/>
          <w:sz w:val="22"/>
          <w:szCs w:val="22"/>
        </w:rPr>
        <w:t>Modules 1–7 supplied the individual tools. Module 8 organises those tools into a single coherent narrative across timeframes. The HTF supplies bias, container and destination. The intermediate timeframe supplies the working range and the PD arrays that will be traded. The LTF supplies the confirmation sequence and the precise entry. Alignment raises quality; conflict is resolved in favour of the higher timeframe. Fractal delivery explains why the same patterns appear at every scale without requiring the trader to treat every scale as an independent decision.</w:t>
      </w:r>
    </w:p>
    <w:p w14:paraId="5E3BD873">
      <w:pPr>
        <w:pStyle w:val="2"/>
        <w:spacing w:before="360" w:after="240"/>
      </w:pPr>
      <w:r>
        <w:rPr>
          <w:rFonts w:ascii="Arial" w:hAnsi="Arial" w:eastAsia="Arial" w:cs="Arial"/>
          <w:b/>
          <w:bCs/>
          <w:sz w:val="32"/>
          <w:szCs w:val="32"/>
        </w:rPr>
        <w:t>What You Should Now Be Able to Do</w:t>
      </w:r>
    </w:p>
    <w:p w14:paraId="27E2DFB8">
      <w:pPr>
        <w:pStyle w:val="16"/>
        <w:numPr>
          <w:ilvl w:val="0"/>
          <w:numId w:val="1"/>
        </w:numPr>
        <w:spacing w:after="120" w:line="276" w:lineRule="auto"/>
      </w:pPr>
      <w:r>
        <w:rPr>
          <w:rFonts w:ascii="Arial" w:hAnsi="Arial" w:eastAsia="Arial" w:cs="Arial"/>
          <w:sz w:val="22"/>
          <w:szCs w:val="22"/>
        </w:rPr>
        <w:t>Write a one-paragraph HTF narrative that includes bias, dealing range, Draw on Liquidity and key PD arrays.</w:t>
      </w:r>
    </w:p>
    <w:p w14:paraId="703AFD6F">
      <w:pPr>
        <w:pStyle w:val="16"/>
        <w:numPr>
          <w:ilvl w:val="0"/>
          <w:numId w:val="1"/>
        </w:numPr>
        <w:spacing w:after="120" w:line="276" w:lineRule="auto"/>
      </w:pPr>
      <w:r>
        <w:rPr>
          <w:rFonts w:ascii="Arial" w:hAnsi="Arial" w:eastAsia="Arial" w:cs="Arial"/>
          <w:sz w:val="22"/>
          <w:szCs w:val="22"/>
        </w:rPr>
        <w:t>Refine that narrative on an intermediate timeframe without contradicting it.</w:t>
      </w:r>
    </w:p>
    <w:p w14:paraId="73C8AD0E">
      <w:pPr>
        <w:pStyle w:val="16"/>
        <w:numPr>
          <w:ilvl w:val="0"/>
          <w:numId w:val="1"/>
        </w:numPr>
        <w:spacing w:after="120" w:line="276" w:lineRule="auto"/>
      </w:pPr>
      <w:r>
        <w:rPr>
          <w:rFonts w:ascii="Arial" w:hAnsi="Arial" w:eastAsia="Arial" w:cs="Arial"/>
          <w:sz w:val="22"/>
          <w:szCs w:val="22"/>
        </w:rPr>
        <w:t>Restrict LTF analysis to confirmation and entry timing inside the higher-timeframe zone of interest.</w:t>
      </w:r>
    </w:p>
    <w:p w14:paraId="7FBADBF0">
      <w:pPr>
        <w:pStyle w:val="16"/>
        <w:numPr>
          <w:ilvl w:val="0"/>
          <w:numId w:val="1"/>
        </w:numPr>
        <w:spacing w:after="120" w:line="276" w:lineRule="auto"/>
      </w:pPr>
      <w:r>
        <w:rPr>
          <w:rFonts w:ascii="Arial" w:hAnsi="Arial" w:eastAsia="Arial" w:cs="Arial"/>
          <w:sz w:val="22"/>
          <w:szCs w:val="22"/>
        </w:rPr>
        <w:t>Identify alignment versus conflict and state which timeframe governs bias.</w:t>
      </w:r>
    </w:p>
    <w:p w14:paraId="1591EA3E">
      <w:pPr>
        <w:pStyle w:val="16"/>
        <w:numPr>
          <w:ilvl w:val="0"/>
          <w:numId w:val="1"/>
        </w:numPr>
        <w:spacing w:after="120" w:line="276" w:lineRule="auto"/>
      </w:pPr>
      <w:r>
        <w:rPr>
          <w:rFonts w:ascii="Arial" w:hAnsi="Arial" w:eastAsia="Arial" w:cs="Arial"/>
          <w:sz w:val="22"/>
          <w:szCs w:val="22"/>
        </w:rPr>
        <w:t>Map a concrete HTF target to an LTF entry sequence.</w:t>
      </w:r>
    </w:p>
    <w:p w14:paraId="7FD537E1">
      <w:pPr>
        <w:pStyle w:val="16"/>
        <w:numPr>
          <w:ilvl w:val="0"/>
          <w:numId w:val="1"/>
        </w:numPr>
        <w:spacing w:after="120" w:line="276" w:lineRule="auto"/>
      </w:pPr>
      <w:r>
        <w:rPr>
          <w:rFonts w:ascii="Arial" w:hAnsi="Arial" w:eastAsia="Arial" w:cs="Arial"/>
          <w:sz w:val="22"/>
          <w:szCs w:val="22"/>
        </w:rPr>
        <w:t>Explain why an attractive LTF setup is insufficient when it conflicts with the HTF story.</w:t>
      </w:r>
    </w:p>
    <w:p w14:paraId="1CCA07D4">
      <w:pPr>
        <w:pStyle w:val="2"/>
        <w:spacing w:before="360" w:after="240"/>
      </w:pPr>
      <w:r>
        <w:rPr>
          <w:rFonts w:ascii="Arial" w:hAnsi="Arial" w:eastAsia="Arial" w:cs="Arial"/>
          <w:b/>
          <w:bCs/>
          <w:sz w:val="32"/>
          <w:szCs w:val="32"/>
        </w:rPr>
        <w:t>Module Review</w:t>
      </w:r>
    </w:p>
    <w:p w14:paraId="388029D1">
      <w:pPr>
        <w:pStyle w:val="3"/>
        <w:spacing w:before="280" w:after="180"/>
      </w:pPr>
      <w:r>
        <w:rPr>
          <w:rFonts w:ascii="Arial" w:hAnsi="Arial" w:eastAsia="Arial" w:cs="Arial"/>
          <w:b/>
          <w:bCs/>
          <w:sz w:val="26"/>
          <w:szCs w:val="26"/>
        </w:rPr>
        <w:t>Key Terms</w:t>
      </w:r>
    </w:p>
    <w:p w14:paraId="54BAFCC2">
      <w:pPr>
        <w:pStyle w:val="16"/>
        <w:numPr>
          <w:ilvl w:val="0"/>
          <w:numId w:val="1"/>
        </w:numPr>
        <w:spacing w:after="120" w:line="276" w:lineRule="auto"/>
      </w:pPr>
      <w:r>
        <w:rPr>
          <w:rFonts w:ascii="Arial" w:hAnsi="Arial" w:eastAsia="Arial" w:cs="Arial"/>
          <w:sz w:val="22"/>
          <w:szCs w:val="22"/>
        </w:rPr>
        <w:t>HTF narrative — directional story, dealing range, major liquidity and PD arrays on the higher timeframe.</w:t>
      </w:r>
    </w:p>
    <w:p w14:paraId="6CBD9522">
      <w:pPr>
        <w:pStyle w:val="16"/>
        <w:numPr>
          <w:ilvl w:val="0"/>
          <w:numId w:val="1"/>
        </w:numPr>
        <w:spacing w:after="120" w:line="276" w:lineRule="auto"/>
      </w:pPr>
      <w:r>
        <w:rPr>
          <w:rFonts w:ascii="Arial" w:hAnsi="Arial" w:eastAsia="Arial" w:cs="Arial"/>
          <w:sz w:val="22"/>
          <w:szCs w:val="22"/>
        </w:rPr>
        <w:t>Intermediate narrative — refinement of the HTF story into a working range and entry-zone arrays.</w:t>
      </w:r>
    </w:p>
    <w:p w14:paraId="055EA093">
      <w:pPr>
        <w:pStyle w:val="16"/>
        <w:numPr>
          <w:ilvl w:val="0"/>
          <w:numId w:val="1"/>
        </w:numPr>
        <w:spacing w:after="120" w:line="276" w:lineRule="auto"/>
      </w:pPr>
      <w:r>
        <w:rPr>
          <w:rFonts w:ascii="Arial" w:hAnsi="Arial" w:eastAsia="Arial" w:cs="Arial"/>
          <w:sz w:val="22"/>
          <w:szCs w:val="22"/>
        </w:rPr>
        <w:t>LTF confirmation — liquidity sweep, displacement, MSS and precise PD-array / OTE entry on the lower timeframe.</w:t>
      </w:r>
    </w:p>
    <w:p w14:paraId="6A0A9AD1">
      <w:pPr>
        <w:pStyle w:val="16"/>
        <w:numPr>
          <w:ilvl w:val="0"/>
          <w:numId w:val="1"/>
        </w:numPr>
        <w:spacing w:after="120" w:line="276" w:lineRule="auto"/>
      </w:pPr>
      <w:r>
        <w:rPr>
          <w:rFonts w:ascii="Arial" w:hAnsi="Arial" w:eastAsia="Arial" w:cs="Arial"/>
          <w:sz w:val="22"/>
          <w:szCs w:val="22"/>
        </w:rPr>
        <w:t>Top-down analysis — sequential process from HTF to intermediate to LTF.</w:t>
      </w:r>
    </w:p>
    <w:p w14:paraId="75D388C9">
      <w:pPr>
        <w:pStyle w:val="16"/>
        <w:numPr>
          <w:ilvl w:val="0"/>
          <w:numId w:val="1"/>
        </w:numPr>
        <w:spacing w:after="120" w:line="276" w:lineRule="auto"/>
      </w:pPr>
      <w:r>
        <w:rPr>
          <w:rFonts w:ascii="Arial" w:hAnsi="Arial" w:eastAsia="Arial" w:cs="Arial"/>
          <w:sz w:val="22"/>
          <w:szCs w:val="22"/>
        </w:rPr>
        <w:t>Timeframe alignment — consistent directional expectation and location filters across timeframes.</w:t>
      </w:r>
    </w:p>
    <w:p w14:paraId="23D7B7CE">
      <w:pPr>
        <w:pStyle w:val="16"/>
        <w:numPr>
          <w:ilvl w:val="0"/>
          <w:numId w:val="1"/>
        </w:numPr>
        <w:spacing w:after="120" w:line="276" w:lineRule="auto"/>
      </w:pPr>
      <w:r>
        <w:rPr>
          <w:rFonts w:ascii="Arial" w:hAnsi="Arial" w:eastAsia="Arial" w:cs="Arial"/>
          <w:sz w:val="22"/>
          <w:szCs w:val="22"/>
        </w:rPr>
        <w:t>Timeframe conflict — lower-timeframe signal opposite to the HTF narrative.</w:t>
      </w:r>
    </w:p>
    <w:p w14:paraId="33A35FBC">
      <w:pPr>
        <w:pStyle w:val="16"/>
        <w:numPr>
          <w:ilvl w:val="0"/>
          <w:numId w:val="1"/>
        </w:numPr>
        <w:spacing w:after="120" w:line="276" w:lineRule="auto"/>
      </w:pPr>
      <w:r>
        <w:rPr>
          <w:rFonts w:ascii="Arial" w:hAnsi="Arial" w:eastAsia="Arial" w:cs="Arial"/>
          <w:sz w:val="22"/>
          <w:szCs w:val="22"/>
        </w:rPr>
        <w:t>Fractal price delivery — the same principles operate on every timeframe; roles differ.</w:t>
      </w:r>
    </w:p>
    <w:p w14:paraId="2008D7E6">
      <w:pPr>
        <w:pStyle w:val="16"/>
        <w:numPr>
          <w:ilvl w:val="0"/>
          <w:numId w:val="1"/>
        </w:numPr>
        <w:spacing w:after="120" w:line="276" w:lineRule="auto"/>
      </w:pPr>
      <w:r>
        <w:rPr>
          <w:rFonts w:ascii="Arial" w:hAnsi="Arial" w:eastAsia="Arial" w:cs="Arial"/>
          <w:sz w:val="22"/>
          <w:szCs w:val="22"/>
        </w:rPr>
        <w:t>HTF target → LTF entry — using the higher timeframe for destination and zone, the lower timeframe for timing.</w:t>
      </w:r>
    </w:p>
    <w:p w14:paraId="17F4F194">
      <w:pPr>
        <w:pStyle w:val="3"/>
        <w:spacing w:before="280" w:after="180"/>
      </w:pPr>
      <w:r>
        <w:rPr>
          <w:rFonts w:ascii="Arial" w:hAnsi="Arial" w:eastAsia="Arial" w:cs="Arial"/>
          <w:b/>
          <w:bCs/>
          <w:sz w:val="26"/>
          <w:szCs w:val="26"/>
        </w:rPr>
        <w:t>Beginner Summary (Bridge)</w:t>
      </w:r>
    </w:p>
    <w:p w14:paraId="0CD3322D">
      <w:pPr>
        <w:spacing w:after="200" w:line="276" w:lineRule="auto"/>
      </w:pPr>
      <w:r>
        <w:rPr>
          <w:rFonts w:ascii="Arial" w:hAnsi="Arial" w:eastAsia="Arial" w:cs="Arial"/>
          <w:sz w:val="22"/>
          <w:szCs w:val="22"/>
        </w:rPr>
        <w:t>Beginner teaching introduced multiple timeframes mainly as different chart settings. Intermediate teaching assigns explicit roles: HTF for narrative, intermediate for location, LTF for timing. Alignment is required; conflict is resolved upward. The result is a single coherent story rather than three competing ones.</w:t>
      </w:r>
    </w:p>
    <w:p w14:paraId="03E52C6F">
      <w:pPr>
        <w:pStyle w:val="3"/>
        <w:spacing w:before="280" w:after="180"/>
      </w:pPr>
      <w:r>
        <w:rPr>
          <w:rFonts w:ascii="Arial" w:hAnsi="Arial" w:eastAsia="Arial" w:cs="Arial"/>
          <w:b/>
          <w:bCs/>
          <w:sz w:val="26"/>
          <w:szCs w:val="26"/>
        </w:rPr>
        <w:t>Concept Relationships</w:t>
      </w:r>
    </w:p>
    <w:p w14:paraId="1E75FFC6">
      <w:pPr>
        <w:spacing w:after="200" w:line="276" w:lineRule="auto"/>
      </w:pPr>
      <w:r>
        <w:rPr>
          <w:rFonts w:ascii="Arial" w:hAnsi="Arial" w:eastAsia="Arial" w:cs="Arial"/>
          <w:sz w:val="22"/>
          <w:szCs w:val="22"/>
        </w:rPr>
        <w:t>Every tool from Modules 1–7 is now placed inside a timeframe hierarchy. Dealing ranges nest. Liquidity and PD arrays are graded by the timeframe on which they form. Displacement and MSS on the LTF confirm arrival at an HTF or intermediate zone. OTE and CE refine the entry only after the higher-timeframe story has authorised the direction.</w:t>
      </w:r>
    </w:p>
    <w:p w14:paraId="65A77172">
      <w:pPr>
        <w:pStyle w:val="3"/>
        <w:spacing w:before="280" w:after="180"/>
      </w:pPr>
      <w:r>
        <w:rPr>
          <w:rFonts w:ascii="Arial" w:hAnsi="Arial" w:eastAsia="Arial" w:cs="Arial"/>
          <w:b/>
          <w:bCs/>
          <w:sz w:val="26"/>
          <w:szCs w:val="26"/>
        </w:rPr>
        <w:t>Practical Chart Exercise</w:t>
      </w:r>
    </w:p>
    <w:p w14:paraId="48151348">
      <w:pPr>
        <w:spacing w:after="200" w:line="276" w:lineRule="auto"/>
      </w:pPr>
      <w:r>
        <w:rPr>
          <w:rFonts w:ascii="Arial" w:hAnsi="Arial" w:eastAsia="Arial" w:cs="Arial"/>
          <w:sz w:val="22"/>
          <w:szCs w:val="22"/>
        </w:rPr>
        <w:t>Before the next session:</w:t>
      </w:r>
    </w:p>
    <w:p w14:paraId="40A3A536">
      <w:pPr>
        <w:pStyle w:val="16"/>
        <w:numPr>
          <w:ilvl w:val="0"/>
          <w:numId w:val="4"/>
        </w:numPr>
        <w:spacing w:after="120" w:line="276" w:lineRule="auto"/>
      </w:pPr>
      <w:r>
        <w:rPr>
          <w:rFonts w:ascii="Arial" w:hAnsi="Arial" w:eastAsia="Arial" w:cs="Arial"/>
          <w:sz w:val="22"/>
          <w:szCs w:val="22"/>
        </w:rPr>
        <w:t>On the daily chart write a four-sentence HTF narrative (bias, range, DOL, key PD arrays).</w:t>
      </w:r>
    </w:p>
    <w:p w14:paraId="11960DC2">
      <w:pPr>
        <w:pStyle w:val="16"/>
        <w:numPr>
          <w:ilvl w:val="0"/>
          <w:numId w:val="4"/>
        </w:numPr>
        <w:spacing w:after="120" w:line="276" w:lineRule="auto"/>
      </w:pPr>
      <w:r>
        <w:rPr>
          <w:rFonts w:ascii="Arial" w:hAnsi="Arial" w:eastAsia="Arial" w:cs="Arial"/>
          <w:sz w:val="22"/>
          <w:szCs w:val="22"/>
        </w:rPr>
        <w:t>On the 1-hour chart mark the active dealing range and the PD arrays that sit inside the HTF zone of interest.</w:t>
      </w:r>
    </w:p>
    <w:p w14:paraId="4126AD84">
      <w:pPr>
        <w:pStyle w:val="16"/>
        <w:numPr>
          <w:ilvl w:val="0"/>
          <w:numId w:val="4"/>
        </w:numPr>
        <w:spacing w:after="120" w:line="276" w:lineRule="auto"/>
      </w:pPr>
      <w:r>
        <w:rPr>
          <w:rFonts w:ascii="Arial" w:hAnsi="Arial" w:eastAsia="Arial" w:cs="Arial"/>
          <w:sz w:val="22"/>
          <w:szCs w:val="22"/>
        </w:rPr>
        <w:t>State whether the intermediate picture is aligned or in conflict with the daily narrative.</w:t>
      </w:r>
    </w:p>
    <w:p w14:paraId="78A661A2">
      <w:pPr>
        <w:pStyle w:val="16"/>
        <w:numPr>
          <w:ilvl w:val="0"/>
          <w:numId w:val="4"/>
        </w:numPr>
        <w:spacing w:after="120" w:line="276" w:lineRule="auto"/>
      </w:pPr>
      <w:r>
        <w:rPr>
          <w:rFonts w:ascii="Arial" w:hAnsi="Arial" w:eastAsia="Arial" w:cs="Arial"/>
          <w:sz w:val="22"/>
          <w:szCs w:val="22"/>
        </w:rPr>
        <w:t>Define the exact LTF sequence you will require before entry (sweep → displacement → MSS → which array).</w:t>
      </w:r>
    </w:p>
    <w:p w14:paraId="17BBEEC9">
      <w:pPr>
        <w:pStyle w:val="16"/>
        <w:numPr>
          <w:ilvl w:val="0"/>
          <w:numId w:val="4"/>
        </w:numPr>
        <w:spacing w:after="120" w:line="276" w:lineRule="auto"/>
      </w:pPr>
      <w:r>
        <w:rPr>
          <w:rFonts w:ascii="Arial" w:hAnsi="Arial" w:eastAsia="Arial" w:cs="Arial"/>
          <w:sz w:val="22"/>
          <w:szCs w:val="22"/>
        </w:rPr>
        <w:t>After the session, record whether the LTF sequence appeared, whether the HTF narrative was respected, and one lesson about alignment or conflict.</w:t>
      </w:r>
    </w:p>
    <w:p w14:paraId="487988CA">
      <w:pPr>
        <w:pStyle w:val="3"/>
        <w:spacing w:before="280" w:after="180"/>
      </w:pPr>
      <w:r>
        <w:rPr>
          <w:rFonts w:ascii="Arial" w:hAnsi="Arial" w:eastAsia="Arial" w:cs="Arial"/>
          <w:b/>
          <w:bCs/>
          <w:sz w:val="26"/>
          <w:szCs w:val="26"/>
        </w:rPr>
        <w:t>Self-Test Questions</w:t>
      </w:r>
    </w:p>
    <w:p w14:paraId="6A5F8777">
      <w:pPr>
        <w:pStyle w:val="16"/>
        <w:numPr>
          <w:ilvl w:val="0"/>
          <w:numId w:val="4"/>
        </w:numPr>
        <w:spacing w:after="120" w:line="276" w:lineRule="auto"/>
      </w:pPr>
      <w:r>
        <w:rPr>
          <w:rFonts w:ascii="Arial" w:hAnsi="Arial" w:eastAsia="Arial" w:cs="Arial"/>
          <w:sz w:val="22"/>
          <w:szCs w:val="22"/>
        </w:rPr>
        <w:t>What three roles are assigned to HTF, intermediate and LTF in the model presented here?</w:t>
      </w:r>
    </w:p>
    <w:p w14:paraId="12D5E984">
      <w:pPr>
        <w:pStyle w:val="16"/>
        <w:numPr>
          <w:ilvl w:val="0"/>
          <w:numId w:val="4"/>
        </w:numPr>
        <w:spacing w:after="120" w:line="276" w:lineRule="auto"/>
      </w:pPr>
      <w:r>
        <w:rPr>
          <w:rFonts w:ascii="Arial" w:hAnsi="Arial" w:eastAsia="Arial" w:cs="Arial"/>
          <w:sz w:val="22"/>
          <w:szCs w:val="22"/>
        </w:rPr>
        <w:t>What is the correct response when a clean LTF bullish MSS appears inside a clear HTF bearish narrative?</w:t>
      </w:r>
    </w:p>
    <w:p w14:paraId="5FC93B81">
      <w:pPr>
        <w:pStyle w:val="16"/>
        <w:numPr>
          <w:ilvl w:val="0"/>
          <w:numId w:val="4"/>
        </w:numPr>
        <w:spacing w:after="120" w:line="276" w:lineRule="auto"/>
      </w:pPr>
      <w:r>
        <w:rPr>
          <w:rFonts w:ascii="Arial" w:hAnsi="Arial" w:eastAsia="Arial" w:cs="Arial"/>
          <w:sz w:val="22"/>
          <w:szCs w:val="22"/>
        </w:rPr>
        <w:t>Outline the top-down process from HTF narrative to LTF entry.</w:t>
      </w:r>
    </w:p>
    <w:p w14:paraId="323F7776">
      <w:pPr>
        <w:pStyle w:val="16"/>
        <w:numPr>
          <w:ilvl w:val="0"/>
          <w:numId w:val="4"/>
        </w:numPr>
        <w:spacing w:after="120" w:line="276" w:lineRule="auto"/>
      </w:pPr>
      <w:r>
        <w:rPr>
          <w:rFonts w:ascii="Arial" w:hAnsi="Arial" w:eastAsia="Arial" w:cs="Arial"/>
          <w:sz w:val="22"/>
          <w:szCs w:val="22"/>
        </w:rPr>
        <w:t>What does fractal price delivery mean in practical terms?</w:t>
      </w:r>
    </w:p>
    <w:p w14:paraId="11096B0D">
      <w:pPr>
        <w:pStyle w:val="16"/>
        <w:numPr>
          <w:ilvl w:val="0"/>
          <w:numId w:val="4"/>
        </w:numPr>
        <w:spacing w:after="120" w:line="276" w:lineRule="auto"/>
      </w:pPr>
      <w:r>
        <w:rPr>
          <w:rFonts w:ascii="Arial" w:hAnsi="Arial" w:eastAsia="Arial" w:cs="Arial"/>
          <w:sz w:val="22"/>
          <w:szCs w:val="22"/>
        </w:rPr>
        <w:t>Why is an LTF stop-out not automatically an invalidation of the HTF idea?</w:t>
      </w:r>
    </w:p>
    <w:p w14:paraId="1F18F7B3">
      <w:pPr>
        <w:pStyle w:val="16"/>
        <w:numPr>
          <w:ilvl w:val="0"/>
          <w:numId w:val="4"/>
        </w:numPr>
        <w:spacing w:after="120" w:line="276" w:lineRule="auto"/>
      </w:pPr>
      <w:r>
        <w:rPr>
          <w:rFonts w:ascii="Arial" w:hAnsi="Arial" w:eastAsia="Arial" w:cs="Arial"/>
          <w:sz w:val="22"/>
          <w:szCs w:val="22"/>
        </w:rPr>
        <w:t>Give one concrete example of timeframe alignment and one of timeframe conflict.</w:t>
      </w:r>
    </w:p>
    <w:p w14:paraId="25956803">
      <w:pPr>
        <w:pStyle w:val="3"/>
        <w:spacing w:before="280" w:after="180"/>
      </w:pPr>
      <w:r>
        <w:rPr>
          <w:rFonts w:ascii="Arial" w:hAnsi="Arial" w:eastAsia="Arial" w:cs="Arial"/>
          <w:b/>
          <w:bCs/>
          <w:sz w:val="26"/>
          <w:szCs w:val="26"/>
        </w:rPr>
        <w:t>Common Misconceptions</w:t>
      </w:r>
    </w:p>
    <w:p w14:paraId="3E79EB2A">
      <w:pPr>
        <w:pStyle w:val="16"/>
        <w:numPr>
          <w:ilvl w:val="0"/>
          <w:numId w:val="1"/>
        </w:numPr>
        <w:spacing w:after="120" w:line="276" w:lineRule="auto"/>
      </w:pPr>
      <w:r>
        <w:rPr>
          <w:rFonts w:ascii="Arial" w:hAnsi="Arial" w:eastAsia="Arial" w:cs="Arial"/>
          <w:sz w:val="22"/>
          <w:szCs w:val="22"/>
        </w:rPr>
        <w:t>“The lowest timeframe is the most accurate.” — False. It is the most precise for timing, not the most authoritative for bias.</w:t>
      </w:r>
    </w:p>
    <w:p w14:paraId="18006789">
      <w:pPr>
        <w:pStyle w:val="16"/>
        <w:numPr>
          <w:ilvl w:val="0"/>
          <w:numId w:val="1"/>
        </w:numPr>
        <w:spacing w:after="120" w:line="276" w:lineRule="auto"/>
      </w:pPr>
      <w:r>
        <w:rPr>
          <w:rFonts w:ascii="Arial" w:hAnsi="Arial" w:eastAsia="Arial" w:cs="Arial"/>
          <w:sz w:val="22"/>
          <w:szCs w:val="22"/>
        </w:rPr>
        <w:t>“If the 5-minute is bullish I should be long.” — Only if that long is consistent with the HTF narrative.</w:t>
      </w:r>
    </w:p>
    <w:p w14:paraId="0890B9ED">
      <w:pPr>
        <w:pStyle w:val="16"/>
        <w:numPr>
          <w:ilvl w:val="0"/>
          <w:numId w:val="1"/>
        </w:numPr>
        <w:spacing w:after="120" w:line="276" w:lineRule="auto"/>
      </w:pPr>
      <w:r>
        <w:rPr>
          <w:rFonts w:ascii="Arial" w:hAnsi="Arial" w:eastAsia="Arial" w:cs="Arial"/>
          <w:sz w:val="22"/>
          <w:szCs w:val="22"/>
        </w:rPr>
        <w:t>“I need the same setup on every timeframe.” — False. The HTF supplies the story; the LTF supplies the trigger.</w:t>
      </w:r>
    </w:p>
    <w:p w14:paraId="7F017F21">
      <w:pPr>
        <w:pStyle w:val="16"/>
        <w:numPr>
          <w:ilvl w:val="0"/>
          <w:numId w:val="1"/>
        </w:numPr>
        <w:spacing w:after="120" w:line="276" w:lineRule="auto"/>
      </w:pPr>
      <w:r>
        <w:rPr>
          <w:rFonts w:ascii="Arial" w:hAnsi="Arial" w:eastAsia="Arial" w:cs="Arial"/>
          <w:sz w:val="22"/>
          <w:szCs w:val="22"/>
        </w:rPr>
        <w:t>“Conflict means the market is random.” — False. Conflict means the lower timeframe is speaking about a smaller cycle inside a larger story that has not yet changed.</w:t>
      </w:r>
    </w:p>
    <w:p w14:paraId="14124973">
      <w:pPr>
        <w:pStyle w:val="16"/>
        <w:numPr>
          <w:ilvl w:val="0"/>
          <w:numId w:val="1"/>
        </w:numPr>
        <w:spacing w:after="120" w:line="276" w:lineRule="auto"/>
      </w:pPr>
      <w:r>
        <w:rPr>
          <w:rFonts w:ascii="Arial" w:hAnsi="Arial" w:eastAsia="Arial" w:cs="Arial"/>
          <w:sz w:val="22"/>
          <w:szCs w:val="22"/>
        </w:rPr>
        <w:t>“Once I have an LTF entry the HTF no longer matters.” — False. Management and invalidation remain anchored to the higher timeframe.</w:t>
      </w:r>
    </w:p>
    <w:p w14:paraId="5A50496D">
      <w:pPr>
        <w:pStyle w:val="3"/>
        <w:spacing w:before="280" w:after="180"/>
      </w:pPr>
      <w:r>
        <w:rPr>
          <w:rFonts w:ascii="Arial" w:hAnsi="Arial" w:eastAsia="Arial" w:cs="Arial"/>
          <w:b/>
          <w:bCs/>
          <w:sz w:val="26"/>
          <w:szCs w:val="26"/>
        </w:rPr>
        <w:t>Research Sources</w:t>
      </w:r>
    </w:p>
    <w:p w14:paraId="33B024FC">
      <w:pPr>
        <w:spacing w:after="200" w:line="276" w:lineRule="auto"/>
      </w:pPr>
      <w:r>
        <w:rPr>
          <w:rFonts w:ascii="Arial" w:hAnsi="Arial" w:eastAsia="Arial" w:cs="Arial"/>
          <w:sz w:val="22"/>
          <w:szCs w:val="22"/>
        </w:rPr>
        <w:t>Primary orientation is taken from ICT’s consistent emphasis on top-down analysis, the use of higher-timeframe PD arrays and liquidity as the destination, and the restriction of lower timeframes to refinement and entry timing. Fractal delivery is implicit in the repeated appearance of the same concepts across timeframes in ICT chart examples.</w:t>
      </w:r>
    </w:p>
    <w:p w14:paraId="3A9107C5">
      <w:pPr>
        <w:spacing w:after="200" w:line="276" w:lineRule="auto"/>
      </w:pPr>
      <w:r>
        <w:rPr>
          <w:rFonts w:ascii="Arial" w:hAnsi="Arial" w:eastAsia="Arial" w:cs="Arial"/>
          <w:sz w:val="22"/>
          <w:szCs w:val="22"/>
        </w:rPr>
        <w:t>Community resources that codify three-layer stacks (e.g., Daily / 1-hour / 5-minute) and alignment-versus-conflict rules are used where they faithfully reflect the primary ICT logic of subordinating lower-timeframe signals to the higher-timeframe narrative.</w:t>
      </w:r>
    </w:p>
    <w:p w14:paraId="66C09B75">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Key references include ICT mentorship and public material demonstrating top-down analysis, higher-timeframe bias determination, and lower-timeframe confirmation sequences. Secondary clarifications of timeframe roles appear in high-quality community educational material aligned with those teachings.</w:t>
      </w:r>
    </w:p>
    <w:p w14:paraId="55CB117C">
      <w:pPr>
        <w:pStyle w:val="2"/>
        <w:spacing w:before="360" w:after="240"/>
      </w:pPr>
      <w:r>
        <w:rPr>
          <w:rFonts w:ascii="Arial" w:hAnsi="Arial" w:eastAsia="Arial" w:cs="Arial"/>
          <w:b/>
          <w:bCs/>
          <w:sz w:val="32"/>
          <w:szCs w:val="32"/>
        </w:rPr>
        <w:t>Transition to Module 9</w:t>
      </w:r>
    </w:p>
    <w:p w14:paraId="49D7B559">
      <w:pPr>
        <w:spacing w:after="200" w:line="276" w:lineRule="auto"/>
      </w:pPr>
      <w:r>
        <w:rPr>
          <w:rFonts w:ascii="Arial" w:hAnsi="Arial" w:eastAsia="Arial" w:cs="Arial"/>
          <w:sz w:val="22"/>
          <w:szCs w:val="22"/>
        </w:rPr>
        <w:t>Module 8 has organised all prior tools into a coherent multi-timeframe narrative. Module 9 (Sessions &amp; Intraday Price Delivery) will add the time dimension: how the Asian range, London and New York sessions, and their kill zones interact with the narrative already established, so that the student knows not only which direction and which zone, but also which window of the day is most likely to deliver the move.</w:t>
      </w:r>
    </w:p>
    <w:p w14:paraId="43EDC5E5">
      <w:pPr>
        <w:spacing w:after="200" w:line="276" w:lineRule="auto"/>
        <w:rPr>
          <w:rFonts w:ascii="Arial" w:hAnsi="Arial" w:eastAsia="Arial" w:cs="Arial"/>
          <w:sz w:val="22"/>
          <w:szCs w:val="22"/>
        </w:rPr>
      </w:pPr>
      <w:r>
        <w:rPr>
          <w:rFonts w:ascii="Arial" w:hAnsi="Arial" w:eastAsia="Arial" w:cs="Arial"/>
          <w:sz w:val="22"/>
          <w:szCs w:val="22"/>
        </w:rPr>
        <w:br w:type="textWrapping"/>
      </w:r>
    </w:p>
    <w:p w14:paraId="5179B2BE">
      <w:pPr>
        <w:spacing w:after="200" w:line="276" w:lineRule="auto"/>
        <w:rPr>
          <w:rFonts w:ascii="Arial" w:hAnsi="Arial" w:eastAsia="Arial" w:cs="Arial"/>
          <w:sz w:val="22"/>
          <w:szCs w:val="22"/>
        </w:rPr>
      </w:pPr>
    </w:p>
    <w:p w14:paraId="4266C693">
      <w:pPr>
        <w:spacing w:after="200" w:line="276" w:lineRule="auto"/>
        <w:rPr>
          <w:rFonts w:ascii="Arial" w:hAnsi="Arial" w:eastAsia="Arial" w:cs="Arial"/>
          <w:sz w:val="22"/>
          <w:szCs w:val="22"/>
        </w:rPr>
      </w:pPr>
    </w:p>
    <w:p w14:paraId="5799AC58">
      <w:pPr>
        <w:spacing w:after="200" w:line="276" w:lineRule="auto"/>
        <w:rPr>
          <w:rFonts w:ascii="Arial" w:hAnsi="Arial" w:eastAsia="Arial" w:cs="Arial"/>
          <w:sz w:val="22"/>
          <w:szCs w:val="22"/>
        </w:rPr>
      </w:pPr>
    </w:p>
    <w:p w14:paraId="1C0B72CD">
      <w:pPr>
        <w:spacing w:after="200" w:line="276" w:lineRule="auto"/>
        <w:rPr>
          <w:rFonts w:ascii="Arial" w:hAnsi="Arial" w:eastAsia="Arial" w:cs="Arial"/>
          <w:sz w:val="22"/>
          <w:szCs w:val="22"/>
        </w:rPr>
      </w:pPr>
    </w:p>
    <w:p w14:paraId="037B806B">
      <w:pPr>
        <w:spacing w:after="200" w:line="276" w:lineRule="auto"/>
        <w:rPr>
          <w:rFonts w:ascii="Arial" w:hAnsi="Arial" w:eastAsia="Arial" w:cs="Arial"/>
          <w:sz w:val="22"/>
          <w:szCs w:val="22"/>
        </w:rPr>
      </w:pPr>
    </w:p>
    <w:p w14:paraId="0D8B3210">
      <w:pPr>
        <w:spacing w:after="200" w:line="276" w:lineRule="auto"/>
        <w:rPr>
          <w:rFonts w:ascii="Arial" w:hAnsi="Arial" w:eastAsia="Arial" w:cs="Arial"/>
          <w:sz w:val="22"/>
          <w:szCs w:val="22"/>
        </w:rPr>
      </w:pPr>
    </w:p>
    <w:p w14:paraId="7BDB82EA">
      <w:pPr>
        <w:spacing w:after="200" w:line="276" w:lineRule="auto"/>
        <w:rPr>
          <w:rFonts w:ascii="Arial" w:hAnsi="Arial" w:eastAsia="Arial" w:cs="Arial"/>
          <w:sz w:val="22"/>
          <w:szCs w:val="22"/>
        </w:rPr>
      </w:pPr>
    </w:p>
    <w:p w14:paraId="620FBF99">
      <w:pPr>
        <w:spacing w:after="200" w:line="276" w:lineRule="auto"/>
        <w:rPr>
          <w:rFonts w:ascii="Arial" w:hAnsi="Arial" w:eastAsia="Arial" w:cs="Arial"/>
          <w:sz w:val="22"/>
          <w:szCs w:val="22"/>
        </w:rPr>
      </w:pPr>
    </w:p>
    <w:p w14:paraId="03194259">
      <w:pPr>
        <w:spacing w:after="200" w:line="276" w:lineRule="auto"/>
        <w:rPr>
          <w:rFonts w:ascii="Arial" w:hAnsi="Arial" w:eastAsia="Arial" w:cs="Arial"/>
          <w:sz w:val="22"/>
          <w:szCs w:val="22"/>
        </w:rPr>
      </w:pPr>
    </w:p>
    <w:p w14:paraId="76BEA44B">
      <w:pPr>
        <w:spacing w:after="200" w:line="276" w:lineRule="auto"/>
        <w:rPr>
          <w:rFonts w:ascii="Arial" w:hAnsi="Arial" w:eastAsia="Arial" w:cs="Arial"/>
          <w:sz w:val="22"/>
          <w:szCs w:val="22"/>
        </w:rPr>
      </w:pPr>
    </w:p>
    <w:p w14:paraId="5B003A3C">
      <w:pPr>
        <w:spacing w:after="200" w:line="276" w:lineRule="auto"/>
        <w:rPr>
          <w:rFonts w:ascii="Arial" w:hAnsi="Arial" w:eastAsia="Arial" w:cs="Arial"/>
          <w:sz w:val="22"/>
          <w:szCs w:val="22"/>
        </w:rPr>
      </w:pPr>
    </w:p>
    <w:p w14:paraId="6D419075">
      <w:pPr>
        <w:spacing w:after="200" w:line="276" w:lineRule="auto"/>
        <w:rPr>
          <w:rFonts w:ascii="Arial" w:hAnsi="Arial" w:eastAsia="Arial" w:cs="Arial"/>
          <w:sz w:val="22"/>
          <w:szCs w:val="22"/>
        </w:rPr>
      </w:pPr>
    </w:p>
    <w:p w14:paraId="28B25FFD">
      <w:pPr>
        <w:spacing w:after="200" w:line="276" w:lineRule="auto"/>
        <w:rPr>
          <w:rFonts w:ascii="Arial" w:hAnsi="Arial" w:eastAsia="Arial" w:cs="Arial"/>
          <w:sz w:val="22"/>
          <w:szCs w:val="22"/>
        </w:rPr>
      </w:pPr>
    </w:p>
    <w:p w14:paraId="6EE79EBC">
      <w:pPr>
        <w:spacing w:after="200" w:line="276" w:lineRule="auto"/>
        <w:rPr>
          <w:rFonts w:ascii="Arial" w:hAnsi="Arial" w:eastAsia="Arial" w:cs="Arial"/>
          <w:sz w:val="22"/>
          <w:szCs w:val="22"/>
        </w:rPr>
      </w:pPr>
    </w:p>
    <w:p w14:paraId="309EFBB1">
      <w:pPr>
        <w:spacing w:after="200" w:line="276" w:lineRule="auto"/>
        <w:rPr>
          <w:rFonts w:ascii="Arial" w:hAnsi="Arial" w:eastAsia="Arial" w:cs="Arial"/>
          <w:sz w:val="22"/>
          <w:szCs w:val="22"/>
        </w:rPr>
      </w:pPr>
    </w:p>
    <w:p w14:paraId="776028B8">
      <w:pPr>
        <w:spacing w:after="200" w:line="276" w:lineRule="auto"/>
        <w:rPr>
          <w:rFonts w:ascii="Arial" w:hAnsi="Arial" w:eastAsia="Arial" w:cs="Arial"/>
          <w:sz w:val="22"/>
          <w:szCs w:val="22"/>
        </w:rPr>
      </w:pPr>
    </w:p>
    <w:p w14:paraId="206D57FA">
      <w:pPr>
        <w:spacing w:after="400"/>
        <w:jc w:val="center"/>
      </w:pPr>
      <w:r>
        <w:rPr>
          <w:rFonts w:ascii="Arial" w:hAnsi="Arial" w:eastAsia="Arial" w:cs="Arial"/>
          <w:b/>
          <w:bCs/>
          <w:sz w:val="36"/>
          <w:szCs w:val="36"/>
        </w:rPr>
        <w:t>MODULE 9</w:t>
      </w:r>
    </w:p>
    <w:p w14:paraId="629AE588">
      <w:pPr>
        <w:spacing w:after="200"/>
        <w:jc w:val="center"/>
      </w:pPr>
      <w:r>
        <w:rPr>
          <w:rFonts w:ascii="Arial" w:hAnsi="Arial" w:eastAsia="Arial" w:cs="Arial"/>
          <w:b/>
          <w:bCs/>
          <w:sz w:val="28"/>
          <w:szCs w:val="28"/>
        </w:rPr>
        <w:t>Sessions &amp; Intraday Price Delivery</w:t>
      </w:r>
    </w:p>
    <w:p w14:paraId="53B94DB3">
      <w:pPr>
        <w:spacing w:after="400"/>
        <w:jc w:val="center"/>
      </w:pPr>
      <w:r>
        <w:rPr>
          <w:rFonts w:ascii="Arial" w:hAnsi="Arial" w:eastAsia="Arial" w:cs="Arial"/>
          <w:i/>
          <w:iCs/>
          <w:sz w:val="20"/>
          <w:szCs w:val="20"/>
        </w:rPr>
        <w:t>Asian Range, London &amp; New York Kill Zones, Session Liquidity, Expansion / Retracement / Continuation / Reversal</w:t>
      </w:r>
    </w:p>
    <w:p w14:paraId="20F12E3F">
      <w:pPr>
        <w:pBdr>
          <w:left w:val="single" w:color="2E75B6" w:sz="24" w:space="8"/>
        </w:pBdr>
        <w:shd w:val="clear" w:fill="F5F5F5"/>
        <w:spacing w:before="120" w:after="200" w:line="276" w:lineRule="auto"/>
        <w:ind w:left="120"/>
      </w:pPr>
      <w:r>
        <w:rPr>
          <w:rFonts w:ascii="Arial" w:hAnsi="Arial" w:eastAsia="Arial" w:cs="Arial"/>
          <w:i/>
          <w:iCs/>
          <w:sz w:val="20"/>
          <w:szCs w:val="20"/>
        </w:rPr>
        <w:t>Prerequisite: Modules 1–8 assumed complete. The student can construct a multi-timeframe narrative, define dealing ranges, grade liquidity and PD arrays, and apply OTE inside the correct premium/discount half. This module adds the time dimension.</w:t>
      </w:r>
    </w:p>
    <w:p w14:paraId="2C7B8BD5">
      <w:pPr>
        <w:pStyle w:val="2"/>
        <w:spacing w:before="360" w:after="240"/>
      </w:pPr>
      <w:r>
        <w:rPr>
          <w:rFonts w:ascii="Arial" w:hAnsi="Arial" w:eastAsia="Arial" w:cs="Arial"/>
          <w:b/>
          <w:bCs/>
          <w:sz w:val="32"/>
          <w:szCs w:val="32"/>
        </w:rPr>
        <w:t>Module Objectives</w:t>
      </w:r>
    </w:p>
    <w:p w14:paraId="01D2CCFE">
      <w:pPr>
        <w:spacing w:after="200" w:line="276" w:lineRule="auto"/>
      </w:pPr>
      <w:r>
        <w:rPr>
          <w:rFonts w:ascii="Arial" w:hAnsi="Arial" w:eastAsia="Arial" w:cs="Arial"/>
          <w:sz w:val="22"/>
          <w:szCs w:val="22"/>
        </w:rPr>
        <w:t>By the end of this module the intermediate student should be able to:</w:t>
      </w:r>
    </w:p>
    <w:p w14:paraId="675D3E5B">
      <w:pPr>
        <w:pStyle w:val="16"/>
        <w:numPr>
          <w:ilvl w:val="0"/>
          <w:numId w:val="1"/>
        </w:numPr>
        <w:spacing w:after="120" w:line="276" w:lineRule="auto"/>
      </w:pPr>
      <w:r>
        <w:rPr>
          <w:rFonts w:ascii="Arial" w:hAnsi="Arial" w:eastAsia="Arial" w:cs="Arial"/>
          <w:sz w:val="22"/>
          <w:szCs w:val="22"/>
        </w:rPr>
        <w:t>Mark the Asian range and treat its high and low as primary intraday liquidity references.</w:t>
      </w:r>
    </w:p>
    <w:p w14:paraId="0DCB3605">
      <w:pPr>
        <w:pStyle w:val="16"/>
        <w:numPr>
          <w:ilvl w:val="0"/>
          <w:numId w:val="1"/>
        </w:numPr>
        <w:spacing w:after="120" w:line="276" w:lineRule="auto"/>
      </w:pPr>
      <w:r>
        <w:rPr>
          <w:rFonts w:ascii="Arial" w:hAnsi="Arial" w:eastAsia="Arial" w:cs="Arial"/>
          <w:sz w:val="22"/>
          <w:szCs w:val="22"/>
        </w:rPr>
        <w:t>Identify the London Open and New York Open Kill Zones and understand their typical behavioural roles.</w:t>
      </w:r>
    </w:p>
    <w:p w14:paraId="4C82FD59">
      <w:pPr>
        <w:pStyle w:val="16"/>
        <w:numPr>
          <w:ilvl w:val="0"/>
          <w:numId w:val="1"/>
        </w:numPr>
        <w:spacing w:after="120" w:line="276" w:lineRule="auto"/>
      </w:pPr>
      <w:r>
        <w:rPr>
          <w:rFonts w:ascii="Arial" w:hAnsi="Arial" w:eastAsia="Arial" w:cs="Arial"/>
          <w:sz w:val="22"/>
          <w:szCs w:val="22"/>
        </w:rPr>
        <w:t>Recognise the London → New York relationship (manipulation then distribution / continuation).</w:t>
      </w:r>
    </w:p>
    <w:p w14:paraId="12658F2C">
      <w:pPr>
        <w:pStyle w:val="16"/>
        <w:numPr>
          <w:ilvl w:val="0"/>
          <w:numId w:val="1"/>
        </w:numPr>
        <w:spacing w:after="120" w:line="276" w:lineRule="auto"/>
      </w:pPr>
      <w:r>
        <w:rPr>
          <w:rFonts w:ascii="Arial" w:hAnsi="Arial" w:eastAsia="Arial" w:cs="Arial"/>
          <w:sz w:val="22"/>
          <w:szCs w:val="22"/>
        </w:rPr>
        <w:t>Distinguish session expansion, retracement, continuation and reversal in real time.</w:t>
      </w:r>
    </w:p>
    <w:p w14:paraId="034677FC">
      <w:pPr>
        <w:pStyle w:val="16"/>
        <w:numPr>
          <w:ilvl w:val="0"/>
          <w:numId w:val="1"/>
        </w:numPr>
        <w:spacing w:after="120" w:line="276" w:lineRule="auto"/>
      </w:pPr>
      <w:r>
        <w:rPr>
          <w:rFonts w:ascii="Arial" w:hAnsi="Arial" w:eastAsia="Arial" w:cs="Arial"/>
          <w:sz w:val="22"/>
          <w:szCs w:val="22"/>
        </w:rPr>
        <w:t>Select the session (or kill zone) that best matches the higher-timeframe narrative.</w:t>
      </w:r>
    </w:p>
    <w:p w14:paraId="65AE353C">
      <w:pPr>
        <w:pStyle w:val="16"/>
        <w:numPr>
          <w:ilvl w:val="0"/>
          <w:numId w:val="1"/>
        </w:numPr>
        <w:spacing w:after="120" w:line="276" w:lineRule="auto"/>
      </w:pPr>
      <w:r>
        <w:rPr>
          <w:rFonts w:ascii="Arial" w:hAnsi="Arial" w:eastAsia="Arial" w:cs="Arial"/>
          <w:sz w:val="22"/>
          <w:szCs w:val="22"/>
        </w:rPr>
        <w:t>Avoid trading low-probability windows simply because a PD array is present.</w:t>
      </w:r>
    </w:p>
    <w:p w14:paraId="3D1A101D">
      <w:pPr>
        <w:pStyle w:val="16"/>
        <w:numPr>
          <w:ilvl w:val="0"/>
          <w:numId w:val="1"/>
        </w:numPr>
        <w:spacing w:after="120" w:line="276" w:lineRule="auto"/>
      </w:pPr>
      <w:r>
        <w:rPr>
          <w:rFonts w:ascii="Arial" w:hAnsi="Arial" w:eastAsia="Arial" w:cs="Arial"/>
          <w:sz w:val="22"/>
          <w:szCs w:val="22"/>
        </w:rPr>
        <w:t>Integrate session timing with the multi-timeframe narrative established in Module 8.</w:t>
      </w:r>
    </w:p>
    <w:p w14:paraId="42B208BA">
      <w:pPr>
        <w:pStyle w:val="2"/>
        <w:spacing w:before="360" w:after="240"/>
      </w:pPr>
      <w:r>
        <w:rPr>
          <w:rFonts w:ascii="Arial" w:hAnsi="Arial" w:eastAsia="Arial" w:cs="Arial"/>
          <w:b/>
          <w:bCs/>
          <w:sz w:val="32"/>
          <w:szCs w:val="32"/>
        </w:rPr>
        <w:t>Introduction: Time as a Filter</w:t>
      </w:r>
    </w:p>
    <w:p w14:paraId="35265A4D">
      <w:pPr>
        <w:spacing w:after="200" w:line="276" w:lineRule="auto"/>
      </w:pPr>
      <w:r>
        <w:rPr>
          <w:rFonts w:ascii="Arial" w:hAnsi="Arial" w:eastAsia="Arial" w:cs="Arial"/>
          <w:sz w:val="22"/>
          <w:szCs w:val="22"/>
        </w:rPr>
        <w:t>Modules 1–8 answered “which direction” and “which price zone.” Module 9 answers “when.” Within ICT teaching, institutional participation is not uniform across the 24-hour day. Specific windows — the kill zones — concentrate order flow and therefore concentrate high-quality displacement, liquidity events and PD-array reactions.</w:t>
      </w:r>
    </w:p>
    <w:p w14:paraId="1F94BB61">
      <w:pPr>
        <w:spacing w:after="200" w:line="276" w:lineRule="auto"/>
      </w:pPr>
      <w:r>
        <w:rPr>
          <w:rFonts w:ascii="Arial" w:hAnsi="Arial" w:eastAsia="Arial" w:cs="Arial"/>
          <w:sz w:val="22"/>
          <w:szCs w:val="22"/>
        </w:rPr>
        <w:t>The intermediate student learns to treat time as a hard filter: a perfect-looking FVG or OTE that forms outside a relevant kill zone is lower probability than the same array forming inside one.</w:t>
      </w:r>
    </w:p>
    <w:p w14:paraId="087E568D">
      <w:pPr>
        <w:pStyle w:val="2"/>
        <w:spacing w:before="360" w:after="240"/>
      </w:pPr>
      <w:r>
        <w:rPr>
          <w:rFonts w:ascii="Arial" w:hAnsi="Arial" w:eastAsia="Arial" w:cs="Arial"/>
          <w:b/>
          <w:bCs/>
          <w:sz w:val="32"/>
          <w:szCs w:val="32"/>
        </w:rPr>
        <w:t>1. The Asian Range as Reference</w:t>
      </w:r>
    </w:p>
    <w:p w14:paraId="2732D593">
      <w:pPr>
        <w:pStyle w:val="3"/>
        <w:spacing w:before="280" w:after="180"/>
      </w:pPr>
      <w:r>
        <w:rPr>
          <w:rFonts w:ascii="Arial" w:hAnsi="Arial" w:eastAsia="Arial" w:cs="Arial"/>
          <w:b/>
          <w:bCs/>
          <w:sz w:val="26"/>
          <w:szCs w:val="26"/>
        </w:rPr>
        <w:t>1.1 Character</w:t>
      </w:r>
    </w:p>
    <w:p w14:paraId="5298A62A">
      <w:pPr>
        <w:spacing w:after="200" w:line="276" w:lineRule="auto"/>
      </w:pPr>
      <w:r>
        <w:rPr>
          <w:rFonts w:ascii="Arial" w:hAnsi="Arial" w:eastAsia="Arial" w:cs="Arial"/>
          <w:sz w:val="22"/>
          <w:szCs w:val="22"/>
        </w:rPr>
        <w:t>The Asian session (commonly referenced in New York time as roughly 20:00–00:00 / 8:00 PM–12:00 AM ET, with minor variation by source and DST) is primarily a range-building or accumulation window. Volatility is typically lower; price often consolidates into a defined high and low.</w:t>
      </w:r>
    </w:p>
    <w:p w14:paraId="3BC9EBD6">
      <w:pPr>
        <w:pStyle w:val="3"/>
        <w:spacing w:before="280" w:after="180"/>
      </w:pPr>
      <w:r>
        <w:rPr>
          <w:rFonts w:ascii="Arial" w:hAnsi="Arial" w:eastAsia="Arial" w:cs="Arial"/>
          <w:b/>
          <w:bCs/>
          <w:sz w:val="26"/>
          <w:szCs w:val="26"/>
        </w:rPr>
        <w:t>1.2 Practical Use</w:t>
      </w:r>
    </w:p>
    <w:p w14:paraId="1B049967">
      <w:pPr>
        <w:spacing w:after="200" w:line="276" w:lineRule="auto"/>
      </w:pPr>
      <w:r>
        <w:rPr>
          <w:rFonts w:ascii="Arial" w:hAnsi="Arial" w:eastAsia="Arial" w:cs="Arial"/>
          <w:sz w:val="22"/>
          <w:szCs w:val="22"/>
        </w:rPr>
        <w:t>The high and low of the Asian range become the most important intraday liquidity references for the London session. London frequently sweeps one side of the Asian range (the Judas Swing / manipulation) before reversing or continuing in the direction of the higher-timeframe narrative.</w:t>
      </w:r>
    </w:p>
    <w:p w14:paraId="4104E97A">
      <w:pPr>
        <w:pStyle w:val="3"/>
        <w:spacing w:before="280" w:after="180"/>
      </w:pPr>
      <w:r>
        <w:rPr>
          <w:rFonts w:ascii="Arial" w:hAnsi="Arial" w:eastAsia="Arial" w:cs="Arial"/>
          <w:b/>
          <w:bCs/>
          <w:sz w:val="26"/>
          <w:szCs w:val="26"/>
        </w:rPr>
        <w:t>1.3 Intermediate Discipline</w:t>
      </w:r>
    </w:p>
    <w:p w14:paraId="30EC88FB">
      <w:pPr>
        <w:spacing w:after="200" w:line="276" w:lineRule="auto"/>
      </w:pPr>
      <w:r>
        <w:rPr>
          <w:rFonts w:ascii="Arial" w:hAnsi="Arial" w:eastAsia="Arial" w:cs="Arial"/>
          <w:sz w:val="22"/>
          <w:szCs w:val="22"/>
        </w:rPr>
        <w:t>The Asian range is marked for reference, not usually for aggressive directional trading. Chasing breakouts of the Asian range during Asia itself is a common low-quality behaviour.</w:t>
      </w:r>
    </w:p>
    <w:p w14:paraId="5E12D04A">
      <w:pPr>
        <w:pStyle w:val="2"/>
        <w:spacing w:before="360" w:after="240"/>
      </w:pPr>
      <w:r>
        <w:rPr>
          <w:rFonts w:ascii="Arial" w:hAnsi="Arial" w:eastAsia="Arial" w:cs="Arial"/>
          <w:b/>
          <w:bCs/>
          <w:sz w:val="32"/>
          <w:szCs w:val="32"/>
        </w:rPr>
        <w:t>2. London Open Kill Zone</w:t>
      </w:r>
    </w:p>
    <w:p w14:paraId="7B27777D">
      <w:pPr>
        <w:pStyle w:val="3"/>
        <w:spacing w:before="280" w:after="180"/>
      </w:pPr>
      <w:r>
        <w:rPr>
          <w:rFonts w:ascii="Arial" w:hAnsi="Arial" w:eastAsia="Arial" w:cs="Arial"/>
          <w:b/>
          <w:bCs/>
          <w:sz w:val="26"/>
          <w:szCs w:val="26"/>
        </w:rPr>
        <w:t>2.1 Timing</w:t>
      </w:r>
    </w:p>
    <w:p w14:paraId="16FBC928">
      <w:pPr>
        <w:spacing w:after="200" w:line="276" w:lineRule="auto"/>
      </w:pPr>
      <w:r>
        <w:rPr>
          <w:rFonts w:ascii="Arial" w:hAnsi="Arial" w:eastAsia="Arial" w:cs="Arial"/>
          <w:sz w:val="22"/>
          <w:szCs w:val="22"/>
        </w:rPr>
        <w:t>The London Open Kill Zone is commonly cited as approximately 02:00–05:00 ET (New York time). Traders must adjust for daylight saving and confirm against their broker’s server time.</w:t>
      </w:r>
    </w:p>
    <w:p w14:paraId="0EFA4A5B">
      <w:pPr>
        <w:pStyle w:val="3"/>
        <w:spacing w:before="280" w:after="180"/>
      </w:pPr>
      <w:r>
        <w:rPr>
          <w:rFonts w:ascii="Arial" w:hAnsi="Arial" w:eastAsia="Arial" w:cs="Arial"/>
          <w:b/>
          <w:bCs/>
          <w:sz w:val="26"/>
          <w:szCs w:val="26"/>
        </w:rPr>
        <w:t>2.2 Typical Behaviour</w:t>
      </w:r>
    </w:p>
    <w:p w14:paraId="71FB2A51">
      <w:pPr>
        <w:spacing w:after="200" w:line="276" w:lineRule="auto"/>
      </w:pPr>
      <w:r>
        <w:rPr>
          <w:rFonts w:ascii="Arial" w:hAnsi="Arial" w:eastAsia="Arial" w:cs="Arial"/>
          <w:sz w:val="22"/>
          <w:szCs w:val="22"/>
        </w:rPr>
        <w:t>London is frequently the first major liquidity event of the trading day for FX pairs. Characteristic behaviours include:</w:t>
      </w:r>
    </w:p>
    <w:p w14:paraId="54233B71">
      <w:pPr>
        <w:pStyle w:val="16"/>
        <w:numPr>
          <w:ilvl w:val="0"/>
          <w:numId w:val="1"/>
        </w:numPr>
        <w:spacing w:after="120" w:line="276" w:lineRule="auto"/>
      </w:pPr>
      <w:r>
        <w:rPr>
          <w:rFonts w:ascii="Arial" w:hAnsi="Arial" w:eastAsia="Arial" w:cs="Arial"/>
          <w:sz w:val="22"/>
          <w:szCs w:val="22"/>
        </w:rPr>
        <w:t>A sweep of the Asian range high or low (manipulation / Judas Swing),</w:t>
      </w:r>
    </w:p>
    <w:p w14:paraId="6EDFD745">
      <w:pPr>
        <w:pStyle w:val="16"/>
        <w:numPr>
          <w:ilvl w:val="0"/>
          <w:numId w:val="1"/>
        </w:numPr>
        <w:spacing w:after="120" w:line="276" w:lineRule="auto"/>
      </w:pPr>
      <w:r>
        <w:rPr>
          <w:rFonts w:ascii="Arial" w:hAnsi="Arial" w:eastAsia="Arial" w:cs="Arial"/>
          <w:sz w:val="22"/>
          <w:szCs w:val="22"/>
        </w:rPr>
        <w:t>Subsequent displacement and Market Structure Shift in the opposite direction or in the direction of the daily bias,</w:t>
      </w:r>
    </w:p>
    <w:p w14:paraId="10B3D1BA">
      <w:pPr>
        <w:pStyle w:val="16"/>
        <w:numPr>
          <w:ilvl w:val="0"/>
          <w:numId w:val="1"/>
        </w:numPr>
        <w:spacing w:after="120" w:line="276" w:lineRule="auto"/>
      </w:pPr>
      <w:r>
        <w:rPr>
          <w:rFonts w:ascii="Arial" w:hAnsi="Arial" w:eastAsia="Arial" w:cs="Arial"/>
          <w:sz w:val="22"/>
          <w:szCs w:val="22"/>
        </w:rPr>
        <w:t>Creation of the PD arrays (FVG, Order Block) that will be used for entry on the retracement.</w:t>
      </w:r>
    </w:p>
    <w:p w14:paraId="6C097454">
      <w:pPr>
        <w:pStyle w:val="3"/>
        <w:spacing w:before="280" w:after="180"/>
      </w:pPr>
      <w:r>
        <w:rPr>
          <w:rFonts w:ascii="Arial" w:hAnsi="Arial" w:eastAsia="Arial" w:cs="Arial"/>
          <w:b/>
          <w:bCs/>
          <w:sz w:val="26"/>
          <w:szCs w:val="26"/>
        </w:rPr>
        <w:t>2.3 Role in the Narrative</w:t>
      </w:r>
    </w:p>
    <w:p w14:paraId="660F9987">
      <w:pPr>
        <w:spacing w:after="200" w:line="276" w:lineRule="auto"/>
      </w:pPr>
      <w:r>
        <w:rPr>
          <w:rFonts w:ascii="Arial" w:hAnsi="Arial" w:eastAsia="Arial" w:cs="Arial"/>
          <w:sz w:val="22"/>
          <w:szCs w:val="22"/>
        </w:rPr>
        <w:t>When the higher-timeframe bias is clear, London often delivers the first high-probability expression of that bias after the Asian liquidity has been engineered.</w:t>
      </w:r>
    </w:p>
    <w:p w14:paraId="107B619A">
      <w:pPr>
        <w:pStyle w:val="2"/>
        <w:spacing w:before="360" w:after="240"/>
      </w:pPr>
      <w:r>
        <w:rPr>
          <w:rFonts w:ascii="Arial" w:hAnsi="Arial" w:eastAsia="Arial" w:cs="Arial"/>
          <w:b/>
          <w:bCs/>
          <w:sz w:val="32"/>
          <w:szCs w:val="32"/>
        </w:rPr>
        <w:t>3. New York Open Kill Zone</w:t>
      </w:r>
    </w:p>
    <w:p w14:paraId="1363B405">
      <w:pPr>
        <w:pStyle w:val="3"/>
        <w:spacing w:before="280" w:after="180"/>
      </w:pPr>
      <w:r>
        <w:rPr>
          <w:rFonts w:ascii="Arial" w:hAnsi="Arial" w:eastAsia="Arial" w:cs="Arial"/>
          <w:b/>
          <w:bCs/>
          <w:sz w:val="26"/>
          <w:szCs w:val="26"/>
        </w:rPr>
        <w:t>3.1 Timing</w:t>
      </w:r>
    </w:p>
    <w:p w14:paraId="7A69F1FF">
      <w:pPr>
        <w:spacing w:after="200" w:line="276" w:lineRule="auto"/>
      </w:pPr>
      <w:r>
        <w:rPr>
          <w:rFonts w:ascii="Arial" w:hAnsi="Arial" w:eastAsia="Arial" w:cs="Arial"/>
          <w:sz w:val="22"/>
          <w:szCs w:val="22"/>
        </w:rPr>
        <w:t>The New York Open Kill Zone is commonly cited as approximately 07:00–10:00 ET (sometimes narrowed or extended depending on the source; many focus on 07:00–09:00 or include the 08:30–11:00 window that overlaps equity-market open). Again, confirm local and broker time.</w:t>
      </w:r>
    </w:p>
    <w:p w14:paraId="0583C349">
      <w:pPr>
        <w:pStyle w:val="3"/>
        <w:spacing w:before="280" w:after="180"/>
      </w:pPr>
      <w:r>
        <w:rPr>
          <w:rFonts w:ascii="Arial" w:hAnsi="Arial" w:eastAsia="Arial" w:cs="Arial"/>
          <w:b/>
          <w:bCs/>
          <w:sz w:val="26"/>
          <w:szCs w:val="26"/>
        </w:rPr>
        <w:t>3.2 Typical Behaviour</w:t>
      </w:r>
    </w:p>
    <w:p w14:paraId="1B8D6979">
      <w:pPr>
        <w:spacing w:after="200" w:line="276" w:lineRule="auto"/>
      </w:pPr>
      <w:r>
        <w:rPr>
          <w:rFonts w:ascii="Arial" w:hAnsi="Arial" w:eastAsia="Arial" w:cs="Arial"/>
          <w:sz w:val="22"/>
          <w:szCs w:val="22"/>
        </w:rPr>
        <w:t>New York often continues or expands the directional move initiated in London, or delivers a second liquidity event and displacement if London was only the manipulation phase. The London–New York overlap is typically the highest-volume period of the day for many instruments.</w:t>
      </w:r>
    </w:p>
    <w:p w14:paraId="4535E6D9">
      <w:pPr>
        <w:pStyle w:val="3"/>
        <w:spacing w:before="280" w:after="180"/>
      </w:pPr>
      <w:r>
        <w:rPr>
          <w:rFonts w:ascii="Arial" w:hAnsi="Arial" w:eastAsia="Arial" w:cs="Arial"/>
          <w:b/>
          <w:bCs/>
          <w:sz w:val="26"/>
          <w:szCs w:val="26"/>
        </w:rPr>
        <w:t>3.3 Relationship to London</w:t>
      </w:r>
    </w:p>
    <w:p w14:paraId="204C6E94">
      <w:pPr>
        <w:spacing w:after="200" w:line="276" w:lineRule="auto"/>
      </w:pPr>
      <w:r>
        <w:rPr>
          <w:rFonts w:ascii="Arial" w:hAnsi="Arial" w:eastAsia="Arial" w:cs="Arial"/>
          <w:sz w:val="22"/>
          <w:szCs w:val="22"/>
        </w:rPr>
        <w:t>A frequent sequence is: Asian range builds liquidity → London sweeps one side and establishes direction → New York continues that direction or raids the opposite side and then continues. The intermediate student watches the relationship rather than treating each session in isolation.</w:t>
      </w:r>
    </w:p>
    <w:p w14:paraId="7685D567">
      <w:pPr>
        <w:pStyle w:val="2"/>
        <w:spacing w:before="360" w:after="240"/>
      </w:pPr>
      <w:r>
        <w:rPr>
          <w:rFonts w:ascii="Arial" w:hAnsi="Arial" w:eastAsia="Arial" w:cs="Arial"/>
          <w:b/>
          <w:bCs/>
          <w:sz w:val="32"/>
          <w:szCs w:val="32"/>
        </w:rPr>
        <w:t>4. London Close and Other Windows</w:t>
      </w:r>
    </w:p>
    <w:p w14:paraId="51A33E82">
      <w:pPr>
        <w:pStyle w:val="3"/>
        <w:spacing w:before="280" w:after="180"/>
      </w:pPr>
      <w:r>
        <w:rPr>
          <w:rFonts w:ascii="Arial" w:hAnsi="Arial" w:eastAsia="Arial" w:cs="Arial"/>
          <w:b/>
          <w:bCs/>
          <w:sz w:val="26"/>
          <w:szCs w:val="26"/>
        </w:rPr>
        <w:t>4.1 London Close</w:t>
      </w:r>
    </w:p>
    <w:p w14:paraId="709856CF">
      <w:pPr>
        <w:spacing w:after="200" w:line="276" w:lineRule="auto"/>
      </w:pPr>
      <w:r>
        <w:rPr>
          <w:rFonts w:ascii="Arial" w:hAnsi="Arial" w:eastAsia="Arial" w:cs="Arial"/>
          <w:sz w:val="22"/>
          <w:szCs w:val="22"/>
        </w:rPr>
        <w:t>A London Close window (often referenced around 10:00–12:00 ET) can produce profit-taking, reversals or continuation depending on the day’s profile. It is secondary to the Open kill zones for most intermediate models.</w:t>
      </w:r>
    </w:p>
    <w:p w14:paraId="7D9CA999">
      <w:pPr>
        <w:pStyle w:val="3"/>
        <w:spacing w:before="280" w:after="180"/>
      </w:pPr>
      <w:r>
        <w:rPr>
          <w:rFonts w:ascii="Arial" w:hAnsi="Arial" w:eastAsia="Arial" w:cs="Arial"/>
          <w:b/>
          <w:bCs/>
          <w:sz w:val="26"/>
          <w:szCs w:val="26"/>
        </w:rPr>
        <w:t>4.2 Low-Probability Periods</w:t>
      </w:r>
    </w:p>
    <w:p w14:paraId="46B443B0">
      <w:pPr>
        <w:spacing w:after="200" w:line="276" w:lineRule="auto"/>
      </w:pPr>
      <w:r>
        <w:rPr>
          <w:rFonts w:ascii="Arial" w:hAnsi="Arial" w:eastAsia="Arial" w:cs="Arial"/>
          <w:sz w:val="22"/>
          <w:szCs w:val="22"/>
        </w:rPr>
        <w:t>Midday / lunch periods and late Asian hours are frequently low-conviction. Intermediate discipline is to stand aside rather than force setups in dead zones.</w:t>
      </w:r>
    </w:p>
    <w:p w14:paraId="58C27FDC">
      <w:pPr>
        <w:pStyle w:val="2"/>
        <w:spacing w:before="360" w:after="240"/>
      </w:pPr>
      <w:r>
        <w:rPr>
          <w:rFonts w:ascii="Arial" w:hAnsi="Arial" w:eastAsia="Arial" w:cs="Arial"/>
          <w:b/>
          <w:bCs/>
          <w:sz w:val="32"/>
          <w:szCs w:val="32"/>
        </w:rPr>
        <w:t>5. Session Highs, Lows and Liquidity</w:t>
      </w:r>
    </w:p>
    <w:p w14:paraId="1FB2B04D">
      <w:pPr>
        <w:pStyle w:val="3"/>
        <w:spacing w:before="280" w:after="180"/>
      </w:pPr>
      <w:r>
        <w:rPr>
          <w:rFonts w:ascii="Arial" w:hAnsi="Arial" w:eastAsia="Arial" w:cs="Arial"/>
          <w:b/>
          <w:bCs/>
          <w:sz w:val="26"/>
          <w:szCs w:val="26"/>
        </w:rPr>
        <w:t>5.1 Session Extremes as Liquidity</w:t>
      </w:r>
    </w:p>
    <w:p w14:paraId="5EFA4CF4">
      <w:pPr>
        <w:spacing w:after="200" w:line="276" w:lineRule="auto"/>
      </w:pPr>
      <w:r>
        <w:rPr>
          <w:rFonts w:ascii="Arial" w:hAnsi="Arial" w:eastAsia="Arial" w:cs="Arial"/>
          <w:sz w:val="22"/>
          <w:szCs w:val="22"/>
        </w:rPr>
        <w:t>Each session prints its own high and low. These extremes become intraday buy-side and sell-side liquidity pools. The Asian high/low are the most commonly raided; London and New York highs/lows become targets or further liquidity for later sessions or the next day.</w:t>
      </w:r>
    </w:p>
    <w:p w14:paraId="72E21186">
      <w:pPr>
        <w:pStyle w:val="3"/>
        <w:spacing w:before="280" w:after="180"/>
      </w:pPr>
      <w:r>
        <w:rPr>
          <w:rFonts w:ascii="Arial" w:hAnsi="Arial" w:eastAsia="Arial" w:cs="Arial"/>
          <w:b/>
          <w:bCs/>
          <w:sz w:val="26"/>
          <w:szCs w:val="26"/>
        </w:rPr>
        <w:t>5.2 Sequential Liquidity Across Sessions</w:t>
      </w:r>
    </w:p>
    <w:p w14:paraId="30B28289">
      <w:pPr>
        <w:spacing w:after="200" w:line="276" w:lineRule="auto"/>
      </w:pPr>
      <w:r>
        <w:rPr>
          <w:rFonts w:ascii="Arial" w:hAnsi="Arial" w:eastAsia="Arial" w:cs="Arial"/>
          <w:sz w:val="22"/>
          <w:szCs w:val="22"/>
        </w:rPr>
        <w:t>Price may raid Asian liquidity in London, then target London extremes in New York, then leave New York extremes as the next day’s Asian or London objectives. Mapping these sequential pools keeps the intraday Draw on Liquidity coherent.</w:t>
      </w:r>
    </w:p>
    <w:p w14:paraId="38E91C11">
      <w:pPr>
        <w:pStyle w:val="2"/>
        <w:spacing w:before="360" w:after="240"/>
      </w:pPr>
      <w:r>
        <w:rPr>
          <w:rFonts w:ascii="Arial" w:hAnsi="Arial" w:eastAsia="Arial" w:cs="Arial"/>
          <w:b/>
          <w:bCs/>
          <w:sz w:val="32"/>
          <w:szCs w:val="32"/>
        </w:rPr>
        <w:t>6. Session Expansion, Retracement, Continuation and Reversal</w:t>
      </w:r>
    </w:p>
    <w:p w14:paraId="77DF6F3B">
      <w:pPr>
        <w:pStyle w:val="3"/>
        <w:spacing w:before="280" w:after="180"/>
      </w:pPr>
      <w:r>
        <w:rPr>
          <w:rFonts w:ascii="Arial" w:hAnsi="Arial" w:eastAsia="Arial" w:cs="Arial"/>
          <w:b/>
          <w:bCs/>
          <w:sz w:val="26"/>
          <w:szCs w:val="26"/>
        </w:rPr>
        <w:t>6.1 Expansion</w:t>
      </w:r>
    </w:p>
    <w:p w14:paraId="77BCDE8F">
      <w:pPr>
        <w:spacing w:after="200" w:line="276" w:lineRule="auto"/>
      </w:pPr>
      <w:r>
        <w:rPr>
          <w:rFonts w:ascii="Arial" w:hAnsi="Arial" w:eastAsia="Arial" w:cs="Arial"/>
          <w:sz w:val="22"/>
          <w:szCs w:val="22"/>
        </w:rPr>
        <w:t>Session expansion is the forceful directional move that leaves displacement and PD arrays. It is the phase in which the session’s true directional intent is expressed.</w:t>
      </w:r>
    </w:p>
    <w:p w14:paraId="36E070AC">
      <w:pPr>
        <w:pStyle w:val="3"/>
        <w:spacing w:before="280" w:after="180"/>
      </w:pPr>
      <w:r>
        <w:rPr>
          <w:rFonts w:ascii="Arial" w:hAnsi="Arial" w:eastAsia="Arial" w:cs="Arial"/>
          <w:b/>
          <w:bCs/>
          <w:sz w:val="26"/>
          <w:szCs w:val="26"/>
        </w:rPr>
        <w:t>6.2 Retracement</w:t>
      </w:r>
    </w:p>
    <w:p w14:paraId="745B39D3">
      <w:pPr>
        <w:spacing w:after="200" w:line="276" w:lineRule="auto"/>
      </w:pPr>
      <w:r>
        <w:rPr>
          <w:rFonts w:ascii="Arial" w:hAnsi="Arial" w:eastAsia="Arial" w:cs="Arial"/>
          <w:sz w:val="22"/>
          <w:szCs w:val="22"/>
        </w:rPr>
        <w:t>After expansion, price often retraces into the PD arrays (FVG, Order Block, OTE) created by the expansion. This retracement is the preferred intermediate entry window.</w:t>
      </w:r>
    </w:p>
    <w:p w14:paraId="1FCA35CB">
      <w:pPr>
        <w:pStyle w:val="3"/>
        <w:spacing w:before="280" w:after="180"/>
      </w:pPr>
      <w:r>
        <w:rPr>
          <w:rFonts w:ascii="Arial" w:hAnsi="Arial" w:eastAsia="Arial" w:cs="Arial"/>
          <w:b/>
          <w:bCs/>
          <w:sz w:val="26"/>
          <w:szCs w:val="26"/>
        </w:rPr>
        <w:t>6.3 Continuation</w:t>
      </w:r>
    </w:p>
    <w:p w14:paraId="6C4060D5">
      <w:pPr>
        <w:spacing w:after="200" w:line="276" w:lineRule="auto"/>
      </w:pPr>
      <w:r>
        <w:rPr>
          <w:rFonts w:ascii="Arial" w:hAnsi="Arial" w:eastAsia="Arial" w:cs="Arial"/>
          <w:sz w:val="22"/>
          <w:szCs w:val="22"/>
        </w:rPr>
        <w:t>Continuation occurs when the session (or the next session) resumes in the direction of the prior expansion after the retracement, typically targeting the next liquidity pool.</w:t>
      </w:r>
    </w:p>
    <w:p w14:paraId="4BB605FB">
      <w:pPr>
        <w:pStyle w:val="3"/>
        <w:spacing w:before="280" w:after="180"/>
      </w:pPr>
      <w:r>
        <w:rPr>
          <w:rFonts w:ascii="Arial" w:hAnsi="Arial" w:eastAsia="Arial" w:cs="Arial"/>
          <w:b/>
          <w:bCs/>
          <w:sz w:val="26"/>
          <w:szCs w:val="26"/>
        </w:rPr>
        <w:t>6.4 Reversal</w:t>
      </w:r>
    </w:p>
    <w:p w14:paraId="2D662B44">
      <w:pPr>
        <w:spacing w:after="200" w:line="276" w:lineRule="auto"/>
      </w:pPr>
      <w:r>
        <w:rPr>
          <w:rFonts w:ascii="Arial" w:hAnsi="Arial" w:eastAsia="Arial" w:cs="Arial"/>
          <w:sz w:val="22"/>
          <w:szCs w:val="22"/>
        </w:rPr>
        <w:t>Session reversal occurs when the initial expansion is itself a manipulation (e.g., Judas Swing of the Asian range) and the true directional move is opposite. Distinguishing manipulation from genuine expansion requires the higher-timeframe narrative and the quality of the subsequent displacement and MSS.</w:t>
      </w:r>
    </w:p>
    <w:p w14:paraId="169B6E72">
      <w:pPr>
        <w:pStyle w:val="2"/>
        <w:spacing w:before="360" w:after="240"/>
      </w:pPr>
      <w:r>
        <w:rPr>
          <w:rFonts w:ascii="Arial" w:hAnsi="Arial" w:eastAsia="Arial" w:cs="Arial"/>
          <w:b/>
          <w:bCs/>
          <w:sz w:val="32"/>
          <w:szCs w:val="32"/>
        </w:rPr>
        <w:t>7. Kill-Zone Context and Session Selection</w:t>
      </w:r>
    </w:p>
    <w:p w14:paraId="03241B7C">
      <w:pPr>
        <w:pStyle w:val="3"/>
        <w:spacing w:before="280" w:after="180"/>
      </w:pPr>
      <w:r>
        <w:rPr>
          <w:rFonts w:ascii="Arial" w:hAnsi="Arial" w:eastAsia="Arial" w:cs="Arial"/>
          <w:b/>
          <w:bCs/>
          <w:sz w:val="26"/>
          <w:szCs w:val="26"/>
        </w:rPr>
        <w:t>7.1 Narrative First, Time Second</w:t>
      </w:r>
    </w:p>
    <w:p w14:paraId="4A4DD8BA">
      <w:pPr>
        <w:spacing w:after="200" w:line="276" w:lineRule="auto"/>
      </w:pPr>
      <w:r>
        <w:rPr>
          <w:rFonts w:ascii="Arial" w:hAnsi="Arial" w:eastAsia="Arial" w:cs="Arial"/>
          <w:sz w:val="22"/>
          <w:szCs w:val="22"/>
        </w:rPr>
        <w:t>Session selection is subordinate to the multi-timeframe narrative (Module 8). The student first decides the directional story and the price zone of interest, then asks which kill zone is most likely to deliver that story.</w:t>
      </w:r>
    </w:p>
    <w:p w14:paraId="2B6B2439">
      <w:pPr>
        <w:pStyle w:val="3"/>
        <w:spacing w:before="280" w:after="180"/>
      </w:pPr>
      <w:r>
        <w:rPr>
          <w:rFonts w:ascii="Arial" w:hAnsi="Arial" w:eastAsia="Arial" w:cs="Arial"/>
          <w:b/>
          <w:bCs/>
          <w:sz w:val="26"/>
          <w:szCs w:val="26"/>
        </w:rPr>
        <w:t>7.2 Practical Matching</w:t>
      </w:r>
    </w:p>
    <w:p w14:paraId="643402E0">
      <w:pPr>
        <w:pStyle w:val="16"/>
        <w:numPr>
          <w:ilvl w:val="0"/>
          <w:numId w:val="1"/>
        </w:numPr>
        <w:spacing w:after="120" w:line="276" w:lineRule="auto"/>
      </w:pPr>
      <w:r>
        <w:rPr>
          <w:rFonts w:ascii="Arial" w:hAnsi="Arial" w:eastAsia="Arial" w:cs="Arial"/>
          <w:sz w:val="22"/>
          <w:szCs w:val="22"/>
        </w:rPr>
        <w:t>Clear daily bias + Asian range ready to be swept → London Open is often the first opportunity.</w:t>
      </w:r>
    </w:p>
    <w:p w14:paraId="7451B6EE">
      <w:pPr>
        <w:pStyle w:val="16"/>
        <w:numPr>
          <w:ilvl w:val="0"/>
          <w:numId w:val="1"/>
        </w:numPr>
        <w:spacing w:after="120" w:line="276" w:lineRule="auto"/>
      </w:pPr>
      <w:r>
        <w:rPr>
          <w:rFonts w:ascii="Arial" w:hAnsi="Arial" w:eastAsia="Arial" w:cs="Arial"/>
          <w:sz w:val="22"/>
          <w:szCs w:val="22"/>
        </w:rPr>
        <w:t>London has already established direction and left PD arrays → New York Open may continue or refine the entry.</w:t>
      </w:r>
    </w:p>
    <w:p w14:paraId="1DC852D7">
      <w:pPr>
        <w:pStyle w:val="16"/>
        <w:numPr>
          <w:ilvl w:val="0"/>
          <w:numId w:val="1"/>
        </w:numPr>
        <w:spacing w:after="120" w:line="276" w:lineRule="auto"/>
      </w:pPr>
      <w:r>
        <w:rPr>
          <w:rFonts w:ascii="Arial" w:hAnsi="Arial" w:eastAsia="Arial" w:cs="Arial"/>
          <w:sz w:val="22"/>
          <w:szCs w:val="22"/>
        </w:rPr>
        <w:t>No clear narrative or conflicting signals → stand aside regardless of the clock.</w:t>
      </w:r>
    </w:p>
    <w:p w14:paraId="6E8FE833">
      <w:pPr>
        <w:pStyle w:val="3"/>
        <w:spacing w:before="280" w:after="180"/>
      </w:pPr>
      <w:r>
        <w:rPr>
          <w:rFonts w:ascii="Arial" w:hAnsi="Arial" w:eastAsia="Arial" w:cs="Arial"/>
          <w:b/>
          <w:bCs/>
          <w:sz w:val="26"/>
          <w:szCs w:val="26"/>
        </w:rPr>
        <w:t>7.3 One-Session Focus</w:t>
      </w:r>
    </w:p>
    <w:p w14:paraId="221BF129">
      <w:pPr>
        <w:spacing w:after="200" w:line="276" w:lineRule="auto"/>
      </w:pPr>
      <w:r>
        <w:rPr>
          <w:rFonts w:ascii="Arial" w:hAnsi="Arial" w:eastAsia="Arial" w:cs="Arial"/>
          <w:sz w:val="22"/>
          <w:szCs w:val="22"/>
        </w:rPr>
        <w:t>Many consistent intermediate practitioners specialise in a single kill zone (London or New York) rather than attempting to trade every window. Mastery of one window is preferable to mediocre coverage of all windows.</w:t>
      </w:r>
    </w:p>
    <w:p w14:paraId="525BE804">
      <w:pPr>
        <w:pStyle w:val="2"/>
        <w:spacing w:before="360" w:after="240"/>
      </w:pPr>
      <w:r>
        <w:rPr>
          <w:rFonts w:ascii="Arial" w:hAnsi="Arial" w:eastAsia="Arial" w:cs="Arial"/>
          <w:b/>
          <w:bCs/>
          <w:sz w:val="32"/>
          <w:szCs w:val="32"/>
        </w:rPr>
        <w:t>Worked Example — London Sweep into New York Continuation</w:t>
      </w:r>
    </w:p>
    <w:p w14:paraId="3B607D23">
      <w:pPr>
        <w:spacing w:after="200" w:line="276" w:lineRule="auto"/>
      </w:pPr>
      <w:r>
        <w:rPr>
          <w:rFonts w:ascii="Arial" w:hAnsi="Arial" w:eastAsia="Arial" w:cs="Arial"/>
          <w:sz w:val="22"/>
          <w:szCs w:val="22"/>
        </w:rPr>
        <w:t>HTF narrative: Daily bias bullish; price in discount relative to the daily dealing range; Draw on Liquidity is buy-side above a prior daily high.</w:t>
      </w:r>
    </w:p>
    <w:p w14:paraId="56B5530F">
      <w:pPr>
        <w:spacing w:after="200" w:line="276" w:lineRule="auto"/>
      </w:pPr>
      <w:r>
        <w:rPr>
          <w:rFonts w:ascii="Arial" w:hAnsi="Arial" w:eastAsia="Arial" w:cs="Arial"/>
          <w:sz w:val="22"/>
          <w:szCs w:val="22"/>
        </w:rPr>
        <w:t>Asian range: High 1.0850, Low 1.0800. Marked as primary intraday liquidity.</w:t>
      </w:r>
    </w:p>
    <w:p w14:paraId="64A9CA8F">
      <w:pPr>
        <w:spacing w:after="200" w:line="276" w:lineRule="auto"/>
      </w:pPr>
      <w:r>
        <w:rPr>
          <w:rFonts w:ascii="Arial" w:hAnsi="Arial" w:eastAsia="Arial" w:cs="Arial"/>
          <w:sz w:val="22"/>
          <w:szCs w:val="22"/>
        </w:rPr>
        <w:t>London Open: Price sweeps the Asian low (1.0795), then displaces higher with a clear MSS and leaves a bullish FVG / Order Block in discount. This is interpreted as manipulation of sell-side liquidity followed by bullish expansion.</w:t>
      </w:r>
    </w:p>
    <w:p w14:paraId="3D91B78E">
      <w:pPr>
        <w:spacing w:after="200" w:line="276" w:lineRule="auto"/>
      </w:pPr>
      <w:r>
        <w:rPr>
          <w:rFonts w:ascii="Arial" w:hAnsi="Arial" w:eastAsia="Arial" w:cs="Arial"/>
          <w:sz w:val="22"/>
          <w:szCs w:val="22"/>
        </w:rPr>
        <w:t>Entry: Retracement into the London-created FVG / OTE during the remainder of the London kill zone or early New York.</w:t>
      </w:r>
    </w:p>
    <w:p w14:paraId="15EBE3DB">
      <w:pPr>
        <w:spacing w:after="200" w:line="276" w:lineRule="auto"/>
      </w:pPr>
      <w:r>
        <w:rPr>
          <w:rFonts w:ascii="Arial" w:hAnsi="Arial" w:eastAsia="Arial" w:cs="Arial"/>
          <w:sz w:val="22"/>
          <w:szCs w:val="22"/>
        </w:rPr>
        <w:t>New York: Continues the bullish expansion toward the daily buy-side objective. Partial profits at internal liquidity; remainder held toward the HTF target.</w:t>
      </w:r>
    </w:p>
    <w:p w14:paraId="14841B71">
      <w:pPr>
        <w:spacing w:after="200" w:line="276" w:lineRule="auto"/>
      </w:pPr>
      <w:r>
        <w:rPr>
          <w:rFonts w:ascii="Arial" w:hAnsi="Arial" w:eastAsia="Arial" w:cs="Arial"/>
          <w:sz w:val="22"/>
          <w:szCs w:val="22"/>
        </w:rPr>
        <w:t>Invalidation: Decisive close back below the London displacement origin or the Asian low that was swept, depending on the exact structural reference chosen.</w:t>
      </w:r>
    </w:p>
    <w:p w14:paraId="1EFB36D5">
      <w:pPr>
        <w:pStyle w:val="2"/>
        <w:spacing w:before="360" w:after="240"/>
      </w:pPr>
      <w:r>
        <w:rPr>
          <w:rFonts w:ascii="Arial" w:hAnsi="Arial" w:eastAsia="Arial" w:cs="Arial"/>
          <w:b/>
          <w:bCs/>
          <w:sz w:val="32"/>
          <w:szCs w:val="32"/>
        </w:rPr>
        <w:t>Visual Reference — Typical Intraday Sequence</w:t>
      </w:r>
    </w:p>
    <w:p w14:paraId="2CA80DC1">
      <w:pPr>
        <w:spacing w:after="0" w:line="240" w:lineRule="auto"/>
      </w:pPr>
      <w:r>
        <w:rPr>
          <w:rFonts w:ascii="Courier New" w:hAnsi="Courier New" w:eastAsia="Courier New" w:cs="Courier New"/>
          <w:sz w:val="18"/>
          <w:szCs w:val="18"/>
        </w:rPr>
        <w:t>Asian Range          London KZ           New York KZ</w:t>
      </w:r>
    </w:p>
    <w:p w14:paraId="26102C6D">
      <w:pPr>
        <w:spacing w:after="0" w:line="240" w:lineRule="auto"/>
      </w:pPr>
      <w:r>
        <w:rPr>
          <w:rFonts w:ascii="Courier New" w:hAnsi="Courier New" w:eastAsia="Courier New" w:cs="Courier New"/>
          <w:sz w:val="18"/>
          <w:szCs w:val="18"/>
        </w:rPr>
        <w:t>─────────────        ───────────         ───────────</w:t>
      </w:r>
    </w:p>
    <w:p w14:paraId="67A14405">
      <w:pPr>
        <w:spacing w:after="0" w:line="240" w:lineRule="auto"/>
      </w:pPr>
      <w:r>
        <w:rPr>
          <w:rFonts w:ascii="Courier New" w:hAnsi="Courier New" w:eastAsia="Courier New" w:cs="Courier New"/>
          <w:sz w:val="18"/>
          <w:szCs w:val="18"/>
        </w:rPr>
        <w:t xml:space="preserve">  High ──┐              │                    │</w:t>
      </w:r>
    </w:p>
    <w:p w14:paraId="7E396D91">
      <w:pPr>
        <w:spacing w:after="0" w:line="240" w:lineRule="auto"/>
      </w:pPr>
      <w:r>
        <w:rPr>
          <w:rFonts w:ascii="Courier New" w:hAnsi="Courier New" w:eastAsia="Courier New" w:cs="Courier New"/>
          <w:sz w:val="18"/>
          <w:szCs w:val="18"/>
        </w:rPr>
        <w:t xml:space="preserve">         │   sweep?     │  displacement      │ continuation</w:t>
      </w:r>
    </w:p>
    <w:p w14:paraId="015C4A14">
      <w:pPr>
        <w:spacing w:after="0" w:line="240" w:lineRule="auto"/>
      </w:pPr>
      <w:r>
        <w:rPr>
          <w:rFonts w:ascii="Courier New" w:hAnsi="Courier New" w:eastAsia="Courier New" w:cs="Courier New"/>
          <w:sz w:val="18"/>
          <w:szCs w:val="18"/>
        </w:rPr>
        <w:t xml:space="preserve">  Low ───┘──────────────┤  + MSS + FVG       │ / expansion</w:t>
      </w:r>
    </w:p>
    <w:p w14:paraId="093709AE">
      <w:pPr>
        <w:spacing w:after="0" w:line="240" w:lineRule="auto"/>
      </w:pPr>
      <w:r>
        <w:rPr>
          <w:rFonts w:ascii="Courier New" w:hAnsi="Courier New" w:eastAsia="Courier New" w:cs="Courier New"/>
          <w:sz w:val="18"/>
          <w:szCs w:val="18"/>
        </w:rPr>
        <w:t xml:space="preserve">                        │                    │</w:t>
      </w:r>
    </w:p>
    <w:p w14:paraId="1CF2442B">
      <w:pPr>
        <w:spacing w:after="0" w:line="240" w:lineRule="auto"/>
      </w:pPr>
      <w:r>
        <w:rPr>
          <w:rFonts w:ascii="Courier New" w:hAnsi="Courier New" w:eastAsia="Courier New" w:cs="Courier New"/>
          <w:sz w:val="18"/>
          <w:szCs w:val="18"/>
        </w:rPr>
        <w:t xml:space="preserve">                   entry on retrace     target liquidity</w:t>
      </w:r>
    </w:p>
    <w:p w14:paraId="4FEE63B8">
      <w:pPr>
        <w:spacing w:after="200" w:line="276" w:lineRule="auto"/>
      </w:pPr>
      <w:r>
        <w:rPr>
          <w:rFonts w:ascii="Arial" w:hAnsi="Arial" w:eastAsia="Arial" w:cs="Arial"/>
          <w:sz w:val="22"/>
          <w:szCs w:val="22"/>
        </w:rPr>
        <w:t>The Asian range supplies the liquidity. London often performs the raid and the first displacement. New York frequently continues the delivery toward the higher-timeframe objective.</w:t>
      </w:r>
    </w:p>
    <w:p w14:paraId="5274F0FF">
      <w:pPr>
        <w:pStyle w:val="2"/>
        <w:spacing w:before="360" w:after="240"/>
      </w:pPr>
      <w:r>
        <w:rPr>
          <w:rFonts w:ascii="Arial" w:hAnsi="Arial" w:eastAsia="Arial" w:cs="Arial"/>
          <w:b/>
          <w:bCs/>
          <w:sz w:val="32"/>
          <w:szCs w:val="32"/>
        </w:rPr>
        <w:t>How These Concepts Connect</w:t>
      </w:r>
    </w:p>
    <w:p w14:paraId="7EAAC180">
      <w:pPr>
        <w:spacing w:after="200" w:line="276" w:lineRule="auto"/>
      </w:pPr>
      <w:r>
        <w:rPr>
          <w:rFonts w:ascii="Arial" w:hAnsi="Arial" w:eastAsia="Arial" w:cs="Arial"/>
          <w:sz w:val="22"/>
          <w:szCs w:val="22"/>
        </w:rPr>
        <w:t>The multi-timeframe narrative (Module 8) supplies direction and price zone. Sessions and kill zones supply the time window in which that narrative is most likely to be expressed. Asian range supplies the first liquidity. London and New York supply the manipulation and distribution phases. Expansion creates the PD arrays; retracement into those arrays (refined by OTE and CE) supplies the entry; continuation delivers the Draw on Liquidity. Trading outside the relevant kill zone is equivalent to ignoring a major filter.</w:t>
      </w:r>
    </w:p>
    <w:p w14:paraId="7E5CD6D1">
      <w:pPr>
        <w:pStyle w:val="2"/>
        <w:spacing w:before="360" w:after="240"/>
      </w:pPr>
      <w:r>
        <w:rPr>
          <w:rFonts w:ascii="Arial" w:hAnsi="Arial" w:eastAsia="Arial" w:cs="Arial"/>
          <w:b/>
          <w:bCs/>
          <w:sz w:val="32"/>
          <w:szCs w:val="32"/>
        </w:rPr>
        <w:t>What You Should Now Be Able to Do</w:t>
      </w:r>
    </w:p>
    <w:p w14:paraId="24288C50">
      <w:pPr>
        <w:pStyle w:val="16"/>
        <w:numPr>
          <w:ilvl w:val="0"/>
          <w:numId w:val="1"/>
        </w:numPr>
        <w:spacing w:after="120" w:line="276" w:lineRule="auto"/>
      </w:pPr>
      <w:r>
        <w:rPr>
          <w:rFonts w:ascii="Arial" w:hAnsi="Arial" w:eastAsia="Arial" w:cs="Arial"/>
          <w:sz w:val="22"/>
          <w:szCs w:val="22"/>
        </w:rPr>
        <w:t>Mark the Asian range high and low before London opens and treat them as primary intraday liquidity.</w:t>
      </w:r>
    </w:p>
    <w:p w14:paraId="7865D908">
      <w:pPr>
        <w:pStyle w:val="16"/>
        <w:numPr>
          <w:ilvl w:val="0"/>
          <w:numId w:val="1"/>
        </w:numPr>
        <w:spacing w:after="120" w:line="276" w:lineRule="auto"/>
      </w:pPr>
      <w:r>
        <w:rPr>
          <w:rFonts w:ascii="Arial" w:hAnsi="Arial" w:eastAsia="Arial" w:cs="Arial"/>
          <w:sz w:val="22"/>
          <w:szCs w:val="22"/>
        </w:rPr>
        <w:t>State the approximate New York-time windows for London Open and New York Open Kill Zones and adjust for DST/broker time.</w:t>
      </w:r>
    </w:p>
    <w:p w14:paraId="337AA77C">
      <w:pPr>
        <w:pStyle w:val="16"/>
        <w:numPr>
          <w:ilvl w:val="0"/>
          <w:numId w:val="1"/>
        </w:numPr>
        <w:spacing w:after="120" w:line="276" w:lineRule="auto"/>
      </w:pPr>
      <w:r>
        <w:rPr>
          <w:rFonts w:ascii="Arial" w:hAnsi="Arial" w:eastAsia="Arial" w:cs="Arial"/>
          <w:sz w:val="22"/>
          <w:szCs w:val="22"/>
        </w:rPr>
        <w:t>Recognise a Judas Swing / manipulation of the Asian range versus genuine directional expansion.</w:t>
      </w:r>
    </w:p>
    <w:p w14:paraId="5F4CECDC">
      <w:pPr>
        <w:pStyle w:val="16"/>
        <w:numPr>
          <w:ilvl w:val="0"/>
          <w:numId w:val="1"/>
        </w:numPr>
        <w:spacing w:after="120" w:line="276" w:lineRule="auto"/>
      </w:pPr>
      <w:r>
        <w:rPr>
          <w:rFonts w:ascii="Arial" w:hAnsi="Arial" w:eastAsia="Arial" w:cs="Arial"/>
          <w:sz w:val="22"/>
          <w:szCs w:val="22"/>
        </w:rPr>
        <w:t>Select the kill zone that best matches the higher-timeframe narrative for the day.</w:t>
      </w:r>
    </w:p>
    <w:p w14:paraId="4381CB13">
      <w:pPr>
        <w:pStyle w:val="16"/>
        <w:numPr>
          <w:ilvl w:val="0"/>
          <w:numId w:val="1"/>
        </w:numPr>
        <w:spacing w:after="120" w:line="276" w:lineRule="auto"/>
      </w:pPr>
      <w:r>
        <w:rPr>
          <w:rFonts w:ascii="Arial" w:hAnsi="Arial" w:eastAsia="Arial" w:cs="Arial"/>
          <w:sz w:val="22"/>
          <w:szCs w:val="22"/>
        </w:rPr>
        <w:t>Stand aside during low-probability periods even when PD arrays are visible.</w:t>
      </w:r>
    </w:p>
    <w:p w14:paraId="4938DE7F">
      <w:pPr>
        <w:pStyle w:val="16"/>
        <w:numPr>
          <w:ilvl w:val="0"/>
          <w:numId w:val="1"/>
        </w:numPr>
        <w:spacing w:after="120" w:line="276" w:lineRule="auto"/>
      </w:pPr>
      <w:r>
        <w:rPr>
          <w:rFonts w:ascii="Arial" w:hAnsi="Arial" w:eastAsia="Arial" w:cs="Arial"/>
          <w:sz w:val="22"/>
          <w:szCs w:val="22"/>
        </w:rPr>
        <w:t>Integrate session timing into the top-down narrative so that “when” is answered as clearly as “where” and “which direction.”</w:t>
      </w:r>
    </w:p>
    <w:p w14:paraId="4C701FEE">
      <w:pPr>
        <w:pStyle w:val="2"/>
        <w:spacing w:before="360" w:after="240"/>
      </w:pPr>
      <w:r>
        <w:rPr>
          <w:rFonts w:ascii="Arial" w:hAnsi="Arial" w:eastAsia="Arial" w:cs="Arial"/>
          <w:b/>
          <w:bCs/>
          <w:sz w:val="32"/>
          <w:szCs w:val="32"/>
        </w:rPr>
        <w:t>Module Review</w:t>
      </w:r>
    </w:p>
    <w:p w14:paraId="0AA0C59A">
      <w:pPr>
        <w:pStyle w:val="3"/>
        <w:spacing w:before="280" w:after="180"/>
      </w:pPr>
      <w:r>
        <w:rPr>
          <w:rFonts w:ascii="Arial" w:hAnsi="Arial" w:eastAsia="Arial" w:cs="Arial"/>
          <w:b/>
          <w:bCs/>
          <w:sz w:val="26"/>
          <w:szCs w:val="26"/>
        </w:rPr>
        <w:t>Key Terms</w:t>
      </w:r>
    </w:p>
    <w:p w14:paraId="3658B8E9">
      <w:pPr>
        <w:pStyle w:val="16"/>
        <w:numPr>
          <w:ilvl w:val="0"/>
          <w:numId w:val="1"/>
        </w:numPr>
        <w:spacing w:after="120" w:line="276" w:lineRule="auto"/>
      </w:pPr>
      <w:r>
        <w:rPr>
          <w:rFonts w:ascii="Arial" w:hAnsi="Arial" w:eastAsia="Arial" w:cs="Arial"/>
          <w:sz w:val="22"/>
          <w:szCs w:val="22"/>
        </w:rPr>
        <w:t>Asian range — consolidation high/low formed during the Asian session; primary intraday liquidity reference.</w:t>
      </w:r>
    </w:p>
    <w:p w14:paraId="7077C89C">
      <w:pPr>
        <w:pStyle w:val="16"/>
        <w:numPr>
          <w:ilvl w:val="0"/>
          <w:numId w:val="1"/>
        </w:numPr>
        <w:spacing w:after="120" w:line="276" w:lineRule="auto"/>
      </w:pPr>
      <w:r>
        <w:rPr>
          <w:rFonts w:ascii="Arial" w:hAnsi="Arial" w:eastAsia="Arial" w:cs="Arial"/>
          <w:sz w:val="22"/>
          <w:szCs w:val="22"/>
        </w:rPr>
        <w:t>London Open Kill Zone — approximately 02:00–05:00 ET; often the first major liquidity event and displacement window.</w:t>
      </w:r>
    </w:p>
    <w:p w14:paraId="62CBE961">
      <w:pPr>
        <w:pStyle w:val="16"/>
        <w:numPr>
          <w:ilvl w:val="0"/>
          <w:numId w:val="1"/>
        </w:numPr>
        <w:spacing w:after="120" w:line="276" w:lineRule="auto"/>
      </w:pPr>
      <w:r>
        <w:rPr>
          <w:rFonts w:ascii="Arial" w:hAnsi="Arial" w:eastAsia="Arial" w:cs="Arial"/>
          <w:sz w:val="22"/>
          <w:szCs w:val="22"/>
        </w:rPr>
        <w:t>New York Open Kill Zone — approximately 07:00–10:00 ET; frequently continues or expands the London direction.</w:t>
      </w:r>
    </w:p>
    <w:p w14:paraId="2BDE9EC7">
      <w:pPr>
        <w:pStyle w:val="16"/>
        <w:numPr>
          <w:ilvl w:val="0"/>
          <w:numId w:val="1"/>
        </w:numPr>
        <w:spacing w:after="120" w:line="276" w:lineRule="auto"/>
      </w:pPr>
      <w:r>
        <w:rPr>
          <w:rFonts w:ascii="Arial" w:hAnsi="Arial" w:eastAsia="Arial" w:cs="Arial"/>
          <w:sz w:val="22"/>
          <w:szCs w:val="22"/>
        </w:rPr>
        <w:t>Judas Swing — manipulative sweep (often of the Asian range) that precedes the true directional move.</w:t>
      </w:r>
    </w:p>
    <w:p w14:paraId="75D93D84">
      <w:pPr>
        <w:pStyle w:val="16"/>
        <w:numPr>
          <w:ilvl w:val="0"/>
          <w:numId w:val="1"/>
        </w:numPr>
        <w:spacing w:after="120" w:line="276" w:lineRule="auto"/>
      </w:pPr>
      <w:r>
        <w:rPr>
          <w:rFonts w:ascii="Arial" w:hAnsi="Arial" w:eastAsia="Arial" w:cs="Arial"/>
          <w:sz w:val="22"/>
          <w:szCs w:val="22"/>
        </w:rPr>
        <w:t>Session expansion — forceful directional move that creates PD arrays.</w:t>
      </w:r>
    </w:p>
    <w:p w14:paraId="1DE6D855">
      <w:pPr>
        <w:pStyle w:val="16"/>
        <w:numPr>
          <w:ilvl w:val="0"/>
          <w:numId w:val="1"/>
        </w:numPr>
        <w:spacing w:after="120" w:line="276" w:lineRule="auto"/>
      </w:pPr>
      <w:r>
        <w:rPr>
          <w:rFonts w:ascii="Arial" w:hAnsi="Arial" w:eastAsia="Arial" w:cs="Arial"/>
          <w:sz w:val="22"/>
          <w:szCs w:val="22"/>
        </w:rPr>
        <w:t>Session retracement — return into the PD arrays created by expansion; preferred entry window.</w:t>
      </w:r>
    </w:p>
    <w:p w14:paraId="7FDE8D0E">
      <w:pPr>
        <w:pStyle w:val="16"/>
        <w:numPr>
          <w:ilvl w:val="0"/>
          <w:numId w:val="1"/>
        </w:numPr>
        <w:spacing w:after="120" w:line="276" w:lineRule="auto"/>
      </w:pPr>
      <w:r>
        <w:rPr>
          <w:rFonts w:ascii="Arial" w:hAnsi="Arial" w:eastAsia="Arial" w:cs="Arial"/>
          <w:sz w:val="22"/>
          <w:szCs w:val="22"/>
        </w:rPr>
        <w:t>Session continuation — resumption in the direction of the prior expansion after retracement.</w:t>
      </w:r>
    </w:p>
    <w:p w14:paraId="3EDE5246">
      <w:pPr>
        <w:pStyle w:val="16"/>
        <w:numPr>
          <w:ilvl w:val="0"/>
          <w:numId w:val="1"/>
        </w:numPr>
        <w:spacing w:after="120" w:line="276" w:lineRule="auto"/>
      </w:pPr>
      <w:r>
        <w:rPr>
          <w:rFonts w:ascii="Arial" w:hAnsi="Arial" w:eastAsia="Arial" w:cs="Arial"/>
          <w:sz w:val="22"/>
          <w:szCs w:val="22"/>
        </w:rPr>
        <w:t>Session reversal — true direction opposite to the initial session expansion (manipulation failure).</w:t>
      </w:r>
    </w:p>
    <w:p w14:paraId="5D2A4D87">
      <w:pPr>
        <w:pStyle w:val="16"/>
        <w:numPr>
          <w:ilvl w:val="0"/>
          <w:numId w:val="1"/>
        </w:numPr>
        <w:spacing w:after="120" w:line="276" w:lineRule="auto"/>
      </w:pPr>
      <w:r>
        <w:rPr>
          <w:rFonts w:ascii="Arial" w:hAnsi="Arial" w:eastAsia="Arial" w:cs="Arial"/>
          <w:sz w:val="22"/>
          <w:szCs w:val="22"/>
        </w:rPr>
        <w:t>Kill-zone context — the requirement that high-quality setups preferably occur inside relevant institutional time windows.</w:t>
      </w:r>
    </w:p>
    <w:p w14:paraId="2A2194E0">
      <w:pPr>
        <w:pStyle w:val="3"/>
        <w:spacing w:before="280" w:after="180"/>
      </w:pPr>
      <w:r>
        <w:rPr>
          <w:rFonts w:ascii="Arial" w:hAnsi="Arial" w:eastAsia="Arial" w:cs="Arial"/>
          <w:b/>
          <w:bCs/>
          <w:sz w:val="26"/>
          <w:szCs w:val="26"/>
        </w:rPr>
        <w:t>Beginner Summary (Bridge)</w:t>
      </w:r>
    </w:p>
    <w:p w14:paraId="435270E0">
      <w:pPr>
        <w:spacing w:after="200" w:line="276" w:lineRule="auto"/>
      </w:pPr>
      <w:r>
        <w:rPr>
          <w:rFonts w:ascii="Arial" w:hAnsi="Arial" w:eastAsia="Arial" w:cs="Arial"/>
          <w:sz w:val="22"/>
          <w:szCs w:val="22"/>
        </w:rPr>
        <w:t>Beginner teaching introduced sessions and kill zones as time windows. Intermediate teaching integrates those windows with the multi-timeframe narrative, treats the Asian range as a liquidity map, distinguishes manipulation from expansion, and makes session selection a deliberate filter rather than a habit of trading every hour.</w:t>
      </w:r>
    </w:p>
    <w:p w14:paraId="018E6BBF">
      <w:pPr>
        <w:pStyle w:val="3"/>
        <w:spacing w:before="280" w:after="180"/>
      </w:pPr>
      <w:r>
        <w:rPr>
          <w:rFonts w:ascii="Arial" w:hAnsi="Arial" w:eastAsia="Arial" w:cs="Arial"/>
          <w:b/>
          <w:bCs/>
          <w:sz w:val="26"/>
          <w:szCs w:val="26"/>
        </w:rPr>
        <w:t>Concept Relationships</w:t>
      </w:r>
    </w:p>
    <w:p w14:paraId="1CBD010A">
      <w:pPr>
        <w:spacing w:after="200" w:line="276" w:lineRule="auto"/>
      </w:pPr>
      <w:r>
        <w:rPr>
          <w:rFonts w:ascii="Arial" w:hAnsi="Arial" w:eastAsia="Arial" w:cs="Arial"/>
          <w:sz w:val="22"/>
          <w:szCs w:val="22"/>
        </w:rPr>
        <w:t>Narrative (Module 8) decides direction and zone. Sessions decide the time of highest probability. Liquidity (Module 2) is mapped onto session extremes. Displacement and MSS (Module 3) confirm the session’s true intent. PD arrays and OTE (Modules 4–7) refine the entry on the retracement inside the kill zone.</w:t>
      </w:r>
    </w:p>
    <w:p w14:paraId="74948BBB">
      <w:pPr>
        <w:pStyle w:val="3"/>
        <w:spacing w:before="280" w:after="180"/>
      </w:pPr>
      <w:r>
        <w:rPr>
          <w:rFonts w:ascii="Arial" w:hAnsi="Arial" w:eastAsia="Arial" w:cs="Arial"/>
          <w:b/>
          <w:bCs/>
          <w:sz w:val="26"/>
          <w:szCs w:val="26"/>
        </w:rPr>
        <w:t>Practical Chart Exercise</w:t>
      </w:r>
    </w:p>
    <w:p w14:paraId="5D9D34E8">
      <w:pPr>
        <w:spacing w:after="200" w:line="276" w:lineRule="auto"/>
      </w:pPr>
      <w:r>
        <w:rPr>
          <w:rFonts w:ascii="Arial" w:hAnsi="Arial" w:eastAsia="Arial" w:cs="Arial"/>
          <w:sz w:val="22"/>
          <w:szCs w:val="22"/>
        </w:rPr>
        <w:t>For the next five trading days:</w:t>
      </w:r>
    </w:p>
    <w:p w14:paraId="64805693">
      <w:pPr>
        <w:pStyle w:val="16"/>
        <w:numPr>
          <w:ilvl w:val="0"/>
          <w:numId w:val="2"/>
        </w:numPr>
        <w:spacing w:after="120" w:line="276" w:lineRule="auto"/>
      </w:pPr>
      <w:r>
        <w:rPr>
          <w:rFonts w:ascii="Arial" w:hAnsi="Arial" w:eastAsia="Arial" w:cs="Arial"/>
          <w:sz w:val="22"/>
          <w:szCs w:val="22"/>
        </w:rPr>
        <w:t>Before London, mark the Asian range high and low.</w:t>
      </w:r>
    </w:p>
    <w:p w14:paraId="53C018C1">
      <w:pPr>
        <w:pStyle w:val="16"/>
        <w:numPr>
          <w:ilvl w:val="0"/>
          <w:numId w:val="2"/>
        </w:numPr>
        <w:spacing w:after="120" w:line="276" w:lineRule="auto"/>
      </w:pPr>
      <w:r>
        <w:rPr>
          <w:rFonts w:ascii="Arial" w:hAnsi="Arial" w:eastAsia="Arial" w:cs="Arial"/>
          <w:sz w:val="22"/>
          <w:szCs w:val="22"/>
        </w:rPr>
        <w:t>State the HTF narrative in one sentence and which kill zone is the primary candidate.</w:t>
      </w:r>
    </w:p>
    <w:p w14:paraId="66AF609F">
      <w:pPr>
        <w:pStyle w:val="16"/>
        <w:numPr>
          <w:ilvl w:val="0"/>
          <w:numId w:val="2"/>
        </w:numPr>
        <w:spacing w:after="120" w:line="276" w:lineRule="auto"/>
      </w:pPr>
      <w:r>
        <w:rPr>
          <w:rFonts w:ascii="Arial" w:hAnsi="Arial" w:eastAsia="Arial" w:cs="Arial"/>
          <w:sz w:val="22"/>
          <w:szCs w:val="22"/>
        </w:rPr>
        <w:t>During London, record whether the Asian range was swept and whether displacement + MSS followed.</w:t>
      </w:r>
    </w:p>
    <w:p w14:paraId="7DB05783">
      <w:pPr>
        <w:pStyle w:val="16"/>
        <w:numPr>
          <w:ilvl w:val="0"/>
          <w:numId w:val="2"/>
        </w:numPr>
        <w:spacing w:after="120" w:line="276" w:lineRule="auto"/>
      </w:pPr>
      <w:r>
        <w:rPr>
          <w:rFonts w:ascii="Arial" w:hAnsi="Arial" w:eastAsia="Arial" w:cs="Arial"/>
          <w:sz w:val="22"/>
          <w:szCs w:val="22"/>
        </w:rPr>
        <w:t>Note any PD arrays created and whether a retracement entry appeared.</w:t>
      </w:r>
    </w:p>
    <w:p w14:paraId="7108B9B8">
      <w:pPr>
        <w:pStyle w:val="16"/>
        <w:numPr>
          <w:ilvl w:val="0"/>
          <w:numId w:val="2"/>
        </w:numPr>
        <w:spacing w:after="120" w:line="276" w:lineRule="auto"/>
      </w:pPr>
      <w:r>
        <w:rPr>
          <w:rFonts w:ascii="Arial" w:hAnsi="Arial" w:eastAsia="Arial" w:cs="Arial"/>
          <w:sz w:val="22"/>
          <w:szCs w:val="22"/>
        </w:rPr>
        <w:t>Observe New York’s relationship to the London direction (continuation, reversal, or chop).</w:t>
      </w:r>
    </w:p>
    <w:p w14:paraId="2F6C0359">
      <w:pPr>
        <w:pStyle w:val="16"/>
        <w:numPr>
          <w:ilvl w:val="0"/>
          <w:numId w:val="2"/>
        </w:numPr>
        <w:spacing w:after="120" w:line="276" w:lineRule="auto"/>
      </w:pPr>
      <w:r>
        <w:rPr>
          <w:rFonts w:ascii="Arial" w:hAnsi="Arial" w:eastAsia="Arial" w:cs="Arial"/>
          <w:sz w:val="22"/>
          <w:szCs w:val="22"/>
        </w:rPr>
        <w:t>End of day: write one paragraph on how well session behaviour matched the pre-session narrative and one improvement for the next day.</w:t>
      </w:r>
    </w:p>
    <w:p w14:paraId="38F86443">
      <w:pPr>
        <w:pStyle w:val="3"/>
        <w:spacing w:before="280" w:after="180"/>
      </w:pPr>
      <w:r>
        <w:rPr>
          <w:rFonts w:ascii="Arial" w:hAnsi="Arial" w:eastAsia="Arial" w:cs="Arial"/>
          <w:b/>
          <w:bCs/>
          <w:sz w:val="26"/>
          <w:szCs w:val="26"/>
        </w:rPr>
        <w:t>Self-Test Questions</w:t>
      </w:r>
    </w:p>
    <w:p w14:paraId="3C19611C">
      <w:pPr>
        <w:pStyle w:val="16"/>
        <w:numPr>
          <w:ilvl w:val="0"/>
          <w:numId w:val="2"/>
        </w:numPr>
        <w:spacing w:after="120" w:line="276" w:lineRule="auto"/>
      </w:pPr>
      <w:r>
        <w:rPr>
          <w:rFonts w:ascii="Arial" w:hAnsi="Arial" w:eastAsia="Arial" w:cs="Arial"/>
          <w:sz w:val="22"/>
          <w:szCs w:val="22"/>
        </w:rPr>
        <w:t>Why is the Asian range marked even if the trader does not trade during Asia?</w:t>
      </w:r>
    </w:p>
    <w:p w14:paraId="7A49F005">
      <w:pPr>
        <w:pStyle w:val="16"/>
        <w:numPr>
          <w:ilvl w:val="0"/>
          <w:numId w:val="2"/>
        </w:numPr>
        <w:spacing w:after="120" w:line="276" w:lineRule="auto"/>
      </w:pPr>
      <w:r>
        <w:rPr>
          <w:rFonts w:ascii="Arial" w:hAnsi="Arial" w:eastAsia="Arial" w:cs="Arial"/>
          <w:sz w:val="22"/>
          <w:szCs w:val="22"/>
        </w:rPr>
        <w:t>What is a Judas Swing and how does it relate to the Asian range?</w:t>
      </w:r>
    </w:p>
    <w:p w14:paraId="53D38B99">
      <w:pPr>
        <w:pStyle w:val="16"/>
        <w:numPr>
          <w:ilvl w:val="0"/>
          <w:numId w:val="2"/>
        </w:numPr>
        <w:spacing w:after="120" w:line="276" w:lineRule="auto"/>
      </w:pPr>
      <w:r>
        <w:rPr>
          <w:rFonts w:ascii="Arial" w:hAnsi="Arial" w:eastAsia="Arial" w:cs="Arial"/>
          <w:sz w:val="22"/>
          <w:szCs w:val="22"/>
        </w:rPr>
        <w:t>Outline a common London → New York relationship in a trending day.</w:t>
      </w:r>
    </w:p>
    <w:p w14:paraId="541261F0">
      <w:pPr>
        <w:pStyle w:val="16"/>
        <w:numPr>
          <w:ilvl w:val="0"/>
          <w:numId w:val="2"/>
        </w:numPr>
        <w:spacing w:after="120" w:line="276" w:lineRule="auto"/>
      </w:pPr>
      <w:r>
        <w:rPr>
          <w:rFonts w:ascii="Arial" w:hAnsi="Arial" w:eastAsia="Arial" w:cs="Arial"/>
          <w:sz w:val="22"/>
          <w:szCs w:val="22"/>
        </w:rPr>
        <w:t>How should the student respond to a clean-looking FVG that forms outside any kill zone?</w:t>
      </w:r>
    </w:p>
    <w:p w14:paraId="1E303AA5">
      <w:pPr>
        <w:pStyle w:val="16"/>
        <w:numPr>
          <w:ilvl w:val="0"/>
          <w:numId w:val="2"/>
        </w:numPr>
        <w:spacing w:after="120" w:line="276" w:lineRule="auto"/>
      </w:pPr>
      <w:r>
        <w:rPr>
          <w:rFonts w:ascii="Arial" w:hAnsi="Arial" w:eastAsia="Arial" w:cs="Arial"/>
          <w:sz w:val="22"/>
          <w:szCs w:val="22"/>
        </w:rPr>
        <w:t>What is the difference between session expansion and session manipulation?</w:t>
      </w:r>
    </w:p>
    <w:p w14:paraId="3117F9C3">
      <w:pPr>
        <w:pStyle w:val="16"/>
        <w:numPr>
          <w:ilvl w:val="0"/>
          <w:numId w:val="2"/>
        </w:numPr>
        <w:spacing w:after="120" w:line="276" w:lineRule="auto"/>
      </w:pPr>
      <w:r>
        <w:rPr>
          <w:rFonts w:ascii="Arial" w:hAnsi="Arial" w:eastAsia="Arial" w:cs="Arial"/>
          <w:sz w:val="22"/>
          <w:szCs w:val="22"/>
        </w:rPr>
        <w:t>Why might a trader specialise in only one kill zone?</w:t>
      </w:r>
    </w:p>
    <w:p w14:paraId="7D911803">
      <w:pPr>
        <w:pStyle w:val="3"/>
        <w:spacing w:before="280" w:after="180"/>
      </w:pPr>
      <w:r>
        <w:rPr>
          <w:rFonts w:ascii="Arial" w:hAnsi="Arial" w:eastAsia="Arial" w:cs="Arial"/>
          <w:b/>
          <w:bCs/>
          <w:sz w:val="26"/>
          <w:szCs w:val="26"/>
        </w:rPr>
        <w:t>Common Misconceptions</w:t>
      </w:r>
    </w:p>
    <w:p w14:paraId="045644DE">
      <w:pPr>
        <w:pStyle w:val="16"/>
        <w:numPr>
          <w:ilvl w:val="0"/>
          <w:numId w:val="1"/>
        </w:numPr>
        <w:spacing w:after="120" w:line="276" w:lineRule="auto"/>
      </w:pPr>
      <w:r>
        <w:rPr>
          <w:rFonts w:ascii="Arial" w:hAnsi="Arial" w:eastAsia="Arial" w:cs="Arial"/>
          <w:sz w:val="22"/>
          <w:szCs w:val="22"/>
        </w:rPr>
        <w:t>“I must trade every kill zone.” — False. One well-understood window is often superior.</w:t>
      </w:r>
    </w:p>
    <w:p w14:paraId="2190A1DD">
      <w:pPr>
        <w:pStyle w:val="16"/>
        <w:numPr>
          <w:ilvl w:val="0"/>
          <w:numId w:val="1"/>
        </w:numPr>
        <w:spacing w:after="120" w:line="276" w:lineRule="auto"/>
      </w:pPr>
      <w:r>
        <w:rPr>
          <w:rFonts w:ascii="Arial" w:hAnsi="Arial" w:eastAsia="Arial" w:cs="Arial"/>
          <w:sz w:val="22"/>
          <w:szCs w:val="22"/>
        </w:rPr>
        <w:t>“If London did nothing, New York will definitely reverse.” — Not a rule; the HTF narrative still governs.</w:t>
      </w:r>
    </w:p>
    <w:p w14:paraId="287E760D">
      <w:pPr>
        <w:pStyle w:val="16"/>
        <w:numPr>
          <w:ilvl w:val="0"/>
          <w:numId w:val="1"/>
        </w:numPr>
        <w:spacing w:after="120" w:line="276" w:lineRule="auto"/>
      </w:pPr>
      <w:r>
        <w:rPr>
          <w:rFonts w:ascii="Arial" w:hAnsi="Arial" w:eastAsia="Arial" w:cs="Arial"/>
          <w:sz w:val="22"/>
          <w:szCs w:val="22"/>
        </w:rPr>
        <w:t>“Asian range breakouts are high-probability trades.” — Usually the opposite; the range is more often liquidity for later sessions.</w:t>
      </w:r>
    </w:p>
    <w:p w14:paraId="78E88A3D">
      <w:pPr>
        <w:pStyle w:val="16"/>
        <w:numPr>
          <w:ilvl w:val="0"/>
          <w:numId w:val="1"/>
        </w:numPr>
        <w:spacing w:after="120" w:line="276" w:lineRule="auto"/>
      </w:pPr>
      <w:r>
        <w:rPr>
          <w:rFonts w:ascii="Arial" w:hAnsi="Arial" w:eastAsia="Arial" w:cs="Arial"/>
          <w:sz w:val="22"/>
          <w:szCs w:val="22"/>
        </w:rPr>
        <w:t>“Kill-zone times are exact to the minute on every broker.” — Times vary with DST and server; confirm your own clock.</w:t>
      </w:r>
    </w:p>
    <w:p w14:paraId="077BEEF9">
      <w:pPr>
        <w:pStyle w:val="16"/>
        <w:numPr>
          <w:ilvl w:val="0"/>
          <w:numId w:val="1"/>
        </w:numPr>
        <w:spacing w:after="120" w:line="276" w:lineRule="auto"/>
      </w:pPr>
      <w:r>
        <w:rPr>
          <w:rFonts w:ascii="Arial" w:hAnsi="Arial" w:eastAsia="Arial" w:cs="Arial"/>
          <w:sz w:val="22"/>
          <w:szCs w:val="22"/>
        </w:rPr>
        <w:t>“A setup outside a kill zone is automatically invalid.” — Overstated; probability is lower, not zero. Intermediate discipline still prefers the kill zone.</w:t>
      </w:r>
    </w:p>
    <w:p w14:paraId="5595D3E4">
      <w:pPr>
        <w:pStyle w:val="3"/>
        <w:spacing w:before="280" w:after="180"/>
      </w:pPr>
      <w:r>
        <w:rPr>
          <w:rFonts w:ascii="Arial" w:hAnsi="Arial" w:eastAsia="Arial" w:cs="Arial"/>
          <w:b/>
          <w:bCs/>
          <w:sz w:val="26"/>
          <w:szCs w:val="26"/>
        </w:rPr>
        <w:t>Research Sources</w:t>
      </w:r>
    </w:p>
    <w:p w14:paraId="67442258">
      <w:pPr>
        <w:spacing w:after="200" w:line="276" w:lineRule="auto"/>
      </w:pPr>
      <w:r>
        <w:rPr>
          <w:rFonts w:ascii="Arial" w:hAnsi="Arial" w:eastAsia="Arial" w:cs="Arial"/>
          <w:sz w:val="22"/>
          <w:szCs w:val="22"/>
        </w:rPr>
        <w:t>Primary orientation is taken from ICT’s repeated emphasis on the Asian range as a liquidity reference, the London Open as a primary manipulation/expansion window, and the New York Open as a continuation or secondary delivery window. Kill-zone timing is taught in New York local time across ICT material; exact minute boundaries show minor variation across presentations.</w:t>
      </w:r>
    </w:p>
    <w:p w14:paraId="021516C5">
      <w:pPr>
        <w:spacing w:after="200" w:line="276" w:lineRule="auto"/>
      </w:pPr>
      <w:r>
        <w:rPr>
          <w:rFonts w:ascii="Arial" w:hAnsi="Arial" w:eastAsia="Arial" w:cs="Arial"/>
          <w:sz w:val="22"/>
          <w:szCs w:val="22"/>
        </w:rPr>
        <w:t>Community resources that tabulate session times and describe Judas Swing / AMD-style session profiles are used where they remain consistent with the primary ICT logic of using time as a participation filter rather than as a standalone signal.</w:t>
      </w:r>
    </w:p>
    <w:p w14:paraId="7A561E4D">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Key references include ICT mentorship and public content on kill zones, Asian range liquidity, London Open behaviour, and New York continuation. Secondary timing tables appear in community educational material; traders should always verify times against their own broker and daylight-saving status.</w:t>
      </w:r>
    </w:p>
    <w:p w14:paraId="510A0B00">
      <w:pPr>
        <w:pStyle w:val="2"/>
        <w:spacing w:before="360" w:after="240"/>
      </w:pPr>
      <w:r>
        <w:rPr>
          <w:rFonts w:ascii="Arial" w:hAnsi="Arial" w:eastAsia="Arial" w:cs="Arial"/>
          <w:b/>
          <w:bCs/>
          <w:sz w:val="32"/>
          <w:szCs w:val="32"/>
        </w:rPr>
        <w:t>Transition to Module 10</w:t>
      </w:r>
    </w:p>
    <w:p w14:paraId="3895F433">
      <w:pPr>
        <w:spacing w:after="200" w:line="276" w:lineRule="auto"/>
      </w:pPr>
      <w:r>
        <w:rPr>
          <w:rFonts w:ascii="Arial" w:hAnsi="Arial" w:eastAsia="Arial" w:cs="Arial"/>
          <w:sz w:val="22"/>
          <w:szCs w:val="22"/>
        </w:rPr>
        <w:t>Module 9 has added the time filter: which session and kill zone is most likely to deliver the narrative. Module 10 (Power of 3 in Context) will formalise the daily (and higher) Accumulation–Manipulation–Distribution profile, showing how the Asian range, London manipulation and New York distribution map onto the Power of 3 template, and how that template interacts with the higher-timeframe bias already established.</w:t>
      </w:r>
    </w:p>
    <w:p w14:paraId="0071AEF0">
      <w:pPr>
        <w:spacing w:after="200" w:line="276" w:lineRule="auto"/>
        <w:rPr>
          <w:rFonts w:ascii="Arial" w:hAnsi="Arial" w:eastAsia="Arial" w:cs="Arial"/>
          <w:sz w:val="22"/>
          <w:szCs w:val="22"/>
        </w:rPr>
      </w:pPr>
    </w:p>
    <w:p w14:paraId="5C91DF0E">
      <w:pPr>
        <w:spacing w:after="200" w:line="276" w:lineRule="auto"/>
        <w:rPr>
          <w:rFonts w:ascii="Arial" w:hAnsi="Arial" w:eastAsia="Arial" w:cs="Arial"/>
          <w:sz w:val="22"/>
          <w:szCs w:val="22"/>
        </w:rPr>
      </w:pPr>
    </w:p>
    <w:p w14:paraId="67B1E704">
      <w:pPr>
        <w:spacing w:after="200" w:line="276" w:lineRule="auto"/>
        <w:rPr>
          <w:rFonts w:ascii="Arial" w:hAnsi="Arial" w:eastAsia="Arial" w:cs="Arial"/>
          <w:sz w:val="22"/>
          <w:szCs w:val="22"/>
        </w:rPr>
      </w:pPr>
    </w:p>
    <w:p w14:paraId="13686AC3">
      <w:pPr>
        <w:spacing w:after="200" w:line="276" w:lineRule="auto"/>
        <w:rPr>
          <w:rFonts w:ascii="Arial" w:hAnsi="Arial" w:eastAsia="Arial" w:cs="Arial"/>
          <w:sz w:val="22"/>
          <w:szCs w:val="22"/>
        </w:rPr>
      </w:pPr>
    </w:p>
    <w:p w14:paraId="350BA5C6">
      <w:pPr>
        <w:spacing w:after="200" w:line="276" w:lineRule="auto"/>
        <w:rPr>
          <w:rFonts w:ascii="Arial" w:hAnsi="Arial" w:eastAsia="Arial" w:cs="Arial"/>
          <w:sz w:val="22"/>
          <w:szCs w:val="22"/>
        </w:rPr>
      </w:pPr>
    </w:p>
    <w:p w14:paraId="4FBE7630">
      <w:pPr>
        <w:spacing w:after="200" w:line="276" w:lineRule="auto"/>
        <w:rPr>
          <w:rFonts w:ascii="Arial" w:hAnsi="Arial" w:eastAsia="Arial" w:cs="Arial"/>
          <w:sz w:val="22"/>
          <w:szCs w:val="22"/>
        </w:rPr>
      </w:pPr>
    </w:p>
    <w:p w14:paraId="1C8BDBA7">
      <w:pPr>
        <w:spacing w:after="200" w:line="276" w:lineRule="auto"/>
        <w:rPr>
          <w:rFonts w:ascii="Arial" w:hAnsi="Arial" w:eastAsia="Arial" w:cs="Arial"/>
          <w:sz w:val="22"/>
          <w:szCs w:val="22"/>
        </w:rPr>
      </w:pPr>
    </w:p>
    <w:p w14:paraId="6CF91220">
      <w:pPr>
        <w:spacing w:after="200" w:line="276" w:lineRule="auto"/>
        <w:rPr>
          <w:rFonts w:ascii="Arial" w:hAnsi="Arial" w:eastAsia="Arial" w:cs="Arial"/>
          <w:sz w:val="22"/>
          <w:szCs w:val="22"/>
        </w:rPr>
      </w:pPr>
    </w:p>
    <w:p w14:paraId="5D1DDC50">
      <w:pPr>
        <w:spacing w:after="200" w:line="276" w:lineRule="auto"/>
        <w:rPr>
          <w:rFonts w:ascii="Arial" w:hAnsi="Arial" w:eastAsia="Arial" w:cs="Arial"/>
          <w:sz w:val="22"/>
          <w:szCs w:val="22"/>
        </w:rPr>
      </w:pPr>
    </w:p>
    <w:p w14:paraId="059B999B">
      <w:pPr>
        <w:spacing w:after="200" w:line="276" w:lineRule="auto"/>
        <w:rPr>
          <w:rFonts w:ascii="Arial" w:hAnsi="Arial" w:eastAsia="Arial" w:cs="Arial"/>
          <w:sz w:val="22"/>
          <w:szCs w:val="22"/>
        </w:rPr>
      </w:pPr>
    </w:p>
    <w:p w14:paraId="36212CC3">
      <w:pPr>
        <w:spacing w:after="200" w:line="276" w:lineRule="auto"/>
        <w:rPr>
          <w:rFonts w:ascii="Arial" w:hAnsi="Arial" w:eastAsia="Arial" w:cs="Arial"/>
          <w:sz w:val="22"/>
          <w:szCs w:val="22"/>
        </w:rPr>
      </w:pPr>
    </w:p>
    <w:p w14:paraId="76401862">
      <w:pPr>
        <w:spacing w:after="200" w:line="276" w:lineRule="auto"/>
        <w:rPr>
          <w:rFonts w:ascii="Arial" w:hAnsi="Arial" w:eastAsia="Arial" w:cs="Arial"/>
          <w:sz w:val="22"/>
          <w:szCs w:val="22"/>
        </w:rPr>
      </w:pPr>
    </w:p>
    <w:p w14:paraId="486C2D37">
      <w:pPr>
        <w:spacing w:after="200" w:line="276" w:lineRule="auto"/>
        <w:rPr>
          <w:rFonts w:ascii="Arial" w:hAnsi="Arial" w:eastAsia="Arial" w:cs="Arial"/>
          <w:sz w:val="22"/>
          <w:szCs w:val="22"/>
        </w:rPr>
      </w:pPr>
    </w:p>
    <w:p w14:paraId="3A9DA561">
      <w:pPr>
        <w:spacing w:after="200" w:line="276" w:lineRule="auto"/>
        <w:rPr>
          <w:rFonts w:ascii="Arial" w:hAnsi="Arial" w:eastAsia="Arial" w:cs="Arial"/>
          <w:sz w:val="22"/>
          <w:szCs w:val="22"/>
        </w:rPr>
      </w:pPr>
    </w:p>
    <w:p w14:paraId="3BA9A50B">
      <w:pPr>
        <w:spacing w:after="400"/>
        <w:jc w:val="center"/>
      </w:pPr>
      <w:r>
        <w:rPr>
          <w:rFonts w:ascii="Arial" w:hAnsi="Arial" w:eastAsia="Arial" w:cs="Arial"/>
          <w:b/>
          <w:bCs/>
          <w:sz w:val="36"/>
          <w:szCs w:val="36"/>
        </w:rPr>
        <w:t>MODULE 10</w:t>
      </w:r>
    </w:p>
    <w:p w14:paraId="32DCCA63">
      <w:pPr>
        <w:spacing w:after="200"/>
        <w:jc w:val="center"/>
      </w:pPr>
      <w:r>
        <w:rPr>
          <w:rFonts w:ascii="Arial" w:hAnsi="Arial" w:eastAsia="Arial" w:cs="Arial"/>
          <w:b/>
          <w:bCs/>
          <w:sz w:val="28"/>
          <w:szCs w:val="28"/>
        </w:rPr>
        <w:t>Power of 3 in Context</w:t>
      </w:r>
    </w:p>
    <w:p w14:paraId="699C1950">
      <w:pPr>
        <w:spacing w:after="400"/>
        <w:jc w:val="center"/>
      </w:pPr>
      <w:r>
        <w:rPr>
          <w:rFonts w:ascii="Arial" w:hAnsi="Arial" w:eastAsia="Arial" w:cs="Arial"/>
          <w:i/>
          <w:iCs/>
          <w:sz w:val="20"/>
          <w:szCs w:val="20"/>
        </w:rPr>
        <w:t>Accumulation – Manipulation – Distribution, Daily / Session / Weekly PO3, Opening Price, Failure &amp; Alternative Delivery</w:t>
      </w:r>
    </w:p>
    <w:p w14:paraId="1D55B51A">
      <w:pPr>
        <w:pBdr>
          <w:left w:val="single" w:color="2E75B6" w:sz="24" w:space="8"/>
        </w:pBdr>
        <w:shd w:val="clear" w:fill="F5F5F5"/>
        <w:spacing w:before="120" w:after="200" w:line="276" w:lineRule="auto"/>
        <w:ind w:left="120"/>
      </w:pPr>
      <w:r>
        <w:rPr>
          <w:rFonts w:ascii="Arial" w:hAnsi="Arial" w:eastAsia="Arial" w:cs="Arial"/>
          <w:i/>
          <w:iCs/>
          <w:sz w:val="20"/>
          <w:szCs w:val="20"/>
        </w:rPr>
        <w:t>Prerequisite: Modules 1–9 assumed complete. The student can construct a multi-timeframe narrative, map session liquidity, and recognise kill-zone behaviour. This module formalises the three-phase delivery template that often organises those sessions.</w:t>
      </w:r>
    </w:p>
    <w:p w14:paraId="6FD8EEA6">
      <w:pPr>
        <w:pStyle w:val="2"/>
        <w:spacing w:before="360" w:after="240"/>
      </w:pPr>
      <w:r>
        <w:rPr>
          <w:rFonts w:ascii="Arial" w:hAnsi="Arial" w:eastAsia="Arial" w:cs="Arial"/>
          <w:b/>
          <w:bCs/>
          <w:sz w:val="32"/>
          <w:szCs w:val="32"/>
        </w:rPr>
        <w:t>Module Objectives</w:t>
      </w:r>
    </w:p>
    <w:p w14:paraId="236805F1">
      <w:pPr>
        <w:spacing w:after="200" w:line="276" w:lineRule="auto"/>
      </w:pPr>
      <w:r>
        <w:rPr>
          <w:rFonts w:ascii="Arial" w:hAnsi="Arial" w:eastAsia="Arial" w:cs="Arial"/>
          <w:sz w:val="22"/>
          <w:szCs w:val="22"/>
        </w:rPr>
        <w:t>By the end of this module the intermediate student should be able to:</w:t>
      </w:r>
    </w:p>
    <w:p w14:paraId="508D02A3">
      <w:pPr>
        <w:pStyle w:val="16"/>
        <w:numPr>
          <w:ilvl w:val="0"/>
          <w:numId w:val="1"/>
        </w:numPr>
        <w:spacing w:after="120" w:line="276" w:lineRule="auto"/>
      </w:pPr>
      <w:r>
        <w:rPr>
          <w:rFonts w:ascii="Arial" w:hAnsi="Arial" w:eastAsia="Arial" w:cs="Arial"/>
          <w:sz w:val="22"/>
          <w:szCs w:val="22"/>
        </w:rPr>
        <w:t>Define Accumulation, Manipulation and Distribution within the ICT Power of 3 (PO3 / AMD) framework.</w:t>
      </w:r>
    </w:p>
    <w:p w14:paraId="189627EC">
      <w:pPr>
        <w:pStyle w:val="16"/>
        <w:numPr>
          <w:ilvl w:val="0"/>
          <w:numId w:val="1"/>
        </w:numPr>
        <w:spacing w:after="120" w:line="276" w:lineRule="auto"/>
      </w:pPr>
      <w:r>
        <w:rPr>
          <w:rFonts w:ascii="Arial" w:hAnsi="Arial" w:eastAsia="Arial" w:cs="Arial"/>
          <w:sz w:val="22"/>
          <w:szCs w:val="22"/>
        </w:rPr>
        <w:t>Map the three phases onto the daily candle and onto the Asian → London → New York session sequence.</w:t>
      </w:r>
    </w:p>
    <w:p w14:paraId="08964187">
      <w:pPr>
        <w:pStyle w:val="16"/>
        <w:numPr>
          <w:ilvl w:val="0"/>
          <w:numId w:val="1"/>
        </w:numPr>
        <w:spacing w:after="120" w:line="276" w:lineRule="auto"/>
      </w:pPr>
      <w:r>
        <w:rPr>
          <w:rFonts w:ascii="Arial" w:hAnsi="Arial" w:eastAsia="Arial" w:cs="Arial"/>
          <w:sz w:val="22"/>
          <w:szCs w:val="22"/>
        </w:rPr>
        <w:t>Recognise PO3 structure on the weekly timeframe.</w:t>
      </w:r>
    </w:p>
    <w:p w14:paraId="608161D2">
      <w:pPr>
        <w:pStyle w:val="16"/>
        <w:numPr>
          <w:ilvl w:val="0"/>
          <w:numId w:val="1"/>
        </w:numPr>
        <w:spacing w:after="120" w:line="276" w:lineRule="auto"/>
      </w:pPr>
      <w:r>
        <w:rPr>
          <w:rFonts w:ascii="Arial" w:hAnsi="Arial" w:eastAsia="Arial" w:cs="Arial"/>
          <w:sz w:val="22"/>
          <w:szCs w:val="22"/>
        </w:rPr>
        <w:t>Relate the daily opening price to the location of manipulation.</w:t>
      </w:r>
    </w:p>
    <w:p w14:paraId="3B906BBA">
      <w:pPr>
        <w:pStyle w:val="16"/>
        <w:numPr>
          <w:ilvl w:val="0"/>
          <w:numId w:val="1"/>
        </w:numPr>
        <w:spacing w:after="120" w:line="276" w:lineRule="auto"/>
      </w:pPr>
      <w:r>
        <w:rPr>
          <w:rFonts w:ascii="Arial" w:hAnsi="Arial" w:eastAsia="Arial" w:cs="Arial"/>
          <w:sz w:val="22"/>
          <w:szCs w:val="22"/>
        </w:rPr>
        <w:t>Integrate PO3 with higher-timeframe bias and the Draw on Liquidity.</w:t>
      </w:r>
    </w:p>
    <w:p w14:paraId="63C7D94E">
      <w:pPr>
        <w:pStyle w:val="16"/>
        <w:numPr>
          <w:ilvl w:val="0"/>
          <w:numId w:val="1"/>
        </w:numPr>
        <w:spacing w:after="120" w:line="276" w:lineRule="auto"/>
      </w:pPr>
      <w:r>
        <w:rPr>
          <w:rFonts w:ascii="Arial" w:hAnsi="Arial" w:eastAsia="Arial" w:cs="Arial"/>
          <w:sz w:val="22"/>
          <w:szCs w:val="22"/>
        </w:rPr>
        <w:t>Identify PO3 failure and alternative daily delivery profiles.</w:t>
      </w:r>
    </w:p>
    <w:p w14:paraId="525DBCCD">
      <w:pPr>
        <w:pStyle w:val="16"/>
        <w:numPr>
          <w:ilvl w:val="0"/>
          <w:numId w:val="1"/>
        </w:numPr>
        <w:spacing w:after="120" w:line="276" w:lineRule="auto"/>
      </w:pPr>
      <w:r>
        <w:rPr>
          <w:rFonts w:ascii="Arial" w:hAnsi="Arial" w:eastAsia="Arial" w:cs="Arial"/>
          <w:sz w:val="22"/>
          <w:szCs w:val="22"/>
        </w:rPr>
        <w:t>Use PO3 as a contextual map rather than as a standalone entry signal.</w:t>
      </w:r>
    </w:p>
    <w:p w14:paraId="54ACF6D6">
      <w:pPr>
        <w:pStyle w:val="2"/>
        <w:spacing w:before="360" w:after="240"/>
      </w:pPr>
      <w:r>
        <w:rPr>
          <w:rFonts w:ascii="Arial" w:hAnsi="Arial" w:eastAsia="Arial" w:cs="Arial"/>
          <w:b/>
          <w:bCs/>
          <w:sz w:val="32"/>
          <w:szCs w:val="32"/>
        </w:rPr>
        <w:t>Introduction: The Three-Phase Delivery Template</w:t>
      </w:r>
    </w:p>
    <w:p w14:paraId="3653555B">
      <w:pPr>
        <w:spacing w:after="200" w:line="276" w:lineRule="auto"/>
      </w:pPr>
      <w:r>
        <w:rPr>
          <w:rFonts w:ascii="Arial" w:hAnsi="Arial" w:eastAsia="Arial" w:cs="Arial"/>
          <w:sz w:val="22"/>
          <w:szCs w:val="22"/>
        </w:rPr>
        <w:t>Power of 3 (also called AMD — Accumulation, Manipulation, Distribution) is ICT’s description of how a significant candle or session range is often constructed. Institutions accumulate positions during a quiet phase, manipulate price to engineer liquidity (and trap the opposite side), then distribute in the true intended direction.</w:t>
      </w:r>
    </w:p>
    <w:p w14:paraId="369F563D">
      <w:pPr>
        <w:spacing w:after="200" w:line="276" w:lineRule="auto"/>
      </w:pPr>
      <w:r>
        <w:rPr>
          <w:rFonts w:ascii="Arial" w:hAnsi="Arial" w:eastAsia="Arial" w:cs="Arial"/>
          <w:sz w:val="22"/>
          <w:szCs w:val="22"/>
        </w:rPr>
        <w:t>At the intermediate level PO3 is not a trade signal by itself. It is a map that organises the session behaviour already studied in Module 9 and links that behaviour to the higher-timeframe narrative. When the map fits, the student knows which phase the market is in and therefore which behaviour to expect next. When the map fails, the student recognises that an alternative delivery profile is in play.</w:t>
      </w:r>
    </w:p>
    <w:p w14:paraId="6FCAB276">
      <w:pPr>
        <w:pStyle w:val="2"/>
        <w:spacing w:before="360" w:after="240"/>
      </w:pPr>
      <w:r>
        <w:rPr>
          <w:rFonts w:ascii="Arial" w:hAnsi="Arial" w:eastAsia="Arial" w:cs="Arial"/>
          <w:b/>
          <w:bCs/>
          <w:sz w:val="32"/>
          <w:szCs w:val="32"/>
        </w:rPr>
        <w:t>1. The Three Phases</w:t>
      </w:r>
    </w:p>
    <w:p w14:paraId="143573AC">
      <w:pPr>
        <w:pStyle w:val="3"/>
        <w:spacing w:before="280" w:after="180"/>
      </w:pPr>
      <w:r>
        <w:rPr>
          <w:rFonts w:ascii="Arial" w:hAnsi="Arial" w:eastAsia="Arial" w:cs="Arial"/>
          <w:b/>
          <w:bCs/>
          <w:sz w:val="26"/>
          <w:szCs w:val="26"/>
        </w:rPr>
        <w:t>1.1 Accumulation</w:t>
      </w:r>
    </w:p>
    <w:p w14:paraId="27FD8A92">
      <w:pPr>
        <w:spacing w:after="200" w:line="276" w:lineRule="auto"/>
      </w:pPr>
      <w:r>
        <w:rPr>
          <w:rFonts w:ascii="Arial" w:hAnsi="Arial" w:eastAsia="Arial" w:cs="Arial"/>
          <w:sz w:val="22"/>
          <w:szCs w:val="22"/>
        </w:rPr>
        <w:t>Accumulation is the relatively quiet, range-bound phase in which positions are built. Volatility is typically lower; a clear high and low of the accumulation range form. On the daily profile this often corresponds to the Asian session. Liquidity builds above the range high and below the range low.</w:t>
      </w:r>
    </w:p>
    <w:p w14:paraId="2AEE37C8">
      <w:pPr>
        <w:pStyle w:val="3"/>
        <w:spacing w:before="280" w:after="180"/>
      </w:pPr>
      <w:r>
        <w:rPr>
          <w:rFonts w:ascii="Arial" w:hAnsi="Arial" w:eastAsia="Arial" w:cs="Arial"/>
          <w:b/>
          <w:bCs/>
          <w:sz w:val="26"/>
          <w:szCs w:val="26"/>
        </w:rPr>
        <w:t>1.2 Manipulation</w:t>
      </w:r>
    </w:p>
    <w:p w14:paraId="14FB22BC">
      <w:pPr>
        <w:spacing w:after="200" w:line="276" w:lineRule="auto"/>
      </w:pPr>
      <w:r>
        <w:rPr>
          <w:rFonts w:ascii="Arial" w:hAnsi="Arial" w:eastAsia="Arial" w:cs="Arial"/>
          <w:sz w:val="22"/>
          <w:szCs w:val="22"/>
        </w:rPr>
        <w:t>Manipulation is the false or engineered move outside the accumulation range. Its purpose is to run stops, attract breakout traders, and generate the liquidity required for the subsequent true move. On the daily profile this frequently appears as the London Open sweep of the Asian range (Judas Swing). The manipulation leaves a wick on the higher-timeframe candle.</w:t>
      </w:r>
    </w:p>
    <w:p w14:paraId="2EFA2A5E">
      <w:pPr>
        <w:pStyle w:val="3"/>
        <w:spacing w:before="280" w:after="180"/>
      </w:pPr>
      <w:r>
        <w:rPr>
          <w:rFonts w:ascii="Arial" w:hAnsi="Arial" w:eastAsia="Arial" w:cs="Arial"/>
          <w:b/>
          <w:bCs/>
          <w:sz w:val="26"/>
          <w:szCs w:val="26"/>
        </w:rPr>
        <w:t>1.3 Distribution</w:t>
      </w:r>
    </w:p>
    <w:p w14:paraId="62413663">
      <w:pPr>
        <w:spacing w:after="200" w:line="276" w:lineRule="auto"/>
      </w:pPr>
      <w:r>
        <w:rPr>
          <w:rFonts w:ascii="Arial" w:hAnsi="Arial" w:eastAsia="Arial" w:cs="Arial"/>
          <w:sz w:val="22"/>
          <w:szCs w:val="22"/>
        </w:rPr>
        <w:t>Distribution is the real directional expansion. Price reverses through the accumulation range and delivers toward the intended liquidity objective. On the daily profile this often occurs during the New York session (or the latter part of London into New York). The body of the daily candle is largely the product of the distribution phase.</w:t>
      </w:r>
    </w:p>
    <w:p w14:paraId="58CC9364">
      <w:pPr>
        <w:pStyle w:val="2"/>
        <w:spacing w:before="360" w:after="240"/>
      </w:pPr>
      <w:r>
        <w:rPr>
          <w:rFonts w:ascii="Arial" w:hAnsi="Arial" w:eastAsia="Arial" w:cs="Arial"/>
          <w:b/>
          <w:bCs/>
          <w:sz w:val="32"/>
          <w:szCs w:val="32"/>
        </w:rPr>
        <w:t>2. Daily Power of 3</w:t>
      </w:r>
    </w:p>
    <w:p w14:paraId="651D10D1">
      <w:pPr>
        <w:pStyle w:val="3"/>
        <w:spacing w:before="280" w:after="180"/>
      </w:pPr>
      <w:r>
        <w:rPr>
          <w:rFonts w:ascii="Arial" w:hAnsi="Arial" w:eastAsia="Arial" w:cs="Arial"/>
          <w:b/>
          <w:bCs/>
          <w:sz w:val="26"/>
          <w:szCs w:val="26"/>
        </w:rPr>
        <w:t>2.1 Classic Mapping</w:t>
      </w:r>
    </w:p>
    <w:p w14:paraId="76A2F026">
      <w:pPr>
        <w:spacing w:after="200" w:line="276" w:lineRule="auto"/>
      </w:pPr>
      <w:r>
        <w:rPr>
          <w:rFonts w:ascii="Arial" w:hAnsi="Arial" w:eastAsia="Arial" w:cs="Arial"/>
          <w:sz w:val="22"/>
          <w:szCs w:val="22"/>
        </w:rPr>
        <w:t>A common daily mapping is:</w:t>
      </w:r>
    </w:p>
    <w:p w14:paraId="10E9A050">
      <w:pPr>
        <w:pStyle w:val="16"/>
        <w:numPr>
          <w:ilvl w:val="0"/>
          <w:numId w:val="1"/>
        </w:numPr>
        <w:spacing w:after="120" w:line="276" w:lineRule="auto"/>
      </w:pPr>
      <w:r>
        <w:rPr>
          <w:rFonts w:ascii="Arial" w:hAnsi="Arial" w:eastAsia="Arial" w:cs="Arial"/>
          <w:sz w:val="22"/>
          <w:szCs w:val="22"/>
        </w:rPr>
        <w:t>Accumulation — Asian session range.</w:t>
      </w:r>
    </w:p>
    <w:p w14:paraId="5D505EA8">
      <w:pPr>
        <w:pStyle w:val="16"/>
        <w:numPr>
          <w:ilvl w:val="0"/>
          <w:numId w:val="1"/>
        </w:numPr>
        <w:spacing w:after="120" w:line="276" w:lineRule="auto"/>
      </w:pPr>
      <w:r>
        <w:rPr>
          <w:rFonts w:ascii="Arial" w:hAnsi="Arial" w:eastAsia="Arial" w:cs="Arial"/>
          <w:sz w:val="22"/>
          <w:szCs w:val="22"/>
        </w:rPr>
        <w:t>Manipulation — London Open sweep of one side of the Asian range.</w:t>
      </w:r>
    </w:p>
    <w:p w14:paraId="66141CFD">
      <w:pPr>
        <w:pStyle w:val="16"/>
        <w:numPr>
          <w:ilvl w:val="0"/>
          <w:numId w:val="1"/>
        </w:numPr>
        <w:spacing w:after="120" w:line="276" w:lineRule="auto"/>
      </w:pPr>
      <w:r>
        <w:rPr>
          <w:rFonts w:ascii="Arial" w:hAnsi="Arial" w:eastAsia="Arial" w:cs="Arial"/>
          <w:sz w:val="22"/>
          <w:szCs w:val="22"/>
        </w:rPr>
        <w:t>Distribution — London continuation or New York expansion toward the opposing liquidity / HTF target.</w:t>
      </w:r>
    </w:p>
    <w:p w14:paraId="688E284D">
      <w:pPr>
        <w:pStyle w:val="3"/>
        <w:spacing w:before="280" w:after="180"/>
      </w:pPr>
      <w:r>
        <w:rPr>
          <w:rFonts w:ascii="Arial" w:hAnsi="Arial" w:eastAsia="Arial" w:cs="Arial"/>
          <w:b/>
          <w:bCs/>
          <w:sz w:val="26"/>
          <w:szCs w:val="26"/>
        </w:rPr>
        <w:t>2.2 Opening Price Relationship</w:t>
      </w:r>
    </w:p>
    <w:p w14:paraId="1801006B">
      <w:pPr>
        <w:spacing w:after="200" w:line="276" w:lineRule="auto"/>
      </w:pPr>
      <w:r>
        <w:rPr>
          <w:rFonts w:ascii="Arial" w:hAnsi="Arial" w:eastAsia="Arial" w:cs="Arial"/>
          <w:sz w:val="22"/>
          <w:szCs w:val="22"/>
        </w:rPr>
        <w:t>The daily opening price is a useful reference. On many bullish PO3 days the manipulation occurs below the open (sell-side raid) and distribution carries price above the open toward buy-side objectives. On many bearish PO3 days the manipulation occurs above the open and distribution carries price lower. The open is not a magic level, but its relationship to the manipulation wick is a frequent visual signature of the completed daily candle.</w:t>
      </w:r>
    </w:p>
    <w:p w14:paraId="1D063853">
      <w:pPr>
        <w:pStyle w:val="3"/>
        <w:spacing w:before="280" w:after="180"/>
      </w:pPr>
      <w:r>
        <w:rPr>
          <w:rFonts w:ascii="Arial" w:hAnsi="Arial" w:eastAsia="Arial" w:cs="Arial"/>
          <w:b/>
          <w:bCs/>
          <w:sz w:val="26"/>
          <w:szCs w:val="26"/>
        </w:rPr>
        <w:t>2.3 Visual Signature of a Classic Bullish Daily PO3</w:t>
      </w:r>
    </w:p>
    <w:p w14:paraId="40B5BEB8">
      <w:pPr>
        <w:spacing w:after="200" w:line="276" w:lineRule="auto"/>
      </w:pPr>
      <w:r>
        <w:rPr>
          <w:rFonts w:ascii="Arial" w:hAnsi="Arial" w:eastAsia="Arial" w:cs="Arial"/>
          <w:sz w:val="22"/>
          <w:szCs w:val="22"/>
        </w:rPr>
        <w:t>The finished daily candle often shows: a lower wick (manipulation of sell-side liquidity), an open somewhere in the middle or lower half, and a close near the high (distribution). The mirror image appears on classic bearish days.</w:t>
      </w:r>
    </w:p>
    <w:p w14:paraId="62C6CE51">
      <w:pPr>
        <w:pStyle w:val="2"/>
        <w:spacing w:before="360" w:after="240"/>
      </w:pPr>
      <w:r>
        <w:rPr>
          <w:rFonts w:ascii="Arial" w:hAnsi="Arial" w:eastAsia="Arial" w:cs="Arial"/>
          <w:b/>
          <w:bCs/>
          <w:sz w:val="32"/>
          <w:szCs w:val="32"/>
        </w:rPr>
        <w:t>3. Session Power of 3</w:t>
      </w:r>
    </w:p>
    <w:p w14:paraId="64AFCC09">
      <w:pPr>
        <w:pStyle w:val="3"/>
        <w:spacing w:before="280" w:after="180"/>
      </w:pPr>
      <w:r>
        <w:rPr>
          <w:rFonts w:ascii="Arial" w:hAnsi="Arial" w:eastAsia="Arial" w:cs="Arial"/>
          <w:b/>
          <w:bCs/>
          <w:sz w:val="26"/>
          <w:szCs w:val="26"/>
        </w:rPr>
        <w:t>3.1 Fractal Nature</w:t>
      </w:r>
    </w:p>
    <w:p w14:paraId="2D3B4E6B">
      <w:pPr>
        <w:spacing w:after="200" w:line="276" w:lineRule="auto"/>
      </w:pPr>
      <w:r>
        <w:rPr>
          <w:rFonts w:ascii="Arial" w:hAnsi="Arial" w:eastAsia="Arial" w:cs="Arial"/>
          <w:sz w:val="22"/>
          <w:szCs w:val="22"/>
        </w:rPr>
        <w:t>The same three phases can appear inside a single kill zone or session. A New York Open window may itself accumulate briefly, manipulate a local high or low, then distribute. Recognising the phase inside the session prevents the trader from entering during manipulation and calling it distribution.</w:t>
      </w:r>
    </w:p>
    <w:p w14:paraId="5DDE3C6D">
      <w:pPr>
        <w:pStyle w:val="3"/>
        <w:spacing w:before="280" w:after="180"/>
      </w:pPr>
      <w:r>
        <w:rPr>
          <w:rFonts w:ascii="Arial" w:hAnsi="Arial" w:eastAsia="Arial" w:cs="Arial"/>
          <w:b/>
          <w:bCs/>
          <w:sz w:val="26"/>
          <w:szCs w:val="26"/>
        </w:rPr>
        <w:t>3.2 Practical Use</w:t>
      </w:r>
    </w:p>
    <w:p w14:paraId="45C92E6E">
      <w:pPr>
        <w:spacing w:after="200" w:line="276" w:lineRule="auto"/>
      </w:pPr>
      <w:r>
        <w:rPr>
          <w:rFonts w:ascii="Arial" w:hAnsi="Arial" w:eastAsia="Arial" w:cs="Arial"/>
          <w:sz w:val="22"/>
          <w:szCs w:val="22"/>
        </w:rPr>
        <w:t>When the daily PO3 is clear, the session PO3 is used to time the entry: wait for the session-level manipulation (local liquidity sweep) and the subsequent displacement that begins distribution, then enter on the retracement into the PD array created by that displacement.</w:t>
      </w:r>
    </w:p>
    <w:p w14:paraId="518B66C0">
      <w:pPr>
        <w:pStyle w:val="2"/>
        <w:spacing w:before="360" w:after="240"/>
      </w:pPr>
      <w:r>
        <w:rPr>
          <w:rFonts w:ascii="Arial" w:hAnsi="Arial" w:eastAsia="Arial" w:cs="Arial"/>
          <w:b/>
          <w:bCs/>
          <w:sz w:val="32"/>
          <w:szCs w:val="32"/>
        </w:rPr>
        <w:t>4. Weekly Power of 3</w:t>
      </w:r>
    </w:p>
    <w:p w14:paraId="5CD37870">
      <w:pPr>
        <w:pStyle w:val="3"/>
        <w:spacing w:before="280" w:after="180"/>
      </w:pPr>
      <w:r>
        <w:rPr>
          <w:rFonts w:ascii="Arial" w:hAnsi="Arial" w:eastAsia="Arial" w:cs="Arial"/>
          <w:b/>
          <w:bCs/>
          <w:sz w:val="26"/>
          <w:szCs w:val="26"/>
        </w:rPr>
        <w:t>4.1 Typical Mapping</w:t>
      </w:r>
    </w:p>
    <w:p w14:paraId="1356F645">
      <w:pPr>
        <w:spacing w:after="200" w:line="276" w:lineRule="auto"/>
      </w:pPr>
      <w:r>
        <w:rPr>
          <w:rFonts w:ascii="Arial" w:hAnsi="Arial" w:eastAsia="Arial" w:cs="Arial"/>
          <w:sz w:val="22"/>
          <w:szCs w:val="22"/>
        </w:rPr>
        <w:t>On the weekly candle a frequent (though not rigid) profile is:</w:t>
      </w:r>
    </w:p>
    <w:p w14:paraId="58C3D43D">
      <w:pPr>
        <w:pStyle w:val="16"/>
        <w:numPr>
          <w:ilvl w:val="0"/>
          <w:numId w:val="1"/>
        </w:numPr>
        <w:spacing w:after="120" w:line="276" w:lineRule="auto"/>
      </w:pPr>
      <w:r>
        <w:rPr>
          <w:rFonts w:ascii="Arial" w:hAnsi="Arial" w:eastAsia="Arial" w:cs="Arial"/>
          <w:sz w:val="22"/>
          <w:szCs w:val="22"/>
        </w:rPr>
        <w:t>Accumulation — early week (often Monday) range-building.</w:t>
      </w:r>
    </w:p>
    <w:p w14:paraId="36EBD16B">
      <w:pPr>
        <w:pStyle w:val="16"/>
        <w:numPr>
          <w:ilvl w:val="0"/>
          <w:numId w:val="1"/>
        </w:numPr>
        <w:spacing w:after="120" w:line="276" w:lineRule="auto"/>
      </w:pPr>
      <w:r>
        <w:rPr>
          <w:rFonts w:ascii="Arial" w:hAnsi="Arial" w:eastAsia="Arial" w:cs="Arial"/>
          <w:sz w:val="22"/>
          <w:szCs w:val="22"/>
        </w:rPr>
        <w:t>Manipulation — mid-week sweep of the early-week high or low.</w:t>
      </w:r>
    </w:p>
    <w:p w14:paraId="303BE631">
      <w:pPr>
        <w:pStyle w:val="16"/>
        <w:numPr>
          <w:ilvl w:val="0"/>
          <w:numId w:val="1"/>
        </w:numPr>
        <w:spacing w:after="120" w:line="276" w:lineRule="auto"/>
      </w:pPr>
      <w:r>
        <w:rPr>
          <w:rFonts w:ascii="Arial" w:hAnsi="Arial" w:eastAsia="Arial" w:cs="Arial"/>
          <w:sz w:val="22"/>
          <w:szCs w:val="22"/>
        </w:rPr>
        <w:t>Distribution — later-week expansion toward the weekly Draw on Liquidity.</w:t>
      </w:r>
    </w:p>
    <w:p w14:paraId="3AD44E1C">
      <w:pPr>
        <w:pStyle w:val="3"/>
        <w:spacing w:before="280" w:after="180"/>
      </w:pPr>
      <w:r>
        <w:rPr>
          <w:rFonts w:ascii="Arial" w:hAnsi="Arial" w:eastAsia="Arial" w:cs="Arial"/>
          <w:b/>
          <w:bCs/>
          <w:sz w:val="26"/>
          <w:szCs w:val="26"/>
        </w:rPr>
        <w:t>4.2 Intermediate Application</w:t>
      </w:r>
    </w:p>
    <w:p w14:paraId="14CF8871">
      <w:pPr>
        <w:spacing w:after="200" w:line="276" w:lineRule="auto"/>
      </w:pPr>
      <w:r>
        <w:rPr>
          <w:rFonts w:ascii="Arial" w:hAnsi="Arial" w:eastAsia="Arial" w:cs="Arial"/>
          <w:sz w:val="22"/>
          <w:szCs w:val="22"/>
        </w:rPr>
        <w:t>Weekly PO3 supplies a higher-timeframe context for the daily narrative. A trader who sees the week still in accumulation will treat early-week directional signals with more caution than a trader who sees clear weekly distribution underway.</w:t>
      </w:r>
    </w:p>
    <w:p w14:paraId="2AE7905B">
      <w:pPr>
        <w:pStyle w:val="2"/>
        <w:spacing w:before="360" w:after="240"/>
      </w:pPr>
      <w:r>
        <w:rPr>
          <w:rFonts w:ascii="Arial" w:hAnsi="Arial" w:eastAsia="Arial" w:cs="Arial"/>
          <w:b/>
          <w:bCs/>
          <w:sz w:val="32"/>
          <w:szCs w:val="32"/>
        </w:rPr>
        <w:t>5. Manipulation Relative to Liquidity</w:t>
      </w:r>
    </w:p>
    <w:p w14:paraId="4ADDCFB2">
      <w:pPr>
        <w:pStyle w:val="3"/>
        <w:spacing w:before="280" w:after="180"/>
      </w:pPr>
      <w:r>
        <w:rPr>
          <w:rFonts w:ascii="Arial" w:hAnsi="Arial" w:eastAsia="Arial" w:cs="Arial"/>
          <w:b/>
          <w:bCs/>
          <w:sz w:val="26"/>
          <w:szCs w:val="26"/>
        </w:rPr>
        <w:t>5.1 Purpose of Manipulation</w:t>
      </w:r>
    </w:p>
    <w:p w14:paraId="136C594F">
      <w:pPr>
        <w:spacing w:after="200" w:line="276" w:lineRule="auto"/>
      </w:pPr>
      <w:r>
        <w:rPr>
          <w:rFonts w:ascii="Arial" w:hAnsi="Arial" w:eastAsia="Arial" w:cs="Arial"/>
          <w:sz w:val="22"/>
          <w:szCs w:val="22"/>
        </w:rPr>
        <w:t>Manipulation is not random noise. It is directed at the liquidity that has accumulated above or below the accumulation range (and often at the Asian range extremes). The side that is manipulated frequently reveals the side that was needed for the subsequent distribution.</w:t>
      </w:r>
    </w:p>
    <w:p w14:paraId="00459A89">
      <w:pPr>
        <w:pStyle w:val="3"/>
        <w:spacing w:before="280" w:after="180"/>
      </w:pPr>
      <w:r>
        <w:rPr>
          <w:rFonts w:ascii="Arial" w:hAnsi="Arial" w:eastAsia="Arial" w:cs="Arial"/>
          <w:b/>
          <w:bCs/>
          <w:sz w:val="26"/>
          <w:szCs w:val="26"/>
        </w:rPr>
        <w:t>5.2 Link to Module 2 and Module 9</w:t>
      </w:r>
    </w:p>
    <w:p w14:paraId="32AB4776">
      <w:pPr>
        <w:spacing w:after="200" w:line="276" w:lineRule="auto"/>
      </w:pPr>
      <w:r>
        <w:rPr>
          <w:rFonts w:ascii="Arial" w:hAnsi="Arial" w:eastAsia="Arial" w:cs="Arial"/>
          <w:sz w:val="22"/>
          <w:szCs w:val="22"/>
        </w:rPr>
        <w:t>The liquidity hierarchy and the Asian range references studied earlier are exactly the pools that the manipulation phase is designed to raid. Recognising which pool was taken is the first clue to the likely direction of distribution.</w:t>
      </w:r>
    </w:p>
    <w:p w14:paraId="16CB2592">
      <w:pPr>
        <w:pStyle w:val="2"/>
        <w:spacing w:before="360" w:after="240"/>
      </w:pPr>
      <w:r>
        <w:rPr>
          <w:rFonts w:ascii="Arial" w:hAnsi="Arial" w:eastAsia="Arial" w:cs="Arial"/>
          <w:b/>
          <w:bCs/>
          <w:sz w:val="32"/>
          <w:szCs w:val="32"/>
        </w:rPr>
        <w:t>6. PO3 + Higher-Timeframe Bias</w:t>
      </w:r>
    </w:p>
    <w:p w14:paraId="09CD1E0B">
      <w:pPr>
        <w:pStyle w:val="3"/>
        <w:spacing w:before="280" w:after="180"/>
      </w:pPr>
      <w:r>
        <w:rPr>
          <w:rFonts w:ascii="Arial" w:hAnsi="Arial" w:eastAsia="Arial" w:cs="Arial"/>
          <w:b/>
          <w:bCs/>
          <w:sz w:val="26"/>
          <w:szCs w:val="26"/>
        </w:rPr>
        <w:t>6.1 Alignment</w:t>
      </w:r>
    </w:p>
    <w:p w14:paraId="25E9E7AB">
      <w:pPr>
        <w:spacing w:after="200" w:line="276" w:lineRule="auto"/>
      </w:pPr>
      <w:r>
        <w:rPr>
          <w:rFonts w:ascii="Arial" w:hAnsi="Arial" w:eastAsia="Arial" w:cs="Arial"/>
          <w:sz w:val="22"/>
          <w:szCs w:val="22"/>
        </w:rPr>
        <w:t>The highest-quality daily PO3 profiles are those that align with the higher-timeframe bias and Draw on Liquidity. A bullish daily PO3 that occurs while the weekly and daily narratives are also bullish, and while price is in discount relative to the relevant dealing range, is a high-confluence context.</w:t>
      </w:r>
    </w:p>
    <w:p w14:paraId="07514482">
      <w:pPr>
        <w:pStyle w:val="3"/>
        <w:spacing w:before="280" w:after="180"/>
      </w:pPr>
      <w:r>
        <w:rPr>
          <w:rFonts w:ascii="Arial" w:hAnsi="Arial" w:eastAsia="Arial" w:cs="Arial"/>
          <w:b/>
          <w:bCs/>
          <w:sz w:val="26"/>
          <w:szCs w:val="26"/>
        </w:rPr>
        <w:t>6.2 Conflict</w:t>
      </w:r>
    </w:p>
    <w:p w14:paraId="60C644B6">
      <w:pPr>
        <w:spacing w:after="200" w:line="276" w:lineRule="auto"/>
      </w:pPr>
      <w:r>
        <w:rPr>
          <w:rFonts w:ascii="Arial" w:hAnsi="Arial" w:eastAsia="Arial" w:cs="Arial"/>
          <w:sz w:val="22"/>
          <w:szCs w:val="22"/>
        </w:rPr>
        <w:t>A daily PO3 profile that points opposite to the higher-timeframe bias is lower probability or may represent only a corrective day inside a larger opposing narrative. Intermediate discipline is to favour the higher-timeframe story when the two conflict.</w:t>
      </w:r>
    </w:p>
    <w:p w14:paraId="0152660F">
      <w:pPr>
        <w:pStyle w:val="2"/>
        <w:spacing w:before="360" w:after="240"/>
      </w:pPr>
      <w:r>
        <w:rPr>
          <w:rFonts w:ascii="Arial" w:hAnsi="Arial" w:eastAsia="Arial" w:cs="Arial"/>
          <w:b/>
          <w:bCs/>
          <w:sz w:val="32"/>
          <w:szCs w:val="32"/>
        </w:rPr>
        <w:t>7. PO3 Failure and Alternative Daily Delivery</w:t>
      </w:r>
    </w:p>
    <w:p w14:paraId="13232A2E">
      <w:pPr>
        <w:pStyle w:val="3"/>
        <w:spacing w:before="280" w:after="180"/>
      </w:pPr>
      <w:r>
        <w:rPr>
          <w:rFonts w:ascii="Arial" w:hAnsi="Arial" w:eastAsia="Arial" w:cs="Arial"/>
          <w:b/>
          <w:bCs/>
          <w:sz w:val="26"/>
          <w:szCs w:val="26"/>
        </w:rPr>
        <w:t>7.1 PO3 Failure</w:t>
      </w:r>
    </w:p>
    <w:p w14:paraId="7EDED652">
      <w:pPr>
        <w:spacing w:after="200" w:line="276" w:lineRule="auto"/>
      </w:pPr>
      <w:r>
        <w:rPr>
          <w:rFonts w:ascii="Arial" w:hAnsi="Arial" w:eastAsia="Arial" w:cs="Arial"/>
          <w:sz w:val="22"/>
          <w:szCs w:val="22"/>
        </w:rPr>
        <w:t>PO3 fails when the expected distribution does not materialise, or when the manipulation is itself continued rather than reversed. Examples:</w:t>
      </w:r>
    </w:p>
    <w:p w14:paraId="750B9A97">
      <w:pPr>
        <w:pStyle w:val="16"/>
        <w:numPr>
          <w:ilvl w:val="0"/>
          <w:numId w:val="1"/>
        </w:numPr>
        <w:spacing w:after="120" w:line="276" w:lineRule="auto"/>
      </w:pPr>
      <w:r>
        <w:rPr>
          <w:rFonts w:ascii="Arial" w:hAnsi="Arial" w:eastAsia="Arial" w:cs="Arial"/>
          <w:sz w:val="22"/>
          <w:szCs w:val="22"/>
        </w:rPr>
        <w:t>Price sweeps the Asian range and keeps going (continuation through the manipulated side rather than reversal).</w:t>
      </w:r>
    </w:p>
    <w:p w14:paraId="771A44A2">
      <w:pPr>
        <w:pStyle w:val="16"/>
        <w:numPr>
          <w:ilvl w:val="0"/>
          <w:numId w:val="1"/>
        </w:numPr>
        <w:spacing w:after="120" w:line="276" w:lineRule="auto"/>
      </w:pPr>
      <w:r>
        <w:rPr>
          <w:rFonts w:ascii="Arial" w:hAnsi="Arial" w:eastAsia="Arial" w:cs="Arial"/>
          <w:sz w:val="22"/>
          <w:szCs w:val="22"/>
        </w:rPr>
        <w:t>Both sides of the Asian range are swept and the day closes as a doji or inside day with no clear distribution.</w:t>
      </w:r>
    </w:p>
    <w:p w14:paraId="7DB71406">
      <w:pPr>
        <w:pStyle w:val="16"/>
        <w:numPr>
          <w:ilvl w:val="0"/>
          <w:numId w:val="1"/>
        </w:numPr>
        <w:spacing w:after="120" w:line="276" w:lineRule="auto"/>
      </w:pPr>
      <w:r>
        <w:rPr>
          <w:rFonts w:ascii="Arial" w:hAnsi="Arial" w:eastAsia="Arial" w:cs="Arial"/>
          <w:sz w:val="22"/>
          <w:szCs w:val="22"/>
        </w:rPr>
        <w:t>Distribution begins but is reversed by a higher-timeframe opposing force before the daily target is reached.</w:t>
      </w:r>
    </w:p>
    <w:p w14:paraId="07376E1C">
      <w:pPr>
        <w:pStyle w:val="3"/>
        <w:spacing w:before="280" w:after="180"/>
      </w:pPr>
      <w:r>
        <w:rPr>
          <w:rFonts w:ascii="Arial" w:hAnsi="Arial" w:eastAsia="Arial" w:cs="Arial"/>
          <w:b/>
          <w:bCs/>
          <w:sz w:val="26"/>
          <w:szCs w:val="26"/>
        </w:rPr>
        <w:t>7.2 Alternative Profiles</w:t>
      </w:r>
    </w:p>
    <w:p w14:paraId="5CBAD2AA">
      <w:pPr>
        <w:spacing w:after="200" w:line="276" w:lineRule="auto"/>
      </w:pPr>
      <w:r>
        <w:rPr>
          <w:rFonts w:ascii="Arial" w:hAnsi="Arial" w:eastAsia="Arial" w:cs="Arial"/>
          <w:sz w:val="22"/>
          <w:szCs w:val="22"/>
        </w:rPr>
        <w:t>Not every day prints a textbook PO3. Alternative profiles include trend days with little manipulation, range days with multiple small AMD cycles, and news-driven expansions that ignore the usual session sequence. The intermediate student recognises these alternatives rather than forcing every day into the three-phase template.</w:t>
      </w:r>
    </w:p>
    <w:p w14:paraId="00F9F4BE">
      <w:pPr>
        <w:pStyle w:val="3"/>
        <w:spacing w:before="280" w:after="180"/>
      </w:pPr>
      <w:r>
        <w:rPr>
          <w:rFonts w:ascii="Arial" w:hAnsi="Arial" w:eastAsia="Arial" w:cs="Arial"/>
          <w:b/>
          <w:bCs/>
          <w:sz w:val="26"/>
          <w:szCs w:val="26"/>
        </w:rPr>
        <w:t>7.3 Response to Failure</w:t>
      </w:r>
    </w:p>
    <w:p w14:paraId="295B0310">
      <w:pPr>
        <w:spacing w:after="200" w:line="276" w:lineRule="auto"/>
      </w:pPr>
      <w:r>
        <w:rPr>
          <w:rFonts w:ascii="Arial" w:hAnsi="Arial" w:eastAsia="Arial" w:cs="Arial"/>
          <w:sz w:val="22"/>
          <w:szCs w:val="22"/>
        </w:rPr>
        <w:t>When the expected PO3 fails, the trader does not insist on the original idea. The higher-timeframe narrative is re-checked, the day’s Draw on Liquidity is reassessed, and if necessary the trader stands aside.</w:t>
      </w:r>
    </w:p>
    <w:p w14:paraId="0DC0F982">
      <w:pPr>
        <w:pStyle w:val="2"/>
        <w:spacing w:before="360" w:after="240"/>
      </w:pPr>
      <w:r>
        <w:rPr>
          <w:rFonts w:ascii="Arial" w:hAnsi="Arial" w:eastAsia="Arial" w:cs="Arial"/>
          <w:b/>
          <w:bCs/>
          <w:sz w:val="32"/>
          <w:szCs w:val="32"/>
        </w:rPr>
        <w:t>Worked Example — Classic Bullish Daily PO3</w:t>
      </w:r>
    </w:p>
    <w:p w14:paraId="05958268">
      <w:pPr>
        <w:spacing w:after="200" w:line="276" w:lineRule="auto"/>
      </w:pPr>
      <w:r>
        <w:rPr>
          <w:rFonts w:ascii="Arial" w:hAnsi="Arial" w:eastAsia="Arial" w:cs="Arial"/>
          <w:sz w:val="22"/>
          <w:szCs w:val="22"/>
        </w:rPr>
        <w:t>HTF: Weekly and daily bias bullish; price in discount; Draw on Liquidity is buy-side above a prior daily high.</w:t>
      </w:r>
    </w:p>
    <w:p w14:paraId="6558BCD3">
      <w:pPr>
        <w:spacing w:after="200" w:line="276" w:lineRule="auto"/>
      </w:pPr>
      <w:r>
        <w:rPr>
          <w:rFonts w:ascii="Arial" w:hAnsi="Arial" w:eastAsia="Arial" w:cs="Arial"/>
          <w:sz w:val="22"/>
          <w:szCs w:val="22"/>
        </w:rPr>
        <w:t>Accumulation: Asian session prints a tight range, high 1.0850 / low 1.0810.</w:t>
      </w:r>
    </w:p>
    <w:p w14:paraId="4F9F1AAC">
      <w:pPr>
        <w:spacing w:after="200" w:line="276" w:lineRule="auto"/>
      </w:pPr>
      <w:r>
        <w:rPr>
          <w:rFonts w:ascii="Arial" w:hAnsi="Arial" w:eastAsia="Arial" w:cs="Arial"/>
          <w:sz w:val="22"/>
          <w:szCs w:val="22"/>
        </w:rPr>
        <w:t>Manipulation: London Open sweeps the Asian low to 1.0795, triggering sell-side stops and attracting breakdown sellers.</w:t>
      </w:r>
    </w:p>
    <w:p w14:paraId="463F2735">
      <w:pPr>
        <w:spacing w:after="200" w:line="276" w:lineRule="auto"/>
      </w:pPr>
      <w:r>
        <w:rPr>
          <w:rFonts w:ascii="Arial" w:hAnsi="Arial" w:eastAsia="Arial" w:cs="Arial"/>
          <w:sz w:val="22"/>
          <w:szCs w:val="22"/>
        </w:rPr>
        <w:t>Distribution: Price displaces higher, breaks short-term structure, leaves a bullish FVG / Order Block, and expands through the Asian high. New York continues the expansion toward the daily buy-side objective.</w:t>
      </w:r>
    </w:p>
    <w:p w14:paraId="77CBE7EA">
      <w:pPr>
        <w:spacing w:after="200" w:line="276" w:lineRule="auto"/>
      </w:pPr>
      <w:r>
        <w:rPr>
          <w:rFonts w:ascii="Arial" w:hAnsi="Arial" w:eastAsia="Arial" w:cs="Arial"/>
          <w:sz w:val="22"/>
          <w:szCs w:val="22"/>
        </w:rPr>
        <w:t>Daily candle result: lower wick (manipulation), open in the lower half, close near the high (distribution). Entry was available on the retracement into the London-created PD array during the distribution phase.</w:t>
      </w:r>
    </w:p>
    <w:p w14:paraId="6733A1C5">
      <w:pPr>
        <w:spacing w:after="200" w:line="276" w:lineRule="auto"/>
      </w:pPr>
      <w:r>
        <w:rPr>
          <w:rFonts w:ascii="Arial" w:hAnsi="Arial" w:eastAsia="Arial" w:cs="Arial"/>
          <w:sz w:val="22"/>
          <w:szCs w:val="22"/>
        </w:rPr>
        <w:t>This profile is aligned with the HTF narrative and is therefore high quality.</w:t>
      </w:r>
    </w:p>
    <w:p w14:paraId="77D570C1">
      <w:pPr>
        <w:pStyle w:val="2"/>
        <w:spacing w:before="360" w:after="240"/>
      </w:pPr>
      <w:r>
        <w:rPr>
          <w:rFonts w:ascii="Arial" w:hAnsi="Arial" w:eastAsia="Arial" w:cs="Arial"/>
          <w:b/>
          <w:bCs/>
          <w:sz w:val="32"/>
          <w:szCs w:val="32"/>
        </w:rPr>
        <w:t>Visual Reference — Daily PO3 Mapped to Sessions</w:t>
      </w:r>
    </w:p>
    <w:p w14:paraId="0297A06B">
      <w:pPr>
        <w:spacing w:after="0" w:line="240" w:lineRule="auto"/>
      </w:pPr>
      <w:r>
        <w:rPr>
          <w:rFonts w:ascii="Courier New" w:hAnsi="Courier New" w:eastAsia="Courier New" w:cs="Courier New"/>
          <w:sz w:val="18"/>
          <w:szCs w:val="18"/>
        </w:rPr>
        <w:t>Daily Candle (Bullish PO3)</w:t>
      </w:r>
    </w:p>
    <w:p w14:paraId="33F0A237">
      <w:pPr>
        <w:spacing w:after="0" w:line="240" w:lineRule="auto"/>
      </w:pPr>
      <w:r>
        <w:rPr>
          <w:rFonts w:ascii="Courier New" w:hAnsi="Courier New" w:eastAsia="Courier New" w:cs="Courier New"/>
          <w:sz w:val="18"/>
          <w:szCs w:val="18"/>
        </w:rPr>
        <w:t>─────────────────────────</w:t>
      </w:r>
    </w:p>
    <w:p w14:paraId="3D278B2F">
      <w:pPr>
        <w:spacing w:after="0" w:line="240" w:lineRule="auto"/>
      </w:pPr>
      <w:r>
        <w:rPr>
          <w:rFonts w:ascii="Courier New" w:hAnsi="Courier New" w:eastAsia="Courier New" w:cs="Courier New"/>
          <w:sz w:val="18"/>
          <w:szCs w:val="18"/>
        </w:rPr>
        <w:t xml:space="preserve">        Close near high</w:t>
      </w:r>
    </w:p>
    <w:p w14:paraId="366675BB">
      <w:pPr>
        <w:spacing w:after="0" w:line="240" w:lineRule="auto"/>
      </w:pPr>
      <w:r>
        <w:rPr>
          <w:rFonts w:ascii="Courier New" w:hAnsi="Courier New" w:eastAsia="Courier New" w:cs="Courier New"/>
          <w:sz w:val="18"/>
          <w:szCs w:val="18"/>
        </w:rPr>
        <w:t xml:space="preserve">           │ distribution (NY / late London)</w:t>
      </w:r>
    </w:p>
    <w:p w14:paraId="3D6F54D4">
      <w:pPr>
        <w:spacing w:after="0" w:line="240" w:lineRule="auto"/>
      </w:pPr>
      <w:r>
        <w:rPr>
          <w:rFonts w:ascii="Courier New" w:hAnsi="Courier New" w:eastAsia="Courier New" w:cs="Courier New"/>
          <w:sz w:val="18"/>
          <w:szCs w:val="18"/>
        </w:rPr>
        <w:t xml:space="preserve">           │</w:t>
      </w:r>
    </w:p>
    <w:p w14:paraId="564C8D75">
      <w:pPr>
        <w:spacing w:after="0" w:line="240" w:lineRule="auto"/>
      </w:pPr>
      <w:r>
        <w:rPr>
          <w:rFonts w:ascii="Courier New" w:hAnsi="Courier New" w:eastAsia="Courier New" w:cs="Courier New"/>
          <w:sz w:val="18"/>
          <w:szCs w:val="18"/>
        </w:rPr>
        <w:t xml:space="preserve">   Open ──┤</w:t>
      </w:r>
    </w:p>
    <w:p w14:paraId="01732A75">
      <w:pPr>
        <w:spacing w:after="0" w:line="240" w:lineRule="auto"/>
      </w:pPr>
      <w:r>
        <w:rPr>
          <w:rFonts w:ascii="Courier New" w:hAnsi="Courier New" w:eastAsia="Courier New" w:cs="Courier New"/>
          <w:sz w:val="18"/>
          <w:szCs w:val="18"/>
        </w:rPr>
        <w:t xml:space="preserve">           │</w:t>
      </w:r>
    </w:p>
    <w:p w14:paraId="5672F40F">
      <w:pPr>
        <w:spacing w:after="0" w:line="240" w:lineRule="auto"/>
      </w:pPr>
      <w:r>
        <w:rPr>
          <w:rFonts w:ascii="Courier New" w:hAnsi="Courier New" w:eastAsia="Courier New" w:cs="Courier New"/>
          <w:sz w:val="18"/>
          <w:szCs w:val="18"/>
        </w:rPr>
        <w:t xml:space="preserve">           │ accumulation (Asian range)</w:t>
      </w:r>
    </w:p>
    <w:p w14:paraId="5B1B3068">
      <w:pPr>
        <w:spacing w:after="0" w:line="240" w:lineRule="auto"/>
      </w:pPr>
      <w:r>
        <w:rPr>
          <w:rFonts w:ascii="Courier New" w:hAnsi="Courier New" w:eastAsia="Courier New" w:cs="Courier New"/>
          <w:sz w:val="18"/>
          <w:szCs w:val="18"/>
        </w:rPr>
        <w:t xml:space="preserve">           │</w:t>
      </w:r>
    </w:p>
    <w:p w14:paraId="49CB64A7">
      <w:pPr>
        <w:spacing w:after="0" w:line="240" w:lineRule="auto"/>
      </w:pPr>
      <w:r>
        <w:rPr>
          <w:rFonts w:ascii="Courier New" w:hAnsi="Courier New" w:eastAsia="Courier New" w:cs="Courier New"/>
          <w:sz w:val="18"/>
          <w:szCs w:val="18"/>
        </w:rPr>
        <w:t xml:space="preserve">   Low ────┘ manipulation wick (London sweep of Asian low)</w:t>
      </w:r>
    </w:p>
    <w:p w14:paraId="15F39BED">
      <w:pPr>
        <w:spacing w:after="200" w:line="276" w:lineRule="auto"/>
      </w:pPr>
      <w:r>
        <w:rPr>
          <w:rFonts w:ascii="Arial" w:hAnsi="Arial" w:eastAsia="Arial" w:cs="Arial"/>
          <w:sz w:val="22"/>
          <w:szCs w:val="22"/>
        </w:rPr>
        <w:t>The finished daily candle encodes the three phases. The intermediate student reads the developing day in the same three-phase language while it is still forming.</w:t>
      </w:r>
    </w:p>
    <w:p w14:paraId="0B7938C1">
      <w:pPr>
        <w:pStyle w:val="2"/>
        <w:spacing w:before="360" w:after="240"/>
      </w:pPr>
      <w:r>
        <w:rPr>
          <w:rFonts w:ascii="Arial" w:hAnsi="Arial" w:eastAsia="Arial" w:cs="Arial"/>
          <w:b/>
          <w:bCs/>
          <w:sz w:val="32"/>
          <w:szCs w:val="32"/>
        </w:rPr>
        <w:t>How These Concepts Connect</w:t>
      </w:r>
    </w:p>
    <w:p w14:paraId="13A9C4B3">
      <w:pPr>
        <w:spacing w:after="200" w:line="276" w:lineRule="auto"/>
      </w:pPr>
      <w:r>
        <w:rPr>
          <w:rFonts w:ascii="Arial" w:hAnsi="Arial" w:eastAsia="Arial" w:cs="Arial"/>
          <w:sz w:val="22"/>
          <w:szCs w:val="22"/>
        </w:rPr>
        <w:t>Sessions (Module 9) supply the time windows. PO3 supplies the phase labels for those windows: Asian often accumulates, London often manipulates, New York often distributes. Liquidity (Module 2) is what manipulation seeks. Displacement and MSS (Module 3) confirm the transition from manipulation to distribution. PD arrays and OTE (Modules 4–7) refine the entry during the distribution-phase retracement. The multi-timeframe narrative (Module 8) decides whether the daily PO3 is aligned with the larger story. Failure recognition prevents forcing the template onto every day.</w:t>
      </w:r>
    </w:p>
    <w:p w14:paraId="41870B80">
      <w:pPr>
        <w:pStyle w:val="2"/>
        <w:spacing w:before="360" w:after="240"/>
      </w:pPr>
      <w:r>
        <w:rPr>
          <w:rFonts w:ascii="Arial" w:hAnsi="Arial" w:eastAsia="Arial" w:cs="Arial"/>
          <w:b/>
          <w:bCs/>
          <w:sz w:val="32"/>
          <w:szCs w:val="32"/>
        </w:rPr>
        <w:t>What You Should Now Be Able to Do</w:t>
      </w:r>
    </w:p>
    <w:p w14:paraId="5DA47EBB">
      <w:pPr>
        <w:pStyle w:val="16"/>
        <w:numPr>
          <w:ilvl w:val="0"/>
          <w:numId w:val="1"/>
        </w:numPr>
        <w:spacing w:after="120" w:line="276" w:lineRule="auto"/>
      </w:pPr>
      <w:r>
        <w:rPr>
          <w:rFonts w:ascii="Arial" w:hAnsi="Arial" w:eastAsia="Arial" w:cs="Arial"/>
          <w:sz w:val="22"/>
          <w:szCs w:val="22"/>
        </w:rPr>
        <w:t>Label the three phases of a developing or completed daily candle.</w:t>
      </w:r>
    </w:p>
    <w:p w14:paraId="5437703B">
      <w:pPr>
        <w:pStyle w:val="16"/>
        <w:numPr>
          <w:ilvl w:val="0"/>
          <w:numId w:val="1"/>
        </w:numPr>
        <w:spacing w:after="120" w:line="276" w:lineRule="auto"/>
      </w:pPr>
      <w:r>
        <w:rPr>
          <w:rFonts w:ascii="Arial" w:hAnsi="Arial" w:eastAsia="Arial" w:cs="Arial"/>
          <w:sz w:val="22"/>
          <w:szCs w:val="22"/>
        </w:rPr>
        <w:t>Map Accumulation / Manipulation / Distribution onto the Asian → London → New York sequence.</w:t>
      </w:r>
    </w:p>
    <w:p w14:paraId="125C6EF3">
      <w:pPr>
        <w:pStyle w:val="16"/>
        <w:numPr>
          <w:ilvl w:val="0"/>
          <w:numId w:val="1"/>
        </w:numPr>
        <w:spacing w:after="120" w:line="276" w:lineRule="auto"/>
      </w:pPr>
      <w:r>
        <w:rPr>
          <w:rFonts w:ascii="Arial" w:hAnsi="Arial" w:eastAsia="Arial" w:cs="Arial"/>
          <w:sz w:val="22"/>
          <w:szCs w:val="22"/>
        </w:rPr>
        <w:t>Relate the daily open to the location of the manipulation wick.</w:t>
      </w:r>
    </w:p>
    <w:p w14:paraId="6AE13CDE">
      <w:pPr>
        <w:pStyle w:val="16"/>
        <w:numPr>
          <w:ilvl w:val="0"/>
          <w:numId w:val="1"/>
        </w:numPr>
        <w:spacing w:after="120" w:line="276" w:lineRule="auto"/>
      </w:pPr>
      <w:r>
        <w:rPr>
          <w:rFonts w:ascii="Arial" w:hAnsi="Arial" w:eastAsia="Arial" w:cs="Arial"/>
          <w:sz w:val="22"/>
          <w:szCs w:val="22"/>
        </w:rPr>
        <w:t>State whether a given day’s PO3 profile is aligned with the higher-timeframe bias.</w:t>
      </w:r>
    </w:p>
    <w:p w14:paraId="19876DB5">
      <w:pPr>
        <w:pStyle w:val="16"/>
        <w:numPr>
          <w:ilvl w:val="0"/>
          <w:numId w:val="1"/>
        </w:numPr>
        <w:spacing w:after="120" w:line="276" w:lineRule="auto"/>
      </w:pPr>
      <w:r>
        <w:rPr>
          <w:rFonts w:ascii="Arial" w:hAnsi="Arial" w:eastAsia="Arial" w:cs="Arial"/>
          <w:sz w:val="22"/>
          <w:szCs w:val="22"/>
        </w:rPr>
        <w:t>Recognise PO3 failure and alternative delivery profiles and adjust or stand aside.</w:t>
      </w:r>
    </w:p>
    <w:p w14:paraId="027CFBB4">
      <w:pPr>
        <w:pStyle w:val="16"/>
        <w:numPr>
          <w:ilvl w:val="0"/>
          <w:numId w:val="1"/>
        </w:numPr>
        <w:spacing w:after="120" w:line="276" w:lineRule="auto"/>
      </w:pPr>
      <w:r>
        <w:rPr>
          <w:rFonts w:ascii="Arial" w:hAnsi="Arial" w:eastAsia="Arial" w:cs="Arial"/>
          <w:sz w:val="22"/>
          <w:szCs w:val="22"/>
        </w:rPr>
        <w:t>Use PO3 as a contextual map that organises session behaviour rather than as a standalone entry rule.</w:t>
      </w:r>
    </w:p>
    <w:p w14:paraId="66DDC7E5">
      <w:pPr>
        <w:pStyle w:val="2"/>
        <w:spacing w:before="360" w:after="240"/>
      </w:pPr>
      <w:r>
        <w:rPr>
          <w:rFonts w:ascii="Arial" w:hAnsi="Arial" w:eastAsia="Arial" w:cs="Arial"/>
          <w:b/>
          <w:bCs/>
          <w:sz w:val="32"/>
          <w:szCs w:val="32"/>
        </w:rPr>
        <w:t>Module Review</w:t>
      </w:r>
    </w:p>
    <w:p w14:paraId="1DD3CCAA">
      <w:pPr>
        <w:pStyle w:val="3"/>
        <w:spacing w:before="280" w:after="180"/>
      </w:pPr>
      <w:r>
        <w:rPr>
          <w:rFonts w:ascii="Arial" w:hAnsi="Arial" w:eastAsia="Arial" w:cs="Arial"/>
          <w:b/>
          <w:bCs/>
          <w:sz w:val="26"/>
          <w:szCs w:val="26"/>
        </w:rPr>
        <w:t>Key Terms</w:t>
      </w:r>
    </w:p>
    <w:p w14:paraId="5F778656">
      <w:pPr>
        <w:pStyle w:val="16"/>
        <w:numPr>
          <w:ilvl w:val="0"/>
          <w:numId w:val="1"/>
        </w:numPr>
        <w:spacing w:after="120" w:line="276" w:lineRule="auto"/>
      </w:pPr>
      <w:r>
        <w:rPr>
          <w:rFonts w:ascii="Arial" w:hAnsi="Arial" w:eastAsia="Arial" w:cs="Arial"/>
          <w:sz w:val="22"/>
          <w:szCs w:val="22"/>
        </w:rPr>
        <w:t>Power of 3 (PO3) / AMD — Accumulation, Manipulation, Distribution sequence.</w:t>
      </w:r>
    </w:p>
    <w:p w14:paraId="7B51A96B">
      <w:pPr>
        <w:pStyle w:val="16"/>
        <w:numPr>
          <w:ilvl w:val="0"/>
          <w:numId w:val="1"/>
        </w:numPr>
        <w:spacing w:after="120" w:line="276" w:lineRule="auto"/>
      </w:pPr>
      <w:r>
        <w:rPr>
          <w:rFonts w:ascii="Arial" w:hAnsi="Arial" w:eastAsia="Arial" w:cs="Arial"/>
          <w:sz w:val="22"/>
          <w:szCs w:val="22"/>
        </w:rPr>
        <w:t>Accumulation — quiet range-building phase in which positions are established.</w:t>
      </w:r>
    </w:p>
    <w:p w14:paraId="7F489885">
      <w:pPr>
        <w:pStyle w:val="16"/>
        <w:numPr>
          <w:ilvl w:val="0"/>
          <w:numId w:val="1"/>
        </w:numPr>
        <w:spacing w:after="120" w:line="276" w:lineRule="auto"/>
      </w:pPr>
      <w:r>
        <w:rPr>
          <w:rFonts w:ascii="Arial" w:hAnsi="Arial" w:eastAsia="Arial" w:cs="Arial"/>
          <w:sz w:val="22"/>
          <w:szCs w:val="22"/>
        </w:rPr>
        <w:t>Manipulation — engineered move outside the accumulation range to raid liquidity.</w:t>
      </w:r>
    </w:p>
    <w:p w14:paraId="13F1CE5D">
      <w:pPr>
        <w:pStyle w:val="16"/>
        <w:numPr>
          <w:ilvl w:val="0"/>
          <w:numId w:val="1"/>
        </w:numPr>
        <w:spacing w:after="120" w:line="276" w:lineRule="auto"/>
      </w:pPr>
      <w:r>
        <w:rPr>
          <w:rFonts w:ascii="Arial" w:hAnsi="Arial" w:eastAsia="Arial" w:cs="Arial"/>
          <w:sz w:val="22"/>
          <w:szCs w:val="22"/>
        </w:rPr>
        <w:t>Distribution — true directional expansion toward the intended objective.</w:t>
      </w:r>
    </w:p>
    <w:p w14:paraId="46C5955B">
      <w:pPr>
        <w:pStyle w:val="16"/>
        <w:numPr>
          <w:ilvl w:val="0"/>
          <w:numId w:val="1"/>
        </w:numPr>
        <w:spacing w:after="120" w:line="276" w:lineRule="auto"/>
      </w:pPr>
      <w:r>
        <w:rPr>
          <w:rFonts w:ascii="Arial" w:hAnsi="Arial" w:eastAsia="Arial" w:cs="Arial"/>
          <w:sz w:val="22"/>
          <w:szCs w:val="22"/>
        </w:rPr>
        <w:t>Daily PO3 — the three phases mapped onto the daily candle and its sessions.</w:t>
      </w:r>
    </w:p>
    <w:p w14:paraId="14C86663">
      <w:pPr>
        <w:pStyle w:val="16"/>
        <w:numPr>
          <w:ilvl w:val="0"/>
          <w:numId w:val="1"/>
        </w:numPr>
        <w:spacing w:after="120" w:line="276" w:lineRule="auto"/>
      </w:pPr>
      <w:r>
        <w:rPr>
          <w:rFonts w:ascii="Arial" w:hAnsi="Arial" w:eastAsia="Arial" w:cs="Arial"/>
          <w:sz w:val="22"/>
          <w:szCs w:val="22"/>
        </w:rPr>
        <w:t>Session PO3 — the same three phases appearing inside a single session or kill zone.</w:t>
      </w:r>
    </w:p>
    <w:p w14:paraId="45B51B1D">
      <w:pPr>
        <w:pStyle w:val="16"/>
        <w:numPr>
          <w:ilvl w:val="0"/>
          <w:numId w:val="1"/>
        </w:numPr>
        <w:spacing w:after="120" w:line="276" w:lineRule="auto"/>
      </w:pPr>
      <w:r>
        <w:rPr>
          <w:rFonts w:ascii="Arial" w:hAnsi="Arial" w:eastAsia="Arial" w:cs="Arial"/>
          <w:sz w:val="22"/>
          <w:szCs w:val="22"/>
        </w:rPr>
        <w:t>Weekly PO3 — the three phases mapped onto the weekly candle.</w:t>
      </w:r>
    </w:p>
    <w:p w14:paraId="0F53BA1F">
      <w:pPr>
        <w:pStyle w:val="16"/>
        <w:numPr>
          <w:ilvl w:val="0"/>
          <w:numId w:val="1"/>
        </w:numPr>
        <w:spacing w:after="120" w:line="276" w:lineRule="auto"/>
      </w:pPr>
      <w:r>
        <w:rPr>
          <w:rFonts w:ascii="Arial" w:hAnsi="Arial" w:eastAsia="Arial" w:cs="Arial"/>
          <w:sz w:val="22"/>
          <w:szCs w:val="22"/>
        </w:rPr>
        <w:t>PO3 failure — expected distribution does not occur, or manipulation continues instead of reversing.</w:t>
      </w:r>
    </w:p>
    <w:p w14:paraId="1EED874A">
      <w:pPr>
        <w:pStyle w:val="16"/>
        <w:numPr>
          <w:ilvl w:val="0"/>
          <w:numId w:val="1"/>
        </w:numPr>
        <w:spacing w:after="120" w:line="276" w:lineRule="auto"/>
      </w:pPr>
      <w:r>
        <w:rPr>
          <w:rFonts w:ascii="Arial" w:hAnsi="Arial" w:eastAsia="Arial" w:cs="Arial"/>
          <w:sz w:val="22"/>
          <w:szCs w:val="22"/>
        </w:rPr>
        <w:t>Alternative daily delivery — trend days, range days, or news-driven profiles that do not follow classic PO3.</w:t>
      </w:r>
    </w:p>
    <w:p w14:paraId="790BC05B">
      <w:pPr>
        <w:pStyle w:val="3"/>
        <w:spacing w:before="280" w:after="180"/>
      </w:pPr>
      <w:r>
        <w:rPr>
          <w:rFonts w:ascii="Arial" w:hAnsi="Arial" w:eastAsia="Arial" w:cs="Arial"/>
          <w:b/>
          <w:bCs/>
          <w:sz w:val="26"/>
          <w:szCs w:val="26"/>
        </w:rPr>
        <w:t>Beginner Summary (Bridge)</w:t>
      </w:r>
    </w:p>
    <w:p w14:paraId="0A01C2D3">
      <w:pPr>
        <w:spacing w:after="200" w:line="276" w:lineRule="auto"/>
      </w:pPr>
      <w:r>
        <w:rPr>
          <w:rFonts w:ascii="Arial" w:hAnsi="Arial" w:eastAsia="Arial" w:cs="Arial"/>
          <w:sz w:val="22"/>
          <w:szCs w:val="22"/>
        </w:rPr>
        <w:t>Beginner teaching introduced Power of 3 as the idea that price accumulates, manipulates and then distributes. Intermediate teaching maps those phases onto concrete sessions, links them to the opening price and to liquidity, requires alignment with the higher-timeframe narrative, and explicitly trains recognition of failure and alternative profiles.</w:t>
      </w:r>
    </w:p>
    <w:p w14:paraId="3988331C">
      <w:pPr>
        <w:pStyle w:val="3"/>
        <w:spacing w:before="280" w:after="180"/>
      </w:pPr>
      <w:r>
        <w:rPr>
          <w:rFonts w:ascii="Arial" w:hAnsi="Arial" w:eastAsia="Arial" w:cs="Arial"/>
          <w:b/>
          <w:bCs/>
          <w:sz w:val="26"/>
          <w:szCs w:val="26"/>
        </w:rPr>
        <w:t>Concept Relationships</w:t>
      </w:r>
    </w:p>
    <w:p w14:paraId="299406D2">
      <w:pPr>
        <w:spacing w:after="200" w:line="276" w:lineRule="auto"/>
      </w:pPr>
      <w:r>
        <w:rPr>
          <w:rFonts w:ascii="Arial" w:hAnsi="Arial" w:eastAsia="Arial" w:cs="Arial"/>
          <w:sz w:val="22"/>
          <w:szCs w:val="22"/>
        </w:rPr>
        <w:t>PO3 is the phase template that sits on top of the session structure (Module 9). It explains why the Asian range is marked, why London often sweeps it, and why New York often continues. All prior tools (liquidity, displacement, PD arrays, OTE, multi-timeframe narrative) are applied inside the phase that is currently active.</w:t>
      </w:r>
    </w:p>
    <w:p w14:paraId="3728D4FF">
      <w:pPr>
        <w:pStyle w:val="3"/>
        <w:spacing w:before="280" w:after="180"/>
      </w:pPr>
      <w:r>
        <w:rPr>
          <w:rFonts w:ascii="Arial" w:hAnsi="Arial" w:eastAsia="Arial" w:cs="Arial"/>
          <w:b/>
          <w:bCs/>
          <w:sz w:val="26"/>
          <w:szCs w:val="26"/>
        </w:rPr>
        <w:t>Practical Chart Exercise</w:t>
      </w:r>
    </w:p>
    <w:p w14:paraId="3E46E310">
      <w:pPr>
        <w:spacing w:after="200" w:line="276" w:lineRule="auto"/>
      </w:pPr>
      <w:r>
        <w:rPr>
          <w:rFonts w:ascii="Arial" w:hAnsi="Arial" w:eastAsia="Arial" w:cs="Arial"/>
          <w:sz w:val="22"/>
          <w:szCs w:val="22"/>
        </w:rPr>
        <w:t>For the next five trading days:</w:t>
      </w:r>
    </w:p>
    <w:p w14:paraId="4A84F0E8">
      <w:pPr>
        <w:pStyle w:val="16"/>
        <w:numPr>
          <w:ilvl w:val="0"/>
          <w:numId w:val="2"/>
        </w:numPr>
        <w:spacing w:after="120" w:line="276" w:lineRule="auto"/>
      </w:pPr>
      <w:r>
        <w:rPr>
          <w:rFonts w:ascii="Arial" w:hAnsi="Arial" w:eastAsia="Arial" w:cs="Arial"/>
          <w:sz w:val="22"/>
          <w:szCs w:val="22"/>
        </w:rPr>
        <w:t>Before London, mark the Asian range and state the expected PO3 direction given the HTF bias.</w:t>
      </w:r>
    </w:p>
    <w:p w14:paraId="698417C6">
      <w:pPr>
        <w:pStyle w:val="16"/>
        <w:numPr>
          <w:ilvl w:val="0"/>
          <w:numId w:val="2"/>
        </w:numPr>
        <w:spacing w:after="120" w:line="276" w:lineRule="auto"/>
      </w:pPr>
      <w:r>
        <w:rPr>
          <w:rFonts w:ascii="Arial" w:hAnsi="Arial" w:eastAsia="Arial" w:cs="Arial"/>
          <w:sz w:val="22"/>
          <w:szCs w:val="22"/>
        </w:rPr>
        <w:t>During London, record whether manipulation of the Asian range occurred and on which side.</w:t>
      </w:r>
    </w:p>
    <w:p w14:paraId="5EC9BE5D">
      <w:pPr>
        <w:pStyle w:val="16"/>
        <w:numPr>
          <w:ilvl w:val="0"/>
          <w:numId w:val="2"/>
        </w:numPr>
        <w:spacing w:after="120" w:line="276" w:lineRule="auto"/>
      </w:pPr>
      <w:r>
        <w:rPr>
          <w:rFonts w:ascii="Arial" w:hAnsi="Arial" w:eastAsia="Arial" w:cs="Arial"/>
          <w:sz w:val="22"/>
          <w:szCs w:val="22"/>
        </w:rPr>
        <w:t>During New York, record whether distribution in the expected direction materialised.</w:t>
      </w:r>
    </w:p>
    <w:p w14:paraId="4001B5B9">
      <w:pPr>
        <w:pStyle w:val="16"/>
        <w:numPr>
          <w:ilvl w:val="0"/>
          <w:numId w:val="2"/>
        </w:numPr>
        <w:spacing w:after="120" w:line="276" w:lineRule="auto"/>
      </w:pPr>
      <w:r>
        <w:rPr>
          <w:rFonts w:ascii="Arial" w:hAnsi="Arial" w:eastAsia="Arial" w:cs="Arial"/>
          <w:sz w:val="22"/>
          <w:szCs w:val="22"/>
        </w:rPr>
        <w:t>At the close, sketch the daily candle and label Accumulation, Manipulation and Distribution (or note that the day was an alternative profile).</w:t>
      </w:r>
    </w:p>
    <w:p w14:paraId="088BA454">
      <w:pPr>
        <w:pStyle w:val="16"/>
        <w:numPr>
          <w:ilvl w:val="0"/>
          <w:numId w:val="2"/>
        </w:numPr>
        <w:spacing w:after="120" w:line="276" w:lineRule="auto"/>
      </w:pPr>
      <w:r>
        <w:rPr>
          <w:rFonts w:ascii="Arial" w:hAnsi="Arial" w:eastAsia="Arial" w:cs="Arial"/>
          <w:sz w:val="22"/>
          <w:szCs w:val="22"/>
        </w:rPr>
        <w:t>Write one sentence on whether the day’s PO3 was aligned with the HTF narrative and one lesson for the next day.</w:t>
      </w:r>
    </w:p>
    <w:p w14:paraId="4DDBF939">
      <w:pPr>
        <w:pStyle w:val="3"/>
        <w:spacing w:before="280" w:after="180"/>
      </w:pPr>
      <w:r>
        <w:rPr>
          <w:rFonts w:ascii="Arial" w:hAnsi="Arial" w:eastAsia="Arial" w:cs="Arial"/>
          <w:b/>
          <w:bCs/>
          <w:sz w:val="26"/>
          <w:szCs w:val="26"/>
        </w:rPr>
        <w:t>Self-Test Questions</w:t>
      </w:r>
    </w:p>
    <w:p w14:paraId="5D1F4E51">
      <w:pPr>
        <w:pStyle w:val="16"/>
        <w:numPr>
          <w:ilvl w:val="0"/>
          <w:numId w:val="2"/>
        </w:numPr>
        <w:spacing w:after="120" w:line="276" w:lineRule="auto"/>
      </w:pPr>
      <w:r>
        <w:rPr>
          <w:rFonts w:ascii="Arial" w:hAnsi="Arial" w:eastAsia="Arial" w:cs="Arial"/>
          <w:sz w:val="22"/>
          <w:szCs w:val="22"/>
        </w:rPr>
        <w:t>Define Accumulation, Manipulation and Distribution in one sentence each.</w:t>
      </w:r>
    </w:p>
    <w:p w14:paraId="2D5932AF">
      <w:pPr>
        <w:pStyle w:val="16"/>
        <w:numPr>
          <w:ilvl w:val="0"/>
          <w:numId w:val="2"/>
        </w:numPr>
        <w:spacing w:after="120" w:line="276" w:lineRule="auto"/>
      </w:pPr>
      <w:r>
        <w:rPr>
          <w:rFonts w:ascii="Arial" w:hAnsi="Arial" w:eastAsia="Arial" w:cs="Arial"/>
          <w:sz w:val="22"/>
          <w:szCs w:val="22"/>
        </w:rPr>
        <w:t>How does a classic bullish daily PO3 typically map onto the Asian, London and New York sessions?</w:t>
      </w:r>
    </w:p>
    <w:p w14:paraId="04593022">
      <w:pPr>
        <w:pStyle w:val="16"/>
        <w:numPr>
          <w:ilvl w:val="0"/>
          <w:numId w:val="2"/>
        </w:numPr>
        <w:spacing w:after="120" w:line="276" w:lineRule="auto"/>
      </w:pPr>
      <w:r>
        <w:rPr>
          <w:rFonts w:ascii="Arial" w:hAnsi="Arial" w:eastAsia="Arial" w:cs="Arial"/>
          <w:sz w:val="22"/>
          <w:szCs w:val="22"/>
        </w:rPr>
        <w:t>What is the usual relationship between the daily open and the manipulation wick on a bullish PO3 day?</w:t>
      </w:r>
    </w:p>
    <w:p w14:paraId="5B183B1E">
      <w:pPr>
        <w:pStyle w:val="16"/>
        <w:numPr>
          <w:ilvl w:val="0"/>
          <w:numId w:val="2"/>
        </w:numPr>
        <w:spacing w:after="120" w:line="276" w:lineRule="auto"/>
      </w:pPr>
      <w:r>
        <w:rPr>
          <w:rFonts w:ascii="Arial" w:hAnsi="Arial" w:eastAsia="Arial" w:cs="Arial"/>
          <w:sz w:val="22"/>
          <w:szCs w:val="22"/>
        </w:rPr>
        <w:t>When should a daily PO3 profile be treated as lower quality?</w:t>
      </w:r>
    </w:p>
    <w:p w14:paraId="70DF5B05">
      <w:pPr>
        <w:pStyle w:val="16"/>
        <w:numPr>
          <w:ilvl w:val="0"/>
          <w:numId w:val="2"/>
        </w:numPr>
        <w:spacing w:after="120" w:line="276" w:lineRule="auto"/>
      </w:pPr>
      <w:r>
        <w:rPr>
          <w:rFonts w:ascii="Arial" w:hAnsi="Arial" w:eastAsia="Arial" w:cs="Arial"/>
          <w:sz w:val="22"/>
          <w:szCs w:val="22"/>
        </w:rPr>
        <w:t>Give two examples of PO3 failure or alternative daily delivery.</w:t>
      </w:r>
    </w:p>
    <w:p w14:paraId="03AB92BB">
      <w:pPr>
        <w:pStyle w:val="16"/>
        <w:numPr>
          <w:ilvl w:val="0"/>
          <w:numId w:val="2"/>
        </w:numPr>
        <w:spacing w:after="120" w:line="276" w:lineRule="auto"/>
      </w:pPr>
      <w:r>
        <w:rPr>
          <w:rFonts w:ascii="Arial" w:hAnsi="Arial" w:eastAsia="Arial" w:cs="Arial"/>
          <w:sz w:val="22"/>
          <w:szCs w:val="22"/>
        </w:rPr>
        <w:t>Why is PO3 described as a map rather than as a signal?</w:t>
      </w:r>
    </w:p>
    <w:p w14:paraId="54A344CA">
      <w:pPr>
        <w:pStyle w:val="3"/>
        <w:spacing w:before="280" w:after="180"/>
      </w:pPr>
      <w:r>
        <w:rPr>
          <w:rFonts w:ascii="Arial" w:hAnsi="Arial" w:eastAsia="Arial" w:cs="Arial"/>
          <w:b/>
          <w:bCs/>
          <w:sz w:val="26"/>
          <w:szCs w:val="26"/>
        </w:rPr>
        <w:t>Common Misconceptions</w:t>
      </w:r>
    </w:p>
    <w:p w14:paraId="0B9586CA">
      <w:pPr>
        <w:pStyle w:val="16"/>
        <w:numPr>
          <w:ilvl w:val="0"/>
          <w:numId w:val="1"/>
        </w:numPr>
        <w:spacing w:after="120" w:line="276" w:lineRule="auto"/>
      </w:pPr>
      <w:r>
        <w:rPr>
          <w:rFonts w:ascii="Arial" w:hAnsi="Arial" w:eastAsia="Arial" w:cs="Arial"/>
          <w:sz w:val="22"/>
          <w:szCs w:val="22"/>
        </w:rPr>
        <w:t>“Every day is a textbook PO3.” — False. Alternative profiles are common; forcing the template creates errors.</w:t>
      </w:r>
    </w:p>
    <w:p w14:paraId="676D7AD6">
      <w:pPr>
        <w:pStyle w:val="16"/>
        <w:numPr>
          <w:ilvl w:val="0"/>
          <w:numId w:val="1"/>
        </w:numPr>
        <w:spacing w:after="120" w:line="276" w:lineRule="auto"/>
      </w:pPr>
      <w:r>
        <w:rPr>
          <w:rFonts w:ascii="Arial" w:hAnsi="Arial" w:eastAsia="Arial" w:cs="Arial"/>
          <w:sz w:val="22"/>
          <w:szCs w:val="22"/>
        </w:rPr>
        <w:t>“Manipulation always reverses.” — False. Sometimes the sweep is the start of true continuation.</w:t>
      </w:r>
    </w:p>
    <w:p w14:paraId="5667C283">
      <w:pPr>
        <w:pStyle w:val="16"/>
        <w:numPr>
          <w:ilvl w:val="0"/>
          <w:numId w:val="1"/>
        </w:numPr>
        <w:spacing w:after="120" w:line="276" w:lineRule="auto"/>
      </w:pPr>
      <w:r>
        <w:rPr>
          <w:rFonts w:ascii="Arial" w:hAnsi="Arial" w:eastAsia="Arial" w:cs="Arial"/>
          <w:sz w:val="22"/>
          <w:szCs w:val="22"/>
        </w:rPr>
        <w:t>“If I see accumulation I should enter.” — False. Entry belongs in the distribution phase after confirmation.</w:t>
      </w:r>
    </w:p>
    <w:p w14:paraId="66160280">
      <w:pPr>
        <w:pStyle w:val="16"/>
        <w:numPr>
          <w:ilvl w:val="0"/>
          <w:numId w:val="1"/>
        </w:numPr>
        <w:spacing w:after="120" w:line="276" w:lineRule="auto"/>
      </w:pPr>
      <w:r>
        <w:rPr>
          <w:rFonts w:ascii="Arial" w:hAnsi="Arial" w:eastAsia="Arial" w:cs="Arial"/>
          <w:sz w:val="22"/>
          <w:szCs w:val="22"/>
        </w:rPr>
        <w:t>“Weekly PO3 is too slow to matter.” — False. It supplies the higher-timeframe context that grades the daily profile.</w:t>
      </w:r>
    </w:p>
    <w:p w14:paraId="459E51A5">
      <w:pPr>
        <w:pStyle w:val="16"/>
        <w:numPr>
          <w:ilvl w:val="0"/>
          <w:numId w:val="1"/>
        </w:numPr>
        <w:spacing w:after="120" w:line="276" w:lineRule="auto"/>
      </w:pPr>
      <w:r>
        <w:rPr>
          <w:rFonts w:ascii="Arial" w:hAnsi="Arial" w:eastAsia="Arial" w:cs="Arial"/>
          <w:sz w:val="22"/>
          <w:szCs w:val="22"/>
        </w:rPr>
        <w:t>“PO3 replaces the need for displacement and MSS.” — False. Those remain the confirmation tools inside the distribution phase.</w:t>
      </w:r>
    </w:p>
    <w:p w14:paraId="1CC296E9">
      <w:pPr>
        <w:pStyle w:val="3"/>
        <w:spacing w:before="280" w:after="180"/>
      </w:pPr>
      <w:r>
        <w:rPr>
          <w:rFonts w:ascii="Arial" w:hAnsi="Arial" w:eastAsia="Arial" w:cs="Arial"/>
          <w:b/>
          <w:bCs/>
          <w:sz w:val="26"/>
          <w:szCs w:val="26"/>
        </w:rPr>
        <w:t>Research Sources</w:t>
      </w:r>
    </w:p>
    <w:p w14:paraId="2CA1C70B">
      <w:pPr>
        <w:spacing w:after="200" w:line="276" w:lineRule="auto"/>
      </w:pPr>
      <w:r>
        <w:rPr>
          <w:rFonts w:ascii="Arial" w:hAnsi="Arial" w:eastAsia="Arial" w:cs="Arial"/>
          <w:sz w:val="22"/>
          <w:szCs w:val="22"/>
        </w:rPr>
        <w:t>Primary orientation is taken from ICT’s presentation of Power of 3 / AMD as the three-phase construction of significant candles, with the classic daily mapping onto Asian accumulation, London manipulation and New York distribution. The relationship of the daily open to the manipulation wick is a recurring visual theme in ICT examples.</w:t>
      </w:r>
    </w:p>
    <w:p w14:paraId="237A7DAA">
      <w:pPr>
        <w:spacing w:after="200" w:line="276" w:lineRule="auto"/>
      </w:pPr>
      <w:r>
        <w:rPr>
          <w:rFonts w:ascii="Arial" w:hAnsi="Arial" w:eastAsia="Arial" w:cs="Arial"/>
          <w:sz w:val="22"/>
          <w:szCs w:val="22"/>
        </w:rPr>
        <w:t>Community resources that tabulate session-to-phase mappings and weekly PO3 profiles are used where they remain consistent with the primary ICT logic of treating PO3 as a contextual delivery template rather than a rigid daily rule.</w:t>
      </w:r>
    </w:p>
    <w:p w14:paraId="079C0817">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Key references include ICT mentorship and public material on Power of 3, Accumulation–Manipulation–Distribution, and chart examples of daily candles that encode the three phases. Secondary session-mapping tables appear in community educational material aligned with those teachings.</w:t>
      </w:r>
    </w:p>
    <w:p w14:paraId="35369A5D">
      <w:pPr>
        <w:pStyle w:val="2"/>
        <w:spacing w:before="360" w:after="240"/>
      </w:pPr>
      <w:r>
        <w:rPr>
          <w:rFonts w:ascii="Arial" w:hAnsi="Arial" w:eastAsia="Arial" w:cs="Arial"/>
          <w:b/>
          <w:bCs/>
          <w:sz w:val="32"/>
          <w:szCs w:val="32"/>
        </w:rPr>
        <w:t>Transition to Module 11</w:t>
      </w:r>
    </w:p>
    <w:p w14:paraId="27C75437">
      <w:pPr>
        <w:spacing w:after="200" w:line="276" w:lineRule="auto"/>
      </w:pPr>
      <w:r>
        <w:rPr>
          <w:rFonts w:ascii="Arial" w:hAnsi="Arial" w:eastAsia="Arial" w:cs="Arial"/>
          <w:sz w:val="22"/>
          <w:szCs w:val="22"/>
        </w:rPr>
        <w:t>Module 10 has formalised the three-phase delivery template that often organises the trading day and week. Module 11 (Advanced Bias Construction) will synthesise everything into a disciplined process for forming, conditioning and invalidating bias — weekly, daily and intraday — so that the student can state a clear directional expectation before any session begins and know precisely what would change that expectation.</w:t>
      </w:r>
    </w:p>
    <w:p w14:paraId="4CD1ED78">
      <w:pPr>
        <w:spacing w:after="200" w:line="276" w:lineRule="auto"/>
        <w:rPr>
          <w:rFonts w:ascii="Arial" w:hAnsi="Arial" w:eastAsia="Arial" w:cs="Arial"/>
          <w:sz w:val="22"/>
          <w:szCs w:val="22"/>
        </w:rPr>
      </w:pPr>
    </w:p>
    <w:p w14:paraId="03967312">
      <w:pPr>
        <w:spacing w:after="200" w:line="276" w:lineRule="auto"/>
        <w:rPr>
          <w:rFonts w:ascii="Arial" w:hAnsi="Arial" w:eastAsia="Arial" w:cs="Arial"/>
          <w:sz w:val="22"/>
          <w:szCs w:val="22"/>
        </w:rPr>
      </w:pPr>
    </w:p>
    <w:p w14:paraId="2CC3D584">
      <w:pPr>
        <w:spacing w:after="200" w:line="276" w:lineRule="auto"/>
        <w:rPr>
          <w:rFonts w:ascii="Arial" w:hAnsi="Arial" w:eastAsia="Arial" w:cs="Arial"/>
          <w:sz w:val="22"/>
          <w:szCs w:val="22"/>
        </w:rPr>
      </w:pPr>
    </w:p>
    <w:p w14:paraId="38CE005D">
      <w:pPr>
        <w:spacing w:after="200" w:line="276" w:lineRule="auto"/>
        <w:rPr>
          <w:rFonts w:ascii="Arial" w:hAnsi="Arial" w:eastAsia="Arial" w:cs="Arial"/>
          <w:sz w:val="22"/>
          <w:szCs w:val="22"/>
        </w:rPr>
      </w:pPr>
    </w:p>
    <w:p w14:paraId="56081FF8">
      <w:pPr>
        <w:spacing w:after="200" w:line="276" w:lineRule="auto"/>
        <w:rPr>
          <w:rFonts w:ascii="Arial" w:hAnsi="Arial" w:eastAsia="Arial" w:cs="Arial"/>
          <w:sz w:val="22"/>
          <w:szCs w:val="22"/>
        </w:rPr>
      </w:pPr>
    </w:p>
    <w:p w14:paraId="5BD4D4A1">
      <w:pPr>
        <w:spacing w:after="200" w:line="276" w:lineRule="auto"/>
        <w:rPr>
          <w:rFonts w:ascii="Arial" w:hAnsi="Arial" w:eastAsia="Arial" w:cs="Arial"/>
          <w:sz w:val="22"/>
          <w:szCs w:val="22"/>
        </w:rPr>
      </w:pPr>
    </w:p>
    <w:p w14:paraId="2A07A9AA">
      <w:pPr>
        <w:spacing w:after="200" w:line="276" w:lineRule="auto"/>
        <w:rPr>
          <w:rFonts w:ascii="Arial" w:hAnsi="Arial" w:eastAsia="Arial" w:cs="Arial"/>
          <w:sz w:val="22"/>
          <w:szCs w:val="22"/>
        </w:rPr>
      </w:pPr>
    </w:p>
    <w:p w14:paraId="1A3121D6">
      <w:pPr>
        <w:spacing w:after="200" w:line="276" w:lineRule="auto"/>
        <w:rPr>
          <w:rFonts w:ascii="Arial" w:hAnsi="Arial" w:eastAsia="Arial" w:cs="Arial"/>
          <w:sz w:val="22"/>
          <w:szCs w:val="22"/>
        </w:rPr>
      </w:pPr>
    </w:p>
    <w:p w14:paraId="0F05C04D">
      <w:pPr>
        <w:spacing w:after="200" w:line="276" w:lineRule="auto"/>
        <w:rPr>
          <w:rFonts w:ascii="Arial" w:hAnsi="Arial" w:eastAsia="Arial" w:cs="Arial"/>
          <w:sz w:val="22"/>
          <w:szCs w:val="22"/>
        </w:rPr>
      </w:pPr>
    </w:p>
    <w:p w14:paraId="168BDB60">
      <w:pPr>
        <w:spacing w:after="200" w:line="276" w:lineRule="auto"/>
        <w:rPr>
          <w:rFonts w:ascii="Arial" w:hAnsi="Arial" w:eastAsia="Arial" w:cs="Arial"/>
          <w:sz w:val="22"/>
          <w:szCs w:val="22"/>
        </w:rPr>
      </w:pPr>
    </w:p>
    <w:p w14:paraId="42CDBE94">
      <w:pPr>
        <w:spacing w:after="200" w:line="276" w:lineRule="auto"/>
        <w:rPr>
          <w:rFonts w:ascii="Arial" w:hAnsi="Arial" w:eastAsia="Arial" w:cs="Arial"/>
          <w:sz w:val="22"/>
          <w:szCs w:val="22"/>
        </w:rPr>
      </w:pPr>
    </w:p>
    <w:p w14:paraId="71008745">
      <w:pPr>
        <w:spacing w:after="200" w:line="276" w:lineRule="auto"/>
        <w:rPr>
          <w:rFonts w:ascii="Arial" w:hAnsi="Arial" w:eastAsia="Arial" w:cs="Arial"/>
          <w:sz w:val="22"/>
          <w:szCs w:val="22"/>
        </w:rPr>
      </w:pPr>
    </w:p>
    <w:p w14:paraId="221B0730">
      <w:pPr>
        <w:spacing w:after="200" w:line="276" w:lineRule="auto"/>
        <w:rPr>
          <w:rFonts w:ascii="Arial" w:hAnsi="Arial" w:eastAsia="Arial" w:cs="Arial"/>
          <w:sz w:val="22"/>
          <w:szCs w:val="22"/>
        </w:rPr>
      </w:pPr>
    </w:p>
    <w:p w14:paraId="26C10FD2">
      <w:pPr>
        <w:spacing w:after="200" w:line="276" w:lineRule="auto"/>
        <w:rPr>
          <w:rFonts w:ascii="Arial" w:hAnsi="Arial" w:eastAsia="Arial" w:cs="Arial"/>
          <w:sz w:val="22"/>
          <w:szCs w:val="22"/>
        </w:rPr>
      </w:pPr>
    </w:p>
    <w:p w14:paraId="398A81BA">
      <w:pPr>
        <w:spacing w:after="200" w:line="276" w:lineRule="auto"/>
        <w:rPr>
          <w:rFonts w:ascii="Arial" w:hAnsi="Arial" w:eastAsia="Arial" w:cs="Arial"/>
          <w:sz w:val="22"/>
          <w:szCs w:val="22"/>
        </w:rPr>
      </w:pPr>
    </w:p>
    <w:p w14:paraId="3D201A1C">
      <w:pPr>
        <w:spacing w:after="200" w:line="276" w:lineRule="auto"/>
        <w:rPr>
          <w:rFonts w:ascii="Arial" w:hAnsi="Arial" w:eastAsia="Arial" w:cs="Arial"/>
          <w:sz w:val="22"/>
          <w:szCs w:val="22"/>
        </w:rPr>
      </w:pPr>
    </w:p>
    <w:p w14:paraId="187D1587">
      <w:pPr>
        <w:spacing w:after="400"/>
        <w:jc w:val="center"/>
      </w:pPr>
      <w:r>
        <w:rPr>
          <w:rFonts w:ascii="Arial" w:hAnsi="Arial" w:eastAsia="Arial" w:cs="Arial"/>
          <w:b/>
          <w:bCs/>
          <w:sz w:val="36"/>
          <w:szCs w:val="36"/>
        </w:rPr>
        <w:t>MODULE 11</w:t>
      </w:r>
    </w:p>
    <w:p w14:paraId="73FEEE61">
      <w:pPr>
        <w:spacing w:after="200"/>
        <w:jc w:val="center"/>
      </w:pPr>
      <w:r>
        <w:rPr>
          <w:rFonts w:ascii="Arial" w:hAnsi="Arial" w:eastAsia="Arial" w:cs="Arial"/>
          <w:b/>
          <w:bCs/>
          <w:sz w:val="28"/>
          <w:szCs w:val="28"/>
        </w:rPr>
        <w:t>Advanced Bias Construction</w:t>
      </w:r>
    </w:p>
    <w:p w14:paraId="632219C0">
      <w:pPr>
        <w:spacing w:after="400"/>
        <w:jc w:val="center"/>
      </w:pPr>
      <w:r>
        <w:rPr>
          <w:rFonts w:ascii="Arial" w:hAnsi="Arial" w:eastAsia="Arial" w:cs="Arial"/>
          <w:i/>
          <w:iCs/>
          <w:sz w:val="20"/>
          <w:szCs w:val="20"/>
        </w:rPr>
        <w:t>Weekly / Daily / Intraday Bias, Conditioning, Invalidation, Draw on Liquidity as the Core of Bias</w:t>
      </w:r>
    </w:p>
    <w:p w14:paraId="15B59ADF">
      <w:pPr>
        <w:pBdr>
          <w:left w:val="single" w:color="2E75B6" w:sz="24" w:space="8"/>
        </w:pBdr>
        <w:shd w:val="clear" w:fill="F5F5F5"/>
        <w:spacing w:before="120" w:after="200" w:line="276" w:lineRule="auto"/>
        <w:ind w:left="120"/>
      </w:pPr>
      <w:r>
        <w:rPr>
          <w:rFonts w:ascii="Arial" w:hAnsi="Arial" w:eastAsia="Arial" w:cs="Arial"/>
          <w:i/>
          <w:iCs/>
          <w:sz w:val="20"/>
          <w:szCs w:val="20"/>
        </w:rPr>
        <w:t>Prerequisite: Modules 1–10 assumed complete. The student can read structure, liquidity, displacement, PD arrays, dealing ranges, OTE, multi-timeframe narrative, sessions and Power of 3. This module synthesises those tools into a disciplined bias process.</w:t>
      </w:r>
    </w:p>
    <w:p w14:paraId="2D574806">
      <w:pPr>
        <w:pStyle w:val="2"/>
        <w:spacing w:before="360" w:after="240"/>
      </w:pPr>
      <w:r>
        <w:rPr>
          <w:rFonts w:ascii="Arial" w:hAnsi="Arial" w:eastAsia="Arial" w:cs="Arial"/>
          <w:b/>
          <w:bCs/>
          <w:sz w:val="32"/>
          <w:szCs w:val="32"/>
        </w:rPr>
        <w:t>Module Objectives</w:t>
      </w:r>
    </w:p>
    <w:p w14:paraId="127F2727">
      <w:pPr>
        <w:spacing w:after="200" w:line="276" w:lineRule="auto"/>
      </w:pPr>
      <w:r>
        <w:rPr>
          <w:rFonts w:ascii="Arial" w:hAnsi="Arial" w:eastAsia="Arial" w:cs="Arial"/>
          <w:sz w:val="22"/>
          <w:szCs w:val="22"/>
        </w:rPr>
        <w:t>By the end of this module the intermediate student should be able to:</w:t>
      </w:r>
    </w:p>
    <w:p w14:paraId="56D75F7B">
      <w:pPr>
        <w:pStyle w:val="16"/>
        <w:numPr>
          <w:ilvl w:val="0"/>
          <w:numId w:val="1"/>
        </w:numPr>
        <w:spacing w:after="120" w:line="276" w:lineRule="auto"/>
      </w:pPr>
      <w:r>
        <w:rPr>
          <w:rFonts w:ascii="Arial" w:hAnsi="Arial" w:eastAsia="Arial" w:cs="Arial"/>
          <w:sz w:val="22"/>
          <w:szCs w:val="22"/>
        </w:rPr>
        <w:t>Construct a weekly bias from higher-timeframe structure, liquidity and PD arrays.</w:t>
      </w:r>
    </w:p>
    <w:p w14:paraId="3DB19965">
      <w:pPr>
        <w:pStyle w:val="16"/>
        <w:numPr>
          <w:ilvl w:val="0"/>
          <w:numId w:val="1"/>
        </w:numPr>
        <w:spacing w:after="120" w:line="276" w:lineRule="auto"/>
      </w:pPr>
      <w:r>
        <w:rPr>
          <w:rFonts w:ascii="Arial" w:hAnsi="Arial" w:eastAsia="Arial" w:cs="Arial"/>
          <w:sz w:val="22"/>
          <w:szCs w:val="22"/>
        </w:rPr>
        <w:t>Derive a daily bias that is subordinate to the weekly bias and conditioned by the daily dealing range and Power of 3 profile.</w:t>
      </w:r>
    </w:p>
    <w:p w14:paraId="32493D73">
      <w:pPr>
        <w:pStyle w:val="16"/>
        <w:numPr>
          <w:ilvl w:val="0"/>
          <w:numId w:val="1"/>
        </w:numPr>
        <w:spacing w:after="120" w:line="276" w:lineRule="auto"/>
      </w:pPr>
      <w:r>
        <w:rPr>
          <w:rFonts w:ascii="Arial" w:hAnsi="Arial" w:eastAsia="Arial" w:cs="Arial"/>
          <w:sz w:val="22"/>
          <w:szCs w:val="22"/>
        </w:rPr>
        <w:t>Form an intraday bias that is used only for timing inside the higher-timeframe story.</w:t>
      </w:r>
    </w:p>
    <w:p w14:paraId="6F8C6C3A">
      <w:pPr>
        <w:pStyle w:val="16"/>
        <w:numPr>
          <w:ilvl w:val="0"/>
          <w:numId w:val="1"/>
        </w:numPr>
        <w:spacing w:after="120" w:line="276" w:lineRule="auto"/>
      </w:pPr>
      <w:r>
        <w:rPr>
          <w:rFonts w:ascii="Arial" w:hAnsi="Arial" w:eastAsia="Arial" w:cs="Arial"/>
          <w:sz w:val="22"/>
          <w:szCs w:val="22"/>
        </w:rPr>
        <w:t>State explicit conditioning factors and clear invalidation levels for every bias.</w:t>
      </w:r>
    </w:p>
    <w:p w14:paraId="0FA628EB">
      <w:pPr>
        <w:pStyle w:val="16"/>
        <w:numPr>
          <w:ilvl w:val="0"/>
          <w:numId w:val="1"/>
        </w:numPr>
        <w:spacing w:after="120" w:line="276" w:lineRule="auto"/>
      </w:pPr>
      <w:r>
        <w:rPr>
          <w:rFonts w:ascii="Arial" w:hAnsi="Arial" w:eastAsia="Arial" w:cs="Arial"/>
          <w:sz w:val="22"/>
          <w:szCs w:val="22"/>
        </w:rPr>
        <w:t>Treat the Draw on Liquidity as the core of bias rather than a vague directional “feeling.”</w:t>
      </w:r>
    </w:p>
    <w:p w14:paraId="346DEF72">
      <w:pPr>
        <w:pStyle w:val="16"/>
        <w:numPr>
          <w:ilvl w:val="0"/>
          <w:numId w:val="1"/>
        </w:numPr>
        <w:spacing w:after="120" w:line="276" w:lineRule="auto"/>
      </w:pPr>
      <w:r>
        <w:rPr>
          <w:rFonts w:ascii="Arial" w:hAnsi="Arial" w:eastAsia="Arial" w:cs="Arial"/>
          <w:sz w:val="22"/>
          <w:szCs w:val="22"/>
        </w:rPr>
        <w:t>Recognise when bias is unclear and stand aside.</w:t>
      </w:r>
    </w:p>
    <w:p w14:paraId="56D4EE6F">
      <w:pPr>
        <w:pStyle w:val="16"/>
        <w:numPr>
          <w:ilvl w:val="0"/>
          <w:numId w:val="1"/>
        </w:numPr>
        <w:spacing w:after="120" w:line="276" w:lineRule="auto"/>
      </w:pPr>
      <w:r>
        <w:rPr>
          <w:rFonts w:ascii="Arial" w:hAnsi="Arial" w:eastAsia="Arial" w:cs="Arial"/>
          <w:sz w:val="22"/>
          <w:szCs w:val="22"/>
        </w:rPr>
        <w:t>Update bias when new information (structure shift, liquidity raid, PD-array failure) arrives.</w:t>
      </w:r>
    </w:p>
    <w:p w14:paraId="3D244983">
      <w:pPr>
        <w:pStyle w:val="2"/>
        <w:spacing w:before="360" w:after="240"/>
      </w:pPr>
      <w:r>
        <w:rPr>
          <w:rFonts w:ascii="Arial" w:hAnsi="Arial" w:eastAsia="Arial" w:cs="Arial"/>
          <w:b/>
          <w:bCs/>
          <w:sz w:val="32"/>
          <w:szCs w:val="32"/>
        </w:rPr>
        <w:t>Introduction: Bias as a Testable Hypothesis</w:t>
      </w:r>
    </w:p>
    <w:p w14:paraId="5FBBF71D">
      <w:pPr>
        <w:spacing w:after="200" w:line="276" w:lineRule="auto"/>
      </w:pPr>
      <w:r>
        <w:rPr>
          <w:rFonts w:ascii="Arial" w:hAnsi="Arial" w:eastAsia="Arial" w:cs="Arial"/>
          <w:sz w:val="22"/>
          <w:szCs w:val="22"/>
        </w:rPr>
        <w:t>Bias is the directional expectation the trader holds before and during a session. Intermediate bias is not a prediction of the close and is not a licence to force every setup into one direction. It is a structured, testable hypothesis about which pool of liquidity price is most likely to seek next, from which side of the market, and under what conditions that hypothesis would be abandoned.</w:t>
      </w:r>
    </w:p>
    <w:p w14:paraId="3AC7ED4E">
      <w:pPr>
        <w:spacing w:after="200" w:line="276" w:lineRule="auto"/>
      </w:pPr>
      <w:r>
        <w:rPr>
          <w:rFonts w:ascii="Arial" w:hAnsi="Arial" w:eastAsia="Arial" w:cs="Arial"/>
          <w:sz w:val="22"/>
          <w:szCs w:val="22"/>
        </w:rPr>
        <w:t>The quality of every subsequent decision — which PD arrays to prioritise, which kill zone to trade, which OTE to accept — depends on the quality of the bias process.</w:t>
      </w:r>
    </w:p>
    <w:p w14:paraId="17CDD39D">
      <w:pPr>
        <w:pStyle w:val="2"/>
        <w:spacing w:before="360" w:after="240"/>
      </w:pPr>
      <w:r>
        <w:rPr>
          <w:rFonts w:ascii="Arial" w:hAnsi="Arial" w:eastAsia="Arial" w:cs="Arial"/>
          <w:b/>
          <w:bCs/>
          <w:sz w:val="32"/>
          <w:szCs w:val="32"/>
        </w:rPr>
        <w:t>1. Weekly Bias Construction</w:t>
      </w:r>
    </w:p>
    <w:p w14:paraId="249E935D">
      <w:pPr>
        <w:pStyle w:val="3"/>
        <w:spacing w:before="280" w:after="180"/>
      </w:pPr>
      <w:r>
        <w:rPr>
          <w:rFonts w:ascii="Arial" w:hAnsi="Arial" w:eastAsia="Arial" w:cs="Arial"/>
          <w:b/>
          <w:bCs/>
          <w:sz w:val="26"/>
          <w:szCs w:val="26"/>
        </w:rPr>
        <w:t>1.1 Inputs</w:t>
      </w:r>
    </w:p>
    <w:p w14:paraId="6C848590">
      <w:pPr>
        <w:spacing w:after="200" w:line="276" w:lineRule="auto"/>
      </w:pPr>
      <w:r>
        <w:rPr>
          <w:rFonts w:ascii="Arial" w:hAnsi="Arial" w:eastAsia="Arial" w:cs="Arial"/>
          <w:sz w:val="22"/>
          <w:szCs w:val="22"/>
        </w:rPr>
        <w:t>Weekly bias is built from:</w:t>
      </w:r>
    </w:p>
    <w:p w14:paraId="232697A3">
      <w:pPr>
        <w:pStyle w:val="16"/>
        <w:numPr>
          <w:ilvl w:val="0"/>
          <w:numId w:val="1"/>
        </w:numPr>
        <w:spacing w:after="120" w:line="276" w:lineRule="auto"/>
      </w:pPr>
      <w:r>
        <w:rPr>
          <w:rFonts w:ascii="Arial" w:hAnsi="Arial" w:eastAsia="Arial" w:cs="Arial"/>
          <w:sz w:val="22"/>
          <w:szCs w:val="22"/>
        </w:rPr>
        <w:t>Weekly (and if useful monthly) market structure — sequence of highs and lows, presence of a Market Structure Shift.</w:t>
      </w:r>
    </w:p>
    <w:p w14:paraId="5B46DE1E">
      <w:pPr>
        <w:pStyle w:val="16"/>
        <w:numPr>
          <w:ilvl w:val="0"/>
          <w:numId w:val="1"/>
        </w:numPr>
        <w:spacing w:after="120" w:line="276" w:lineRule="auto"/>
      </w:pPr>
      <w:r>
        <w:rPr>
          <w:rFonts w:ascii="Arial" w:hAnsi="Arial" w:eastAsia="Arial" w:cs="Arial"/>
          <w:sz w:val="22"/>
          <w:szCs w:val="22"/>
        </w:rPr>
        <w:t>Weekly dealing range and equilibrium — is price in premium or discount relative to the active weekly container?</w:t>
      </w:r>
    </w:p>
    <w:p w14:paraId="39C4B0F6">
      <w:pPr>
        <w:pStyle w:val="16"/>
        <w:numPr>
          <w:ilvl w:val="0"/>
          <w:numId w:val="1"/>
        </w:numPr>
        <w:spacing w:after="120" w:line="276" w:lineRule="auto"/>
      </w:pPr>
      <w:r>
        <w:rPr>
          <w:rFonts w:ascii="Arial" w:hAnsi="Arial" w:eastAsia="Arial" w:cs="Arial"/>
          <w:sz w:val="22"/>
          <w:szCs w:val="22"/>
        </w:rPr>
        <w:t>Weekly Draw on Liquidity — which external or internal liquidity pool is the most logical next magnet?</w:t>
      </w:r>
    </w:p>
    <w:p w14:paraId="27ABBAEF">
      <w:pPr>
        <w:pStyle w:val="16"/>
        <w:numPr>
          <w:ilvl w:val="0"/>
          <w:numId w:val="1"/>
        </w:numPr>
        <w:spacing w:after="120" w:line="276" w:lineRule="auto"/>
      </w:pPr>
      <w:r>
        <w:rPr>
          <w:rFonts w:ascii="Arial" w:hAnsi="Arial" w:eastAsia="Arial" w:cs="Arial"/>
          <w:sz w:val="22"/>
          <w:szCs w:val="22"/>
        </w:rPr>
        <w:t>Unmitigated weekly PD arrays (Order Blocks, FVGs, Breakers) that sit in the correct half of the range relative to the expected direction.</w:t>
      </w:r>
    </w:p>
    <w:p w14:paraId="02BD1DF1">
      <w:pPr>
        <w:pStyle w:val="16"/>
        <w:numPr>
          <w:ilvl w:val="0"/>
          <w:numId w:val="1"/>
        </w:numPr>
        <w:spacing w:after="120" w:line="276" w:lineRule="auto"/>
      </w:pPr>
      <w:r>
        <w:rPr>
          <w:rFonts w:ascii="Arial" w:hAnsi="Arial" w:eastAsia="Arial" w:cs="Arial"/>
          <w:sz w:val="22"/>
          <w:szCs w:val="22"/>
        </w:rPr>
        <w:t>Weekly Power of 3 context — is the week still in accumulation, has manipulation occurred, is distribution underway?</w:t>
      </w:r>
    </w:p>
    <w:p w14:paraId="51FBE48A">
      <w:pPr>
        <w:pStyle w:val="3"/>
        <w:spacing w:before="280" w:after="180"/>
      </w:pPr>
      <w:r>
        <w:rPr>
          <w:rFonts w:ascii="Arial" w:hAnsi="Arial" w:eastAsia="Arial" w:cs="Arial"/>
          <w:b/>
          <w:bCs/>
          <w:sz w:val="26"/>
          <w:szCs w:val="26"/>
        </w:rPr>
        <w:t>1.2 Output</w:t>
      </w:r>
    </w:p>
    <w:p w14:paraId="1A23D771">
      <w:pPr>
        <w:spacing w:after="200" w:line="276" w:lineRule="auto"/>
      </w:pPr>
      <w:r>
        <w:rPr>
          <w:rFonts w:ascii="Arial" w:hAnsi="Arial" w:eastAsia="Arial" w:cs="Arial"/>
          <w:sz w:val="22"/>
          <w:szCs w:val="22"/>
        </w:rPr>
        <w:t>A one- or two-sentence weekly bias statement, for example: “Weekly bias is bullish. Price is in discount relative to the weekly dealing range; primary Draw on Liquidity is the buy-side pool above last week’s high; invalidation is a decisive weekly close below the origin of the most recent bullish displacement.”</w:t>
      </w:r>
    </w:p>
    <w:p w14:paraId="24DD43F6">
      <w:pPr>
        <w:pStyle w:val="3"/>
        <w:spacing w:before="280" w:after="180"/>
      </w:pPr>
      <w:r>
        <w:rPr>
          <w:rFonts w:ascii="Arial" w:hAnsi="Arial" w:eastAsia="Arial" w:cs="Arial"/>
          <w:b/>
          <w:bCs/>
          <w:sz w:val="26"/>
          <w:szCs w:val="26"/>
        </w:rPr>
        <w:t>1.3 Priority</w:t>
      </w:r>
    </w:p>
    <w:p w14:paraId="726D2699">
      <w:pPr>
        <w:spacing w:after="200" w:line="276" w:lineRule="auto"/>
      </w:pPr>
      <w:r>
        <w:rPr>
          <w:rFonts w:ascii="Arial" w:hAnsi="Arial" w:eastAsia="Arial" w:cs="Arial"/>
          <w:sz w:val="22"/>
          <w:szCs w:val="22"/>
        </w:rPr>
        <w:t>Weekly bias is the highest-priority filter for the intermediate student. Daily and intraday ideas that conflict with a clear weekly bias are lower quality.</w:t>
      </w:r>
    </w:p>
    <w:p w14:paraId="7F2732AC">
      <w:pPr>
        <w:pStyle w:val="2"/>
        <w:spacing w:before="360" w:after="240"/>
      </w:pPr>
      <w:r>
        <w:rPr>
          <w:rFonts w:ascii="Arial" w:hAnsi="Arial" w:eastAsia="Arial" w:cs="Arial"/>
          <w:b/>
          <w:bCs/>
          <w:sz w:val="32"/>
          <w:szCs w:val="32"/>
        </w:rPr>
        <w:t>2. Daily Bias Construction</w:t>
      </w:r>
    </w:p>
    <w:p w14:paraId="21FA7591">
      <w:pPr>
        <w:pStyle w:val="3"/>
        <w:spacing w:before="280" w:after="180"/>
      </w:pPr>
      <w:r>
        <w:rPr>
          <w:rFonts w:ascii="Arial" w:hAnsi="Arial" w:eastAsia="Arial" w:cs="Arial"/>
          <w:b/>
          <w:bCs/>
          <w:sz w:val="26"/>
          <w:szCs w:val="26"/>
        </w:rPr>
        <w:t>2.1 Relationship to Weekly</w:t>
      </w:r>
    </w:p>
    <w:p w14:paraId="1545DEA6">
      <w:pPr>
        <w:spacing w:after="200" w:line="276" w:lineRule="auto"/>
      </w:pPr>
      <w:r>
        <w:rPr>
          <w:rFonts w:ascii="Arial" w:hAnsi="Arial" w:eastAsia="Arial" w:cs="Arial"/>
          <w:sz w:val="22"/>
          <w:szCs w:val="22"/>
        </w:rPr>
        <w:t>Daily bias is formed inside the weekly story. When weekly and daily agree, confluence is high. When they conflict, the daily move is treated as a corrective or counter-trend opportunity at best, and often as a stand-aside condition.</w:t>
      </w:r>
    </w:p>
    <w:p w14:paraId="778CC69A">
      <w:pPr>
        <w:pStyle w:val="3"/>
        <w:spacing w:before="280" w:after="180"/>
      </w:pPr>
      <w:r>
        <w:rPr>
          <w:rFonts w:ascii="Arial" w:hAnsi="Arial" w:eastAsia="Arial" w:cs="Arial"/>
          <w:b/>
          <w:bCs/>
          <w:sz w:val="26"/>
          <w:szCs w:val="26"/>
        </w:rPr>
        <w:t>2.2 Inputs</w:t>
      </w:r>
    </w:p>
    <w:p w14:paraId="38457822">
      <w:pPr>
        <w:spacing w:after="200" w:line="276" w:lineRule="auto"/>
      </w:pPr>
      <w:r>
        <w:rPr>
          <w:rFonts w:ascii="Arial" w:hAnsi="Arial" w:eastAsia="Arial" w:cs="Arial"/>
          <w:sz w:val="22"/>
          <w:szCs w:val="22"/>
        </w:rPr>
        <w:t>Daily bias draws on:</w:t>
      </w:r>
    </w:p>
    <w:p w14:paraId="5367745A">
      <w:pPr>
        <w:pStyle w:val="16"/>
        <w:numPr>
          <w:ilvl w:val="0"/>
          <w:numId w:val="1"/>
        </w:numPr>
        <w:spacing w:after="120" w:line="276" w:lineRule="auto"/>
      </w:pPr>
      <w:r>
        <w:rPr>
          <w:rFonts w:ascii="Arial" w:hAnsi="Arial" w:eastAsia="Arial" w:cs="Arial"/>
          <w:sz w:val="22"/>
          <w:szCs w:val="22"/>
        </w:rPr>
        <w:t>Daily market structure and any recent daily MSS.</w:t>
      </w:r>
    </w:p>
    <w:p w14:paraId="26AFEB31">
      <w:pPr>
        <w:pStyle w:val="16"/>
        <w:numPr>
          <w:ilvl w:val="0"/>
          <w:numId w:val="1"/>
        </w:numPr>
        <w:spacing w:after="120" w:line="276" w:lineRule="auto"/>
      </w:pPr>
      <w:r>
        <w:rPr>
          <w:rFonts w:ascii="Arial" w:hAnsi="Arial" w:eastAsia="Arial" w:cs="Arial"/>
          <w:sz w:val="22"/>
          <w:szCs w:val="22"/>
        </w:rPr>
        <w:t>Daily dealing range, equilibrium, and premium/discount location.</w:t>
      </w:r>
    </w:p>
    <w:p w14:paraId="2A60B09D">
      <w:pPr>
        <w:pStyle w:val="16"/>
        <w:numPr>
          <w:ilvl w:val="0"/>
          <w:numId w:val="1"/>
        </w:numPr>
        <w:spacing w:after="120" w:line="276" w:lineRule="auto"/>
      </w:pPr>
      <w:r>
        <w:rPr>
          <w:rFonts w:ascii="Arial" w:hAnsi="Arial" w:eastAsia="Arial" w:cs="Arial"/>
          <w:sz w:val="22"/>
          <w:szCs w:val="22"/>
        </w:rPr>
        <w:t>Daily Draw on Liquidity (often previous day high/low, equal highs/lows, or a higher-timeframe pool nested on the daily).</w:t>
      </w:r>
    </w:p>
    <w:p w14:paraId="35A6FF95">
      <w:pPr>
        <w:pStyle w:val="16"/>
        <w:numPr>
          <w:ilvl w:val="0"/>
          <w:numId w:val="1"/>
        </w:numPr>
        <w:spacing w:after="120" w:line="276" w:lineRule="auto"/>
      </w:pPr>
      <w:r>
        <w:rPr>
          <w:rFonts w:ascii="Arial" w:hAnsi="Arial" w:eastAsia="Arial" w:cs="Arial"/>
          <w:sz w:val="22"/>
          <w:szCs w:val="22"/>
        </w:rPr>
        <w:t>Unmitigated daily PD arrays in the correct half of the range.</w:t>
      </w:r>
    </w:p>
    <w:p w14:paraId="13BEE6CC">
      <w:pPr>
        <w:pStyle w:val="16"/>
        <w:numPr>
          <w:ilvl w:val="0"/>
          <w:numId w:val="1"/>
        </w:numPr>
        <w:spacing w:after="120" w:line="276" w:lineRule="auto"/>
      </w:pPr>
      <w:r>
        <w:rPr>
          <w:rFonts w:ascii="Arial" w:hAnsi="Arial" w:eastAsia="Arial" w:cs="Arial"/>
          <w:sz w:val="22"/>
          <w:szCs w:val="22"/>
        </w:rPr>
        <w:t>Expected daily Power of 3 profile (which side is likely to be manipulated, which side is the distribution target).</w:t>
      </w:r>
    </w:p>
    <w:p w14:paraId="11E5D1C4">
      <w:pPr>
        <w:pStyle w:val="16"/>
        <w:numPr>
          <w:ilvl w:val="0"/>
          <w:numId w:val="1"/>
        </w:numPr>
        <w:spacing w:after="120" w:line="276" w:lineRule="auto"/>
      </w:pPr>
      <w:r>
        <w:rPr>
          <w:rFonts w:ascii="Arial" w:hAnsi="Arial" w:eastAsia="Arial" w:cs="Arial"/>
          <w:sz w:val="22"/>
          <w:szCs w:val="22"/>
        </w:rPr>
        <w:t>Alignment or conflict with the weekly bias.</w:t>
      </w:r>
    </w:p>
    <w:p w14:paraId="75F4FEF8">
      <w:pPr>
        <w:pStyle w:val="3"/>
        <w:spacing w:before="280" w:after="180"/>
      </w:pPr>
      <w:r>
        <w:rPr>
          <w:rFonts w:ascii="Arial" w:hAnsi="Arial" w:eastAsia="Arial" w:cs="Arial"/>
          <w:b/>
          <w:bCs/>
          <w:sz w:val="26"/>
          <w:szCs w:val="26"/>
        </w:rPr>
        <w:t>2.3 Output</w:t>
      </w:r>
    </w:p>
    <w:p w14:paraId="52B6A5BB">
      <w:pPr>
        <w:spacing w:after="200" w:line="276" w:lineRule="auto"/>
      </w:pPr>
      <w:r>
        <w:rPr>
          <w:rFonts w:ascii="Arial" w:hAnsi="Arial" w:eastAsia="Arial" w:cs="Arial"/>
          <w:sz w:val="22"/>
          <w:szCs w:val="22"/>
        </w:rPr>
        <w:t>A concise daily bias statement written before London (or before the student’s primary kill zone), including the expected Draw on Liquidity and the level that would invalidate the idea.</w:t>
      </w:r>
    </w:p>
    <w:p w14:paraId="61C55F78">
      <w:pPr>
        <w:pStyle w:val="2"/>
        <w:spacing w:before="360" w:after="240"/>
      </w:pPr>
      <w:r>
        <w:rPr>
          <w:rFonts w:ascii="Arial" w:hAnsi="Arial" w:eastAsia="Arial" w:cs="Arial"/>
          <w:b/>
          <w:bCs/>
          <w:sz w:val="32"/>
          <w:szCs w:val="32"/>
        </w:rPr>
        <w:t>3. Intraday Bias</w:t>
      </w:r>
    </w:p>
    <w:p w14:paraId="64879F0A">
      <w:pPr>
        <w:pStyle w:val="3"/>
        <w:spacing w:before="280" w:after="180"/>
      </w:pPr>
      <w:r>
        <w:rPr>
          <w:rFonts w:ascii="Arial" w:hAnsi="Arial" w:eastAsia="Arial" w:cs="Arial"/>
          <w:b/>
          <w:bCs/>
          <w:sz w:val="26"/>
          <w:szCs w:val="26"/>
        </w:rPr>
        <w:t>3.1 Role</w:t>
      </w:r>
    </w:p>
    <w:p w14:paraId="755CD4B0">
      <w:pPr>
        <w:spacing w:after="200" w:line="276" w:lineRule="auto"/>
      </w:pPr>
      <w:r>
        <w:rPr>
          <w:rFonts w:ascii="Arial" w:hAnsi="Arial" w:eastAsia="Arial" w:cs="Arial"/>
          <w:sz w:val="22"/>
          <w:szCs w:val="22"/>
        </w:rPr>
        <w:t>Intraday bias is not an independent directional call. It is the short-term expression of the daily (and weekly) bias inside the current session. It answers: “Given the higher-timeframe story, which side of the Asian range is likely to be raided, and which direction is the subsequent distribution expected to take?”</w:t>
      </w:r>
    </w:p>
    <w:p w14:paraId="49422B13">
      <w:pPr>
        <w:pStyle w:val="3"/>
        <w:spacing w:before="280" w:after="180"/>
      </w:pPr>
      <w:r>
        <w:rPr>
          <w:rFonts w:ascii="Arial" w:hAnsi="Arial" w:eastAsia="Arial" w:cs="Arial"/>
          <w:b/>
          <w:bCs/>
          <w:sz w:val="26"/>
          <w:szCs w:val="26"/>
        </w:rPr>
        <w:t>3.2 Limitation</w:t>
      </w:r>
    </w:p>
    <w:p w14:paraId="06F52267">
      <w:pPr>
        <w:spacing w:after="200" w:line="276" w:lineRule="auto"/>
      </w:pPr>
      <w:r>
        <w:rPr>
          <w:rFonts w:ascii="Arial" w:hAnsi="Arial" w:eastAsia="Arial" w:cs="Arial"/>
          <w:sz w:val="22"/>
          <w:szCs w:val="22"/>
        </w:rPr>
        <w:t>An intraday bias that contradicts the daily bias is treated as noise or as a potential trap unless the daily bias itself has been invalidated.</w:t>
      </w:r>
    </w:p>
    <w:p w14:paraId="1A289845">
      <w:pPr>
        <w:pStyle w:val="2"/>
        <w:spacing w:before="360" w:after="240"/>
      </w:pPr>
      <w:r>
        <w:rPr>
          <w:rFonts w:ascii="Arial" w:hAnsi="Arial" w:eastAsia="Arial" w:cs="Arial"/>
          <w:b/>
          <w:bCs/>
          <w:sz w:val="32"/>
          <w:szCs w:val="32"/>
        </w:rPr>
        <w:t>4. The Draw on Liquidity as the Core of Bias</w:t>
      </w:r>
    </w:p>
    <w:p w14:paraId="443BED05">
      <w:pPr>
        <w:pStyle w:val="3"/>
        <w:spacing w:before="280" w:after="180"/>
      </w:pPr>
      <w:r>
        <w:rPr>
          <w:rFonts w:ascii="Arial" w:hAnsi="Arial" w:eastAsia="Arial" w:cs="Arial"/>
          <w:b/>
          <w:bCs/>
          <w:sz w:val="26"/>
          <w:szCs w:val="26"/>
        </w:rPr>
        <w:t>4.1 Definition Recap</w:t>
      </w:r>
    </w:p>
    <w:p w14:paraId="34C077FA">
      <w:pPr>
        <w:spacing w:after="200" w:line="276" w:lineRule="auto"/>
      </w:pPr>
      <w:r>
        <w:rPr>
          <w:rFonts w:ascii="Arial" w:hAnsi="Arial" w:eastAsia="Arial" w:cs="Arial"/>
          <w:sz w:val="22"/>
          <w:szCs w:val="22"/>
        </w:rPr>
        <w:t>The Draw on Liquidity is the pool (or sequence of pools) that price is expected to seek next. Bias without a named Draw on Liquidity is incomplete.</w:t>
      </w:r>
    </w:p>
    <w:p w14:paraId="62BCFA38">
      <w:pPr>
        <w:pStyle w:val="3"/>
        <w:spacing w:before="280" w:after="180"/>
      </w:pPr>
      <w:r>
        <w:rPr>
          <w:rFonts w:ascii="Arial" w:hAnsi="Arial" w:eastAsia="Arial" w:cs="Arial"/>
          <w:b/>
          <w:bCs/>
          <w:sz w:val="26"/>
          <w:szCs w:val="26"/>
        </w:rPr>
        <w:t>4.2 Practical Requirement</w:t>
      </w:r>
    </w:p>
    <w:p w14:paraId="681FD7E0">
      <w:pPr>
        <w:spacing w:after="200" w:line="276" w:lineRule="auto"/>
      </w:pPr>
      <w:r>
        <w:rPr>
          <w:rFonts w:ascii="Arial" w:hAnsi="Arial" w:eastAsia="Arial" w:cs="Arial"/>
          <w:sz w:val="22"/>
          <w:szCs w:val="22"/>
        </w:rPr>
        <w:t>Every bias statement at intermediate level should name the target liquidity. “Bullish” is insufficient. “Bullish toward the buy-side liquidity above 1.1000 / the weekly high” is complete.</w:t>
      </w:r>
    </w:p>
    <w:p w14:paraId="056BF162">
      <w:pPr>
        <w:pStyle w:val="2"/>
        <w:spacing w:before="360" w:after="240"/>
      </w:pPr>
      <w:r>
        <w:rPr>
          <w:rFonts w:ascii="Arial" w:hAnsi="Arial" w:eastAsia="Arial" w:cs="Arial"/>
          <w:b/>
          <w:bCs/>
          <w:sz w:val="32"/>
          <w:szCs w:val="32"/>
        </w:rPr>
        <w:t>5. Conditioning Factors</w:t>
      </w:r>
    </w:p>
    <w:p w14:paraId="29AA6893">
      <w:pPr>
        <w:pStyle w:val="3"/>
        <w:spacing w:before="280" w:after="180"/>
      </w:pPr>
      <w:r>
        <w:rPr>
          <w:rFonts w:ascii="Arial" w:hAnsi="Arial" w:eastAsia="Arial" w:cs="Arial"/>
          <w:b/>
          <w:bCs/>
          <w:sz w:val="26"/>
          <w:szCs w:val="26"/>
        </w:rPr>
        <w:t>5.1 What Conditioning Means</w:t>
      </w:r>
    </w:p>
    <w:p w14:paraId="51938050">
      <w:pPr>
        <w:spacing w:after="200" w:line="276" w:lineRule="auto"/>
      </w:pPr>
      <w:r>
        <w:rPr>
          <w:rFonts w:ascii="Arial" w:hAnsi="Arial" w:eastAsia="Arial" w:cs="Arial"/>
          <w:sz w:val="22"/>
          <w:szCs w:val="22"/>
        </w:rPr>
        <w:t>Conditioning factors are the additional requirements that must be present before the bias is allowed to generate trades. Examples:</w:t>
      </w:r>
    </w:p>
    <w:p w14:paraId="346C5D56">
      <w:pPr>
        <w:pStyle w:val="16"/>
        <w:numPr>
          <w:ilvl w:val="0"/>
          <w:numId w:val="1"/>
        </w:numPr>
        <w:spacing w:after="120" w:line="276" w:lineRule="auto"/>
      </w:pPr>
      <w:r>
        <w:rPr>
          <w:rFonts w:ascii="Arial" w:hAnsi="Arial" w:eastAsia="Arial" w:cs="Arial"/>
          <w:sz w:val="22"/>
          <w:szCs w:val="22"/>
        </w:rPr>
        <w:t>Price must first raid the opposing liquidity (e.g., sell-side raid before a bullish distribution day).</w:t>
      </w:r>
    </w:p>
    <w:p w14:paraId="7FA8B476">
      <w:pPr>
        <w:pStyle w:val="16"/>
        <w:numPr>
          <w:ilvl w:val="0"/>
          <w:numId w:val="1"/>
        </w:numPr>
        <w:spacing w:after="120" w:line="276" w:lineRule="auto"/>
      </w:pPr>
      <w:r>
        <w:rPr>
          <w:rFonts w:ascii="Arial" w:hAnsi="Arial" w:eastAsia="Arial" w:cs="Arial"/>
          <w:sz w:val="22"/>
          <w:szCs w:val="22"/>
        </w:rPr>
        <w:t>Displacement and MSS must confirm the transition from manipulation to distribution.</w:t>
      </w:r>
    </w:p>
    <w:p w14:paraId="604FA658">
      <w:pPr>
        <w:pStyle w:val="16"/>
        <w:numPr>
          <w:ilvl w:val="0"/>
          <w:numId w:val="1"/>
        </w:numPr>
        <w:spacing w:after="120" w:line="276" w:lineRule="auto"/>
      </w:pPr>
      <w:r>
        <w:rPr>
          <w:rFonts w:ascii="Arial" w:hAnsi="Arial" w:eastAsia="Arial" w:cs="Arial"/>
          <w:sz w:val="22"/>
          <w:szCs w:val="22"/>
        </w:rPr>
        <w:t>The entry PD array must sit in the correct premium/discount half of the dealing range.</w:t>
      </w:r>
    </w:p>
    <w:p w14:paraId="4A6593DD">
      <w:pPr>
        <w:pStyle w:val="16"/>
        <w:numPr>
          <w:ilvl w:val="0"/>
          <w:numId w:val="1"/>
        </w:numPr>
        <w:spacing w:after="120" w:line="276" w:lineRule="auto"/>
      </w:pPr>
      <w:r>
        <w:rPr>
          <w:rFonts w:ascii="Arial" w:hAnsi="Arial" w:eastAsia="Arial" w:cs="Arial"/>
          <w:sz w:val="22"/>
          <w:szCs w:val="22"/>
        </w:rPr>
        <w:t>The setup should preferably form inside a relevant kill zone.</w:t>
      </w:r>
    </w:p>
    <w:p w14:paraId="20044686">
      <w:pPr>
        <w:pStyle w:val="3"/>
        <w:spacing w:before="280" w:after="180"/>
      </w:pPr>
      <w:r>
        <w:rPr>
          <w:rFonts w:ascii="Arial" w:hAnsi="Arial" w:eastAsia="Arial" w:cs="Arial"/>
          <w:b/>
          <w:bCs/>
          <w:sz w:val="26"/>
          <w:szCs w:val="26"/>
        </w:rPr>
        <w:t>5.2 Purpose</w:t>
      </w:r>
    </w:p>
    <w:p w14:paraId="15B2B9B2">
      <w:pPr>
        <w:spacing w:after="200" w:line="276" w:lineRule="auto"/>
      </w:pPr>
      <w:r>
        <w:rPr>
          <w:rFonts w:ascii="Arial" w:hAnsi="Arial" w:eastAsia="Arial" w:cs="Arial"/>
          <w:sz w:val="22"/>
          <w:szCs w:val="22"/>
        </w:rPr>
        <w:t>Conditioning prevents the trader from entering solely because the bias is bullish. The bias authorises the direction; conditioning authorises the individual trade.</w:t>
      </w:r>
    </w:p>
    <w:p w14:paraId="746A6AB9">
      <w:pPr>
        <w:pStyle w:val="2"/>
        <w:spacing w:before="360" w:after="240"/>
      </w:pPr>
      <w:r>
        <w:rPr>
          <w:rFonts w:ascii="Arial" w:hAnsi="Arial" w:eastAsia="Arial" w:cs="Arial"/>
          <w:b/>
          <w:bCs/>
          <w:sz w:val="32"/>
          <w:szCs w:val="32"/>
        </w:rPr>
        <w:t>6. Invalidation</w:t>
      </w:r>
    </w:p>
    <w:p w14:paraId="2E643F7B">
      <w:pPr>
        <w:pStyle w:val="3"/>
        <w:spacing w:before="280" w:after="180"/>
      </w:pPr>
      <w:r>
        <w:rPr>
          <w:rFonts w:ascii="Arial" w:hAnsi="Arial" w:eastAsia="Arial" w:cs="Arial"/>
          <w:b/>
          <w:bCs/>
          <w:sz w:val="26"/>
          <w:szCs w:val="26"/>
        </w:rPr>
        <w:t>6.1 Explicit Levels</w:t>
      </w:r>
    </w:p>
    <w:p w14:paraId="580024E9">
      <w:pPr>
        <w:spacing w:after="200" w:line="276" w:lineRule="auto"/>
      </w:pPr>
      <w:r>
        <w:rPr>
          <w:rFonts w:ascii="Arial" w:hAnsi="Arial" w:eastAsia="Arial" w:cs="Arial"/>
          <w:sz w:val="22"/>
          <w:szCs w:val="22"/>
        </w:rPr>
        <w:t>Every bias must carry an explicit invalidation level or condition. Typical forms:</w:t>
      </w:r>
    </w:p>
    <w:p w14:paraId="25330DAA">
      <w:pPr>
        <w:pStyle w:val="16"/>
        <w:numPr>
          <w:ilvl w:val="0"/>
          <w:numId w:val="1"/>
        </w:numPr>
        <w:spacing w:after="120" w:line="276" w:lineRule="auto"/>
      </w:pPr>
      <w:r>
        <w:rPr>
          <w:rFonts w:ascii="Arial" w:hAnsi="Arial" w:eastAsia="Arial" w:cs="Arial"/>
          <w:sz w:val="22"/>
          <w:szCs w:val="22"/>
        </w:rPr>
        <w:t>A decisive close beyond the origin of the displacement that defined the current structural sequence.</w:t>
      </w:r>
    </w:p>
    <w:p w14:paraId="1532AD94">
      <w:pPr>
        <w:pStyle w:val="16"/>
        <w:numPr>
          <w:ilvl w:val="0"/>
          <w:numId w:val="1"/>
        </w:numPr>
        <w:spacing w:after="120" w:line="276" w:lineRule="auto"/>
      </w:pPr>
      <w:r>
        <w:rPr>
          <w:rFonts w:ascii="Arial" w:hAnsi="Arial" w:eastAsia="Arial" w:cs="Arial"/>
          <w:sz w:val="22"/>
          <w:szCs w:val="22"/>
        </w:rPr>
        <w:t>A decisive close beyond the dealing-range extreme that framed the bias.</w:t>
      </w:r>
    </w:p>
    <w:p w14:paraId="22DBB1E0">
      <w:pPr>
        <w:pStyle w:val="16"/>
        <w:numPr>
          <w:ilvl w:val="0"/>
          <w:numId w:val="1"/>
        </w:numPr>
        <w:spacing w:after="120" w:line="276" w:lineRule="auto"/>
      </w:pPr>
      <w:r>
        <w:rPr>
          <w:rFonts w:ascii="Arial" w:hAnsi="Arial" w:eastAsia="Arial" w:cs="Arial"/>
          <w:sz w:val="22"/>
          <w:szCs w:val="22"/>
        </w:rPr>
        <w:t>A higher-timeframe Market Structure Shift against the bias.</w:t>
      </w:r>
    </w:p>
    <w:p w14:paraId="044131A5">
      <w:pPr>
        <w:pStyle w:val="3"/>
        <w:spacing w:before="280" w:after="180"/>
      </w:pPr>
      <w:r>
        <w:rPr>
          <w:rFonts w:ascii="Arial" w:hAnsi="Arial" w:eastAsia="Arial" w:cs="Arial"/>
          <w:b/>
          <w:bCs/>
          <w:sz w:val="26"/>
          <w:szCs w:val="26"/>
        </w:rPr>
        <w:t>6.2 Discipline</w:t>
      </w:r>
    </w:p>
    <w:p w14:paraId="6A47F37E">
      <w:pPr>
        <w:spacing w:after="200" w:line="276" w:lineRule="auto"/>
      </w:pPr>
      <w:r>
        <w:rPr>
          <w:rFonts w:ascii="Arial" w:hAnsi="Arial" w:eastAsia="Arial" w:cs="Arial"/>
          <w:sz w:val="22"/>
          <w:szCs w:val="22"/>
        </w:rPr>
        <w:t>When invalidation is met, the bias is retired. The trader does not “hope” it recovers. A new bias is constructed from the updated information.</w:t>
      </w:r>
    </w:p>
    <w:p w14:paraId="4AB4EF48">
      <w:pPr>
        <w:pStyle w:val="2"/>
        <w:spacing w:before="360" w:after="240"/>
      </w:pPr>
      <w:r>
        <w:rPr>
          <w:rFonts w:ascii="Arial" w:hAnsi="Arial" w:eastAsia="Arial" w:cs="Arial"/>
          <w:b/>
          <w:bCs/>
          <w:sz w:val="32"/>
          <w:szCs w:val="32"/>
        </w:rPr>
        <w:t>7. When Bias Is Unclear</w:t>
      </w:r>
    </w:p>
    <w:p w14:paraId="5C82CF55">
      <w:pPr>
        <w:pStyle w:val="3"/>
        <w:spacing w:before="280" w:after="180"/>
      </w:pPr>
      <w:r>
        <w:rPr>
          <w:rFonts w:ascii="Arial" w:hAnsi="Arial" w:eastAsia="Arial" w:cs="Arial"/>
          <w:b/>
          <w:bCs/>
          <w:sz w:val="26"/>
          <w:szCs w:val="26"/>
        </w:rPr>
        <w:t>7.1 Recognition</w:t>
      </w:r>
    </w:p>
    <w:p w14:paraId="33D20FC6">
      <w:pPr>
        <w:spacing w:after="200" w:line="276" w:lineRule="auto"/>
      </w:pPr>
      <w:r>
        <w:rPr>
          <w:rFonts w:ascii="Arial" w:hAnsi="Arial" w:eastAsia="Arial" w:cs="Arial"/>
          <w:sz w:val="22"/>
          <w:szCs w:val="22"/>
        </w:rPr>
        <w:t>Bias is unclear when:</w:t>
      </w:r>
    </w:p>
    <w:p w14:paraId="0CD71CD0">
      <w:pPr>
        <w:pStyle w:val="16"/>
        <w:numPr>
          <w:ilvl w:val="0"/>
          <w:numId w:val="1"/>
        </w:numPr>
        <w:spacing w:after="120" w:line="276" w:lineRule="auto"/>
      </w:pPr>
      <w:r>
        <w:rPr>
          <w:rFonts w:ascii="Arial" w:hAnsi="Arial" w:eastAsia="Arial" w:cs="Arial"/>
          <w:sz w:val="22"/>
          <w:szCs w:val="22"/>
        </w:rPr>
        <w:t>Weekly and daily structure conflict without a clear corrective interpretation.</w:t>
      </w:r>
    </w:p>
    <w:p w14:paraId="33C66059">
      <w:pPr>
        <w:pStyle w:val="16"/>
        <w:numPr>
          <w:ilvl w:val="0"/>
          <w:numId w:val="1"/>
        </w:numPr>
        <w:spacing w:after="120" w:line="276" w:lineRule="auto"/>
      </w:pPr>
      <w:r>
        <w:rPr>
          <w:rFonts w:ascii="Arial" w:hAnsi="Arial" w:eastAsia="Arial" w:cs="Arial"/>
          <w:sz w:val="22"/>
          <w:szCs w:val="22"/>
        </w:rPr>
        <w:t>No obvious Draw on Liquidity stands out.</w:t>
      </w:r>
    </w:p>
    <w:p w14:paraId="53EB9907">
      <w:pPr>
        <w:pStyle w:val="16"/>
        <w:numPr>
          <w:ilvl w:val="0"/>
          <w:numId w:val="1"/>
        </w:numPr>
        <w:spacing w:after="120" w:line="276" w:lineRule="auto"/>
      </w:pPr>
      <w:r>
        <w:rPr>
          <w:rFonts w:ascii="Arial" w:hAnsi="Arial" w:eastAsia="Arial" w:cs="Arial"/>
          <w:sz w:val="22"/>
          <w:szCs w:val="22"/>
        </w:rPr>
        <w:t>Price is at equilibrium of the relevant dealing range with no displacement.</w:t>
      </w:r>
    </w:p>
    <w:p w14:paraId="6C62AC9F">
      <w:pPr>
        <w:pStyle w:val="16"/>
        <w:numPr>
          <w:ilvl w:val="0"/>
          <w:numId w:val="1"/>
        </w:numPr>
        <w:spacing w:after="120" w:line="276" w:lineRule="auto"/>
      </w:pPr>
      <w:r>
        <w:rPr>
          <w:rFonts w:ascii="Arial" w:hAnsi="Arial" w:eastAsia="Arial" w:cs="Arial"/>
          <w:sz w:val="22"/>
          <w:szCs w:val="22"/>
        </w:rPr>
        <w:t>Multiple opposing PD arrays are equally plausible.</w:t>
      </w:r>
    </w:p>
    <w:p w14:paraId="29ACED4A">
      <w:pPr>
        <w:pStyle w:val="16"/>
        <w:numPr>
          <w:ilvl w:val="0"/>
          <w:numId w:val="1"/>
        </w:numPr>
        <w:spacing w:after="120" w:line="276" w:lineRule="auto"/>
      </w:pPr>
      <w:r>
        <w:rPr>
          <w:rFonts w:ascii="Arial" w:hAnsi="Arial" w:eastAsia="Arial" w:cs="Arial"/>
          <w:sz w:val="22"/>
          <w:szCs w:val="22"/>
        </w:rPr>
        <w:t>A major news event is imminent and the narrative is suspended.</w:t>
      </w:r>
    </w:p>
    <w:p w14:paraId="73A0C3DF">
      <w:pPr>
        <w:pStyle w:val="3"/>
        <w:spacing w:before="280" w:after="180"/>
      </w:pPr>
      <w:r>
        <w:rPr>
          <w:rFonts w:ascii="Arial" w:hAnsi="Arial" w:eastAsia="Arial" w:cs="Arial"/>
          <w:b/>
          <w:bCs/>
          <w:sz w:val="26"/>
          <w:szCs w:val="26"/>
        </w:rPr>
        <w:t>7.2 Response</w:t>
      </w:r>
    </w:p>
    <w:p w14:paraId="327D26F9">
      <w:pPr>
        <w:spacing w:after="200" w:line="276" w:lineRule="auto"/>
      </w:pPr>
      <w:r>
        <w:rPr>
          <w:rFonts w:ascii="Arial" w:hAnsi="Arial" w:eastAsia="Arial" w:cs="Arial"/>
          <w:sz w:val="22"/>
          <w:szCs w:val="22"/>
        </w:rPr>
        <w:t>Stand aside. Clarity is a precondition for intermediate engagement. Trading without a clear bias is gambling with ICT tools.</w:t>
      </w:r>
    </w:p>
    <w:p w14:paraId="3B6C5796">
      <w:pPr>
        <w:pStyle w:val="2"/>
        <w:spacing w:before="360" w:after="240"/>
      </w:pPr>
      <w:r>
        <w:rPr>
          <w:rFonts w:ascii="Arial" w:hAnsi="Arial" w:eastAsia="Arial" w:cs="Arial"/>
          <w:b/>
          <w:bCs/>
          <w:sz w:val="32"/>
          <w:szCs w:val="32"/>
        </w:rPr>
        <w:t>8. Updating Bias</w:t>
      </w:r>
    </w:p>
    <w:p w14:paraId="33B7AFB1">
      <w:pPr>
        <w:pStyle w:val="3"/>
        <w:spacing w:before="280" w:after="180"/>
      </w:pPr>
      <w:r>
        <w:rPr>
          <w:rFonts w:ascii="Arial" w:hAnsi="Arial" w:eastAsia="Arial" w:cs="Arial"/>
          <w:b/>
          <w:bCs/>
          <w:sz w:val="26"/>
          <w:szCs w:val="26"/>
        </w:rPr>
        <w:t>8.1 Continuous Process</w:t>
      </w:r>
    </w:p>
    <w:p w14:paraId="344694FC">
      <w:pPr>
        <w:spacing w:after="200" w:line="276" w:lineRule="auto"/>
      </w:pPr>
      <w:r>
        <w:rPr>
          <w:rFonts w:ascii="Arial" w:hAnsi="Arial" w:eastAsia="Arial" w:cs="Arial"/>
          <w:sz w:val="22"/>
          <w:szCs w:val="22"/>
        </w:rPr>
        <w:t>Bias is not set once and forgotten. It is reviewed at the close of each session and before the next kill zone. New liquidity raids, new PD arrays, and new structural breaks are incorporated.</w:t>
      </w:r>
    </w:p>
    <w:p w14:paraId="22CC2058">
      <w:pPr>
        <w:pStyle w:val="3"/>
        <w:spacing w:before="280" w:after="180"/>
      </w:pPr>
      <w:r>
        <w:rPr>
          <w:rFonts w:ascii="Arial" w:hAnsi="Arial" w:eastAsia="Arial" w:cs="Arial"/>
          <w:b/>
          <w:bCs/>
          <w:sz w:val="26"/>
          <w:szCs w:val="26"/>
        </w:rPr>
        <w:t>8.2 Hierarchy of Updates</w:t>
      </w:r>
    </w:p>
    <w:p w14:paraId="00798D41">
      <w:pPr>
        <w:spacing w:after="200" w:line="276" w:lineRule="auto"/>
      </w:pPr>
      <w:r>
        <w:rPr>
          <w:rFonts w:ascii="Arial" w:hAnsi="Arial" w:eastAsia="Arial" w:cs="Arial"/>
          <w:sz w:val="22"/>
          <w:szCs w:val="22"/>
        </w:rPr>
        <w:t>A weekly structural change overrides daily bias. A daily structural change overrides intraday bias. Lower-timeframe noise does not override higher-timeframe structure.</w:t>
      </w:r>
    </w:p>
    <w:p w14:paraId="0AE3F2D0">
      <w:pPr>
        <w:pStyle w:val="2"/>
        <w:spacing w:before="360" w:after="240"/>
      </w:pPr>
      <w:r>
        <w:rPr>
          <w:rFonts w:ascii="Arial" w:hAnsi="Arial" w:eastAsia="Arial" w:cs="Arial"/>
          <w:b/>
          <w:bCs/>
          <w:sz w:val="32"/>
          <w:szCs w:val="32"/>
        </w:rPr>
        <w:t>Worked Example — Building Bias Top-Down</w:t>
      </w:r>
    </w:p>
    <w:p w14:paraId="77080ACB">
      <w:pPr>
        <w:spacing w:after="200" w:line="276" w:lineRule="auto"/>
      </w:pPr>
      <w:r>
        <w:rPr>
          <w:rFonts w:ascii="Arial" w:hAnsi="Arial" w:eastAsia="Arial" w:cs="Arial"/>
          <w:sz w:val="22"/>
          <w:szCs w:val="22"/>
        </w:rPr>
        <w:t>Weekly: Structure is bullish (sequence of higher highs and higher lows). Price is in discount relative to the weekly dealing range. Primary Draw on Liquidity is the buy-side pool above the prior weekly high. Invalidation: weekly close below the origin of the last weekly bullish displacement.</w:t>
      </w:r>
    </w:p>
    <w:p w14:paraId="68D81643">
      <w:pPr>
        <w:spacing w:after="200" w:line="276" w:lineRule="auto"/>
      </w:pPr>
      <w:r>
        <w:rPr>
          <w:rFonts w:ascii="Arial" w:hAnsi="Arial" w:eastAsia="Arial" w:cs="Arial"/>
          <w:sz w:val="22"/>
          <w:szCs w:val="22"/>
        </w:rPr>
        <w:t>Daily: Daily structure agrees. Asian range has formed. Expected PO3 is bullish: manipulation of the Asian low, then distribution higher toward the daily/weekly buy-side objective. Daily invalidation sits below the Asian low / the origin of the expected bullish displacement.</w:t>
      </w:r>
    </w:p>
    <w:p w14:paraId="21388413">
      <w:pPr>
        <w:spacing w:after="200" w:line="276" w:lineRule="auto"/>
      </w:pPr>
      <w:r>
        <w:rPr>
          <w:rFonts w:ascii="Arial" w:hAnsi="Arial" w:eastAsia="Arial" w:cs="Arial"/>
          <w:sz w:val="22"/>
          <w:szCs w:val="22"/>
        </w:rPr>
        <w:t>Intraday (London): Bias remains bullish. Conditioning: wait for the sweep of the Asian low, then displacement and MSS higher, then entry on the retracement into the London-created FVG / OTE that sits in discount.</w:t>
      </w:r>
    </w:p>
    <w:p w14:paraId="15DE99D7">
      <w:pPr>
        <w:spacing w:after="200" w:line="276" w:lineRule="auto"/>
      </w:pPr>
      <w:r>
        <w:rPr>
          <w:rFonts w:ascii="Arial" w:hAnsi="Arial" w:eastAsia="Arial" w:cs="Arial"/>
          <w:sz w:val="22"/>
          <w:szCs w:val="22"/>
        </w:rPr>
        <w:t>Result: The student enters only after the conditioning sequence appears. If London instead expands lower and closes below the invalidation, the daily bias is retired and the student reassesses before New York.</w:t>
      </w:r>
    </w:p>
    <w:p w14:paraId="769D9A13">
      <w:pPr>
        <w:pStyle w:val="2"/>
        <w:spacing w:before="360" w:after="240"/>
      </w:pPr>
      <w:r>
        <w:rPr>
          <w:rFonts w:ascii="Arial" w:hAnsi="Arial" w:eastAsia="Arial" w:cs="Arial"/>
          <w:b/>
          <w:bCs/>
          <w:sz w:val="32"/>
          <w:szCs w:val="32"/>
        </w:rPr>
        <w:t>Visual Reference — Bias Hierarchy</w:t>
      </w:r>
    </w:p>
    <w:p w14:paraId="0E4DBDDF">
      <w:pPr>
        <w:spacing w:after="0" w:line="240" w:lineRule="auto"/>
      </w:pPr>
      <w:r>
        <w:rPr>
          <w:rFonts w:ascii="Courier New" w:hAnsi="Courier New" w:eastAsia="Courier New" w:cs="Courier New"/>
          <w:sz w:val="18"/>
          <w:szCs w:val="18"/>
        </w:rPr>
        <w:t>WEEKLY BIAS</w:t>
      </w:r>
    </w:p>
    <w:p w14:paraId="58FF81E3">
      <w:pPr>
        <w:spacing w:after="0" w:line="240" w:lineRule="auto"/>
      </w:pPr>
      <w:r>
        <w:rPr>
          <w:rFonts w:ascii="Courier New" w:hAnsi="Courier New" w:eastAsia="Courier New" w:cs="Courier New"/>
          <w:sz w:val="18"/>
          <w:szCs w:val="18"/>
        </w:rPr>
        <w:t xml:space="preserve">  Structure + Range + DOL + PD Arrays + Weekly PO3</w:t>
      </w:r>
    </w:p>
    <w:p w14:paraId="2E4D1652">
      <w:pPr>
        <w:spacing w:after="0" w:line="240" w:lineRule="auto"/>
      </w:pPr>
      <w:r>
        <w:rPr>
          <w:rFonts w:ascii="Courier New" w:hAnsi="Courier New" w:eastAsia="Courier New" w:cs="Courier New"/>
          <w:sz w:val="18"/>
          <w:szCs w:val="18"/>
        </w:rPr>
        <w:t xml:space="preserve">          │</w:t>
      </w:r>
    </w:p>
    <w:p w14:paraId="2C01A041">
      <w:pPr>
        <w:spacing w:after="0" w:line="240" w:lineRule="auto"/>
      </w:pPr>
      <w:r>
        <w:rPr>
          <w:rFonts w:ascii="Courier New" w:hAnsi="Courier New" w:eastAsia="Courier New" w:cs="Courier New"/>
          <w:sz w:val="18"/>
          <w:szCs w:val="18"/>
        </w:rPr>
        <w:t xml:space="preserve">          ▼  (must agree or daily is corrective)</w:t>
      </w:r>
    </w:p>
    <w:p w14:paraId="3388DE32">
      <w:pPr>
        <w:spacing w:after="0" w:line="240" w:lineRule="auto"/>
      </w:pPr>
      <w:r>
        <w:rPr>
          <w:rFonts w:ascii="Courier New" w:hAnsi="Courier New" w:eastAsia="Courier New" w:cs="Courier New"/>
          <w:sz w:val="18"/>
          <w:szCs w:val="18"/>
        </w:rPr>
        <w:t>DAILY BIAS</w:t>
      </w:r>
    </w:p>
    <w:p w14:paraId="15B5B9AE">
      <w:pPr>
        <w:spacing w:after="0" w:line="240" w:lineRule="auto"/>
      </w:pPr>
      <w:r>
        <w:rPr>
          <w:rFonts w:ascii="Courier New" w:hAnsi="Courier New" w:eastAsia="Courier New" w:cs="Courier New"/>
          <w:sz w:val="18"/>
          <w:szCs w:val="18"/>
        </w:rPr>
        <w:t xml:space="preserve">  Structure + Range + DOL + PD Arrays + Daily PO3</w:t>
      </w:r>
    </w:p>
    <w:p w14:paraId="143B4890">
      <w:pPr>
        <w:spacing w:after="0" w:line="240" w:lineRule="auto"/>
      </w:pPr>
      <w:r>
        <w:rPr>
          <w:rFonts w:ascii="Courier New" w:hAnsi="Courier New" w:eastAsia="Courier New" w:cs="Courier New"/>
          <w:sz w:val="18"/>
          <w:szCs w:val="18"/>
        </w:rPr>
        <w:t xml:space="preserve">          │</w:t>
      </w:r>
    </w:p>
    <w:p w14:paraId="1995F0B5">
      <w:pPr>
        <w:spacing w:after="0" w:line="240" w:lineRule="auto"/>
      </w:pPr>
      <w:r>
        <w:rPr>
          <w:rFonts w:ascii="Courier New" w:hAnsi="Courier New" w:eastAsia="Courier New" w:cs="Courier New"/>
          <w:sz w:val="18"/>
          <w:szCs w:val="18"/>
        </w:rPr>
        <w:t xml:space="preserve">          ▼  (timing only)</w:t>
      </w:r>
    </w:p>
    <w:p w14:paraId="6ECB7E26">
      <w:pPr>
        <w:spacing w:after="0" w:line="240" w:lineRule="auto"/>
      </w:pPr>
      <w:r>
        <w:rPr>
          <w:rFonts w:ascii="Courier New" w:hAnsi="Courier New" w:eastAsia="Courier New" w:cs="Courier New"/>
          <w:sz w:val="18"/>
          <w:szCs w:val="18"/>
        </w:rPr>
        <w:t>INTRADAY BIAS</w:t>
      </w:r>
    </w:p>
    <w:p w14:paraId="58767B26">
      <w:pPr>
        <w:spacing w:after="0" w:line="240" w:lineRule="auto"/>
      </w:pPr>
      <w:r>
        <w:rPr>
          <w:rFonts w:ascii="Courier New" w:hAnsi="Courier New" w:eastAsia="Courier New" w:cs="Courier New"/>
          <w:sz w:val="18"/>
          <w:szCs w:val="18"/>
        </w:rPr>
        <w:t xml:space="preserve">  Session expression of the daily story</w:t>
      </w:r>
    </w:p>
    <w:p w14:paraId="6E2BA4E8">
      <w:pPr>
        <w:spacing w:after="0" w:line="240" w:lineRule="auto"/>
      </w:pPr>
      <w:r>
        <w:rPr>
          <w:rFonts w:ascii="Courier New" w:hAnsi="Courier New" w:eastAsia="Courier New" w:cs="Courier New"/>
          <w:sz w:val="18"/>
          <w:szCs w:val="18"/>
        </w:rPr>
        <w:t xml:space="preserve">  Conditioning: sweep → displacement → MSS → PD-array entry</w:t>
      </w:r>
    </w:p>
    <w:p w14:paraId="1B4451CB">
      <w:pPr>
        <w:pStyle w:val="2"/>
        <w:spacing w:before="360" w:after="240"/>
      </w:pPr>
      <w:r>
        <w:rPr>
          <w:rFonts w:ascii="Arial" w:hAnsi="Arial" w:eastAsia="Arial" w:cs="Arial"/>
          <w:b/>
          <w:bCs/>
          <w:sz w:val="32"/>
          <w:szCs w:val="32"/>
        </w:rPr>
        <w:t>How These Concepts Connect</w:t>
      </w:r>
    </w:p>
    <w:p w14:paraId="60A4115A">
      <w:pPr>
        <w:spacing w:after="200" w:line="276" w:lineRule="auto"/>
      </w:pPr>
      <w:r>
        <w:rPr>
          <w:rFonts w:ascii="Arial" w:hAnsi="Arial" w:eastAsia="Arial" w:cs="Arial"/>
          <w:sz w:val="22"/>
          <w:szCs w:val="22"/>
        </w:rPr>
        <w:t>Everything in Modules 1–10 feeds the bias process. Structure and dealing ranges supply the container. Liquidity supplies the target. Displacement and MSS supply confirmation. PD arrays and OTE supply the entry location. Sessions and Power of 3 supply the expected phase and timing. Multi-timeframe narrative supplies the hierarchy. Bias is simply the coherent statement that binds all of those elements into a directional hypothesis with explicit conditions and invalidation.</w:t>
      </w:r>
    </w:p>
    <w:p w14:paraId="20063144">
      <w:pPr>
        <w:pStyle w:val="2"/>
        <w:spacing w:before="360" w:after="240"/>
      </w:pPr>
      <w:r>
        <w:rPr>
          <w:rFonts w:ascii="Arial" w:hAnsi="Arial" w:eastAsia="Arial" w:cs="Arial"/>
          <w:b/>
          <w:bCs/>
          <w:sz w:val="32"/>
          <w:szCs w:val="32"/>
        </w:rPr>
        <w:t>What You Should Now Be Able to Do</w:t>
      </w:r>
    </w:p>
    <w:p w14:paraId="4261BDB9">
      <w:pPr>
        <w:pStyle w:val="16"/>
        <w:numPr>
          <w:ilvl w:val="0"/>
          <w:numId w:val="1"/>
        </w:numPr>
        <w:spacing w:after="120" w:line="276" w:lineRule="auto"/>
      </w:pPr>
      <w:r>
        <w:rPr>
          <w:rFonts w:ascii="Arial" w:hAnsi="Arial" w:eastAsia="Arial" w:cs="Arial"/>
          <w:sz w:val="22"/>
          <w:szCs w:val="22"/>
        </w:rPr>
        <w:t>Write a weekly bias statement that includes structure, dealing-range location, Draw on Liquidity and invalidation.</w:t>
      </w:r>
    </w:p>
    <w:p w14:paraId="0DB40E07">
      <w:pPr>
        <w:pStyle w:val="16"/>
        <w:numPr>
          <w:ilvl w:val="0"/>
          <w:numId w:val="1"/>
        </w:numPr>
        <w:spacing w:after="120" w:line="276" w:lineRule="auto"/>
      </w:pPr>
      <w:r>
        <w:rPr>
          <w:rFonts w:ascii="Arial" w:hAnsi="Arial" w:eastAsia="Arial" w:cs="Arial"/>
          <w:sz w:val="22"/>
          <w:szCs w:val="22"/>
        </w:rPr>
        <w:t>Derive a daily bias that is explicitly linked to (or conditioned by) the weekly bias.</w:t>
      </w:r>
    </w:p>
    <w:p w14:paraId="46B35C22">
      <w:pPr>
        <w:pStyle w:val="16"/>
        <w:numPr>
          <w:ilvl w:val="0"/>
          <w:numId w:val="1"/>
        </w:numPr>
        <w:spacing w:after="120" w:line="276" w:lineRule="auto"/>
      </w:pPr>
      <w:r>
        <w:rPr>
          <w:rFonts w:ascii="Arial" w:hAnsi="Arial" w:eastAsia="Arial" w:cs="Arial"/>
          <w:sz w:val="22"/>
          <w:szCs w:val="22"/>
        </w:rPr>
        <w:t>List the conditioning factors required before any trade is taken in the bias direction.</w:t>
      </w:r>
    </w:p>
    <w:p w14:paraId="6CD769A7">
      <w:pPr>
        <w:pStyle w:val="16"/>
        <w:numPr>
          <w:ilvl w:val="0"/>
          <w:numId w:val="1"/>
        </w:numPr>
        <w:spacing w:after="120" w:line="276" w:lineRule="auto"/>
      </w:pPr>
      <w:r>
        <w:rPr>
          <w:rFonts w:ascii="Arial" w:hAnsi="Arial" w:eastAsia="Arial" w:cs="Arial"/>
          <w:sz w:val="22"/>
          <w:szCs w:val="22"/>
        </w:rPr>
        <w:t>State the exact level or condition that would invalidate the bias.</w:t>
      </w:r>
    </w:p>
    <w:p w14:paraId="7000321C">
      <w:pPr>
        <w:pStyle w:val="16"/>
        <w:numPr>
          <w:ilvl w:val="0"/>
          <w:numId w:val="1"/>
        </w:numPr>
        <w:spacing w:after="120" w:line="276" w:lineRule="auto"/>
      </w:pPr>
      <w:r>
        <w:rPr>
          <w:rFonts w:ascii="Arial" w:hAnsi="Arial" w:eastAsia="Arial" w:cs="Arial"/>
          <w:sz w:val="22"/>
          <w:szCs w:val="22"/>
        </w:rPr>
        <w:t>Recognise an unclear bias environment and stand aside.</w:t>
      </w:r>
    </w:p>
    <w:p w14:paraId="54EB5E39">
      <w:pPr>
        <w:pStyle w:val="16"/>
        <w:numPr>
          <w:ilvl w:val="0"/>
          <w:numId w:val="1"/>
        </w:numPr>
        <w:spacing w:after="120" w:line="276" w:lineRule="auto"/>
      </w:pPr>
      <w:r>
        <w:rPr>
          <w:rFonts w:ascii="Arial" w:hAnsi="Arial" w:eastAsia="Arial" w:cs="Arial"/>
          <w:sz w:val="22"/>
          <w:szCs w:val="22"/>
        </w:rPr>
        <w:t>Update bias when higher-timeframe information changes.</w:t>
      </w:r>
    </w:p>
    <w:p w14:paraId="7BCBB5DC">
      <w:pPr>
        <w:pStyle w:val="2"/>
        <w:spacing w:before="360" w:after="240"/>
      </w:pPr>
      <w:r>
        <w:rPr>
          <w:rFonts w:ascii="Arial" w:hAnsi="Arial" w:eastAsia="Arial" w:cs="Arial"/>
          <w:b/>
          <w:bCs/>
          <w:sz w:val="32"/>
          <w:szCs w:val="32"/>
        </w:rPr>
        <w:t>Module Review</w:t>
      </w:r>
    </w:p>
    <w:p w14:paraId="3EA0839D">
      <w:pPr>
        <w:pStyle w:val="3"/>
        <w:spacing w:before="280" w:after="180"/>
      </w:pPr>
      <w:r>
        <w:rPr>
          <w:rFonts w:ascii="Arial" w:hAnsi="Arial" w:eastAsia="Arial" w:cs="Arial"/>
          <w:b/>
          <w:bCs/>
          <w:sz w:val="26"/>
          <w:szCs w:val="26"/>
        </w:rPr>
        <w:t>Key Terms</w:t>
      </w:r>
    </w:p>
    <w:p w14:paraId="3F4FCE8A">
      <w:pPr>
        <w:pStyle w:val="16"/>
        <w:numPr>
          <w:ilvl w:val="0"/>
          <w:numId w:val="1"/>
        </w:numPr>
        <w:spacing w:after="120" w:line="276" w:lineRule="auto"/>
      </w:pPr>
      <w:r>
        <w:rPr>
          <w:rFonts w:ascii="Arial" w:hAnsi="Arial" w:eastAsia="Arial" w:cs="Arial"/>
          <w:sz w:val="22"/>
          <w:szCs w:val="22"/>
        </w:rPr>
        <w:t>Weekly bias — highest-priority directional hypothesis for the week.</w:t>
      </w:r>
    </w:p>
    <w:p w14:paraId="3B0B975A">
      <w:pPr>
        <w:pStyle w:val="16"/>
        <w:numPr>
          <w:ilvl w:val="0"/>
          <w:numId w:val="1"/>
        </w:numPr>
        <w:spacing w:after="120" w:line="276" w:lineRule="auto"/>
      </w:pPr>
      <w:r>
        <w:rPr>
          <w:rFonts w:ascii="Arial" w:hAnsi="Arial" w:eastAsia="Arial" w:cs="Arial"/>
          <w:sz w:val="22"/>
          <w:szCs w:val="22"/>
        </w:rPr>
        <w:t>Daily bias — directional hypothesis for the session/day, subordinate to weekly.</w:t>
      </w:r>
    </w:p>
    <w:p w14:paraId="2B31E4BE">
      <w:pPr>
        <w:pStyle w:val="16"/>
        <w:numPr>
          <w:ilvl w:val="0"/>
          <w:numId w:val="1"/>
        </w:numPr>
        <w:spacing w:after="120" w:line="276" w:lineRule="auto"/>
      </w:pPr>
      <w:r>
        <w:rPr>
          <w:rFonts w:ascii="Arial" w:hAnsi="Arial" w:eastAsia="Arial" w:cs="Arial"/>
          <w:sz w:val="22"/>
          <w:szCs w:val="22"/>
        </w:rPr>
        <w:t>Intraday bias — short-term expression of the daily bias used for timing.</w:t>
      </w:r>
    </w:p>
    <w:p w14:paraId="52FB3E0C">
      <w:pPr>
        <w:pStyle w:val="16"/>
        <w:numPr>
          <w:ilvl w:val="0"/>
          <w:numId w:val="1"/>
        </w:numPr>
        <w:spacing w:after="120" w:line="276" w:lineRule="auto"/>
      </w:pPr>
      <w:r>
        <w:rPr>
          <w:rFonts w:ascii="Arial" w:hAnsi="Arial" w:eastAsia="Arial" w:cs="Arial"/>
          <w:sz w:val="22"/>
          <w:szCs w:val="22"/>
        </w:rPr>
        <w:t>Draw on Liquidity (as core of bias) — the named pool price is expected to seek.</w:t>
      </w:r>
    </w:p>
    <w:p w14:paraId="396BE6BF">
      <w:pPr>
        <w:pStyle w:val="16"/>
        <w:numPr>
          <w:ilvl w:val="0"/>
          <w:numId w:val="1"/>
        </w:numPr>
        <w:spacing w:after="120" w:line="276" w:lineRule="auto"/>
      </w:pPr>
      <w:r>
        <w:rPr>
          <w:rFonts w:ascii="Arial" w:hAnsi="Arial" w:eastAsia="Arial" w:cs="Arial"/>
          <w:sz w:val="22"/>
          <w:szCs w:val="22"/>
        </w:rPr>
        <w:t>Conditioning factors — additional requirements that must be present before entry.</w:t>
      </w:r>
    </w:p>
    <w:p w14:paraId="4A8E072C">
      <w:pPr>
        <w:pStyle w:val="16"/>
        <w:numPr>
          <w:ilvl w:val="0"/>
          <w:numId w:val="1"/>
        </w:numPr>
        <w:spacing w:after="120" w:line="276" w:lineRule="auto"/>
      </w:pPr>
      <w:r>
        <w:rPr>
          <w:rFonts w:ascii="Arial" w:hAnsi="Arial" w:eastAsia="Arial" w:cs="Arial"/>
          <w:sz w:val="22"/>
          <w:szCs w:val="22"/>
        </w:rPr>
        <w:t>Invalidation — explicit level or condition that retires the bias.</w:t>
      </w:r>
    </w:p>
    <w:p w14:paraId="2354D8FF">
      <w:pPr>
        <w:pStyle w:val="16"/>
        <w:numPr>
          <w:ilvl w:val="0"/>
          <w:numId w:val="1"/>
        </w:numPr>
        <w:spacing w:after="120" w:line="276" w:lineRule="auto"/>
      </w:pPr>
      <w:r>
        <w:rPr>
          <w:rFonts w:ascii="Arial" w:hAnsi="Arial" w:eastAsia="Arial" w:cs="Arial"/>
          <w:sz w:val="22"/>
          <w:szCs w:val="22"/>
        </w:rPr>
        <w:t>Unclear bias — environment in which no coherent directional hypothesis can be formed; stand-aside.</w:t>
      </w:r>
    </w:p>
    <w:p w14:paraId="3BDF1519">
      <w:pPr>
        <w:pStyle w:val="3"/>
        <w:spacing w:before="280" w:after="180"/>
      </w:pPr>
      <w:r>
        <w:rPr>
          <w:rFonts w:ascii="Arial" w:hAnsi="Arial" w:eastAsia="Arial" w:cs="Arial"/>
          <w:b/>
          <w:bCs/>
          <w:sz w:val="26"/>
          <w:szCs w:val="26"/>
        </w:rPr>
        <w:t>Beginner Summary (Bridge)</w:t>
      </w:r>
    </w:p>
    <w:p w14:paraId="511EB1D1">
      <w:pPr>
        <w:spacing w:after="200" w:line="276" w:lineRule="auto"/>
      </w:pPr>
      <w:r>
        <w:rPr>
          <w:rFonts w:ascii="Arial" w:hAnsi="Arial" w:eastAsia="Arial" w:cs="Arial"/>
          <w:sz w:val="22"/>
          <w:szCs w:val="22"/>
        </w:rPr>
        <w:t>Beginner teaching often treated bias as a simple bullish or bearish label. Intermediate teaching makes bias a structured, multi-timeframe hypothesis built from structure, range, liquidity and PD arrays, equipped with conditioning factors and explicit invalidation, and retired when those conditions fail.</w:t>
      </w:r>
    </w:p>
    <w:p w14:paraId="2DB05737">
      <w:pPr>
        <w:pStyle w:val="3"/>
        <w:spacing w:before="280" w:after="180"/>
      </w:pPr>
      <w:r>
        <w:rPr>
          <w:rFonts w:ascii="Arial" w:hAnsi="Arial" w:eastAsia="Arial" w:cs="Arial"/>
          <w:b/>
          <w:bCs/>
          <w:sz w:val="26"/>
          <w:szCs w:val="26"/>
        </w:rPr>
        <w:t>Concept Relationships</w:t>
      </w:r>
    </w:p>
    <w:p w14:paraId="6B626865">
      <w:pPr>
        <w:spacing w:after="200" w:line="276" w:lineRule="auto"/>
      </w:pPr>
      <w:r>
        <w:rPr>
          <w:rFonts w:ascii="Arial" w:hAnsi="Arial" w:eastAsia="Arial" w:cs="Arial"/>
          <w:sz w:val="22"/>
          <w:szCs w:val="22"/>
        </w:rPr>
        <w:t>Bias is the decision layer that sits above all prior tools. Those tools do not generate trades in isolation; they generate trades only when they appear inside a coherent bias that has not been invalidated.</w:t>
      </w:r>
    </w:p>
    <w:p w14:paraId="5FBB37B4">
      <w:pPr>
        <w:pStyle w:val="3"/>
        <w:spacing w:before="280" w:after="180"/>
      </w:pPr>
      <w:r>
        <w:rPr>
          <w:rFonts w:ascii="Arial" w:hAnsi="Arial" w:eastAsia="Arial" w:cs="Arial"/>
          <w:b/>
          <w:bCs/>
          <w:sz w:val="26"/>
          <w:szCs w:val="26"/>
        </w:rPr>
        <w:t>Practical Chart Exercise</w:t>
      </w:r>
    </w:p>
    <w:p w14:paraId="3F94AAB0">
      <w:pPr>
        <w:spacing w:after="200" w:line="276" w:lineRule="auto"/>
      </w:pPr>
      <w:r>
        <w:rPr>
          <w:rFonts w:ascii="Arial" w:hAnsi="Arial" w:eastAsia="Arial" w:cs="Arial"/>
          <w:sz w:val="22"/>
          <w:szCs w:val="22"/>
        </w:rPr>
        <w:t>Before the next trading week:</w:t>
      </w:r>
    </w:p>
    <w:p w14:paraId="12292C1D">
      <w:pPr>
        <w:pStyle w:val="16"/>
        <w:numPr>
          <w:ilvl w:val="0"/>
          <w:numId w:val="2"/>
        </w:numPr>
        <w:spacing w:after="120" w:line="276" w:lineRule="auto"/>
      </w:pPr>
      <w:r>
        <w:rPr>
          <w:rFonts w:ascii="Arial" w:hAnsi="Arial" w:eastAsia="Arial" w:cs="Arial"/>
          <w:sz w:val="22"/>
          <w:szCs w:val="22"/>
        </w:rPr>
        <w:t>Write the weekly bias statement (structure, range location, DOL, invalidation).</w:t>
      </w:r>
    </w:p>
    <w:p w14:paraId="6F05D52F">
      <w:pPr>
        <w:pStyle w:val="16"/>
        <w:numPr>
          <w:ilvl w:val="0"/>
          <w:numId w:val="2"/>
        </w:numPr>
        <w:spacing w:after="120" w:line="276" w:lineRule="auto"/>
      </w:pPr>
      <w:r>
        <w:rPr>
          <w:rFonts w:ascii="Arial" w:hAnsi="Arial" w:eastAsia="Arial" w:cs="Arial"/>
          <w:sz w:val="22"/>
          <w:szCs w:val="22"/>
        </w:rPr>
        <w:t>Each day before London, write the daily bias statement and its relationship to the weekly bias.</w:t>
      </w:r>
    </w:p>
    <w:p w14:paraId="41E9CB3D">
      <w:pPr>
        <w:pStyle w:val="16"/>
        <w:numPr>
          <w:ilvl w:val="0"/>
          <w:numId w:val="2"/>
        </w:numPr>
        <w:spacing w:after="120" w:line="276" w:lineRule="auto"/>
      </w:pPr>
      <w:r>
        <w:rPr>
          <w:rFonts w:ascii="Arial" w:hAnsi="Arial" w:eastAsia="Arial" w:cs="Arial"/>
          <w:sz w:val="22"/>
          <w:szCs w:val="22"/>
        </w:rPr>
        <w:t>List the conditioning sequence required for entry.</w:t>
      </w:r>
    </w:p>
    <w:p w14:paraId="5800C961">
      <w:pPr>
        <w:pStyle w:val="16"/>
        <w:numPr>
          <w:ilvl w:val="0"/>
          <w:numId w:val="2"/>
        </w:numPr>
        <w:spacing w:after="120" w:line="276" w:lineRule="auto"/>
      </w:pPr>
      <w:r>
        <w:rPr>
          <w:rFonts w:ascii="Arial" w:hAnsi="Arial" w:eastAsia="Arial" w:cs="Arial"/>
          <w:sz w:val="22"/>
          <w:szCs w:val="22"/>
        </w:rPr>
        <w:t>At the end of each day, record whether the bias was confirmed, conditioned successfully, or invalidated, and one sentence of learning.</w:t>
      </w:r>
    </w:p>
    <w:p w14:paraId="5B4ECD7A">
      <w:pPr>
        <w:pStyle w:val="16"/>
        <w:numPr>
          <w:ilvl w:val="0"/>
          <w:numId w:val="2"/>
        </w:numPr>
        <w:spacing w:after="120" w:line="276" w:lineRule="auto"/>
      </w:pPr>
      <w:r>
        <w:rPr>
          <w:rFonts w:ascii="Arial" w:hAnsi="Arial" w:eastAsia="Arial" w:cs="Arial"/>
          <w:sz w:val="22"/>
          <w:szCs w:val="22"/>
        </w:rPr>
        <w:t>At the end of the week, review how often the weekly bias correctly framed the daily opportunities.</w:t>
      </w:r>
    </w:p>
    <w:p w14:paraId="13E01800">
      <w:pPr>
        <w:pStyle w:val="3"/>
        <w:spacing w:before="280" w:after="180"/>
      </w:pPr>
      <w:r>
        <w:rPr>
          <w:rFonts w:ascii="Arial" w:hAnsi="Arial" w:eastAsia="Arial" w:cs="Arial"/>
          <w:b/>
          <w:bCs/>
          <w:sz w:val="26"/>
          <w:szCs w:val="26"/>
        </w:rPr>
        <w:t>Self-Test Questions</w:t>
      </w:r>
    </w:p>
    <w:p w14:paraId="3D38AFA8">
      <w:pPr>
        <w:pStyle w:val="16"/>
        <w:numPr>
          <w:ilvl w:val="0"/>
          <w:numId w:val="2"/>
        </w:numPr>
        <w:spacing w:after="120" w:line="276" w:lineRule="auto"/>
      </w:pPr>
      <w:r>
        <w:rPr>
          <w:rFonts w:ascii="Arial" w:hAnsi="Arial" w:eastAsia="Arial" w:cs="Arial"/>
          <w:sz w:val="22"/>
          <w:szCs w:val="22"/>
        </w:rPr>
        <w:t>Why must every intermediate bias statement name a Draw on Liquidity?</w:t>
      </w:r>
    </w:p>
    <w:p w14:paraId="63BBF7C8">
      <w:pPr>
        <w:pStyle w:val="16"/>
        <w:numPr>
          <w:ilvl w:val="0"/>
          <w:numId w:val="2"/>
        </w:numPr>
        <w:spacing w:after="120" w:line="276" w:lineRule="auto"/>
      </w:pPr>
      <w:r>
        <w:rPr>
          <w:rFonts w:ascii="Arial" w:hAnsi="Arial" w:eastAsia="Arial" w:cs="Arial"/>
          <w:sz w:val="22"/>
          <w:szCs w:val="22"/>
        </w:rPr>
        <w:t>What is the correct response when daily bias conflicts with a clear weekly bias?</w:t>
      </w:r>
    </w:p>
    <w:p w14:paraId="77B7B1C1">
      <w:pPr>
        <w:pStyle w:val="16"/>
        <w:numPr>
          <w:ilvl w:val="0"/>
          <w:numId w:val="2"/>
        </w:numPr>
        <w:spacing w:after="120" w:line="276" w:lineRule="auto"/>
      </w:pPr>
      <w:r>
        <w:rPr>
          <w:rFonts w:ascii="Arial" w:hAnsi="Arial" w:eastAsia="Arial" w:cs="Arial"/>
          <w:sz w:val="22"/>
          <w:szCs w:val="22"/>
        </w:rPr>
        <w:t>Give three examples of conditioning factors that might be attached to a bullish daily bias.</w:t>
      </w:r>
    </w:p>
    <w:p w14:paraId="3D9D3675">
      <w:pPr>
        <w:pStyle w:val="16"/>
        <w:numPr>
          <w:ilvl w:val="0"/>
          <w:numId w:val="2"/>
        </w:numPr>
        <w:spacing w:after="120" w:line="276" w:lineRule="auto"/>
      </w:pPr>
      <w:r>
        <w:rPr>
          <w:rFonts w:ascii="Arial" w:hAnsi="Arial" w:eastAsia="Arial" w:cs="Arial"/>
          <w:sz w:val="22"/>
          <w:szCs w:val="22"/>
        </w:rPr>
        <w:t>What should the trader do when no clear Draw on Liquidity or structural sequence is present?</w:t>
      </w:r>
    </w:p>
    <w:p w14:paraId="08D5A00B">
      <w:pPr>
        <w:pStyle w:val="16"/>
        <w:numPr>
          <w:ilvl w:val="0"/>
          <w:numId w:val="2"/>
        </w:numPr>
        <w:spacing w:after="120" w:line="276" w:lineRule="auto"/>
      </w:pPr>
      <w:r>
        <w:rPr>
          <w:rFonts w:ascii="Arial" w:hAnsi="Arial" w:eastAsia="Arial" w:cs="Arial"/>
          <w:sz w:val="22"/>
          <w:szCs w:val="22"/>
        </w:rPr>
        <w:t>How does invalidation differ from a simple stop-loss on an individual trade?</w:t>
      </w:r>
    </w:p>
    <w:p w14:paraId="26C056AD">
      <w:pPr>
        <w:pStyle w:val="16"/>
        <w:numPr>
          <w:ilvl w:val="0"/>
          <w:numId w:val="2"/>
        </w:numPr>
        <w:spacing w:after="120" w:line="276" w:lineRule="auto"/>
      </w:pPr>
      <w:r>
        <w:rPr>
          <w:rFonts w:ascii="Arial" w:hAnsi="Arial" w:eastAsia="Arial" w:cs="Arial"/>
          <w:sz w:val="22"/>
          <w:szCs w:val="22"/>
        </w:rPr>
        <w:t>Why is bias described as a testable hypothesis rather than a prediction?</w:t>
      </w:r>
    </w:p>
    <w:p w14:paraId="7CEBDAC8">
      <w:pPr>
        <w:pStyle w:val="3"/>
        <w:spacing w:before="280" w:after="180"/>
      </w:pPr>
      <w:r>
        <w:rPr>
          <w:rFonts w:ascii="Arial" w:hAnsi="Arial" w:eastAsia="Arial" w:cs="Arial"/>
          <w:b/>
          <w:bCs/>
          <w:sz w:val="26"/>
          <w:szCs w:val="26"/>
        </w:rPr>
        <w:t>Common Misconceptions</w:t>
      </w:r>
    </w:p>
    <w:p w14:paraId="44EE4FFB">
      <w:pPr>
        <w:pStyle w:val="16"/>
        <w:numPr>
          <w:ilvl w:val="0"/>
          <w:numId w:val="1"/>
        </w:numPr>
        <w:spacing w:after="120" w:line="276" w:lineRule="auto"/>
      </w:pPr>
      <w:r>
        <w:rPr>
          <w:rFonts w:ascii="Arial" w:hAnsi="Arial" w:eastAsia="Arial" w:cs="Arial"/>
          <w:sz w:val="22"/>
          <w:szCs w:val="22"/>
        </w:rPr>
        <w:t>“Bias means I must be in a trade.” — False. Bias authorises direction; conditioning authorises the trade.</w:t>
      </w:r>
    </w:p>
    <w:p w14:paraId="6F3B5727">
      <w:pPr>
        <w:pStyle w:val="16"/>
        <w:numPr>
          <w:ilvl w:val="0"/>
          <w:numId w:val="1"/>
        </w:numPr>
        <w:spacing w:after="120" w:line="276" w:lineRule="auto"/>
      </w:pPr>
      <w:r>
        <w:rPr>
          <w:rFonts w:ascii="Arial" w:hAnsi="Arial" w:eastAsia="Arial" w:cs="Arial"/>
          <w:sz w:val="22"/>
          <w:szCs w:val="22"/>
        </w:rPr>
        <w:t>“If I have a bias I can ignore lower-timeframe structure.” — False. Conditioning still requires displacement and MSS.</w:t>
      </w:r>
    </w:p>
    <w:p w14:paraId="745C2904">
      <w:pPr>
        <w:pStyle w:val="16"/>
        <w:numPr>
          <w:ilvl w:val="0"/>
          <w:numId w:val="1"/>
        </w:numPr>
        <w:spacing w:after="120" w:line="276" w:lineRule="auto"/>
      </w:pPr>
      <w:r>
        <w:rPr>
          <w:rFonts w:ascii="Arial" w:hAnsi="Arial" w:eastAsia="Arial" w:cs="Arial"/>
          <w:sz w:val="22"/>
          <w:szCs w:val="22"/>
        </w:rPr>
        <w:t>“Invalidation is the same as my stop-loss.” — Related but not identical; bias invalidation can retire the idea even if a particular entry was not stopped.</w:t>
      </w:r>
    </w:p>
    <w:p w14:paraId="51BAE75C">
      <w:pPr>
        <w:pStyle w:val="16"/>
        <w:numPr>
          <w:ilvl w:val="0"/>
          <w:numId w:val="1"/>
        </w:numPr>
        <w:spacing w:after="120" w:line="276" w:lineRule="auto"/>
      </w:pPr>
      <w:r>
        <w:rPr>
          <w:rFonts w:ascii="Arial" w:hAnsi="Arial" w:eastAsia="Arial" w:cs="Arial"/>
          <w:sz w:val="22"/>
          <w:szCs w:val="22"/>
        </w:rPr>
        <w:t>“I need a bias every day.” — False. Unclear days are stand-aside days.</w:t>
      </w:r>
    </w:p>
    <w:p w14:paraId="058ABEC6">
      <w:pPr>
        <w:pStyle w:val="16"/>
        <w:numPr>
          <w:ilvl w:val="0"/>
          <w:numId w:val="1"/>
        </w:numPr>
        <w:spacing w:after="120" w:line="276" w:lineRule="auto"/>
      </w:pPr>
      <w:r>
        <w:rPr>
          <w:rFonts w:ascii="Arial" w:hAnsi="Arial" w:eastAsia="Arial" w:cs="Arial"/>
          <w:sz w:val="22"/>
          <w:szCs w:val="22"/>
        </w:rPr>
        <w:t>“Weekly bias never changes intra-week.” — False. A decisive weekly structural break can and should update it.</w:t>
      </w:r>
    </w:p>
    <w:p w14:paraId="53BEAEA5">
      <w:pPr>
        <w:pStyle w:val="3"/>
        <w:spacing w:before="280" w:after="180"/>
      </w:pPr>
      <w:r>
        <w:rPr>
          <w:rFonts w:ascii="Arial" w:hAnsi="Arial" w:eastAsia="Arial" w:cs="Arial"/>
          <w:b/>
          <w:bCs/>
          <w:sz w:val="26"/>
          <w:szCs w:val="26"/>
        </w:rPr>
        <w:t>Research Sources</w:t>
      </w:r>
    </w:p>
    <w:p w14:paraId="6487F708">
      <w:pPr>
        <w:spacing w:after="200" w:line="276" w:lineRule="auto"/>
      </w:pPr>
      <w:r>
        <w:rPr>
          <w:rFonts w:ascii="Arial" w:hAnsi="Arial" w:eastAsia="Arial" w:cs="Arial"/>
          <w:sz w:val="22"/>
          <w:szCs w:val="22"/>
        </w:rPr>
        <w:t>Primary orientation is taken from ICT’s consistent top-down bias process: higher-timeframe structure and liquidity first, daily refinement second, intraday timing last. The emphasis on Draw on Liquidity as the practical content of bias, and on explicit invalidation, follows from ICT’s repeated insistence that the trader must know what the market is seeking and what would prove the idea wrong.</w:t>
      </w:r>
    </w:p>
    <w:p w14:paraId="55CB0038">
      <w:pPr>
        <w:spacing w:after="200" w:line="276" w:lineRule="auto"/>
      </w:pPr>
      <w:r>
        <w:rPr>
          <w:rFonts w:ascii="Arial" w:hAnsi="Arial" w:eastAsia="Arial" w:cs="Arial"/>
          <w:sz w:val="22"/>
          <w:szCs w:val="22"/>
        </w:rPr>
        <w:t>Community resources that formalise weekly-to-daily bias checklists and conditioning rules are used where they remain faithful to that primary logic.</w:t>
      </w:r>
    </w:p>
    <w:p w14:paraId="0D9575F3">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Key references include ICT mentorship and public material on bias determination, weekly and daily profiles, and the subordination of lower-timeframe signals to higher-timeframe narrative. Secondary process checklists appear in high-quality community educational material aligned with those teachings.</w:t>
      </w:r>
    </w:p>
    <w:p w14:paraId="66E6AA9A">
      <w:pPr>
        <w:pStyle w:val="2"/>
        <w:spacing w:before="360" w:after="240"/>
      </w:pPr>
      <w:r>
        <w:rPr>
          <w:rFonts w:ascii="Arial" w:hAnsi="Arial" w:eastAsia="Arial" w:cs="Arial"/>
          <w:b/>
          <w:bCs/>
          <w:sz w:val="32"/>
          <w:szCs w:val="32"/>
        </w:rPr>
        <w:t>Transition to Module 12</w:t>
      </w:r>
    </w:p>
    <w:p w14:paraId="45BC57AD">
      <w:pPr>
        <w:spacing w:after="200" w:line="276" w:lineRule="auto"/>
      </w:pPr>
      <w:r>
        <w:rPr>
          <w:rFonts w:ascii="Arial" w:hAnsi="Arial" w:eastAsia="Arial" w:cs="Arial"/>
          <w:sz w:val="22"/>
          <w:szCs w:val="22"/>
        </w:rPr>
        <w:t>Module 11 has synthesised the prior tools into a disciplined bias-construction process. Module 12 (Risk, Trade Management &amp; Journaling) will address the final practical layer: how to size positions, where to place stops and targets relative to the structures already studied, how to manage open risk as the narrative evolves, and how to journal so that the bias process itself improves over time.</w:t>
      </w:r>
    </w:p>
    <w:p w14:paraId="12C5E65B">
      <w:pPr>
        <w:spacing w:after="200" w:line="276" w:lineRule="auto"/>
        <w:rPr>
          <w:rFonts w:ascii="Arial" w:hAnsi="Arial" w:eastAsia="Arial" w:cs="Arial"/>
          <w:sz w:val="22"/>
          <w:szCs w:val="22"/>
        </w:rPr>
      </w:pPr>
    </w:p>
    <w:p w14:paraId="22CB86BB">
      <w:pPr>
        <w:spacing w:after="200" w:line="276" w:lineRule="auto"/>
        <w:rPr>
          <w:rFonts w:ascii="Arial" w:hAnsi="Arial" w:eastAsia="Arial" w:cs="Arial"/>
          <w:sz w:val="22"/>
          <w:szCs w:val="22"/>
        </w:rPr>
      </w:pPr>
    </w:p>
    <w:p w14:paraId="5F680156">
      <w:pPr>
        <w:spacing w:after="200" w:line="276" w:lineRule="auto"/>
        <w:rPr>
          <w:rFonts w:ascii="Arial" w:hAnsi="Arial" w:eastAsia="Arial" w:cs="Arial"/>
          <w:sz w:val="22"/>
          <w:szCs w:val="22"/>
        </w:rPr>
      </w:pPr>
    </w:p>
    <w:p w14:paraId="1622A84E">
      <w:pPr>
        <w:spacing w:after="200" w:line="276" w:lineRule="auto"/>
        <w:rPr>
          <w:rFonts w:ascii="Arial" w:hAnsi="Arial" w:eastAsia="Arial" w:cs="Arial"/>
          <w:sz w:val="22"/>
          <w:szCs w:val="22"/>
        </w:rPr>
      </w:pPr>
    </w:p>
    <w:p w14:paraId="5FA950BD">
      <w:pPr>
        <w:spacing w:after="200" w:line="276" w:lineRule="auto"/>
        <w:rPr>
          <w:rFonts w:ascii="Arial" w:hAnsi="Arial" w:eastAsia="Arial" w:cs="Arial"/>
          <w:sz w:val="22"/>
          <w:szCs w:val="22"/>
        </w:rPr>
      </w:pPr>
    </w:p>
    <w:p w14:paraId="2974B8D9">
      <w:pPr>
        <w:spacing w:after="200" w:line="276" w:lineRule="auto"/>
        <w:rPr>
          <w:rFonts w:ascii="Arial" w:hAnsi="Arial" w:eastAsia="Arial" w:cs="Arial"/>
          <w:sz w:val="22"/>
          <w:szCs w:val="22"/>
        </w:rPr>
      </w:pPr>
    </w:p>
    <w:p w14:paraId="36153D7D">
      <w:pPr>
        <w:spacing w:after="200" w:line="276" w:lineRule="auto"/>
        <w:rPr>
          <w:rFonts w:ascii="Arial" w:hAnsi="Arial" w:eastAsia="Arial" w:cs="Arial"/>
          <w:sz w:val="22"/>
          <w:szCs w:val="22"/>
        </w:rPr>
      </w:pPr>
    </w:p>
    <w:p w14:paraId="5A62B2F3">
      <w:pPr>
        <w:spacing w:after="200" w:line="276" w:lineRule="auto"/>
        <w:rPr>
          <w:rFonts w:ascii="Arial" w:hAnsi="Arial" w:eastAsia="Arial" w:cs="Arial"/>
          <w:sz w:val="22"/>
          <w:szCs w:val="22"/>
        </w:rPr>
      </w:pPr>
    </w:p>
    <w:p w14:paraId="5FE830DF">
      <w:pPr>
        <w:spacing w:after="200" w:line="276" w:lineRule="auto"/>
        <w:rPr>
          <w:rFonts w:ascii="Arial" w:hAnsi="Arial" w:eastAsia="Arial" w:cs="Arial"/>
          <w:sz w:val="22"/>
          <w:szCs w:val="22"/>
        </w:rPr>
      </w:pPr>
    </w:p>
    <w:p w14:paraId="6F3A1F5B">
      <w:pPr>
        <w:spacing w:after="200" w:line="276" w:lineRule="auto"/>
        <w:rPr>
          <w:rFonts w:ascii="Arial" w:hAnsi="Arial" w:eastAsia="Arial" w:cs="Arial"/>
          <w:sz w:val="22"/>
          <w:szCs w:val="22"/>
        </w:rPr>
      </w:pPr>
    </w:p>
    <w:p w14:paraId="676F50F4">
      <w:pPr>
        <w:spacing w:after="200" w:line="276" w:lineRule="auto"/>
        <w:rPr>
          <w:rFonts w:ascii="Arial" w:hAnsi="Arial" w:eastAsia="Arial" w:cs="Arial"/>
          <w:sz w:val="22"/>
          <w:szCs w:val="22"/>
        </w:rPr>
      </w:pPr>
    </w:p>
    <w:p w14:paraId="3B4F67B1">
      <w:pPr>
        <w:spacing w:after="200" w:line="276" w:lineRule="auto"/>
        <w:rPr>
          <w:rFonts w:ascii="Arial" w:hAnsi="Arial" w:eastAsia="Arial" w:cs="Arial"/>
          <w:sz w:val="22"/>
          <w:szCs w:val="22"/>
        </w:rPr>
      </w:pPr>
    </w:p>
    <w:p w14:paraId="607602E5">
      <w:pPr>
        <w:spacing w:after="200" w:line="276" w:lineRule="auto"/>
        <w:rPr>
          <w:rFonts w:ascii="Arial" w:hAnsi="Arial" w:eastAsia="Arial" w:cs="Arial"/>
          <w:sz w:val="22"/>
          <w:szCs w:val="22"/>
        </w:rPr>
      </w:pPr>
    </w:p>
    <w:p w14:paraId="641B2B90">
      <w:pPr>
        <w:spacing w:after="200" w:line="276" w:lineRule="auto"/>
        <w:rPr>
          <w:rFonts w:ascii="Arial" w:hAnsi="Arial" w:eastAsia="Arial" w:cs="Arial"/>
          <w:sz w:val="22"/>
          <w:szCs w:val="22"/>
        </w:rPr>
      </w:pPr>
    </w:p>
    <w:p w14:paraId="73FC5D4B">
      <w:pPr>
        <w:spacing w:after="200" w:line="276" w:lineRule="auto"/>
        <w:rPr>
          <w:rFonts w:ascii="Arial" w:hAnsi="Arial" w:eastAsia="Arial" w:cs="Arial"/>
          <w:sz w:val="22"/>
          <w:szCs w:val="22"/>
        </w:rPr>
      </w:pPr>
    </w:p>
    <w:p w14:paraId="0757DA68">
      <w:pPr>
        <w:spacing w:after="200" w:line="276" w:lineRule="auto"/>
        <w:rPr>
          <w:rFonts w:ascii="Arial" w:hAnsi="Arial" w:eastAsia="Arial" w:cs="Arial"/>
          <w:sz w:val="22"/>
          <w:szCs w:val="22"/>
        </w:rPr>
      </w:pPr>
    </w:p>
    <w:p w14:paraId="4B3B624F">
      <w:pPr>
        <w:spacing w:after="400"/>
        <w:jc w:val="center"/>
      </w:pPr>
      <w:r>
        <w:rPr>
          <w:rFonts w:ascii="Arial" w:hAnsi="Arial" w:eastAsia="Arial" w:cs="Arial"/>
          <w:b/>
          <w:bCs/>
          <w:sz w:val="36"/>
          <w:szCs w:val="36"/>
        </w:rPr>
        <w:t>MODULE 12</w:t>
      </w:r>
    </w:p>
    <w:p w14:paraId="45C95D74">
      <w:pPr>
        <w:spacing w:after="200"/>
        <w:jc w:val="center"/>
      </w:pPr>
      <w:r>
        <w:rPr>
          <w:rFonts w:ascii="Arial" w:hAnsi="Arial" w:eastAsia="Arial" w:cs="Arial"/>
          <w:b/>
          <w:bCs/>
          <w:sz w:val="28"/>
          <w:szCs w:val="28"/>
        </w:rPr>
        <w:t>Risk, Trade Management &amp; Journaling</w:t>
      </w:r>
    </w:p>
    <w:p w14:paraId="7C2DE57C">
      <w:pPr>
        <w:spacing w:after="400"/>
        <w:jc w:val="center"/>
      </w:pPr>
      <w:r>
        <w:rPr>
          <w:rFonts w:ascii="Arial" w:hAnsi="Arial" w:eastAsia="Arial" w:cs="Arial"/>
          <w:i/>
          <w:iCs/>
          <w:sz w:val="20"/>
          <w:szCs w:val="20"/>
        </w:rPr>
        <w:t>Position Sizing, Stop Placement, Targets, Trade Management, Invalidation vs Stop, Process Journaling</w:t>
      </w:r>
    </w:p>
    <w:p w14:paraId="4CCF721B">
      <w:pPr>
        <w:pBdr>
          <w:left w:val="single" w:color="2E75B6" w:sz="24" w:space="8"/>
        </w:pBdr>
        <w:shd w:val="clear" w:fill="F5F5F5"/>
        <w:spacing w:before="120" w:after="200" w:line="276" w:lineRule="auto"/>
        <w:ind w:left="120"/>
      </w:pPr>
      <w:r>
        <w:rPr>
          <w:rFonts w:ascii="Arial" w:hAnsi="Arial" w:eastAsia="Arial" w:cs="Arial"/>
          <w:i/>
          <w:iCs/>
          <w:sz w:val="20"/>
          <w:szCs w:val="20"/>
        </w:rPr>
        <w:t>Prerequisite: Modules 1–11 assumed complete. This final intermediate module converts the analytical framework into a durable risk and review process.</w:t>
      </w:r>
    </w:p>
    <w:p w14:paraId="1D61EF1E">
      <w:pPr>
        <w:pStyle w:val="2"/>
        <w:spacing w:before="360" w:after="240"/>
      </w:pPr>
      <w:r>
        <w:rPr>
          <w:rFonts w:ascii="Arial" w:hAnsi="Arial" w:eastAsia="Arial" w:cs="Arial"/>
          <w:b/>
          <w:bCs/>
          <w:sz w:val="32"/>
          <w:szCs w:val="32"/>
        </w:rPr>
        <w:t>Module Objectives</w:t>
      </w:r>
    </w:p>
    <w:p w14:paraId="3442B6AC">
      <w:pPr>
        <w:spacing w:after="200" w:line="276" w:lineRule="auto"/>
      </w:pPr>
      <w:r>
        <w:rPr>
          <w:rFonts w:ascii="Arial" w:hAnsi="Arial" w:eastAsia="Arial" w:cs="Arial"/>
          <w:sz w:val="22"/>
          <w:szCs w:val="22"/>
        </w:rPr>
        <w:t>By the end of this module the intermediate student should be able to:</w:t>
      </w:r>
    </w:p>
    <w:p w14:paraId="000BC0E6">
      <w:pPr>
        <w:pStyle w:val="16"/>
        <w:numPr>
          <w:ilvl w:val="0"/>
          <w:numId w:val="1"/>
        </w:numPr>
        <w:spacing w:after="120" w:line="276" w:lineRule="auto"/>
      </w:pPr>
      <w:r>
        <w:rPr>
          <w:rFonts w:ascii="Arial" w:hAnsi="Arial" w:eastAsia="Arial" w:cs="Arial"/>
          <w:sz w:val="22"/>
          <w:szCs w:val="22"/>
        </w:rPr>
        <w:t>Size positions so that a single loss remains a controlled, predefined percentage of equity.</w:t>
      </w:r>
    </w:p>
    <w:p w14:paraId="043FFBE2">
      <w:pPr>
        <w:pStyle w:val="16"/>
        <w:numPr>
          <w:ilvl w:val="0"/>
          <w:numId w:val="1"/>
        </w:numPr>
        <w:spacing w:after="120" w:line="276" w:lineRule="auto"/>
      </w:pPr>
      <w:r>
        <w:rPr>
          <w:rFonts w:ascii="Arial" w:hAnsi="Arial" w:eastAsia="Arial" w:cs="Arial"/>
          <w:sz w:val="22"/>
          <w:szCs w:val="22"/>
        </w:rPr>
        <w:t>Place stops beyond structural invalidation (origin of displacement, far side of the PD array, or dealing-range extreme) rather than at arbitrary round numbers.</w:t>
      </w:r>
    </w:p>
    <w:p w14:paraId="30ABB6CB">
      <w:pPr>
        <w:pStyle w:val="16"/>
        <w:numPr>
          <w:ilvl w:val="0"/>
          <w:numId w:val="1"/>
        </w:numPr>
        <w:spacing w:after="120" w:line="276" w:lineRule="auto"/>
      </w:pPr>
      <w:r>
        <w:rPr>
          <w:rFonts w:ascii="Arial" w:hAnsi="Arial" w:eastAsia="Arial" w:cs="Arial"/>
          <w:sz w:val="22"/>
          <w:szCs w:val="22"/>
        </w:rPr>
        <w:t>Define targets from the Draw on Liquidity and intermediate liquidity pools rather than from fixed reward multiples alone.</w:t>
      </w:r>
    </w:p>
    <w:p w14:paraId="77983760">
      <w:pPr>
        <w:pStyle w:val="16"/>
        <w:numPr>
          <w:ilvl w:val="0"/>
          <w:numId w:val="1"/>
        </w:numPr>
        <w:spacing w:after="120" w:line="276" w:lineRule="auto"/>
      </w:pPr>
      <w:r>
        <w:rPr>
          <w:rFonts w:ascii="Arial" w:hAnsi="Arial" w:eastAsia="Arial" w:cs="Arial"/>
          <w:sz w:val="22"/>
          <w:szCs w:val="22"/>
        </w:rPr>
        <w:t>Manage open trades as the narrative evolves (partial profits, break-even, trailing only when structure supports it).</w:t>
      </w:r>
    </w:p>
    <w:p w14:paraId="47DBCA60">
      <w:pPr>
        <w:pStyle w:val="16"/>
        <w:numPr>
          <w:ilvl w:val="0"/>
          <w:numId w:val="1"/>
        </w:numPr>
        <w:spacing w:after="120" w:line="276" w:lineRule="auto"/>
      </w:pPr>
      <w:r>
        <w:rPr>
          <w:rFonts w:ascii="Arial" w:hAnsi="Arial" w:eastAsia="Arial" w:cs="Arial"/>
          <w:sz w:val="22"/>
          <w:szCs w:val="22"/>
        </w:rPr>
        <w:t>Distinguish trade stop-out from bias invalidation.</w:t>
      </w:r>
    </w:p>
    <w:p w14:paraId="267C27DF">
      <w:pPr>
        <w:pStyle w:val="16"/>
        <w:numPr>
          <w:ilvl w:val="0"/>
          <w:numId w:val="1"/>
        </w:numPr>
        <w:spacing w:after="120" w:line="276" w:lineRule="auto"/>
      </w:pPr>
      <w:r>
        <w:rPr>
          <w:rFonts w:ascii="Arial" w:hAnsi="Arial" w:eastAsia="Arial" w:cs="Arial"/>
          <w:sz w:val="22"/>
          <w:szCs w:val="22"/>
        </w:rPr>
        <w:t>Maintain a process-oriented journal that improves bias construction, conditioning adherence and emotional discipline.</w:t>
      </w:r>
    </w:p>
    <w:p w14:paraId="79D939C7">
      <w:pPr>
        <w:pStyle w:val="16"/>
        <w:numPr>
          <w:ilvl w:val="0"/>
          <w:numId w:val="1"/>
        </w:numPr>
        <w:spacing w:after="120" w:line="276" w:lineRule="auto"/>
      </w:pPr>
      <w:r>
        <w:rPr>
          <w:rFonts w:ascii="Arial" w:hAnsi="Arial" w:eastAsia="Arial" w:cs="Arial"/>
          <w:sz w:val="22"/>
          <w:szCs w:val="22"/>
        </w:rPr>
        <w:t>Recognise common risk and management errors that undermine otherwise sound ICT analysis.</w:t>
      </w:r>
    </w:p>
    <w:p w14:paraId="166642A1">
      <w:pPr>
        <w:pStyle w:val="2"/>
        <w:spacing w:before="360" w:after="240"/>
      </w:pPr>
      <w:r>
        <w:rPr>
          <w:rFonts w:ascii="Arial" w:hAnsi="Arial" w:eastAsia="Arial" w:cs="Arial"/>
          <w:b/>
          <w:bCs/>
          <w:sz w:val="32"/>
          <w:szCs w:val="32"/>
        </w:rPr>
        <w:t>Introduction: Analysis Without Risk Control Is Incomplete</w:t>
      </w:r>
    </w:p>
    <w:p w14:paraId="26D576E3">
      <w:pPr>
        <w:spacing w:after="200" w:line="276" w:lineRule="auto"/>
      </w:pPr>
      <w:r>
        <w:rPr>
          <w:rFonts w:ascii="Arial" w:hAnsi="Arial" w:eastAsia="Arial" w:cs="Arial"/>
          <w:sz w:val="22"/>
          <w:szCs w:val="22"/>
        </w:rPr>
        <w:t>Every concept in Modules 1–11 can be applied correctly and still produce a losing trade. Markets are probabilistic. The intermediate edge is expressed over a series of trades that share a common process. Risk management and journaling are the mechanisms that keep the process intact when individual outcomes are adverse.</w:t>
      </w:r>
    </w:p>
    <w:p w14:paraId="46232F55">
      <w:pPr>
        <w:spacing w:after="200" w:line="276" w:lineRule="auto"/>
      </w:pPr>
      <w:r>
        <w:rPr>
          <w:rFonts w:ascii="Arial" w:hAnsi="Arial" w:eastAsia="Arial" w:cs="Arial"/>
          <w:sz w:val="22"/>
          <w:szCs w:val="22"/>
        </w:rPr>
        <w:t>This module does not introduce new price-action concepts. It defines the rules that protect capital and convert experience into improvement.</w:t>
      </w:r>
    </w:p>
    <w:p w14:paraId="55C63FFA">
      <w:pPr>
        <w:pStyle w:val="2"/>
        <w:spacing w:before="360" w:after="240"/>
      </w:pPr>
      <w:r>
        <w:rPr>
          <w:rFonts w:ascii="Arial" w:hAnsi="Arial" w:eastAsia="Arial" w:cs="Arial"/>
          <w:b/>
          <w:bCs/>
          <w:sz w:val="32"/>
          <w:szCs w:val="32"/>
        </w:rPr>
        <w:t>1. Position Sizing</w:t>
      </w:r>
    </w:p>
    <w:p w14:paraId="59ABC8DF">
      <w:pPr>
        <w:pStyle w:val="3"/>
        <w:spacing w:before="280" w:after="180"/>
      </w:pPr>
      <w:r>
        <w:rPr>
          <w:rFonts w:ascii="Arial" w:hAnsi="Arial" w:eastAsia="Arial" w:cs="Arial"/>
          <w:b/>
          <w:bCs/>
          <w:sz w:val="26"/>
          <w:szCs w:val="26"/>
        </w:rPr>
        <w:t>1.1 Fixed Fractional Principle</w:t>
      </w:r>
    </w:p>
    <w:p w14:paraId="4F5C6E09">
      <w:pPr>
        <w:spacing w:after="200" w:line="276" w:lineRule="auto"/>
      </w:pPr>
      <w:r>
        <w:rPr>
          <w:rFonts w:ascii="Arial" w:hAnsi="Arial" w:eastAsia="Arial" w:cs="Arial"/>
          <w:sz w:val="22"/>
          <w:szCs w:val="22"/>
        </w:rPr>
        <w:t>The intermediate standard is to risk a small, fixed fraction of account equity on any single idea — commonly 0.5 % to 1 % for most developing traders, and rarely more than 1–2 % even for experienced ones. The exact percentage is a personal risk-tolerance decision; the discipline of fixing it in advance is not.</w:t>
      </w:r>
    </w:p>
    <w:p w14:paraId="0341E428">
      <w:pPr>
        <w:pStyle w:val="3"/>
        <w:spacing w:before="280" w:after="180"/>
      </w:pPr>
      <w:r>
        <w:rPr>
          <w:rFonts w:ascii="Arial" w:hAnsi="Arial" w:eastAsia="Arial" w:cs="Arial"/>
          <w:b/>
          <w:bCs/>
          <w:sz w:val="26"/>
          <w:szCs w:val="26"/>
        </w:rPr>
        <w:t>1.2 Calculation</w:t>
      </w:r>
    </w:p>
    <w:p w14:paraId="4E72C694">
      <w:pPr>
        <w:spacing w:after="200" w:line="276" w:lineRule="auto"/>
      </w:pPr>
      <w:r>
        <w:rPr>
          <w:rFonts w:ascii="Arial" w:hAnsi="Arial" w:eastAsia="Arial" w:cs="Arial"/>
          <w:sz w:val="22"/>
          <w:szCs w:val="22"/>
        </w:rPr>
        <w:t>Position size = (Account equity × Risk fraction) / (Entry price – Stop price), adjusted for contract or lot value. The stop distance is determined by structure first; the size is then adjusted so that the monetary risk equals the chosen fraction.</w:t>
      </w:r>
    </w:p>
    <w:p w14:paraId="3F80E84A">
      <w:pPr>
        <w:pStyle w:val="3"/>
        <w:spacing w:before="280" w:after="180"/>
      </w:pPr>
      <w:r>
        <w:rPr>
          <w:rFonts w:ascii="Arial" w:hAnsi="Arial" w:eastAsia="Arial" w:cs="Arial"/>
          <w:b/>
          <w:bCs/>
          <w:sz w:val="26"/>
          <w:szCs w:val="26"/>
        </w:rPr>
        <w:t>1.3 Intermediate Rule</w:t>
      </w:r>
    </w:p>
    <w:p w14:paraId="7F0C5503">
      <w:pPr>
        <w:spacing w:after="200" w:line="276" w:lineRule="auto"/>
      </w:pPr>
      <w:r>
        <w:rPr>
          <w:rFonts w:ascii="Arial" w:hAnsi="Arial" w:eastAsia="Arial" w:cs="Arial"/>
          <w:sz w:val="22"/>
          <w:szCs w:val="22"/>
        </w:rPr>
        <w:t>Never enlarge size because a setup “looks perfect.” Narrative quality is already expressed in the decision to take the trade; size remains constant relative to equity.</w:t>
      </w:r>
    </w:p>
    <w:p w14:paraId="3EF63B1F">
      <w:pPr>
        <w:pStyle w:val="2"/>
        <w:spacing w:before="360" w:after="240"/>
      </w:pPr>
      <w:r>
        <w:rPr>
          <w:rFonts w:ascii="Arial" w:hAnsi="Arial" w:eastAsia="Arial" w:cs="Arial"/>
          <w:b/>
          <w:bCs/>
          <w:sz w:val="32"/>
          <w:szCs w:val="32"/>
        </w:rPr>
        <w:t>2. Stop Placement</w:t>
      </w:r>
    </w:p>
    <w:p w14:paraId="1AB5004D">
      <w:pPr>
        <w:pStyle w:val="3"/>
        <w:spacing w:before="280" w:after="180"/>
      </w:pPr>
      <w:r>
        <w:rPr>
          <w:rFonts w:ascii="Arial" w:hAnsi="Arial" w:eastAsia="Arial" w:cs="Arial"/>
          <w:b/>
          <w:bCs/>
          <w:sz w:val="26"/>
          <w:szCs w:val="26"/>
        </w:rPr>
        <w:t>2.1 Structural Stops</w:t>
      </w:r>
    </w:p>
    <w:p w14:paraId="4DA6635B">
      <w:pPr>
        <w:spacing w:after="200" w:line="276" w:lineRule="auto"/>
      </w:pPr>
      <w:r>
        <w:rPr>
          <w:rFonts w:ascii="Arial" w:hAnsi="Arial" w:eastAsia="Arial" w:cs="Arial"/>
          <w:sz w:val="22"/>
          <w:szCs w:val="22"/>
        </w:rPr>
        <w:t>Stops are placed beyond the level that would invalidate the structural premise of the trade:</w:t>
      </w:r>
    </w:p>
    <w:p w14:paraId="1017A65C">
      <w:pPr>
        <w:pStyle w:val="16"/>
        <w:numPr>
          <w:ilvl w:val="0"/>
          <w:numId w:val="1"/>
        </w:numPr>
        <w:spacing w:after="120" w:line="276" w:lineRule="auto"/>
      </w:pPr>
      <w:r>
        <w:rPr>
          <w:rFonts w:ascii="Arial" w:hAnsi="Arial" w:eastAsia="Arial" w:cs="Arial"/>
          <w:sz w:val="22"/>
          <w:szCs w:val="22"/>
        </w:rPr>
        <w:t>Beyond the origin of the displacement leg that created the PD array or OTE being traded.</w:t>
      </w:r>
    </w:p>
    <w:p w14:paraId="67666723">
      <w:pPr>
        <w:pStyle w:val="16"/>
        <w:numPr>
          <w:ilvl w:val="0"/>
          <w:numId w:val="1"/>
        </w:numPr>
        <w:spacing w:after="120" w:line="276" w:lineRule="auto"/>
      </w:pPr>
      <w:r>
        <w:rPr>
          <w:rFonts w:ascii="Arial" w:hAnsi="Arial" w:eastAsia="Arial" w:cs="Arial"/>
          <w:sz w:val="22"/>
          <w:szCs w:val="22"/>
        </w:rPr>
        <w:t>Beyond the far side of the Order Block, FVG or Breaker that defines the entry zone.</w:t>
      </w:r>
    </w:p>
    <w:p w14:paraId="5CDF25F0">
      <w:pPr>
        <w:pStyle w:val="16"/>
        <w:numPr>
          <w:ilvl w:val="0"/>
          <w:numId w:val="1"/>
        </w:numPr>
        <w:spacing w:after="120" w:line="276" w:lineRule="auto"/>
      </w:pPr>
      <w:r>
        <w:rPr>
          <w:rFonts w:ascii="Arial" w:hAnsi="Arial" w:eastAsia="Arial" w:cs="Arial"/>
          <w:sz w:val="22"/>
          <w:szCs w:val="22"/>
        </w:rPr>
        <w:t>Beyond the dealing-range extreme or the liquidity pool that was raided to generate the setup.</w:t>
      </w:r>
    </w:p>
    <w:p w14:paraId="767584C6">
      <w:pPr>
        <w:pStyle w:val="3"/>
        <w:spacing w:before="280" w:after="180"/>
      </w:pPr>
      <w:r>
        <w:rPr>
          <w:rFonts w:ascii="Arial" w:hAnsi="Arial" w:eastAsia="Arial" w:cs="Arial"/>
          <w:b/>
          <w:bCs/>
          <w:sz w:val="26"/>
          <w:szCs w:val="26"/>
        </w:rPr>
        <w:t>2.2 What to Avoid</w:t>
      </w:r>
    </w:p>
    <w:p w14:paraId="2875AFE0">
      <w:pPr>
        <w:pStyle w:val="16"/>
        <w:numPr>
          <w:ilvl w:val="0"/>
          <w:numId w:val="2"/>
        </w:numPr>
        <w:spacing w:after="120" w:line="276" w:lineRule="auto"/>
      </w:pPr>
      <w:r>
        <w:rPr>
          <w:rFonts w:ascii="Arial" w:hAnsi="Arial" w:eastAsia="Arial" w:cs="Arial"/>
          <w:sz w:val="22"/>
          <w:szCs w:val="22"/>
        </w:rPr>
        <w:t>Stops at round numbers or fixed pip distances that ignore structure.</w:t>
      </w:r>
    </w:p>
    <w:p w14:paraId="507BAAEE">
      <w:pPr>
        <w:pStyle w:val="16"/>
        <w:numPr>
          <w:ilvl w:val="0"/>
          <w:numId w:val="2"/>
        </w:numPr>
        <w:spacing w:after="120" w:line="276" w:lineRule="auto"/>
      </w:pPr>
      <w:r>
        <w:rPr>
          <w:rFonts w:ascii="Arial" w:hAnsi="Arial" w:eastAsia="Arial" w:cs="Arial"/>
          <w:sz w:val="22"/>
          <w:szCs w:val="22"/>
        </w:rPr>
        <w:t>Stops inside the PD array (too tight; normal fluctuation will remove the trade).</w:t>
      </w:r>
    </w:p>
    <w:p w14:paraId="37E83A0E">
      <w:pPr>
        <w:pStyle w:val="16"/>
        <w:numPr>
          <w:ilvl w:val="0"/>
          <w:numId w:val="2"/>
        </w:numPr>
        <w:spacing w:after="120" w:line="276" w:lineRule="auto"/>
      </w:pPr>
      <w:r>
        <w:rPr>
          <w:rFonts w:ascii="Arial" w:hAnsi="Arial" w:eastAsia="Arial" w:cs="Arial"/>
          <w:sz w:val="22"/>
          <w:szCs w:val="22"/>
        </w:rPr>
        <w:t>Moving a stop further away after entry because “it might still work.”</w:t>
      </w:r>
    </w:p>
    <w:p w14:paraId="663EFDD5">
      <w:pPr>
        <w:pStyle w:val="3"/>
        <w:spacing w:before="280" w:after="180"/>
      </w:pPr>
      <w:r>
        <w:rPr>
          <w:rFonts w:ascii="Arial" w:hAnsi="Arial" w:eastAsia="Arial" w:cs="Arial"/>
          <w:b/>
          <w:bCs/>
          <w:sz w:val="26"/>
          <w:szCs w:val="26"/>
        </w:rPr>
        <w:t>2.3 Relationship to Bias Invalidation</w:t>
      </w:r>
    </w:p>
    <w:p w14:paraId="56DB9393">
      <w:pPr>
        <w:spacing w:after="200" w:line="276" w:lineRule="auto"/>
      </w:pPr>
      <w:r>
        <w:rPr>
          <w:rFonts w:ascii="Arial" w:hAnsi="Arial" w:eastAsia="Arial" w:cs="Arial"/>
          <w:sz w:val="22"/>
          <w:szCs w:val="22"/>
        </w:rPr>
        <w:t>A trade stop-out ends that particular entry. Bias invalidation (Module 11) may retire the entire directional idea. They are related but not identical. A trader can be stopped out of an entry and still retain the higher-timeframe bias if the larger invalidation level has not been breached.</w:t>
      </w:r>
    </w:p>
    <w:p w14:paraId="0E2F88B0">
      <w:pPr>
        <w:pStyle w:val="2"/>
        <w:spacing w:before="360" w:after="240"/>
      </w:pPr>
      <w:r>
        <w:rPr>
          <w:rFonts w:ascii="Arial" w:hAnsi="Arial" w:eastAsia="Arial" w:cs="Arial"/>
          <w:b/>
          <w:bCs/>
          <w:sz w:val="32"/>
          <w:szCs w:val="32"/>
        </w:rPr>
        <w:t>3. Targets</w:t>
      </w:r>
    </w:p>
    <w:p w14:paraId="19C57C53">
      <w:pPr>
        <w:pStyle w:val="3"/>
        <w:spacing w:before="280" w:after="180"/>
      </w:pPr>
      <w:r>
        <w:rPr>
          <w:rFonts w:ascii="Arial" w:hAnsi="Arial" w:eastAsia="Arial" w:cs="Arial"/>
          <w:b/>
          <w:bCs/>
          <w:sz w:val="26"/>
          <w:szCs w:val="26"/>
        </w:rPr>
        <w:t>3.1 Liquidity-Based Targets</w:t>
      </w:r>
    </w:p>
    <w:p w14:paraId="45BB131A">
      <w:pPr>
        <w:spacing w:after="200" w:line="276" w:lineRule="auto"/>
      </w:pPr>
      <w:r>
        <w:rPr>
          <w:rFonts w:ascii="Arial" w:hAnsi="Arial" w:eastAsia="Arial" w:cs="Arial"/>
          <w:sz w:val="22"/>
          <w:szCs w:val="22"/>
        </w:rPr>
        <w:t>Primary targets are the Draw on Liquidity and the intermediate liquidity pools identified in the bias process. Fixed reward-to-risk multiples (e.g., 1:2, 1:3) are useful as minimum thresholds or partial-profit guides, but they do not replace the actual liquidity objectives.</w:t>
      </w:r>
    </w:p>
    <w:p w14:paraId="396C3BAA">
      <w:pPr>
        <w:pStyle w:val="3"/>
        <w:spacing w:before="280" w:after="180"/>
      </w:pPr>
      <w:r>
        <w:rPr>
          <w:rFonts w:ascii="Arial" w:hAnsi="Arial" w:eastAsia="Arial" w:cs="Arial"/>
          <w:b/>
          <w:bCs/>
          <w:sz w:val="26"/>
          <w:szCs w:val="26"/>
        </w:rPr>
        <w:t>3.2 Partial Profits</w:t>
      </w:r>
    </w:p>
    <w:p w14:paraId="5F8EA88A">
      <w:pPr>
        <w:spacing w:after="200" w:line="276" w:lineRule="auto"/>
      </w:pPr>
      <w:r>
        <w:rPr>
          <w:rFonts w:ascii="Arial" w:hAnsi="Arial" w:eastAsia="Arial" w:cs="Arial"/>
          <w:sz w:val="22"/>
          <w:szCs w:val="22"/>
        </w:rPr>
        <w:t>A common intermediate practice is to take partial profits at the first meaningful internal liquidity pool and leave a runner toward the external or higher-timeframe Draw on Liquidity. This balances realised gains with participation in larger expansions.</w:t>
      </w:r>
    </w:p>
    <w:p w14:paraId="49112DAA">
      <w:pPr>
        <w:pStyle w:val="3"/>
        <w:spacing w:before="280" w:after="180"/>
      </w:pPr>
      <w:r>
        <w:rPr>
          <w:rFonts w:ascii="Arial" w:hAnsi="Arial" w:eastAsia="Arial" w:cs="Arial"/>
          <w:b/>
          <w:bCs/>
          <w:sz w:val="26"/>
          <w:szCs w:val="26"/>
        </w:rPr>
        <w:t>3.3 Opposite-Side Liquidity</w:t>
      </w:r>
    </w:p>
    <w:p w14:paraId="7591F60E">
      <w:pPr>
        <w:spacing w:after="200" w:line="276" w:lineRule="auto"/>
      </w:pPr>
      <w:r>
        <w:rPr>
          <w:rFonts w:ascii="Arial" w:hAnsi="Arial" w:eastAsia="Arial" w:cs="Arial"/>
          <w:sz w:val="22"/>
          <w:szCs w:val="22"/>
        </w:rPr>
        <w:t>When the target is itself a liquidity pool, the trader anticipates that price may probe or sweep that pool. Targets may be set just before the pool or managed dynamically once the pool is approached.</w:t>
      </w:r>
    </w:p>
    <w:p w14:paraId="1282C715">
      <w:pPr>
        <w:pStyle w:val="2"/>
        <w:spacing w:before="360" w:after="240"/>
      </w:pPr>
      <w:r>
        <w:rPr>
          <w:rFonts w:ascii="Arial" w:hAnsi="Arial" w:eastAsia="Arial" w:cs="Arial"/>
          <w:b/>
          <w:bCs/>
          <w:sz w:val="32"/>
          <w:szCs w:val="32"/>
        </w:rPr>
        <w:t>4. Trade Management</w:t>
      </w:r>
    </w:p>
    <w:p w14:paraId="5E99CC82">
      <w:pPr>
        <w:pStyle w:val="3"/>
        <w:spacing w:before="280" w:after="180"/>
      </w:pPr>
      <w:r>
        <w:rPr>
          <w:rFonts w:ascii="Arial" w:hAnsi="Arial" w:eastAsia="Arial" w:cs="Arial"/>
          <w:b/>
          <w:bCs/>
          <w:sz w:val="26"/>
          <w:szCs w:val="26"/>
        </w:rPr>
        <w:t>4.1 Pre-Defined Plan</w:t>
      </w:r>
    </w:p>
    <w:p w14:paraId="5010F59B">
      <w:pPr>
        <w:spacing w:after="200" w:line="276" w:lineRule="auto"/>
      </w:pPr>
      <w:r>
        <w:rPr>
          <w:rFonts w:ascii="Arial" w:hAnsi="Arial" w:eastAsia="Arial" w:cs="Arial"/>
          <w:sz w:val="22"/>
          <w:szCs w:val="22"/>
        </w:rPr>
        <w:t>Before entry the trader states: entry zone, stop level, first target, runner target (if any), and the conditions under which the stop will be moved to break-even or trailed.</w:t>
      </w:r>
    </w:p>
    <w:p w14:paraId="08D9ACD6">
      <w:pPr>
        <w:pStyle w:val="3"/>
        <w:spacing w:before="280" w:after="180"/>
      </w:pPr>
      <w:r>
        <w:rPr>
          <w:rFonts w:ascii="Arial" w:hAnsi="Arial" w:eastAsia="Arial" w:cs="Arial"/>
          <w:b/>
          <w:bCs/>
          <w:sz w:val="26"/>
          <w:szCs w:val="26"/>
        </w:rPr>
        <w:t>4.2 Break-Even and Trailing</w:t>
      </w:r>
    </w:p>
    <w:p w14:paraId="2AB1785F">
      <w:pPr>
        <w:spacing w:after="200" w:line="276" w:lineRule="auto"/>
      </w:pPr>
      <w:r>
        <w:rPr>
          <w:rFonts w:ascii="Arial" w:hAnsi="Arial" w:eastAsia="Arial" w:cs="Arial"/>
          <w:sz w:val="22"/>
          <w:szCs w:val="22"/>
        </w:rPr>
        <w:t>Moving to break-even is justified when structure has shifted sufficiently that the original risk is no longer required (for example, after a clear continuation displacement). Trailing is justified when a new higher-timeframe or intermediate PD array or structural low/high has formed that can protect the trade. Arbitrary trailing that tightens risk inside normal retracement depth is a common way to be shaken out of good ideas.</w:t>
      </w:r>
    </w:p>
    <w:p w14:paraId="6F6E85C5">
      <w:pPr>
        <w:pStyle w:val="3"/>
        <w:spacing w:before="280" w:after="180"/>
      </w:pPr>
      <w:r>
        <w:rPr>
          <w:rFonts w:ascii="Arial" w:hAnsi="Arial" w:eastAsia="Arial" w:cs="Arial"/>
          <w:b/>
          <w:bCs/>
          <w:sz w:val="26"/>
          <w:szCs w:val="26"/>
        </w:rPr>
        <w:t>4.3 Narrative Evolution</w:t>
      </w:r>
    </w:p>
    <w:p w14:paraId="2267A21B">
      <w:pPr>
        <w:spacing w:after="200" w:line="276" w:lineRule="auto"/>
      </w:pPr>
      <w:r>
        <w:rPr>
          <w:rFonts w:ascii="Arial" w:hAnsi="Arial" w:eastAsia="Arial" w:cs="Arial"/>
          <w:sz w:val="22"/>
          <w:szCs w:val="22"/>
        </w:rPr>
        <w:t>If, while the trade is open, higher-timeframe structure or the Draw on Liquidity changes materially, the management plan is updated. The original plan is not sacred; the current narrative is.</w:t>
      </w:r>
    </w:p>
    <w:p w14:paraId="5644DADC">
      <w:pPr>
        <w:pStyle w:val="2"/>
        <w:spacing w:before="360" w:after="240"/>
      </w:pPr>
      <w:r>
        <w:rPr>
          <w:rFonts w:ascii="Arial" w:hAnsi="Arial" w:eastAsia="Arial" w:cs="Arial"/>
          <w:b/>
          <w:bCs/>
          <w:sz w:val="32"/>
          <w:szCs w:val="32"/>
        </w:rPr>
        <w:t>5. Risk Events and News</w:t>
      </w:r>
    </w:p>
    <w:p w14:paraId="735F6BC6">
      <w:pPr>
        <w:pStyle w:val="3"/>
        <w:spacing w:before="280" w:after="180"/>
      </w:pPr>
      <w:r>
        <w:rPr>
          <w:rFonts w:ascii="Arial" w:hAnsi="Arial" w:eastAsia="Arial" w:cs="Arial"/>
          <w:b/>
          <w:bCs/>
          <w:sz w:val="26"/>
          <w:szCs w:val="26"/>
        </w:rPr>
        <w:t>5.1 Known Events</w:t>
      </w:r>
    </w:p>
    <w:p w14:paraId="4D2E4AA6">
      <w:pPr>
        <w:spacing w:after="200" w:line="276" w:lineRule="auto"/>
      </w:pPr>
      <w:r>
        <w:rPr>
          <w:rFonts w:ascii="Arial" w:hAnsi="Arial" w:eastAsia="Arial" w:cs="Arial"/>
          <w:sz w:val="22"/>
          <w:szCs w:val="22"/>
        </w:rPr>
        <w:t>High-impact scheduled news can produce non-structural spikes that violate otherwise sound stops. Intermediate practice is either to reduce size, widen stops only with a corresponding size reduction, or stand aside around the event window when the narrative does not explicitly depend on the release.</w:t>
      </w:r>
    </w:p>
    <w:p w14:paraId="7A03FE97">
      <w:pPr>
        <w:pStyle w:val="3"/>
        <w:spacing w:before="280" w:after="180"/>
      </w:pPr>
      <w:r>
        <w:rPr>
          <w:rFonts w:ascii="Arial" w:hAnsi="Arial" w:eastAsia="Arial" w:cs="Arial"/>
          <w:b/>
          <w:bCs/>
          <w:sz w:val="26"/>
          <w:szCs w:val="26"/>
        </w:rPr>
        <w:t>5.2 Unscheduled Volatility</w:t>
      </w:r>
    </w:p>
    <w:p w14:paraId="45B6F85E">
      <w:pPr>
        <w:spacing w:after="200" w:line="276" w:lineRule="auto"/>
      </w:pPr>
      <w:r>
        <w:rPr>
          <w:rFonts w:ascii="Arial" w:hAnsi="Arial" w:eastAsia="Arial" w:cs="Arial"/>
          <w:sz w:val="22"/>
          <w:szCs w:val="22"/>
        </w:rPr>
        <w:t>When volatility expands beyond the structural assumptions of the setup, the priority is capital preservation. Closing or reducing the position is preferable to hoping the narrative will reassert itself immediately.</w:t>
      </w:r>
    </w:p>
    <w:p w14:paraId="0192FEAC">
      <w:pPr>
        <w:pStyle w:val="2"/>
        <w:spacing w:before="360" w:after="240"/>
      </w:pPr>
      <w:r>
        <w:rPr>
          <w:rFonts w:ascii="Arial" w:hAnsi="Arial" w:eastAsia="Arial" w:cs="Arial"/>
          <w:b/>
          <w:bCs/>
          <w:sz w:val="32"/>
          <w:szCs w:val="32"/>
        </w:rPr>
        <w:t>6. Journaling as a Process Tool</w:t>
      </w:r>
    </w:p>
    <w:p w14:paraId="39B5D02C">
      <w:pPr>
        <w:pStyle w:val="3"/>
        <w:spacing w:before="280" w:after="180"/>
      </w:pPr>
      <w:r>
        <w:rPr>
          <w:rFonts w:ascii="Arial" w:hAnsi="Arial" w:eastAsia="Arial" w:cs="Arial"/>
          <w:b/>
          <w:bCs/>
          <w:sz w:val="26"/>
          <w:szCs w:val="26"/>
        </w:rPr>
        <w:t>6.1 What to Record</w:t>
      </w:r>
    </w:p>
    <w:p w14:paraId="0D260609">
      <w:pPr>
        <w:spacing w:after="200" w:line="276" w:lineRule="auto"/>
      </w:pPr>
      <w:r>
        <w:rPr>
          <w:rFonts w:ascii="Arial" w:hAnsi="Arial" w:eastAsia="Arial" w:cs="Arial"/>
          <w:sz w:val="22"/>
          <w:szCs w:val="22"/>
        </w:rPr>
        <w:t>A useful intermediate journal captures:</w:t>
      </w:r>
    </w:p>
    <w:p w14:paraId="270E17F1">
      <w:pPr>
        <w:pStyle w:val="16"/>
        <w:numPr>
          <w:ilvl w:val="0"/>
          <w:numId w:val="1"/>
        </w:numPr>
        <w:spacing w:after="120" w:line="276" w:lineRule="auto"/>
      </w:pPr>
      <w:r>
        <w:rPr>
          <w:rFonts w:ascii="Arial" w:hAnsi="Arial" w:eastAsia="Arial" w:cs="Arial"/>
          <w:sz w:val="22"/>
          <w:szCs w:val="22"/>
        </w:rPr>
        <w:t>Pre-session weekly and daily bias statements (including DOL and invalidation).</w:t>
      </w:r>
    </w:p>
    <w:p w14:paraId="21F1BF0C">
      <w:pPr>
        <w:pStyle w:val="16"/>
        <w:numPr>
          <w:ilvl w:val="0"/>
          <w:numId w:val="1"/>
        </w:numPr>
        <w:spacing w:after="120" w:line="276" w:lineRule="auto"/>
      </w:pPr>
      <w:r>
        <w:rPr>
          <w:rFonts w:ascii="Arial" w:hAnsi="Arial" w:eastAsia="Arial" w:cs="Arial"/>
          <w:sz w:val="22"/>
          <w:szCs w:val="22"/>
        </w:rPr>
        <w:t>Conditioning factors required and whether they appeared.</w:t>
      </w:r>
    </w:p>
    <w:p w14:paraId="6FF542B3">
      <w:pPr>
        <w:pStyle w:val="16"/>
        <w:numPr>
          <w:ilvl w:val="0"/>
          <w:numId w:val="1"/>
        </w:numPr>
        <w:spacing w:after="120" w:line="276" w:lineRule="auto"/>
      </w:pPr>
      <w:r>
        <w:rPr>
          <w:rFonts w:ascii="Arial" w:hAnsi="Arial" w:eastAsia="Arial" w:cs="Arial"/>
          <w:sz w:val="22"/>
          <w:szCs w:val="22"/>
        </w:rPr>
        <w:t>Entry, stop, targets, and actual management actions.</w:t>
      </w:r>
    </w:p>
    <w:p w14:paraId="6BF1CAD3">
      <w:pPr>
        <w:pStyle w:val="16"/>
        <w:numPr>
          <w:ilvl w:val="0"/>
          <w:numId w:val="1"/>
        </w:numPr>
        <w:spacing w:after="120" w:line="276" w:lineRule="auto"/>
      </w:pPr>
      <w:r>
        <w:rPr>
          <w:rFonts w:ascii="Arial" w:hAnsi="Arial" w:eastAsia="Arial" w:cs="Arial"/>
          <w:sz w:val="22"/>
          <w:szCs w:val="22"/>
        </w:rPr>
        <w:t>Outcome (win / loss / breakeven) and monetary result.</w:t>
      </w:r>
    </w:p>
    <w:p w14:paraId="6D55D65A">
      <w:pPr>
        <w:pStyle w:val="16"/>
        <w:numPr>
          <w:ilvl w:val="0"/>
          <w:numId w:val="1"/>
        </w:numPr>
        <w:spacing w:after="120" w:line="276" w:lineRule="auto"/>
      </w:pPr>
      <w:r>
        <w:rPr>
          <w:rFonts w:ascii="Arial" w:hAnsi="Arial" w:eastAsia="Arial" w:cs="Arial"/>
          <w:sz w:val="22"/>
          <w:szCs w:val="22"/>
        </w:rPr>
        <w:t>Whether the bias was confirmed, conditioned correctly, or invalidated.</w:t>
      </w:r>
    </w:p>
    <w:p w14:paraId="284A5A0B">
      <w:pPr>
        <w:pStyle w:val="16"/>
        <w:numPr>
          <w:ilvl w:val="0"/>
          <w:numId w:val="1"/>
        </w:numPr>
        <w:spacing w:after="120" w:line="276" w:lineRule="auto"/>
      </w:pPr>
      <w:r>
        <w:rPr>
          <w:rFonts w:ascii="Arial" w:hAnsi="Arial" w:eastAsia="Arial" w:cs="Arial"/>
          <w:sz w:val="22"/>
          <w:szCs w:val="22"/>
        </w:rPr>
        <w:t>Emotional state and any deviation from the plan.</w:t>
      </w:r>
    </w:p>
    <w:p w14:paraId="0BF78550">
      <w:pPr>
        <w:pStyle w:val="16"/>
        <w:numPr>
          <w:ilvl w:val="0"/>
          <w:numId w:val="1"/>
        </w:numPr>
        <w:spacing w:after="120" w:line="276" w:lineRule="auto"/>
      </w:pPr>
      <w:r>
        <w:rPr>
          <w:rFonts w:ascii="Arial" w:hAnsi="Arial" w:eastAsia="Arial" w:cs="Arial"/>
          <w:sz w:val="22"/>
          <w:szCs w:val="22"/>
        </w:rPr>
        <w:t>One concrete lesson for the next session.</w:t>
      </w:r>
    </w:p>
    <w:p w14:paraId="33607712">
      <w:pPr>
        <w:pStyle w:val="3"/>
        <w:spacing w:before="280" w:after="180"/>
      </w:pPr>
      <w:r>
        <w:rPr>
          <w:rFonts w:ascii="Arial" w:hAnsi="Arial" w:eastAsia="Arial" w:cs="Arial"/>
          <w:b/>
          <w:bCs/>
          <w:sz w:val="26"/>
          <w:szCs w:val="26"/>
        </w:rPr>
        <w:t>6.2 Process Metrics over P&amp;L</w:t>
      </w:r>
    </w:p>
    <w:p w14:paraId="2BFE88DE">
      <w:pPr>
        <w:spacing w:after="200" w:line="276" w:lineRule="auto"/>
      </w:pPr>
      <w:r>
        <w:rPr>
          <w:rFonts w:ascii="Arial" w:hAnsi="Arial" w:eastAsia="Arial" w:cs="Arial"/>
          <w:sz w:val="22"/>
          <w:szCs w:val="22"/>
        </w:rPr>
        <w:t>The primary purpose of the journal is to improve the process: bias accuracy, conditioning adherence, stop discipline, target selection, and emotional control. P&amp;L is the lagging result of process quality.</w:t>
      </w:r>
    </w:p>
    <w:p w14:paraId="58706E7D">
      <w:pPr>
        <w:pStyle w:val="3"/>
        <w:spacing w:before="280" w:after="180"/>
      </w:pPr>
      <w:r>
        <w:rPr>
          <w:rFonts w:ascii="Arial" w:hAnsi="Arial" w:eastAsia="Arial" w:cs="Arial"/>
          <w:b/>
          <w:bCs/>
          <w:sz w:val="26"/>
          <w:szCs w:val="26"/>
        </w:rPr>
        <w:t>6.3 Review Cadence</w:t>
      </w:r>
    </w:p>
    <w:p w14:paraId="33B1B0C6">
      <w:pPr>
        <w:spacing w:after="200" w:line="276" w:lineRule="auto"/>
      </w:pPr>
      <w:r>
        <w:rPr>
          <w:rFonts w:ascii="Arial" w:hAnsi="Arial" w:eastAsia="Arial" w:cs="Arial"/>
          <w:sz w:val="22"/>
          <w:szCs w:val="22"/>
        </w:rPr>
        <w:t>Daily notes are written at the session close. A weekly review examines the set of daily biases against the weekly bias and identifies recurring errors (for example, entering before conditioning, moving stops, ignoring invalidation).</w:t>
      </w:r>
    </w:p>
    <w:p w14:paraId="0687432B">
      <w:pPr>
        <w:pStyle w:val="2"/>
        <w:spacing w:before="360" w:after="240"/>
      </w:pPr>
      <w:r>
        <w:rPr>
          <w:rFonts w:ascii="Arial" w:hAnsi="Arial" w:eastAsia="Arial" w:cs="Arial"/>
          <w:b/>
          <w:bCs/>
          <w:sz w:val="32"/>
          <w:szCs w:val="32"/>
        </w:rPr>
        <w:t>7. Common Intermediate Risk Errors</w:t>
      </w:r>
    </w:p>
    <w:p w14:paraId="06D99B99">
      <w:pPr>
        <w:pStyle w:val="16"/>
        <w:numPr>
          <w:ilvl w:val="0"/>
          <w:numId w:val="1"/>
        </w:numPr>
        <w:spacing w:after="120" w:line="276" w:lineRule="auto"/>
      </w:pPr>
      <w:r>
        <w:rPr>
          <w:rFonts w:ascii="Arial" w:hAnsi="Arial" w:eastAsia="Arial" w:cs="Arial"/>
          <w:sz w:val="22"/>
          <w:szCs w:val="22"/>
        </w:rPr>
        <w:t>Increasing size after a winning streak or on a “high-confidence” setup.</w:t>
      </w:r>
    </w:p>
    <w:p w14:paraId="2FB05307">
      <w:pPr>
        <w:pStyle w:val="16"/>
        <w:numPr>
          <w:ilvl w:val="0"/>
          <w:numId w:val="1"/>
        </w:numPr>
        <w:spacing w:after="120" w:line="276" w:lineRule="auto"/>
      </w:pPr>
      <w:r>
        <w:rPr>
          <w:rFonts w:ascii="Arial" w:hAnsi="Arial" w:eastAsia="Arial" w:cs="Arial"/>
          <w:sz w:val="22"/>
          <w:szCs w:val="22"/>
        </w:rPr>
        <w:t>Placing stops inside the PD array or at psychologically comfortable but structurally meaningless levels.</w:t>
      </w:r>
    </w:p>
    <w:p w14:paraId="49F316A3">
      <w:pPr>
        <w:pStyle w:val="16"/>
        <w:numPr>
          <w:ilvl w:val="0"/>
          <w:numId w:val="1"/>
        </w:numPr>
        <w:spacing w:after="120" w:line="276" w:lineRule="auto"/>
      </w:pPr>
      <w:r>
        <w:rPr>
          <w:rFonts w:ascii="Arial" w:hAnsi="Arial" w:eastAsia="Arial" w:cs="Arial"/>
          <w:sz w:val="22"/>
          <w:szCs w:val="22"/>
        </w:rPr>
        <w:t>Moving stops further from entry after the trade is live.</w:t>
      </w:r>
    </w:p>
    <w:p w14:paraId="5B8F8DA1">
      <w:pPr>
        <w:pStyle w:val="16"/>
        <w:numPr>
          <w:ilvl w:val="0"/>
          <w:numId w:val="1"/>
        </w:numPr>
        <w:spacing w:after="120" w:line="276" w:lineRule="auto"/>
      </w:pPr>
      <w:r>
        <w:rPr>
          <w:rFonts w:ascii="Arial" w:hAnsi="Arial" w:eastAsia="Arial" w:cs="Arial"/>
          <w:sz w:val="22"/>
          <w:szCs w:val="22"/>
        </w:rPr>
        <w:t>Taking profits at the first sign of retracement and then watching the Draw on Liquidity print without participation.</w:t>
      </w:r>
    </w:p>
    <w:p w14:paraId="7A64D125">
      <w:pPr>
        <w:pStyle w:val="16"/>
        <w:numPr>
          <w:ilvl w:val="0"/>
          <w:numId w:val="1"/>
        </w:numPr>
        <w:spacing w:after="120" w:line="276" w:lineRule="auto"/>
      </w:pPr>
      <w:r>
        <w:rPr>
          <w:rFonts w:ascii="Arial" w:hAnsi="Arial" w:eastAsia="Arial" w:cs="Arial"/>
          <w:sz w:val="22"/>
          <w:szCs w:val="22"/>
        </w:rPr>
        <w:t>Ignoring bias invalidation and re-entering in the same direction after a structural break.</w:t>
      </w:r>
    </w:p>
    <w:p w14:paraId="69061146">
      <w:pPr>
        <w:pStyle w:val="16"/>
        <w:numPr>
          <w:ilvl w:val="0"/>
          <w:numId w:val="1"/>
        </w:numPr>
        <w:spacing w:after="120" w:line="276" w:lineRule="auto"/>
      </w:pPr>
      <w:r>
        <w:rPr>
          <w:rFonts w:ascii="Arial" w:hAnsi="Arial" w:eastAsia="Arial" w:cs="Arial"/>
          <w:sz w:val="22"/>
          <w:szCs w:val="22"/>
        </w:rPr>
        <w:t>Trading with unclear bias because “the chart looks active.”</w:t>
      </w:r>
    </w:p>
    <w:p w14:paraId="0894A2BB">
      <w:pPr>
        <w:pStyle w:val="16"/>
        <w:numPr>
          <w:ilvl w:val="0"/>
          <w:numId w:val="1"/>
        </w:numPr>
        <w:spacing w:after="120" w:line="276" w:lineRule="auto"/>
      </w:pPr>
      <w:r>
        <w:rPr>
          <w:rFonts w:ascii="Arial" w:hAnsi="Arial" w:eastAsia="Arial" w:cs="Arial"/>
          <w:sz w:val="22"/>
          <w:szCs w:val="22"/>
        </w:rPr>
        <w:t>Neglecting the journal until a drawdown forces attention.</w:t>
      </w:r>
    </w:p>
    <w:p w14:paraId="3D8E0600">
      <w:pPr>
        <w:pStyle w:val="2"/>
        <w:spacing w:before="360" w:after="240"/>
      </w:pPr>
      <w:r>
        <w:rPr>
          <w:rFonts w:ascii="Arial" w:hAnsi="Arial" w:eastAsia="Arial" w:cs="Arial"/>
          <w:b/>
          <w:bCs/>
          <w:sz w:val="32"/>
          <w:szCs w:val="32"/>
        </w:rPr>
        <w:t>Worked Example — Complete Intermediate Trade Lifecycle</w:t>
      </w:r>
    </w:p>
    <w:p w14:paraId="6632BEA1">
      <w:pPr>
        <w:spacing w:after="200" w:line="276" w:lineRule="auto"/>
      </w:pPr>
      <w:r>
        <w:rPr>
          <w:rFonts w:ascii="Arial" w:hAnsi="Arial" w:eastAsia="Arial" w:cs="Arial"/>
          <w:sz w:val="22"/>
          <w:szCs w:val="22"/>
        </w:rPr>
        <w:t>Bias: Weekly and daily bullish; DOL = buy-side above 1.1000; invalidation = daily close below 1.0820.</w:t>
      </w:r>
    </w:p>
    <w:p w14:paraId="2889D8E2">
      <w:pPr>
        <w:spacing w:after="200" w:line="276" w:lineRule="auto"/>
      </w:pPr>
      <w:r>
        <w:rPr>
          <w:rFonts w:ascii="Arial" w:hAnsi="Arial" w:eastAsia="Arial" w:cs="Arial"/>
          <w:sz w:val="22"/>
          <w:szCs w:val="22"/>
        </w:rPr>
        <w:t>Conditioning: Asian low swept, London displacement higher, MSS, FVG in discount.</w:t>
      </w:r>
    </w:p>
    <w:p w14:paraId="7B1ED09F">
      <w:pPr>
        <w:spacing w:after="200" w:line="276" w:lineRule="auto"/>
      </w:pPr>
      <w:r>
        <w:rPr>
          <w:rFonts w:ascii="Arial" w:hAnsi="Arial" w:eastAsia="Arial" w:cs="Arial"/>
          <w:sz w:val="22"/>
          <w:szCs w:val="22"/>
        </w:rPr>
        <w:t>Entry: 1.0865 (retracement into FVG / OTE).</w:t>
      </w:r>
    </w:p>
    <w:p w14:paraId="74A48BC9">
      <w:pPr>
        <w:spacing w:after="200" w:line="276" w:lineRule="auto"/>
      </w:pPr>
      <w:r>
        <w:rPr>
          <w:rFonts w:ascii="Arial" w:hAnsi="Arial" w:eastAsia="Arial" w:cs="Arial"/>
          <w:sz w:val="22"/>
          <w:szCs w:val="22"/>
        </w:rPr>
        <w:t>Stop: 1.0810 (beyond displacement origin and Asian low). Risk = 55 pips. Size set so that 55 pips = 1 % of equity.</w:t>
      </w:r>
    </w:p>
    <w:p w14:paraId="193E230A">
      <w:pPr>
        <w:spacing w:after="200" w:line="276" w:lineRule="auto"/>
      </w:pPr>
      <w:r>
        <w:rPr>
          <w:rFonts w:ascii="Arial" w:hAnsi="Arial" w:eastAsia="Arial" w:cs="Arial"/>
          <w:sz w:val="22"/>
          <w:szCs w:val="22"/>
        </w:rPr>
        <w:t>Targets: Partial at 1.0920 (internal liquidity); runner toward 1.1000.</w:t>
      </w:r>
    </w:p>
    <w:p w14:paraId="33D1BC58">
      <w:pPr>
        <w:spacing w:after="200" w:line="276" w:lineRule="auto"/>
      </w:pPr>
      <w:r>
        <w:rPr>
          <w:rFonts w:ascii="Arial" w:hAnsi="Arial" w:eastAsia="Arial" w:cs="Arial"/>
          <w:sz w:val="22"/>
          <w:szCs w:val="22"/>
        </w:rPr>
        <w:t>Management: After price expands through 1.0920 and forms a new higher low, stop moved to break-even. Runner left until either the DOL is reached or a new daily structural break occurs.</w:t>
      </w:r>
    </w:p>
    <w:p w14:paraId="37F4DA5D">
      <w:pPr>
        <w:spacing w:after="200" w:line="276" w:lineRule="auto"/>
      </w:pPr>
      <w:r>
        <w:rPr>
          <w:rFonts w:ascii="Arial" w:hAnsi="Arial" w:eastAsia="Arial" w:cs="Arial"/>
          <w:sz w:val="22"/>
          <w:szCs w:val="22"/>
        </w:rPr>
        <w:t>Journal entry records the full sequence, the outcome, and whether every conditioning step was respected.</w:t>
      </w:r>
    </w:p>
    <w:p w14:paraId="1FB7935D">
      <w:pPr>
        <w:pStyle w:val="2"/>
        <w:spacing w:before="360" w:after="240"/>
      </w:pPr>
      <w:r>
        <w:rPr>
          <w:rFonts w:ascii="Arial" w:hAnsi="Arial" w:eastAsia="Arial" w:cs="Arial"/>
          <w:b/>
          <w:bCs/>
          <w:sz w:val="32"/>
          <w:szCs w:val="32"/>
        </w:rPr>
        <w:t>Visual Reference — Risk Frame of a Trade</w:t>
      </w:r>
    </w:p>
    <w:p w14:paraId="52261417">
      <w:pPr>
        <w:spacing w:after="0" w:line="240" w:lineRule="auto"/>
      </w:pPr>
      <w:r>
        <w:rPr>
          <w:rFonts w:ascii="Courier New" w:hAnsi="Courier New" w:eastAsia="Courier New" w:cs="Courier New"/>
          <w:sz w:val="18"/>
          <w:szCs w:val="18"/>
        </w:rPr>
        <w:t>DOL / External Target          ──────────  runner objective</w:t>
      </w:r>
    </w:p>
    <w:p w14:paraId="50736461">
      <w:pPr>
        <w:spacing w:after="0" w:line="240" w:lineRule="auto"/>
      </w:pPr>
      <w:r>
        <w:rPr>
          <w:rFonts w:ascii="Courier New" w:hAnsi="Courier New" w:eastAsia="Courier New" w:cs="Courier New"/>
          <w:sz w:val="18"/>
          <w:szCs w:val="18"/>
        </w:rPr>
        <w:t>Internal Liquidity             ──────────  partial profit</w:t>
      </w:r>
    </w:p>
    <w:p w14:paraId="37169154">
      <w:pPr>
        <w:spacing w:after="0" w:line="240" w:lineRule="auto"/>
      </w:pPr>
      <w:r>
        <w:rPr>
          <w:rFonts w:ascii="Courier New" w:hAnsi="Courier New" w:eastAsia="Courier New" w:cs="Courier New"/>
          <w:sz w:val="18"/>
          <w:szCs w:val="18"/>
        </w:rPr>
        <w:t>Entry (FVG / OTE / OB)         ──────────  entry zone</w:t>
      </w:r>
    </w:p>
    <w:p w14:paraId="08D879E6">
      <w:pPr>
        <w:spacing w:after="0" w:line="240" w:lineRule="auto"/>
      </w:pPr>
      <w:r>
        <w:rPr>
          <w:rFonts w:ascii="Courier New" w:hAnsi="Courier New" w:eastAsia="Courier New" w:cs="Courier New"/>
          <w:sz w:val="18"/>
          <w:szCs w:val="18"/>
        </w:rPr>
        <w:t>Structural Invalidation        ──────────  stop beyond here</w:t>
      </w:r>
    </w:p>
    <w:p w14:paraId="31AEDB96">
      <w:pPr>
        <w:spacing w:after="0" w:line="240" w:lineRule="auto"/>
      </w:pPr>
      <w:r>
        <w:rPr>
          <w:rFonts w:ascii="Courier New" w:hAnsi="Courier New" w:eastAsia="Courier New" w:cs="Courier New"/>
          <w:sz w:val="18"/>
          <w:szCs w:val="18"/>
        </w:rPr>
        <w:t>(origin / far side of array / range extreme)</w:t>
      </w:r>
    </w:p>
    <w:p w14:paraId="5E7ABEA4">
      <w:pPr>
        <w:spacing w:after="200" w:line="276" w:lineRule="auto"/>
      </w:pPr>
      <w:r>
        <w:rPr>
          <w:rFonts w:ascii="Arial" w:hAnsi="Arial" w:eastAsia="Arial" w:cs="Arial"/>
          <w:sz w:val="22"/>
          <w:szCs w:val="22"/>
        </w:rPr>
        <w:t>Risk is defined by structure. Size is adjusted to the risk. Targets are defined by liquidity. Management follows the evolving narrative.</w:t>
      </w:r>
    </w:p>
    <w:p w14:paraId="108B1585">
      <w:pPr>
        <w:pStyle w:val="2"/>
        <w:spacing w:before="360" w:after="240"/>
      </w:pPr>
      <w:r>
        <w:rPr>
          <w:rFonts w:ascii="Arial" w:hAnsi="Arial" w:eastAsia="Arial" w:cs="Arial"/>
          <w:b/>
          <w:bCs/>
          <w:sz w:val="32"/>
          <w:szCs w:val="32"/>
        </w:rPr>
        <w:t>How These Concepts Connect</w:t>
      </w:r>
    </w:p>
    <w:p w14:paraId="0ADE80F3">
      <w:pPr>
        <w:spacing w:after="200" w:line="276" w:lineRule="auto"/>
      </w:pPr>
      <w:r>
        <w:rPr>
          <w:rFonts w:ascii="Arial" w:hAnsi="Arial" w:eastAsia="Arial" w:cs="Arial"/>
          <w:sz w:val="22"/>
          <w:szCs w:val="22"/>
        </w:rPr>
        <w:t>Bias (Module 11) decides direction and the Draw on Liquidity. Conditioning (Modules 3–10) decides when entry is permitted. This module decides how much to risk, where the idea is proven wrong, where profits are taken, and how the entire sequence is recorded so that the next bias statement is better than the last. Without this layer the analytical framework remains theoretical.</w:t>
      </w:r>
    </w:p>
    <w:p w14:paraId="30CFE315">
      <w:pPr>
        <w:pStyle w:val="2"/>
        <w:spacing w:before="360" w:after="240"/>
      </w:pPr>
      <w:r>
        <w:rPr>
          <w:rFonts w:ascii="Arial" w:hAnsi="Arial" w:eastAsia="Arial" w:cs="Arial"/>
          <w:b/>
          <w:bCs/>
          <w:sz w:val="32"/>
          <w:szCs w:val="32"/>
        </w:rPr>
        <w:t>What You Should Now Be Able to Do</w:t>
      </w:r>
    </w:p>
    <w:p w14:paraId="7FB995D7">
      <w:pPr>
        <w:pStyle w:val="16"/>
        <w:numPr>
          <w:ilvl w:val="0"/>
          <w:numId w:val="1"/>
        </w:numPr>
        <w:spacing w:after="120" w:line="276" w:lineRule="auto"/>
      </w:pPr>
      <w:r>
        <w:rPr>
          <w:rFonts w:ascii="Arial" w:hAnsi="Arial" w:eastAsia="Arial" w:cs="Arial"/>
          <w:sz w:val="22"/>
          <w:szCs w:val="22"/>
        </w:rPr>
        <w:t>Calculate position size from a structural stop and a fixed equity fraction.</w:t>
      </w:r>
    </w:p>
    <w:p w14:paraId="396F4BBD">
      <w:pPr>
        <w:pStyle w:val="16"/>
        <w:numPr>
          <w:ilvl w:val="0"/>
          <w:numId w:val="1"/>
        </w:numPr>
        <w:spacing w:after="120" w:line="276" w:lineRule="auto"/>
      </w:pPr>
      <w:r>
        <w:rPr>
          <w:rFonts w:ascii="Arial" w:hAnsi="Arial" w:eastAsia="Arial" w:cs="Arial"/>
          <w:sz w:val="22"/>
          <w:szCs w:val="22"/>
        </w:rPr>
        <w:t>Place stops beyond genuine invalidation levels rather than arbitrary distances.</w:t>
      </w:r>
    </w:p>
    <w:p w14:paraId="5CA96603">
      <w:pPr>
        <w:pStyle w:val="16"/>
        <w:numPr>
          <w:ilvl w:val="0"/>
          <w:numId w:val="1"/>
        </w:numPr>
        <w:spacing w:after="120" w:line="276" w:lineRule="auto"/>
      </w:pPr>
      <w:r>
        <w:rPr>
          <w:rFonts w:ascii="Arial" w:hAnsi="Arial" w:eastAsia="Arial" w:cs="Arial"/>
          <w:sz w:val="22"/>
          <w:szCs w:val="22"/>
        </w:rPr>
        <w:t>Set targets from the Draw on Liquidity and intermediate pools.</w:t>
      </w:r>
    </w:p>
    <w:p w14:paraId="7DD0AF4F">
      <w:pPr>
        <w:pStyle w:val="16"/>
        <w:numPr>
          <w:ilvl w:val="0"/>
          <w:numId w:val="1"/>
        </w:numPr>
        <w:spacing w:after="120" w:line="276" w:lineRule="auto"/>
      </w:pPr>
      <w:r>
        <w:rPr>
          <w:rFonts w:ascii="Arial" w:hAnsi="Arial" w:eastAsia="Arial" w:cs="Arial"/>
          <w:sz w:val="22"/>
          <w:szCs w:val="22"/>
        </w:rPr>
        <w:t>Write a pre-trade management plan and follow it (or consciously revise it when the narrative changes).</w:t>
      </w:r>
    </w:p>
    <w:p w14:paraId="46429404">
      <w:pPr>
        <w:pStyle w:val="16"/>
        <w:numPr>
          <w:ilvl w:val="0"/>
          <w:numId w:val="1"/>
        </w:numPr>
        <w:spacing w:after="120" w:line="276" w:lineRule="auto"/>
      </w:pPr>
      <w:r>
        <w:rPr>
          <w:rFonts w:ascii="Arial" w:hAnsi="Arial" w:eastAsia="Arial" w:cs="Arial"/>
          <w:sz w:val="22"/>
          <w:szCs w:val="22"/>
        </w:rPr>
        <w:t>Distinguish a trade stop-out from bias invalidation.</w:t>
      </w:r>
    </w:p>
    <w:p w14:paraId="1B17B2EF">
      <w:pPr>
        <w:pStyle w:val="16"/>
        <w:numPr>
          <w:ilvl w:val="0"/>
          <w:numId w:val="1"/>
        </w:numPr>
        <w:spacing w:after="120" w:line="276" w:lineRule="auto"/>
      </w:pPr>
      <w:r>
        <w:rPr>
          <w:rFonts w:ascii="Arial" w:hAnsi="Arial" w:eastAsia="Arial" w:cs="Arial"/>
          <w:sz w:val="22"/>
          <w:szCs w:val="22"/>
        </w:rPr>
        <w:t>Keep a journal that captures process adherence, not only P&amp;L.</w:t>
      </w:r>
    </w:p>
    <w:p w14:paraId="55EAFB40">
      <w:pPr>
        <w:pStyle w:val="16"/>
        <w:numPr>
          <w:ilvl w:val="0"/>
          <w:numId w:val="1"/>
        </w:numPr>
        <w:spacing w:after="120" w:line="276" w:lineRule="auto"/>
      </w:pPr>
      <w:r>
        <w:rPr>
          <w:rFonts w:ascii="Arial" w:hAnsi="Arial" w:eastAsia="Arial" w:cs="Arial"/>
          <w:sz w:val="22"/>
          <w:szCs w:val="22"/>
        </w:rPr>
        <w:t>Identify and correct the common risk errors listed in this module.</w:t>
      </w:r>
    </w:p>
    <w:p w14:paraId="72B2C00A">
      <w:pPr>
        <w:pStyle w:val="2"/>
        <w:spacing w:before="360" w:after="240"/>
      </w:pPr>
      <w:r>
        <w:rPr>
          <w:rFonts w:ascii="Arial" w:hAnsi="Arial" w:eastAsia="Arial" w:cs="Arial"/>
          <w:b/>
          <w:bCs/>
          <w:sz w:val="32"/>
          <w:szCs w:val="32"/>
        </w:rPr>
        <w:t>Module Review</w:t>
      </w:r>
    </w:p>
    <w:p w14:paraId="706F5B68">
      <w:pPr>
        <w:pStyle w:val="3"/>
        <w:spacing w:before="280" w:after="180"/>
      </w:pPr>
      <w:r>
        <w:rPr>
          <w:rFonts w:ascii="Arial" w:hAnsi="Arial" w:eastAsia="Arial" w:cs="Arial"/>
          <w:b/>
          <w:bCs/>
          <w:sz w:val="26"/>
          <w:szCs w:val="26"/>
        </w:rPr>
        <w:t>Key Terms</w:t>
      </w:r>
    </w:p>
    <w:p w14:paraId="5C32D14C">
      <w:pPr>
        <w:pStyle w:val="16"/>
        <w:numPr>
          <w:ilvl w:val="0"/>
          <w:numId w:val="1"/>
        </w:numPr>
        <w:spacing w:after="120" w:line="276" w:lineRule="auto"/>
      </w:pPr>
      <w:r>
        <w:rPr>
          <w:rFonts w:ascii="Arial" w:hAnsi="Arial" w:eastAsia="Arial" w:cs="Arial"/>
          <w:sz w:val="22"/>
          <w:szCs w:val="22"/>
        </w:rPr>
        <w:t>Fixed fractional risk — risking a constant small percentage of equity per idea.</w:t>
      </w:r>
    </w:p>
    <w:p w14:paraId="2AB53976">
      <w:pPr>
        <w:pStyle w:val="16"/>
        <w:numPr>
          <w:ilvl w:val="0"/>
          <w:numId w:val="1"/>
        </w:numPr>
        <w:spacing w:after="120" w:line="276" w:lineRule="auto"/>
      </w:pPr>
      <w:r>
        <w:rPr>
          <w:rFonts w:ascii="Arial" w:hAnsi="Arial" w:eastAsia="Arial" w:cs="Arial"/>
          <w:sz w:val="22"/>
          <w:szCs w:val="22"/>
        </w:rPr>
        <w:t>Structural stop — stop placed beyond the level that invalidates the trade’s premise.</w:t>
      </w:r>
    </w:p>
    <w:p w14:paraId="663535A0">
      <w:pPr>
        <w:pStyle w:val="16"/>
        <w:numPr>
          <w:ilvl w:val="0"/>
          <w:numId w:val="1"/>
        </w:numPr>
        <w:spacing w:after="120" w:line="276" w:lineRule="auto"/>
      </w:pPr>
      <w:r>
        <w:rPr>
          <w:rFonts w:ascii="Arial" w:hAnsi="Arial" w:eastAsia="Arial" w:cs="Arial"/>
          <w:sz w:val="22"/>
          <w:szCs w:val="22"/>
        </w:rPr>
        <w:t>Liquidity-based target — objective defined by a pool of resting orders rather than a fixed multiple alone.</w:t>
      </w:r>
    </w:p>
    <w:p w14:paraId="35CE936D">
      <w:pPr>
        <w:pStyle w:val="16"/>
        <w:numPr>
          <w:ilvl w:val="0"/>
          <w:numId w:val="1"/>
        </w:numPr>
        <w:spacing w:after="120" w:line="276" w:lineRule="auto"/>
      </w:pPr>
      <w:r>
        <w:rPr>
          <w:rFonts w:ascii="Arial" w:hAnsi="Arial" w:eastAsia="Arial" w:cs="Arial"/>
          <w:sz w:val="22"/>
          <w:szCs w:val="22"/>
        </w:rPr>
        <w:t>Partial profit — realised gain at an intermediate objective while a runner remains.</w:t>
      </w:r>
    </w:p>
    <w:p w14:paraId="3DD33A51">
      <w:pPr>
        <w:pStyle w:val="16"/>
        <w:numPr>
          <w:ilvl w:val="0"/>
          <w:numId w:val="1"/>
        </w:numPr>
        <w:spacing w:after="120" w:line="276" w:lineRule="auto"/>
      </w:pPr>
      <w:r>
        <w:rPr>
          <w:rFonts w:ascii="Arial" w:hAnsi="Arial" w:eastAsia="Arial" w:cs="Arial"/>
          <w:sz w:val="22"/>
          <w:szCs w:val="22"/>
        </w:rPr>
        <w:t>Bias invalidation vs trade stop-out — retirement of the directional idea versus exit of a single entry.</w:t>
      </w:r>
    </w:p>
    <w:p w14:paraId="65A56C70">
      <w:pPr>
        <w:pStyle w:val="16"/>
        <w:numPr>
          <w:ilvl w:val="0"/>
          <w:numId w:val="1"/>
        </w:numPr>
        <w:spacing w:after="120" w:line="276" w:lineRule="auto"/>
      </w:pPr>
      <w:r>
        <w:rPr>
          <w:rFonts w:ascii="Arial" w:hAnsi="Arial" w:eastAsia="Arial" w:cs="Arial"/>
          <w:sz w:val="22"/>
          <w:szCs w:val="22"/>
        </w:rPr>
        <w:t>Process journal — record that emphasises bias, conditioning, adherence and lessons over raw P&amp;L.</w:t>
      </w:r>
    </w:p>
    <w:p w14:paraId="2F994C70">
      <w:pPr>
        <w:pStyle w:val="3"/>
        <w:spacing w:before="280" w:after="180"/>
      </w:pPr>
      <w:r>
        <w:rPr>
          <w:rFonts w:ascii="Arial" w:hAnsi="Arial" w:eastAsia="Arial" w:cs="Arial"/>
          <w:b/>
          <w:bCs/>
          <w:sz w:val="26"/>
          <w:szCs w:val="26"/>
        </w:rPr>
        <w:t>Beginner Summary (Bridge)</w:t>
      </w:r>
    </w:p>
    <w:p w14:paraId="7C2E5062">
      <w:pPr>
        <w:spacing w:after="200" w:line="276" w:lineRule="auto"/>
      </w:pPr>
      <w:r>
        <w:rPr>
          <w:rFonts w:ascii="Arial" w:hAnsi="Arial" w:eastAsia="Arial" w:cs="Arial"/>
          <w:sz w:val="22"/>
          <w:szCs w:val="22"/>
        </w:rPr>
        <w:t>Beginner teaching introduced basic stop-loss and take-profit ideas. Intermediate teaching anchors stops to structure, targets to liquidity, size to fixed equity fractions, management to the evolving narrative, and journaling to process improvement. The result is a durable operating system rather than a collection of chart patterns.</w:t>
      </w:r>
    </w:p>
    <w:p w14:paraId="2B874AF8">
      <w:pPr>
        <w:pStyle w:val="3"/>
        <w:spacing w:before="280" w:after="180"/>
      </w:pPr>
      <w:r>
        <w:rPr>
          <w:rFonts w:ascii="Arial" w:hAnsi="Arial" w:eastAsia="Arial" w:cs="Arial"/>
          <w:b/>
          <w:bCs/>
          <w:sz w:val="26"/>
          <w:szCs w:val="26"/>
        </w:rPr>
        <w:t>Concept Relationships</w:t>
      </w:r>
    </w:p>
    <w:p w14:paraId="13773DE9">
      <w:pPr>
        <w:spacing w:after="200" w:line="276" w:lineRule="auto"/>
      </w:pPr>
      <w:r>
        <w:rPr>
          <w:rFonts w:ascii="Arial" w:hAnsi="Arial" w:eastAsia="Arial" w:cs="Arial"/>
          <w:sz w:val="22"/>
          <w:szCs w:val="22"/>
        </w:rPr>
        <w:t>All prior modules supply the analytical content. This module supplies the risk envelope and the feedback loop. Together they form a complete intermediate trading process: narrative → bias → conditioning → entry → structural risk → liquidity targets → management → journal → improved narrative.</w:t>
      </w:r>
    </w:p>
    <w:p w14:paraId="625FBE28">
      <w:pPr>
        <w:pStyle w:val="3"/>
        <w:spacing w:before="280" w:after="180"/>
      </w:pPr>
      <w:r>
        <w:rPr>
          <w:rFonts w:ascii="Arial" w:hAnsi="Arial" w:eastAsia="Arial" w:cs="Arial"/>
          <w:b/>
          <w:bCs/>
          <w:sz w:val="26"/>
          <w:szCs w:val="26"/>
        </w:rPr>
        <w:t>Practical Chart Exercise</w:t>
      </w:r>
    </w:p>
    <w:p w14:paraId="14829DBE">
      <w:pPr>
        <w:spacing w:after="200" w:line="276" w:lineRule="auto"/>
      </w:pPr>
      <w:r>
        <w:rPr>
          <w:rFonts w:ascii="Arial" w:hAnsi="Arial" w:eastAsia="Arial" w:cs="Arial"/>
          <w:sz w:val="22"/>
          <w:szCs w:val="22"/>
        </w:rPr>
        <w:t>For the next ten traded ideas (or ten consecutive sessions):</w:t>
      </w:r>
    </w:p>
    <w:p w14:paraId="4660D0C3">
      <w:pPr>
        <w:pStyle w:val="16"/>
        <w:numPr>
          <w:ilvl w:val="0"/>
          <w:numId w:val="3"/>
        </w:numPr>
        <w:spacing w:after="120" w:line="276" w:lineRule="auto"/>
      </w:pPr>
      <w:r>
        <w:rPr>
          <w:rFonts w:ascii="Arial" w:hAnsi="Arial" w:eastAsia="Arial" w:cs="Arial"/>
          <w:sz w:val="22"/>
          <w:szCs w:val="22"/>
        </w:rPr>
        <w:t>Before each entry write the full risk frame: equity fraction, stop level and reason, size, first target, runner target, management rules.</w:t>
      </w:r>
    </w:p>
    <w:p w14:paraId="34D697FC">
      <w:pPr>
        <w:pStyle w:val="16"/>
        <w:numPr>
          <w:ilvl w:val="0"/>
          <w:numId w:val="3"/>
        </w:numPr>
        <w:spacing w:after="120" w:line="276" w:lineRule="auto"/>
      </w:pPr>
      <w:r>
        <w:rPr>
          <w:rFonts w:ascii="Arial" w:hAnsi="Arial" w:eastAsia="Arial" w:cs="Arial"/>
          <w:sz w:val="22"/>
          <w:szCs w:val="22"/>
        </w:rPr>
        <w:t>After the trade closes, complete the journal entry including process adherence and one lesson.</w:t>
      </w:r>
    </w:p>
    <w:p w14:paraId="597B68B2">
      <w:pPr>
        <w:pStyle w:val="16"/>
        <w:numPr>
          <w:ilvl w:val="0"/>
          <w:numId w:val="3"/>
        </w:numPr>
        <w:spacing w:after="120" w:line="276" w:lineRule="auto"/>
      </w:pPr>
      <w:r>
        <w:rPr>
          <w:rFonts w:ascii="Arial" w:hAnsi="Arial" w:eastAsia="Arial" w:cs="Arial"/>
          <w:sz w:val="22"/>
          <w:szCs w:val="22"/>
        </w:rPr>
        <w:t>At the end of the ten-idea sample, calculate: percentage of ideas that respected conditioning, average R-multiple, largest deviation from plan, and the single most repeated error.</w:t>
      </w:r>
    </w:p>
    <w:p w14:paraId="44B10275">
      <w:pPr>
        <w:pStyle w:val="16"/>
        <w:numPr>
          <w:ilvl w:val="0"/>
          <w:numId w:val="3"/>
        </w:numPr>
        <w:spacing w:after="120" w:line="276" w:lineRule="auto"/>
      </w:pPr>
      <w:r>
        <w:rPr>
          <w:rFonts w:ascii="Arial" w:hAnsi="Arial" w:eastAsia="Arial" w:cs="Arial"/>
          <w:sz w:val="22"/>
          <w:szCs w:val="22"/>
        </w:rPr>
        <w:t>Write a one-page revision of your personal risk rules based on that sample.</w:t>
      </w:r>
    </w:p>
    <w:p w14:paraId="7E645CB8">
      <w:pPr>
        <w:pStyle w:val="3"/>
        <w:spacing w:before="280" w:after="180"/>
      </w:pPr>
      <w:r>
        <w:rPr>
          <w:rFonts w:ascii="Arial" w:hAnsi="Arial" w:eastAsia="Arial" w:cs="Arial"/>
          <w:b/>
          <w:bCs/>
          <w:sz w:val="26"/>
          <w:szCs w:val="26"/>
        </w:rPr>
        <w:t>Self-Test Questions</w:t>
      </w:r>
    </w:p>
    <w:p w14:paraId="4B4A1338">
      <w:pPr>
        <w:pStyle w:val="16"/>
        <w:numPr>
          <w:ilvl w:val="0"/>
          <w:numId w:val="3"/>
        </w:numPr>
        <w:spacing w:after="120" w:line="276" w:lineRule="auto"/>
      </w:pPr>
      <w:r>
        <w:rPr>
          <w:rFonts w:ascii="Arial" w:hAnsi="Arial" w:eastAsia="Arial" w:cs="Arial"/>
          <w:sz w:val="22"/>
          <w:szCs w:val="22"/>
        </w:rPr>
        <w:t>Why is position size calculated from the stop distance rather than chosen first?</w:t>
      </w:r>
    </w:p>
    <w:p w14:paraId="3809844B">
      <w:pPr>
        <w:pStyle w:val="16"/>
        <w:numPr>
          <w:ilvl w:val="0"/>
          <w:numId w:val="3"/>
        </w:numPr>
        <w:spacing w:after="120" w:line="276" w:lineRule="auto"/>
      </w:pPr>
      <w:r>
        <w:rPr>
          <w:rFonts w:ascii="Arial" w:hAnsi="Arial" w:eastAsia="Arial" w:cs="Arial"/>
          <w:sz w:val="22"/>
          <w:szCs w:val="22"/>
        </w:rPr>
        <w:t>Give three structural locations at which a stop may legitimately be placed.</w:t>
      </w:r>
    </w:p>
    <w:p w14:paraId="5977D3E4">
      <w:pPr>
        <w:pStyle w:val="16"/>
        <w:numPr>
          <w:ilvl w:val="0"/>
          <w:numId w:val="3"/>
        </w:numPr>
        <w:spacing w:after="120" w:line="276" w:lineRule="auto"/>
      </w:pPr>
      <w:r>
        <w:rPr>
          <w:rFonts w:ascii="Arial" w:hAnsi="Arial" w:eastAsia="Arial" w:cs="Arial"/>
          <w:sz w:val="22"/>
          <w:szCs w:val="22"/>
        </w:rPr>
        <w:t>How does a liquidity-based target differ from a fixed 1:3 reward-to-risk target?</w:t>
      </w:r>
    </w:p>
    <w:p w14:paraId="7E6340DF">
      <w:pPr>
        <w:pStyle w:val="16"/>
        <w:numPr>
          <w:ilvl w:val="0"/>
          <w:numId w:val="3"/>
        </w:numPr>
        <w:spacing w:after="120" w:line="276" w:lineRule="auto"/>
      </w:pPr>
      <w:r>
        <w:rPr>
          <w:rFonts w:ascii="Arial" w:hAnsi="Arial" w:eastAsia="Arial" w:cs="Arial"/>
          <w:sz w:val="22"/>
          <w:szCs w:val="22"/>
        </w:rPr>
        <w:t>When is it reasonable to move a stop to break-even?</w:t>
      </w:r>
    </w:p>
    <w:p w14:paraId="35E14D62">
      <w:pPr>
        <w:pStyle w:val="16"/>
        <w:numPr>
          <w:ilvl w:val="0"/>
          <w:numId w:val="3"/>
        </w:numPr>
        <w:spacing w:after="120" w:line="276" w:lineRule="auto"/>
      </w:pPr>
      <w:r>
        <w:rPr>
          <w:rFonts w:ascii="Arial" w:hAnsi="Arial" w:eastAsia="Arial" w:cs="Arial"/>
          <w:sz w:val="22"/>
          <w:szCs w:val="22"/>
        </w:rPr>
        <w:t>What is the difference between a trade stop-out and bias invalidation?</w:t>
      </w:r>
    </w:p>
    <w:p w14:paraId="42FC1E8C">
      <w:pPr>
        <w:pStyle w:val="16"/>
        <w:numPr>
          <w:ilvl w:val="0"/>
          <w:numId w:val="3"/>
        </w:numPr>
        <w:spacing w:after="120" w:line="276" w:lineRule="auto"/>
      </w:pPr>
      <w:r>
        <w:rPr>
          <w:rFonts w:ascii="Arial" w:hAnsi="Arial" w:eastAsia="Arial" w:cs="Arial"/>
          <w:sz w:val="22"/>
          <w:szCs w:val="22"/>
        </w:rPr>
        <w:t>What elements of a journal most directly improve future bias construction?</w:t>
      </w:r>
    </w:p>
    <w:p w14:paraId="791C5BB0">
      <w:pPr>
        <w:pStyle w:val="3"/>
        <w:spacing w:before="280" w:after="180"/>
      </w:pPr>
      <w:r>
        <w:rPr>
          <w:rFonts w:ascii="Arial" w:hAnsi="Arial" w:eastAsia="Arial" w:cs="Arial"/>
          <w:b/>
          <w:bCs/>
          <w:sz w:val="26"/>
          <w:szCs w:val="26"/>
        </w:rPr>
        <w:t>Common Misconceptions</w:t>
      </w:r>
    </w:p>
    <w:p w14:paraId="68A58E28">
      <w:pPr>
        <w:pStyle w:val="16"/>
        <w:numPr>
          <w:ilvl w:val="0"/>
          <w:numId w:val="1"/>
        </w:numPr>
        <w:spacing w:after="120" w:line="276" w:lineRule="auto"/>
      </w:pPr>
      <w:r>
        <w:rPr>
          <w:rFonts w:ascii="Arial" w:hAnsi="Arial" w:eastAsia="Arial" w:cs="Arial"/>
          <w:sz w:val="22"/>
          <w:szCs w:val="22"/>
        </w:rPr>
        <w:t>“A good setup deserves more size.” — False. Size is a function of equity and stop distance, not of narrative enthusiasm.</w:t>
      </w:r>
    </w:p>
    <w:p w14:paraId="0AA96B78">
      <w:pPr>
        <w:pStyle w:val="16"/>
        <w:numPr>
          <w:ilvl w:val="0"/>
          <w:numId w:val="1"/>
        </w:numPr>
        <w:spacing w:after="120" w:line="276" w:lineRule="auto"/>
      </w:pPr>
      <w:r>
        <w:rPr>
          <w:rFonts w:ascii="Arial" w:hAnsi="Arial" w:eastAsia="Arial" w:cs="Arial"/>
          <w:sz w:val="22"/>
          <w:szCs w:val="22"/>
        </w:rPr>
        <w:t>“I can widen the stop if I reduce size after entry.” — Usually a rationalisation; the original structural premise should have determined the stop.</w:t>
      </w:r>
    </w:p>
    <w:p w14:paraId="3F7CE79F">
      <w:pPr>
        <w:pStyle w:val="16"/>
        <w:numPr>
          <w:ilvl w:val="0"/>
          <w:numId w:val="1"/>
        </w:numPr>
        <w:spacing w:after="120" w:line="276" w:lineRule="auto"/>
      </w:pPr>
      <w:r>
        <w:rPr>
          <w:rFonts w:ascii="Arial" w:hAnsi="Arial" w:eastAsia="Arial" w:cs="Arial"/>
          <w:sz w:val="22"/>
          <w:szCs w:val="22"/>
        </w:rPr>
        <w:t>“Journaling is only for losing periods.” — False. The journal is most valuable when it captures both adherence and success so that the process can be repeated.</w:t>
      </w:r>
    </w:p>
    <w:p w14:paraId="5CC13341">
      <w:pPr>
        <w:pStyle w:val="16"/>
        <w:numPr>
          <w:ilvl w:val="0"/>
          <w:numId w:val="1"/>
        </w:numPr>
        <w:spacing w:after="120" w:line="276" w:lineRule="auto"/>
      </w:pPr>
      <w:r>
        <w:rPr>
          <w:rFonts w:ascii="Arial" w:hAnsi="Arial" w:eastAsia="Arial" w:cs="Arial"/>
          <w:sz w:val="22"/>
          <w:szCs w:val="22"/>
        </w:rPr>
        <w:t>“Once I’m in profit the stop no longer matters.” — False. Open risk remains real until the trade is closed or protected by structure.</w:t>
      </w:r>
    </w:p>
    <w:p w14:paraId="00AB57D0">
      <w:pPr>
        <w:pStyle w:val="16"/>
        <w:numPr>
          <w:ilvl w:val="0"/>
          <w:numId w:val="1"/>
        </w:numPr>
        <w:spacing w:after="120" w:line="276" w:lineRule="auto"/>
      </w:pPr>
      <w:r>
        <w:rPr>
          <w:rFonts w:ascii="Arial" w:hAnsi="Arial" w:eastAsia="Arial" w:cs="Arial"/>
          <w:sz w:val="22"/>
          <w:szCs w:val="22"/>
        </w:rPr>
        <w:t>“Risk management is separate from ICT analysis.” — False. Structural stops and liquidity targets are ICT analysis applied to the risk frame.</w:t>
      </w:r>
    </w:p>
    <w:p w14:paraId="472990D2">
      <w:pPr>
        <w:pStyle w:val="3"/>
        <w:spacing w:before="280" w:after="180"/>
      </w:pPr>
      <w:r>
        <w:rPr>
          <w:rFonts w:ascii="Arial" w:hAnsi="Arial" w:eastAsia="Arial" w:cs="Arial"/>
          <w:b/>
          <w:bCs/>
          <w:sz w:val="26"/>
          <w:szCs w:val="26"/>
        </w:rPr>
        <w:t>Research Sources</w:t>
      </w:r>
    </w:p>
    <w:p w14:paraId="6B03A917">
      <w:pPr>
        <w:spacing w:after="200" w:line="276" w:lineRule="auto"/>
      </w:pPr>
      <w:r>
        <w:rPr>
          <w:rFonts w:ascii="Arial" w:hAnsi="Arial" w:eastAsia="Arial" w:cs="Arial"/>
          <w:sz w:val="22"/>
          <w:szCs w:val="22"/>
        </w:rPr>
        <w:t>ICT consistently emphasises risk management, the placement of protective stops beyond structural invalidation, and the use of liquidity objectives for targets. Exact percentage risk per trade is left to the individual; the principle of predefined, limited risk is not. Journaling and process review appear throughout ICT mentorship as the means by which the trader internalises the framework.</w:t>
      </w:r>
    </w:p>
    <w:p w14:paraId="613C80A5">
      <w:pPr>
        <w:spacing w:after="200" w:line="276" w:lineRule="auto"/>
      </w:pPr>
      <w:r>
        <w:rPr>
          <w:rFonts w:ascii="Arial" w:hAnsi="Arial" w:eastAsia="Arial" w:cs="Arial"/>
          <w:sz w:val="22"/>
          <w:szCs w:val="22"/>
        </w:rPr>
        <w:t>Community resources that provide position-size calculators, journal templates and R-multiple tracking are useful supplements provided they remain subordinate to structural and liquidity logic.</w:t>
      </w:r>
    </w:p>
    <w:p w14:paraId="2932DDF0">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Key references include ICT discussions of risk, stop placement relative to Order Blocks and displacement origins, and the repeated advice to know the invalidation of every idea. Secondary risk-management frameworks appear in broader trading literature and are compatible where they respect fixed fractional risk and structural stops.</w:t>
      </w:r>
    </w:p>
    <w:p w14:paraId="4F05FA9B">
      <w:pPr>
        <w:pStyle w:val="2"/>
        <w:spacing w:before="360" w:after="240"/>
      </w:pPr>
      <w:r>
        <w:rPr>
          <w:rFonts w:ascii="Arial" w:hAnsi="Arial" w:eastAsia="Arial" w:cs="Arial"/>
          <w:b/>
          <w:bCs/>
          <w:sz w:val="32"/>
          <w:szCs w:val="32"/>
        </w:rPr>
        <w:t>Closing of the Intermediate Level</w:t>
      </w:r>
    </w:p>
    <w:p w14:paraId="6398D0A7">
      <w:pPr>
        <w:spacing w:after="200" w:line="276" w:lineRule="auto"/>
      </w:pPr>
      <w:r>
        <w:rPr>
          <w:rFonts w:ascii="Arial" w:hAnsi="Arial" w:eastAsia="Arial" w:cs="Arial"/>
          <w:sz w:val="22"/>
          <w:szCs w:val="22"/>
        </w:rPr>
        <w:t>Module 12 completes the Intermediate textbook. The student who has worked through Modules 1–12 now possesses:</w:t>
      </w:r>
    </w:p>
    <w:p w14:paraId="15F00967">
      <w:pPr>
        <w:pStyle w:val="16"/>
        <w:numPr>
          <w:ilvl w:val="0"/>
          <w:numId w:val="1"/>
        </w:numPr>
        <w:spacing w:after="120" w:line="276" w:lineRule="auto"/>
      </w:pPr>
      <w:r>
        <w:rPr>
          <w:rFonts w:ascii="Arial" w:hAnsi="Arial" w:eastAsia="Arial" w:cs="Arial"/>
          <w:sz w:val="22"/>
          <w:szCs w:val="22"/>
        </w:rPr>
        <w:t>A hierarchical reading of market structure and dealing ranges.</w:t>
      </w:r>
    </w:p>
    <w:p w14:paraId="2F8DBC2A">
      <w:pPr>
        <w:pStyle w:val="16"/>
        <w:numPr>
          <w:ilvl w:val="0"/>
          <w:numId w:val="1"/>
        </w:numPr>
        <w:spacing w:after="120" w:line="276" w:lineRule="auto"/>
      </w:pPr>
      <w:r>
        <w:rPr>
          <w:rFonts w:ascii="Arial" w:hAnsi="Arial" w:eastAsia="Arial" w:cs="Arial"/>
          <w:sz w:val="22"/>
          <w:szCs w:val="22"/>
        </w:rPr>
        <w:t>A liquidity-first understanding of why price moves.</w:t>
      </w:r>
    </w:p>
    <w:p w14:paraId="603319E8">
      <w:pPr>
        <w:pStyle w:val="16"/>
        <w:numPr>
          <w:ilvl w:val="0"/>
          <w:numId w:val="1"/>
        </w:numPr>
        <w:spacing w:after="120" w:line="276" w:lineRule="auto"/>
      </w:pPr>
      <w:r>
        <w:rPr>
          <w:rFonts w:ascii="Arial" w:hAnsi="Arial" w:eastAsia="Arial" w:cs="Arial"/>
          <w:sz w:val="22"/>
          <w:szCs w:val="22"/>
        </w:rPr>
        <w:t>Displacement and MSS as confirmation tools.</w:t>
      </w:r>
    </w:p>
    <w:p w14:paraId="4DDBB2A2">
      <w:pPr>
        <w:pStyle w:val="16"/>
        <w:numPr>
          <w:ilvl w:val="0"/>
          <w:numId w:val="1"/>
        </w:numPr>
        <w:spacing w:after="120" w:line="276" w:lineRule="auto"/>
      </w:pPr>
      <w:r>
        <w:rPr>
          <w:rFonts w:ascii="Arial" w:hAnsi="Arial" w:eastAsia="Arial" w:cs="Arial"/>
          <w:sz w:val="22"/>
          <w:szCs w:val="22"/>
        </w:rPr>
        <w:t>PD arrays (FVG, Order Block, Breaker, Mitigation) graded by quality and location.</w:t>
      </w:r>
    </w:p>
    <w:p w14:paraId="31997976">
      <w:pPr>
        <w:pStyle w:val="16"/>
        <w:numPr>
          <w:ilvl w:val="0"/>
          <w:numId w:val="1"/>
        </w:numPr>
        <w:spacing w:after="120" w:line="276" w:lineRule="auto"/>
      </w:pPr>
      <w:r>
        <w:rPr>
          <w:rFonts w:ascii="Arial" w:hAnsi="Arial" w:eastAsia="Arial" w:cs="Arial"/>
          <w:sz w:val="22"/>
          <w:szCs w:val="22"/>
        </w:rPr>
        <w:t>Premium/discount and OTE as location and timing filters.</w:t>
      </w:r>
    </w:p>
    <w:p w14:paraId="074B5477">
      <w:pPr>
        <w:pStyle w:val="16"/>
        <w:numPr>
          <w:ilvl w:val="0"/>
          <w:numId w:val="1"/>
        </w:numPr>
        <w:spacing w:after="120" w:line="276" w:lineRule="auto"/>
      </w:pPr>
      <w:r>
        <w:rPr>
          <w:rFonts w:ascii="Arial" w:hAnsi="Arial" w:eastAsia="Arial" w:cs="Arial"/>
          <w:sz w:val="22"/>
          <w:szCs w:val="22"/>
        </w:rPr>
        <w:t>A multi-timeframe narrative process.</w:t>
      </w:r>
    </w:p>
    <w:p w14:paraId="34358E5E">
      <w:pPr>
        <w:pStyle w:val="16"/>
        <w:numPr>
          <w:ilvl w:val="0"/>
          <w:numId w:val="1"/>
        </w:numPr>
        <w:spacing w:after="120" w:line="276" w:lineRule="auto"/>
      </w:pPr>
      <w:r>
        <w:rPr>
          <w:rFonts w:ascii="Arial" w:hAnsi="Arial" w:eastAsia="Arial" w:cs="Arial"/>
          <w:sz w:val="22"/>
          <w:szCs w:val="22"/>
        </w:rPr>
        <w:t>Session and Power of 3 context.</w:t>
      </w:r>
    </w:p>
    <w:p w14:paraId="062001BA">
      <w:pPr>
        <w:pStyle w:val="16"/>
        <w:numPr>
          <w:ilvl w:val="0"/>
          <w:numId w:val="1"/>
        </w:numPr>
        <w:spacing w:after="120" w:line="276" w:lineRule="auto"/>
      </w:pPr>
      <w:r>
        <w:rPr>
          <w:rFonts w:ascii="Arial" w:hAnsi="Arial" w:eastAsia="Arial" w:cs="Arial"/>
          <w:sz w:val="22"/>
          <w:szCs w:val="22"/>
        </w:rPr>
        <w:t>A disciplined bias-construction and invalidation process.</w:t>
      </w:r>
    </w:p>
    <w:p w14:paraId="028D2C29">
      <w:pPr>
        <w:pStyle w:val="16"/>
        <w:numPr>
          <w:ilvl w:val="0"/>
          <w:numId w:val="1"/>
        </w:numPr>
        <w:spacing w:after="120" w:line="276" w:lineRule="auto"/>
      </w:pPr>
      <w:r>
        <w:rPr>
          <w:rFonts w:ascii="Arial" w:hAnsi="Arial" w:eastAsia="Arial" w:cs="Arial"/>
          <w:sz w:val="22"/>
          <w:szCs w:val="22"/>
        </w:rPr>
        <w:t>A risk, management and journaling operating system.</w:t>
      </w:r>
    </w:p>
    <w:p w14:paraId="2C289B94">
      <w:pPr>
        <w:spacing w:after="200" w:line="276" w:lineRule="auto"/>
      </w:pPr>
      <w:r>
        <w:rPr>
          <w:rFonts w:ascii="Arial" w:hAnsi="Arial" w:eastAsia="Arial" w:cs="Arial"/>
          <w:sz w:val="22"/>
          <w:szCs w:val="22"/>
        </w:rPr>
        <w:t>The next stage of development is deliberate practice: applying the full process on a demo or small live account, reviewing every idea against the standards in these modules, and only then considering more advanced refinements (algorithmic time windows, deeper IPDA concepts, or specialised models). Mastery is measured by process adherence and by the quality of the journal, not by any single trade’s outcome.</w:t>
      </w:r>
    </w:p>
    <w:p w14:paraId="50C55026">
      <w:pPr>
        <w:spacing w:after="120"/>
        <w:jc w:val="center"/>
        <w:rPr>
          <w:rFonts w:hint="default" w:cs="Arial"/>
          <w:b/>
          <w:bCs/>
          <w:sz w:val="28"/>
          <w:szCs w:val="28"/>
          <w:lang w:val="en-US"/>
        </w:rPr>
      </w:pPr>
      <w:r>
        <w:rPr>
          <w:rFonts w:hint="default" w:cs="Arial"/>
          <w:b/>
          <w:bCs/>
          <w:sz w:val="28"/>
          <w:szCs w:val="28"/>
          <w:lang w:val="en-US"/>
        </w:rPr>
        <w:t>UNDERSTANDING ICT</w:t>
      </w:r>
    </w:p>
    <w:p w14:paraId="3585DD64">
      <w:pPr>
        <w:spacing w:after="120"/>
        <w:jc w:val="center"/>
      </w:pPr>
      <w:r>
        <w:rPr>
          <w:rFonts w:hint="default" w:cs="Arial"/>
          <w:b/>
          <w:bCs/>
          <w:sz w:val="24"/>
          <w:szCs w:val="24"/>
          <w:lang w:val="en-US"/>
        </w:rPr>
        <w:t xml:space="preserve">FULL </w:t>
      </w:r>
      <w:r>
        <w:rPr>
          <w:rFonts w:ascii="Arial" w:hAnsi="Arial" w:eastAsia="Arial" w:cs="Arial"/>
          <w:b/>
          <w:bCs/>
          <w:sz w:val="24"/>
          <w:szCs w:val="24"/>
        </w:rPr>
        <w:t xml:space="preserve">ADVANCED LEVEL </w:t>
      </w:r>
    </w:p>
    <w:p w14:paraId="0F8053ED">
      <w:pPr>
        <w:spacing w:after="400"/>
        <w:jc w:val="center"/>
      </w:pPr>
      <w:r>
        <w:rPr>
          <w:rFonts w:ascii="Arial" w:hAnsi="Arial" w:eastAsia="Arial" w:cs="Arial"/>
          <w:b/>
          <w:bCs/>
          <w:sz w:val="36"/>
          <w:szCs w:val="36"/>
        </w:rPr>
        <w:t>MODULE 1</w:t>
      </w:r>
    </w:p>
    <w:p w14:paraId="179001C8">
      <w:pPr>
        <w:spacing w:after="200"/>
        <w:jc w:val="center"/>
      </w:pPr>
      <w:r>
        <w:rPr>
          <w:rFonts w:ascii="Arial" w:hAnsi="Arial" w:eastAsia="Arial" w:cs="Arial"/>
          <w:b/>
          <w:bCs/>
          <w:sz w:val="28"/>
          <w:szCs w:val="28"/>
        </w:rPr>
        <w:t>Institutional Price Delivery Framework</w:t>
      </w:r>
    </w:p>
    <w:p w14:paraId="7FF6B365">
      <w:pPr>
        <w:spacing w:after="400"/>
        <w:jc w:val="center"/>
      </w:pPr>
      <w:r>
        <w:rPr>
          <w:rFonts w:ascii="Arial" w:hAnsi="Arial" w:eastAsia="Arial" w:cs="Arial"/>
          <w:i/>
          <w:iCs/>
          <w:sz w:val="20"/>
          <w:szCs w:val="20"/>
        </w:rPr>
        <w:t>Price Delivery, Liquidity Seeking, Displacement, Repricing, Rebalancing, Expansion–Retracement–Continuation–Reversal</w:t>
      </w:r>
    </w:p>
    <w:p w14:paraId="3A7D52C9">
      <w:pPr>
        <w:pBdr>
          <w:left w:val="single" w:color="2E75B6" w:sz="24" w:space="8"/>
        </w:pBdr>
        <w:shd w:val="clear" w:fill="F5F5F5"/>
        <w:spacing w:before="120" w:after="200" w:line="276" w:lineRule="auto"/>
        <w:ind w:left="120"/>
      </w:pPr>
      <w:r>
        <w:rPr>
          <w:rFonts w:ascii="Arial" w:hAnsi="Arial" w:eastAsia="Arial" w:cs="Arial"/>
          <w:i/>
          <w:iCs/>
          <w:sz w:val="20"/>
          <w:szCs w:val="20"/>
        </w:rPr>
        <w:t>Prerequisite: Beginner and Intermediate volumes assumed complete. This module does not re-teach definitions of liquidity, structure, FVG or Order Block. It organises those tools under the single advanced question: how is price delivered from one liquidity pool to another, and how does the algorithm’s current phase constrain model selection?</w:t>
      </w:r>
    </w:p>
    <w:p w14:paraId="12B325EC">
      <w:pPr>
        <w:pStyle w:val="2"/>
        <w:spacing w:before="360" w:after="240"/>
      </w:pPr>
      <w:r>
        <w:rPr>
          <w:rFonts w:ascii="Arial" w:hAnsi="Arial" w:eastAsia="Arial" w:cs="Arial"/>
          <w:b/>
          <w:bCs/>
          <w:sz w:val="32"/>
          <w:szCs w:val="32"/>
        </w:rPr>
        <w:t>Module Objectives</w:t>
      </w:r>
    </w:p>
    <w:p w14:paraId="0999127E">
      <w:pPr>
        <w:spacing w:after="200" w:line="276" w:lineRule="auto"/>
      </w:pPr>
      <w:r>
        <w:rPr>
          <w:rFonts w:ascii="Arial" w:hAnsi="Arial" w:eastAsia="Arial" w:cs="Arial"/>
          <w:sz w:val="22"/>
          <w:szCs w:val="22"/>
        </w:rPr>
        <w:t>By the end of this module the advanced student should be able to:</w:t>
      </w:r>
    </w:p>
    <w:p w14:paraId="6D0B8CE8">
      <w:pPr>
        <w:pStyle w:val="16"/>
        <w:numPr>
          <w:ilvl w:val="0"/>
          <w:numId w:val="1"/>
        </w:numPr>
        <w:spacing w:after="120" w:line="276" w:lineRule="auto"/>
      </w:pPr>
      <w:r>
        <w:rPr>
          <w:rFonts w:ascii="Arial" w:hAnsi="Arial" w:eastAsia="Arial" w:cs="Arial"/>
          <w:sz w:val="22"/>
          <w:szCs w:val="22"/>
        </w:rPr>
        <w:t>State the core premise of institutional price delivery as taught by ICT.</w:t>
      </w:r>
    </w:p>
    <w:p w14:paraId="3B62DE58">
      <w:pPr>
        <w:pStyle w:val="16"/>
        <w:numPr>
          <w:ilvl w:val="0"/>
          <w:numId w:val="1"/>
        </w:numPr>
        <w:spacing w:after="120" w:line="276" w:lineRule="auto"/>
      </w:pPr>
      <w:r>
        <w:rPr>
          <w:rFonts w:ascii="Arial" w:hAnsi="Arial" w:eastAsia="Arial" w:cs="Arial"/>
          <w:sz w:val="22"/>
          <w:szCs w:val="22"/>
        </w:rPr>
        <w:t>Distinguish algorithmic price delivery language that is directly supported by ICT from later community elaborations.</w:t>
      </w:r>
    </w:p>
    <w:p w14:paraId="4588D109">
      <w:pPr>
        <w:pStyle w:val="16"/>
        <w:numPr>
          <w:ilvl w:val="0"/>
          <w:numId w:val="1"/>
        </w:numPr>
        <w:spacing w:after="120" w:line="276" w:lineRule="auto"/>
      </w:pPr>
      <w:r>
        <w:rPr>
          <w:rFonts w:ascii="Arial" w:hAnsi="Arial" w:eastAsia="Arial" w:cs="Arial"/>
          <w:sz w:val="22"/>
          <w:szCs w:val="22"/>
        </w:rPr>
        <w:t>Map any developing market phase onto the four delivery conditions: Consolidation, Expansion, Retracement, Reversal.</w:t>
      </w:r>
    </w:p>
    <w:p w14:paraId="19CFF2EF">
      <w:pPr>
        <w:pStyle w:val="16"/>
        <w:numPr>
          <w:ilvl w:val="0"/>
          <w:numId w:val="1"/>
        </w:numPr>
        <w:spacing w:after="120" w:line="276" w:lineRule="auto"/>
      </w:pPr>
      <w:r>
        <w:rPr>
          <w:rFonts w:ascii="Arial" w:hAnsi="Arial" w:eastAsia="Arial" w:cs="Arial"/>
          <w:sz w:val="22"/>
          <w:szCs w:val="22"/>
        </w:rPr>
        <w:t>Explain liquidity seeking as the primary driver of delivery rather than as a secondary pattern.</w:t>
      </w:r>
    </w:p>
    <w:p w14:paraId="0C0E72B7">
      <w:pPr>
        <w:pStyle w:val="16"/>
        <w:numPr>
          <w:ilvl w:val="0"/>
          <w:numId w:val="1"/>
        </w:numPr>
        <w:spacing w:after="120" w:line="276" w:lineRule="auto"/>
      </w:pPr>
      <w:r>
        <w:rPr>
          <w:rFonts w:ascii="Arial" w:hAnsi="Arial" w:eastAsia="Arial" w:cs="Arial"/>
          <w:sz w:val="22"/>
          <w:szCs w:val="22"/>
        </w:rPr>
        <w:t>Relate displacement, repricing and rebalancing to the completion or failure of a delivery leg.</w:t>
      </w:r>
    </w:p>
    <w:p w14:paraId="3CE91C77">
      <w:pPr>
        <w:pStyle w:val="16"/>
        <w:numPr>
          <w:ilvl w:val="0"/>
          <w:numId w:val="1"/>
        </w:numPr>
        <w:spacing w:after="120" w:line="276" w:lineRule="auto"/>
      </w:pPr>
      <w:r>
        <w:rPr>
          <w:rFonts w:ascii="Arial" w:hAnsi="Arial" w:eastAsia="Arial" w:cs="Arial"/>
          <w:sz w:val="22"/>
          <w:szCs w:val="22"/>
        </w:rPr>
        <w:t>Construct a short narrative that describes delivery from one named liquidity pool to another across timeframes.</w:t>
      </w:r>
    </w:p>
    <w:p w14:paraId="0D898BF3">
      <w:pPr>
        <w:pStyle w:val="16"/>
        <w:numPr>
          <w:ilvl w:val="0"/>
          <w:numId w:val="1"/>
        </w:numPr>
        <w:spacing w:after="120" w:line="276" w:lineRule="auto"/>
      </w:pPr>
      <w:r>
        <w:rPr>
          <w:rFonts w:ascii="Arial" w:hAnsi="Arial" w:eastAsia="Arial" w:cs="Arial"/>
          <w:sz w:val="22"/>
          <w:szCs w:val="22"/>
        </w:rPr>
        <w:t>Recognise when a delivery sequence has failed and what that implies for model selection.</w:t>
      </w:r>
    </w:p>
    <w:p w14:paraId="2746B630">
      <w:pPr>
        <w:pStyle w:val="2"/>
        <w:spacing w:before="360" w:after="240"/>
      </w:pPr>
      <w:r>
        <w:rPr>
          <w:rFonts w:ascii="Arial" w:hAnsi="Arial" w:eastAsia="Arial" w:cs="Arial"/>
          <w:b/>
          <w:bCs/>
          <w:sz w:val="32"/>
          <w:szCs w:val="32"/>
        </w:rPr>
        <w:t>1. Primary ICT Premise: Price Is Delivered</w:t>
      </w:r>
    </w:p>
    <w:p w14:paraId="72424264">
      <w:pPr>
        <w:pStyle w:val="3"/>
        <w:spacing w:before="280" w:after="180"/>
      </w:pPr>
      <w:r>
        <w:rPr>
          <w:rFonts w:ascii="Arial" w:hAnsi="Arial" w:eastAsia="Arial" w:cs="Arial"/>
          <w:b/>
          <w:bCs/>
          <w:sz w:val="26"/>
          <w:szCs w:val="26"/>
        </w:rPr>
        <w:t>1.1 Core Statement</w:t>
      </w:r>
    </w:p>
    <w:p w14:paraId="20CB583A">
      <w:pPr>
        <w:spacing w:after="200" w:line="276" w:lineRule="auto"/>
      </w:pPr>
      <w:r>
        <w:rPr>
          <w:rFonts w:ascii="Arial" w:hAnsi="Arial" w:eastAsia="Arial" w:cs="Arial"/>
          <w:sz w:val="22"/>
          <w:szCs w:val="22"/>
        </w:rPr>
        <w:t>ICT’s foundational claim is that price does not move randomly and is not driven primarily by retail supply-and-demand imbalance in the classical sense. Price is delivered by an interbank algorithmic process that seeks liquidity and rebalances inefficiencies according to time and higher-timeframe objectives.</w:t>
      </w:r>
    </w:p>
    <w:p w14:paraId="379F4CC0">
      <w:pPr>
        <w:pStyle w:val="3"/>
        <w:spacing w:before="280" w:after="180"/>
      </w:pPr>
      <w:r>
        <w:rPr>
          <w:rFonts w:ascii="Arial" w:hAnsi="Arial" w:eastAsia="Arial" w:cs="Arial"/>
          <w:b/>
          <w:bCs/>
          <w:sz w:val="26"/>
          <w:szCs w:val="26"/>
        </w:rPr>
        <w:t>1.2 Historical Development</w:t>
      </w:r>
    </w:p>
    <w:p w14:paraId="1EE20A16">
      <w:pPr>
        <w:spacing w:after="200" w:line="276" w:lineRule="auto"/>
      </w:pPr>
      <w:r>
        <w:rPr>
          <w:rFonts w:ascii="Arial" w:hAnsi="Arial" w:eastAsia="Arial" w:cs="Arial"/>
          <w:sz w:val="22"/>
          <w:szCs w:val="22"/>
        </w:rPr>
        <w:t>The language of “price delivery” and the four market conditions (Consolidation, Expansion, Retracement, Reversal) appears early in ICT Core Content (Month 1). The more formal framing of an Interbank Price Delivery Algorithm (IPDA) and its look-back periods is associated with later mentorship material (notably around the 2017 series and subsequent refinements). Terminology has tightened over time; earlier lessons emphasise the observable conditions, later lessons emphasise the algorithmic mechanism.</w:t>
      </w:r>
    </w:p>
    <w:p w14:paraId="51005D89">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 / B — Explicit ICT terminology for the four conditions and for price delivery as a process. IPDA as a named algorithmic framework is ICT-taught; the precise technical description of the algorithm itself remains ICT’s theoretical construct and is not independently verifiable.</w:t>
      </w:r>
    </w:p>
    <w:p w14:paraId="1C59AADD">
      <w:pPr>
        <w:pStyle w:val="2"/>
        <w:spacing w:before="360" w:after="240"/>
      </w:pPr>
      <w:r>
        <w:rPr>
          <w:rFonts w:ascii="Arial" w:hAnsi="Arial" w:eastAsia="Arial" w:cs="Arial"/>
          <w:b/>
          <w:bCs/>
          <w:sz w:val="32"/>
          <w:szCs w:val="32"/>
        </w:rPr>
        <w:t>2. Algorithmic Price Delivery</w:t>
      </w:r>
    </w:p>
    <w:p w14:paraId="342C12DB">
      <w:pPr>
        <w:pStyle w:val="3"/>
        <w:spacing w:before="280" w:after="180"/>
      </w:pPr>
      <w:r>
        <w:rPr>
          <w:rFonts w:ascii="Arial" w:hAnsi="Arial" w:eastAsia="Arial" w:cs="Arial"/>
          <w:b/>
          <w:bCs/>
          <w:sz w:val="26"/>
          <w:szCs w:val="26"/>
        </w:rPr>
        <w:t>2.1 ICT Usage</w:t>
      </w:r>
    </w:p>
    <w:p w14:paraId="5D4305AA">
      <w:pPr>
        <w:spacing w:after="200" w:line="276" w:lineRule="auto"/>
      </w:pPr>
      <w:r>
        <w:rPr>
          <w:rFonts w:ascii="Arial" w:hAnsi="Arial" w:eastAsia="Arial" w:cs="Arial"/>
          <w:sz w:val="22"/>
          <w:szCs w:val="22"/>
        </w:rPr>
        <w:t>When ICT refers to algorithmic or interbank price delivery, the practical content for the student is: price is moved systematically toward resting liquidity and toward unfilled imbalances (Fair Value Gaps / liquidity voids). Time windows (kill zones, macros) constrain when that delivery is most likely to accelerate.</w:t>
      </w:r>
    </w:p>
    <w:p w14:paraId="58DD4677">
      <w:pPr>
        <w:pStyle w:val="3"/>
        <w:spacing w:before="280" w:after="180"/>
      </w:pPr>
      <w:r>
        <w:rPr>
          <w:rFonts w:ascii="Arial" w:hAnsi="Arial" w:eastAsia="Arial" w:cs="Arial"/>
          <w:b/>
          <w:bCs/>
          <w:sz w:val="26"/>
          <w:szCs w:val="26"/>
        </w:rPr>
        <w:t>2.2 Advanced Caution</w:t>
      </w:r>
    </w:p>
    <w:p w14:paraId="1216EBFA">
      <w:pPr>
        <w:spacing w:after="200" w:line="276" w:lineRule="auto"/>
      </w:pPr>
      <w:r>
        <w:rPr>
          <w:rFonts w:ascii="Arial" w:hAnsi="Arial" w:eastAsia="Arial" w:cs="Arial"/>
          <w:sz w:val="22"/>
          <w:szCs w:val="22"/>
        </w:rPr>
        <w:t>The advanced student does not need a literal software specification of the algorithm. What is required is operational recognition: when the market is in a delivery phase toward a known liquidity pool, lower-timeframe noise is interpreted as the mechanism of that delivery, not as an independent story.</w:t>
      </w:r>
    </w:p>
    <w:p w14:paraId="0E866C4D">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B — ICT demonstrates algorithmic delivery repeatedly; the detailed internal mechanics remain ICT’s theoretical model.</w:t>
      </w:r>
    </w:p>
    <w:p w14:paraId="542A61ED">
      <w:pPr>
        <w:pStyle w:val="2"/>
        <w:spacing w:before="360" w:after="240"/>
      </w:pPr>
      <w:r>
        <w:rPr>
          <w:rFonts w:ascii="Arial" w:hAnsi="Arial" w:eastAsia="Arial" w:cs="Arial"/>
          <w:b/>
          <w:bCs/>
          <w:sz w:val="32"/>
          <w:szCs w:val="32"/>
        </w:rPr>
        <w:t>3. Liquidity Seeking as the Engine of Delivery</w:t>
      </w:r>
    </w:p>
    <w:p w14:paraId="02600246">
      <w:pPr>
        <w:pStyle w:val="3"/>
        <w:spacing w:before="280" w:after="180"/>
      </w:pPr>
      <w:r>
        <w:rPr>
          <w:rFonts w:ascii="Arial" w:hAnsi="Arial" w:eastAsia="Arial" w:cs="Arial"/>
          <w:b/>
          <w:bCs/>
          <w:sz w:val="26"/>
          <w:szCs w:val="26"/>
        </w:rPr>
        <w:t>3.1 Primary Role</w:t>
      </w:r>
    </w:p>
    <w:p w14:paraId="36D38291">
      <w:pPr>
        <w:spacing w:after="200" w:line="276" w:lineRule="auto"/>
      </w:pPr>
      <w:r>
        <w:rPr>
          <w:rFonts w:ascii="Arial" w:hAnsi="Arial" w:eastAsia="Arial" w:cs="Arial"/>
          <w:sz w:val="22"/>
          <w:szCs w:val="22"/>
        </w:rPr>
        <w:t>Liquidity seeking is not a setup; it is the reason setups exist. The algorithm (or institutional order flow, in ICT’s framing) must pair large orders. The most reliable source of opposing orders is clustered stop-loss and breakout liquidity above equal highs / swing highs (buy-side) and below equal lows / swing lows (sell-side).</w:t>
      </w:r>
    </w:p>
    <w:p w14:paraId="6D1C6383">
      <w:pPr>
        <w:pStyle w:val="3"/>
        <w:spacing w:before="280" w:after="180"/>
      </w:pPr>
      <w:r>
        <w:rPr>
          <w:rFonts w:ascii="Arial" w:hAnsi="Arial" w:eastAsia="Arial" w:cs="Arial"/>
          <w:b/>
          <w:bCs/>
          <w:sz w:val="26"/>
          <w:szCs w:val="26"/>
        </w:rPr>
        <w:t>3.2 Delivery Sequence</w:t>
      </w:r>
    </w:p>
    <w:p w14:paraId="6CC5D6AE">
      <w:pPr>
        <w:spacing w:after="200" w:line="276" w:lineRule="auto"/>
      </w:pPr>
      <w:r>
        <w:rPr>
          <w:rFonts w:ascii="Arial" w:hAnsi="Arial" w:eastAsia="Arial" w:cs="Arial"/>
          <w:sz w:val="22"/>
          <w:szCs w:val="22"/>
        </w:rPr>
        <w:t>A complete delivery leg can be stated as: identification of a target liquidity pool → engineering or waiting for the conditions that allow price to reach it → displacement that leaves structure and imbalance → optional rebalancing of the imbalance created → arrival at or probe of the target pool → possible reversal or continuation toward the next pool.</w:t>
      </w:r>
    </w:p>
    <w:p w14:paraId="71AAAAEA">
      <w:pPr>
        <w:pStyle w:val="3"/>
        <w:spacing w:before="280" w:after="180"/>
      </w:pPr>
      <w:r>
        <w:rPr>
          <w:rFonts w:ascii="Arial" w:hAnsi="Arial" w:eastAsia="Arial" w:cs="Arial"/>
          <w:b/>
          <w:bCs/>
          <w:sz w:val="26"/>
          <w:szCs w:val="26"/>
        </w:rPr>
        <w:t>3.3 Relationship to Intermediate Knowledge</w:t>
      </w:r>
    </w:p>
    <w:p w14:paraId="0AAF03F5">
      <w:pPr>
        <w:spacing w:after="200" w:line="276" w:lineRule="auto"/>
      </w:pPr>
      <w:r>
        <w:rPr>
          <w:rFonts w:ascii="Arial" w:hAnsi="Arial" w:eastAsia="Arial" w:cs="Arial"/>
          <w:sz w:val="22"/>
          <w:szCs w:val="22"/>
        </w:rPr>
        <w:t>Intermediate Module 2 taught internal vs external liquidity and the Draw on Liquidity. Advanced practice treats every narrative as a statement of which pool is currently being sought and which pool has already been satisfied.</w:t>
      </w:r>
    </w:p>
    <w:p w14:paraId="0F588CE7">
      <w:pPr>
        <w:pStyle w:val="2"/>
        <w:spacing w:before="360" w:after="240"/>
      </w:pPr>
      <w:r>
        <w:rPr>
          <w:rFonts w:ascii="Arial" w:hAnsi="Arial" w:eastAsia="Arial" w:cs="Arial"/>
          <w:b/>
          <w:bCs/>
          <w:sz w:val="32"/>
          <w:szCs w:val="32"/>
        </w:rPr>
        <w:t>4. The Four Delivery Conditions</w:t>
      </w:r>
    </w:p>
    <w:p w14:paraId="0207DE24">
      <w:pPr>
        <w:pStyle w:val="3"/>
        <w:spacing w:before="280" w:after="180"/>
      </w:pPr>
      <w:r>
        <w:rPr>
          <w:rFonts w:ascii="Arial" w:hAnsi="Arial" w:eastAsia="Arial" w:cs="Arial"/>
          <w:b/>
          <w:bCs/>
          <w:sz w:val="26"/>
          <w:szCs w:val="26"/>
        </w:rPr>
        <w:t>4.1 Consolidation</w:t>
      </w:r>
    </w:p>
    <w:p w14:paraId="3B8899D3">
      <w:pPr>
        <w:spacing w:after="200" w:line="276" w:lineRule="auto"/>
      </w:pPr>
      <w:r>
        <w:rPr>
          <w:rFonts w:ascii="Arial" w:hAnsi="Arial" w:eastAsia="Arial" w:cs="Arial"/>
          <w:sz w:val="22"/>
          <w:szCs w:val="22"/>
        </w:rPr>
        <w:t>Price builds a range. Liquidity accumulates above and below. This is the typical environment in which the next delivery objective is prepared. Asian-range behaviour is the classic daily illustration.</w:t>
      </w:r>
    </w:p>
    <w:p w14:paraId="6FD39014">
      <w:pPr>
        <w:pStyle w:val="3"/>
        <w:spacing w:before="280" w:after="180"/>
      </w:pPr>
      <w:r>
        <w:rPr>
          <w:rFonts w:ascii="Arial" w:hAnsi="Arial" w:eastAsia="Arial" w:cs="Arial"/>
          <w:b/>
          <w:bCs/>
          <w:sz w:val="26"/>
          <w:szCs w:val="26"/>
        </w:rPr>
        <w:t>4.2 Expansion</w:t>
      </w:r>
    </w:p>
    <w:p w14:paraId="378841E0">
      <w:pPr>
        <w:spacing w:after="200" w:line="276" w:lineRule="auto"/>
      </w:pPr>
      <w:r>
        <w:rPr>
          <w:rFonts w:ascii="Arial" w:hAnsi="Arial" w:eastAsia="Arial" w:cs="Arial"/>
          <w:sz w:val="22"/>
          <w:szCs w:val="22"/>
        </w:rPr>
        <w:t>Forceful directional movement that leaves displacement, often Fair Value Gaps, and breaks structure. Expansion is the visible expression of delivery toward a liquidity objective.</w:t>
      </w:r>
    </w:p>
    <w:p w14:paraId="4E51C003">
      <w:pPr>
        <w:pStyle w:val="3"/>
        <w:spacing w:before="280" w:after="180"/>
      </w:pPr>
      <w:r>
        <w:rPr>
          <w:rFonts w:ascii="Arial" w:hAnsi="Arial" w:eastAsia="Arial" w:cs="Arial"/>
          <w:b/>
          <w:bCs/>
          <w:sz w:val="26"/>
          <w:szCs w:val="26"/>
        </w:rPr>
        <w:t>4.3 Retracement</w:t>
      </w:r>
    </w:p>
    <w:p w14:paraId="4A341D3B">
      <w:pPr>
        <w:spacing w:after="200" w:line="276" w:lineRule="auto"/>
      </w:pPr>
      <w:r>
        <w:rPr>
          <w:rFonts w:ascii="Arial" w:hAnsi="Arial" w:eastAsia="Arial" w:cs="Arial"/>
          <w:sz w:val="22"/>
          <w:szCs w:val="22"/>
        </w:rPr>
        <w:t>Return into the imbalance or PD array created by the expansion. Retracement is the opportunity for the opposing side of the institutional book (or for the trader aligned with the higher-timeframe delivery) to enter. It is not, by itself, a change in the delivery objective.</w:t>
      </w:r>
    </w:p>
    <w:p w14:paraId="1A48A776">
      <w:pPr>
        <w:pStyle w:val="3"/>
        <w:spacing w:before="280" w:after="180"/>
      </w:pPr>
      <w:r>
        <w:rPr>
          <w:rFonts w:ascii="Arial" w:hAnsi="Arial" w:eastAsia="Arial" w:cs="Arial"/>
          <w:b/>
          <w:bCs/>
          <w:sz w:val="26"/>
          <w:szCs w:val="26"/>
        </w:rPr>
        <w:t>4.4 Reversal</w:t>
      </w:r>
    </w:p>
    <w:p w14:paraId="70878014">
      <w:pPr>
        <w:spacing w:after="200" w:line="276" w:lineRule="auto"/>
      </w:pPr>
      <w:r>
        <w:rPr>
          <w:rFonts w:ascii="Arial" w:hAnsi="Arial" w:eastAsia="Arial" w:cs="Arial"/>
          <w:sz w:val="22"/>
          <w:szCs w:val="22"/>
        </w:rPr>
        <w:t>A genuine change in the delivery objective. Reversal is confirmed when prior structure is broken against the previous expansion and price begins seeking the opposite liquidity pool with displacement.</w:t>
      </w:r>
    </w:p>
    <w:p w14:paraId="75547B1E">
      <w:pPr>
        <w:pStyle w:val="3"/>
        <w:spacing w:before="280" w:after="180"/>
      </w:pPr>
      <w:r>
        <w:rPr>
          <w:rFonts w:ascii="Arial" w:hAnsi="Arial" w:eastAsia="Arial" w:cs="Arial"/>
          <w:b/>
          <w:bCs/>
          <w:sz w:val="26"/>
          <w:szCs w:val="26"/>
        </w:rPr>
        <w:t>4.5 Advanced Reading</w:t>
      </w:r>
    </w:p>
    <w:p w14:paraId="40E7E70E">
      <w:pPr>
        <w:spacing w:after="200" w:line="276" w:lineRule="auto"/>
      </w:pPr>
      <w:r>
        <w:rPr>
          <w:rFonts w:ascii="Arial" w:hAnsi="Arial" w:eastAsia="Arial" w:cs="Arial"/>
          <w:sz w:val="22"/>
          <w:szCs w:val="22"/>
        </w:rPr>
        <w:t>The advanced student asks, at every stage: which of the four conditions is active on the controlling timeframe, and what does that condition imply for the lower-timeframe model that may be traded?</w:t>
      </w:r>
    </w:p>
    <w:p w14:paraId="6E2D4E41">
      <w:pPr>
        <w:pStyle w:val="2"/>
        <w:spacing w:before="360" w:after="240"/>
      </w:pPr>
      <w:r>
        <w:rPr>
          <w:rFonts w:ascii="Arial" w:hAnsi="Arial" w:eastAsia="Arial" w:cs="Arial"/>
          <w:b/>
          <w:bCs/>
          <w:sz w:val="32"/>
          <w:szCs w:val="32"/>
        </w:rPr>
        <w:t>5. Displacement, Repricing and Rebalancing</w:t>
      </w:r>
    </w:p>
    <w:p w14:paraId="0FC5FBD7">
      <w:pPr>
        <w:pStyle w:val="3"/>
        <w:spacing w:before="280" w:after="180"/>
      </w:pPr>
      <w:r>
        <w:rPr>
          <w:rFonts w:ascii="Arial" w:hAnsi="Arial" w:eastAsia="Arial" w:cs="Arial"/>
          <w:b/>
          <w:bCs/>
          <w:sz w:val="26"/>
          <w:szCs w:val="26"/>
        </w:rPr>
        <w:t>5.1 Displacement</w:t>
      </w:r>
    </w:p>
    <w:p w14:paraId="119B1C37">
      <w:pPr>
        <w:spacing w:after="200" w:line="276" w:lineRule="auto"/>
      </w:pPr>
      <w:r>
        <w:rPr>
          <w:rFonts w:ascii="Arial" w:hAnsi="Arial" w:eastAsia="Arial" w:cs="Arial"/>
          <w:sz w:val="22"/>
          <w:szCs w:val="22"/>
        </w:rPr>
        <w:t>Displacement is the energetic, large-range movement that demonstrates commitment. In delivery terms it is the leg that both takes liquidity (or leaves it behind) and creates the imbalance that later may be rebalanced.</w:t>
      </w:r>
    </w:p>
    <w:p w14:paraId="28F5DCFC">
      <w:pPr>
        <w:pStyle w:val="3"/>
        <w:spacing w:before="280" w:after="180"/>
      </w:pPr>
      <w:r>
        <w:rPr>
          <w:rFonts w:ascii="Arial" w:hAnsi="Arial" w:eastAsia="Arial" w:cs="Arial"/>
          <w:b/>
          <w:bCs/>
          <w:sz w:val="26"/>
          <w:szCs w:val="26"/>
        </w:rPr>
        <w:t>5.2 Repricing</w:t>
      </w:r>
    </w:p>
    <w:p w14:paraId="34119781">
      <w:pPr>
        <w:spacing w:after="200" w:line="276" w:lineRule="auto"/>
      </w:pPr>
      <w:r>
        <w:rPr>
          <w:rFonts w:ascii="Arial" w:hAnsi="Arial" w:eastAsia="Arial" w:cs="Arial"/>
          <w:sz w:val="22"/>
          <w:szCs w:val="22"/>
        </w:rPr>
        <w:t>Repricing describes the market’s return to an inefficient area (FVG, liquidity void) so that the inefficiency is reduced or closed. ICT treats many Fair Value Gap returns as repricing events within a larger delivery narrative.</w:t>
      </w:r>
    </w:p>
    <w:p w14:paraId="76ABE02C">
      <w:pPr>
        <w:pStyle w:val="3"/>
        <w:spacing w:before="280" w:after="180"/>
      </w:pPr>
      <w:r>
        <w:rPr>
          <w:rFonts w:ascii="Arial" w:hAnsi="Arial" w:eastAsia="Arial" w:cs="Arial"/>
          <w:b/>
          <w:bCs/>
          <w:sz w:val="26"/>
          <w:szCs w:val="26"/>
        </w:rPr>
        <w:t>5.3 Rebalancing</w:t>
      </w:r>
    </w:p>
    <w:p w14:paraId="6F4F8100">
      <w:pPr>
        <w:spacing w:after="200" w:line="276" w:lineRule="auto"/>
      </w:pPr>
      <w:r>
        <w:rPr>
          <w:rFonts w:ascii="Arial" w:hAnsi="Arial" w:eastAsia="Arial" w:cs="Arial"/>
          <w:sz w:val="22"/>
          <w:szCs w:val="22"/>
        </w:rPr>
        <w:t>Rebalancing is the broader process of returning price to areas of imbalance so that the market is left more efficient. Not every rebalancing is a tradeable reversal; many are simply the algorithm completing unfinished business before continuing the higher-timeframe delivery.</w:t>
      </w:r>
    </w:p>
    <w:p w14:paraId="219BD737">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Displacement, FVG return and rebalancing language are core ICT. The precise boundary between “repricing” and “rebalancing” is sometimes fluid in ICT’s own speech; the operational distinction used here is consistent with primary usage.</w:t>
      </w:r>
    </w:p>
    <w:p w14:paraId="74892A6C">
      <w:pPr>
        <w:pStyle w:val="2"/>
        <w:spacing w:before="360" w:after="240"/>
      </w:pPr>
      <w:r>
        <w:rPr>
          <w:rFonts w:ascii="Arial" w:hAnsi="Arial" w:eastAsia="Arial" w:cs="Arial"/>
          <w:b/>
          <w:bCs/>
          <w:sz w:val="32"/>
          <w:szCs w:val="32"/>
        </w:rPr>
        <w:t>6. Delivery from One Liquidity Pool to Another</w:t>
      </w:r>
    </w:p>
    <w:p w14:paraId="6F9CFEC4">
      <w:pPr>
        <w:pStyle w:val="3"/>
        <w:spacing w:before="280" w:after="180"/>
      </w:pPr>
      <w:r>
        <w:rPr>
          <w:rFonts w:ascii="Arial" w:hAnsi="Arial" w:eastAsia="Arial" w:cs="Arial"/>
          <w:b/>
          <w:bCs/>
          <w:sz w:val="26"/>
          <w:szCs w:val="26"/>
        </w:rPr>
        <w:t>6.1 The Atomic Unit of Narrative</w:t>
      </w:r>
    </w:p>
    <w:p w14:paraId="4E3CFAFA">
      <w:pPr>
        <w:spacing w:after="200" w:line="276" w:lineRule="auto"/>
      </w:pPr>
      <w:r>
        <w:rPr>
          <w:rFonts w:ascii="Arial" w:hAnsi="Arial" w:eastAsia="Arial" w:cs="Arial"/>
          <w:sz w:val="22"/>
          <w:szCs w:val="22"/>
        </w:rPr>
        <w:t>The smallest complete advanced narrative is: “Price is delivering from Pool A to Pool B.” Everything else — dealing range, premium/discount, PD arrays, session, OTE — is subordinate detail that refines where and when the delivery occurs.</w:t>
      </w:r>
    </w:p>
    <w:p w14:paraId="27F4A351">
      <w:pPr>
        <w:pStyle w:val="3"/>
        <w:spacing w:before="280" w:after="180"/>
      </w:pPr>
      <w:r>
        <w:rPr>
          <w:rFonts w:ascii="Arial" w:hAnsi="Arial" w:eastAsia="Arial" w:cs="Arial"/>
          <w:b/>
          <w:bCs/>
          <w:sz w:val="26"/>
          <w:szCs w:val="26"/>
        </w:rPr>
        <w:t>6.2 Multi-Timeframe Nesting</w:t>
      </w:r>
    </w:p>
    <w:p w14:paraId="7855E88C">
      <w:pPr>
        <w:spacing w:after="200" w:line="276" w:lineRule="auto"/>
      </w:pPr>
      <w:r>
        <w:rPr>
          <w:rFonts w:ascii="Arial" w:hAnsi="Arial" w:eastAsia="Arial" w:cs="Arial"/>
          <w:sz w:val="22"/>
          <w:szCs w:val="22"/>
        </w:rPr>
        <w:t>A weekly delivery from weekly sell-side liquidity to weekly buy-side liquidity will contain multiple daily deliveries. Each daily delivery will contain session-level deliveries. The advanced student maintains the nested map so that a local reversal is not mistaken for a change in the higher-timeframe delivery objective.</w:t>
      </w:r>
    </w:p>
    <w:p w14:paraId="35348120">
      <w:pPr>
        <w:pStyle w:val="2"/>
        <w:spacing w:before="360" w:after="240"/>
      </w:pPr>
      <w:r>
        <w:rPr>
          <w:rFonts w:ascii="Arial" w:hAnsi="Arial" w:eastAsia="Arial" w:cs="Arial"/>
          <w:b/>
          <w:bCs/>
          <w:sz w:val="32"/>
          <w:szCs w:val="32"/>
        </w:rPr>
        <w:t>7. Continuation vs Reversal within Delivery</w:t>
      </w:r>
    </w:p>
    <w:p w14:paraId="5D36B1DB">
      <w:pPr>
        <w:pStyle w:val="3"/>
        <w:spacing w:before="280" w:after="180"/>
      </w:pPr>
      <w:r>
        <w:rPr>
          <w:rFonts w:ascii="Arial" w:hAnsi="Arial" w:eastAsia="Arial" w:cs="Arial"/>
          <w:b/>
          <w:bCs/>
          <w:sz w:val="26"/>
          <w:szCs w:val="26"/>
        </w:rPr>
        <w:t>7.1 Continuation</w:t>
      </w:r>
    </w:p>
    <w:p w14:paraId="5FD0990D">
      <w:pPr>
        <w:spacing w:after="200" w:line="276" w:lineRule="auto"/>
      </w:pPr>
      <w:r>
        <w:rPr>
          <w:rFonts w:ascii="Arial" w:hAnsi="Arial" w:eastAsia="Arial" w:cs="Arial"/>
          <w:sz w:val="22"/>
          <w:szCs w:val="22"/>
        </w:rPr>
        <w:t>After expansion and a retracement into a PD array, price resumes toward the original target pool. This is continuation of the current delivery leg.</w:t>
      </w:r>
    </w:p>
    <w:p w14:paraId="618D6A2C">
      <w:pPr>
        <w:pStyle w:val="3"/>
        <w:spacing w:before="280" w:after="180"/>
      </w:pPr>
      <w:r>
        <w:rPr>
          <w:rFonts w:ascii="Arial" w:hAnsi="Arial" w:eastAsia="Arial" w:cs="Arial"/>
          <w:b/>
          <w:bCs/>
          <w:sz w:val="26"/>
          <w:szCs w:val="26"/>
        </w:rPr>
        <w:t>7.2 Reversal</w:t>
      </w:r>
    </w:p>
    <w:p w14:paraId="73AA41DB">
      <w:pPr>
        <w:spacing w:after="200" w:line="276" w:lineRule="auto"/>
      </w:pPr>
      <w:r>
        <w:rPr>
          <w:rFonts w:ascii="Arial" w:hAnsi="Arial" w:eastAsia="Arial" w:cs="Arial"/>
          <w:sz w:val="22"/>
          <w:szCs w:val="22"/>
        </w:rPr>
        <w:t>After expansion, price fails to continue, breaks the structure that defined the expansion, and begins seeking the opposite pool. This ends the prior delivery leg and begins a new one.</w:t>
      </w:r>
    </w:p>
    <w:p w14:paraId="292F3D8C">
      <w:pPr>
        <w:pStyle w:val="3"/>
        <w:spacing w:before="280" w:after="180"/>
      </w:pPr>
      <w:r>
        <w:rPr>
          <w:rFonts w:ascii="Arial" w:hAnsi="Arial" w:eastAsia="Arial" w:cs="Arial"/>
          <w:b/>
          <w:bCs/>
          <w:sz w:val="26"/>
          <w:szCs w:val="26"/>
        </w:rPr>
        <w:t>7.3 Failure of Delivery</w:t>
      </w:r>
    </w:p>
    <w:p w14:paraId="3CC2D234">
      <w:pPr>
        <w:spacing w:after="200" w:line="276" w:lineRule="auto"/>
      </w:pPr>
      <w:r>
        <w:rPr>
          <w:rFonts w:ascii="Arial" w:hAnsi="Arial" w:eastAsia="Arial" w:cs="Arial"/>
          <w:sz w:val="22"/>
          <w:szCs w:val="22"/>
        </w:rPr>
        <w:t>Delivery fails when the expected target is not reached and opposing structure + opposing liquidity seeking take control. Failure is information: the narrative must be rewritten.</w:t>
      </w:r>
    </w:p>
    <w:p w14:paraId="7D30A5CC">
      <w:pPr>
        <w:pStyle w:val="2"/>
        <w:spacing w:before="360" w:after="240"/>
      </w:pPr>
      <w:r>
        <w:rPr>
          <w:rFonts w:ascii="Arial" w:hAnsi="Arial" w:eastAsia="Arial" w:cs="Arial"/>
          <w:b/>
          <w:bCs/>
          <w:sz w:val="32"/>
          <w:szCs w:val="32"/>
        </w:rPr>
        <w:t>8. Relationship to Intermediate Frameworks</w:t>
      </w:r>
    </w:p>
    <w:p w14:paraId="6CD597BE">
      <w:pPr>
        <w:spacing w:after="200" w:line="276" w:lineRule="auto"/>
      </w:pPr>
      <w:r>
        <w:rPr>
          <w:rFonts w:ascii="Arial" w:hAnsi="Arial" w:eastAsia="Arial" w:cs="Arial"/>
          <w:sz w:val="22"/>
          <w:szCs w:val="22"/>
        </w:rPr>
        <w:t>Power of 3 (Accumulation–Manipulation–Distribution) is one recurring template of daily or weekly delivery. The four conditions (Consolidation–Expansion–Retracement–Reversal) are the more general language. Dealing ranges and premium/discount locate the delivery inside a container. PD arrays are the waypoints and entry mechanisms along the delivery path. Multi-timeframe narrative is the hierarchy of nested deliveries.</w:t>
      </w:r>
    </w:p>
    <w:p w14:paraId="56CD2B8F">
      <w:pPr>
        <w:pStyle w:val="2"/>
        <w:spacing w:before="360" w:after="240"/>
      </w:pPr>
      <w:r>
        <w:rPr>
          <w:rFonts w:ascii="Arial" w:hAnsi="Arial" w:eastAsia="Arial" w:cs="Arial"/>
          <w:b/>
          <w:bCs/>
          <w:sz w:val="32"/>
          <w:szCs w:val="32"/>
        </w:rPr>
        <w:t>9. Worked Narrative Example</w:t>
      </w:r>
    </w:p>
    <w:p w14:paraId="4BEA827F">
      <w:pPr>
        <w:spacing w:after="200" w:line="276" w:lineRule="auto"/>
      </w:pPr>
      <w:r>
        <w:rPr>
          <w:rFonts w:ascii="Arial" w:hAnsi="Arial" w:eastAsia="Arial" w:cs="Arial"/>
          <w:sz w:val="22"/>
          <w:szCs w:val="22"/>
        </w:rPr>
        <w:t>Higher-timeframe: Weekly delivery is seeking buy-side liquidity above a prior weekly high. Price is in discount relative to the weekly dealing range.</w:t>
      </w:r>
    </w:p>
    <w:p w14:paraId="3B74E7CF">
      <w:pPr>
        <w:spacing w:after="200" w:line="276" w:lineRule="auto"/>
      </w:pPr>
      <w:r>
        <w:rPr>
          <w:rFonts w:ascii="Arial" w:hAnsi="Arial" w:eastAsia="Arial" w:cs="Arial"/>
          <w:sz w:val="22"/>
          <w:szCs w:val="22"/>
        </w:rPr>
        <w:t>Daily: Asian range consolidates. London expands lower, sweeping daily sell-side liquidity (manipulation relative to the weekly bullish delivery). Displacement higher follows, leaving a Fair Value Gap and a Market Structure Shift. This is the start of daily distribution toward the weekly buy-side objective.</w:t>
      </w:r>
    </w:p>
    <w:p w14:paraId="0E71F3D3">
      <w:pPr>
        <w:spacing w:after="200" w:line="276" w:lineRule="auto"/>
      </w:pPr>
      <w:r>
        <w:rPr>
          <w:rFonts w:ascii="Arial" w:hAnsi="Arial" w:eastAsia="Arial" w:cs="Arial"/>
          <w:sz w:val="22"/>
          <w:szCs w:val="22"/>
        </w:rPr>
        <w:t>Intraday: New York retraces into the London-created FVG (repricing / rebalancing of the imbalance). Entry is taken on that retracement. Target remains the weekly buy-side pool; intermediate targets are daily buy-side pools.</w:t>
      </w:r>
    </w:p>
    <w:p w14:paraId="5F966546">
      <w:pPr>
        <w:spacing w:after="200" w:line="276" w:lineRule="auto"/>
      </w:pPr>
      <w:r>
        <w:rPr>
          <w:rFonts w:ascii="Arial" w:hAnsi="Arial" w:eastAsia="Arial" w:cs="Arial"/>
          <w:sz w:val="22"/>
          <w:szCs w:val="22"/>
        </w:rPr>
        <w:t>The complete statement: “Price is delivering from the daily sell-side liquidity taken in London toward the weekly buy-side liquidity, with the New York retracement into the displacement FVG providing the execution.”</w:t>
      </w:r>
    </w:p>
    <w:p w14:paraId="6C6B337F">
      <w:pPr>
        <w:pStyle w:val="2"/>
        <w:spacing w:before="360" w:after="240"/>
      </w:pPr>
      <w:r>
        <w:rPr>
          <w:rFonts w:ascii="Arial" w:hAnsi="Arial" w:eastAsia="Arial" w:cs="Arial"/>
          <w:b/>
          <w:bCs/>
          <w:sz w:val="32"/>
          <w:szCs w:val="32"/>
        </w:rPr>
        <w:t>Visual Reference — Delivery Sequence</w:t>
      </w:r>
    </w:p>
    <w:p w14:paraId="5D20C981">
      <w:pPr>
        <w:spacing w:after="0" w:line="240" w:lineRule="auto"/>
      </w:pPr>
      <w:r>
        <w:rPr>
          <w:rFonts w:ascii="Courier New" w:hAnsi="Courier New" w:eastAsia="Courier New" w:cs="Courier New"/>
          <w:sz w:val="18"/>
          <w:szCs w:val="18"/>
        </w:rPr>
        <w:t>Liquidity Pool A (e.g. SSL)</w:t>
      </w:r>
    </w:p>
    <w:p w14:paraId="38E4D4B4">
      <w:pPr>
        <w:spacing w:after="0" w:line="240" w:lineRule="auto"/>
      </w:pPr>
      <w:r>
        <w:rPr>
          <w:rFonts w:ascii="Courier New" w:hAnsi="Courier New" w:eastAsia="Courier New" w:cs="Courier New"/>
          <w:sz w:val="18"/>
          <w:szCs w:val="18"/>
        </w:rPr>
        <w:t xml:space="preserve">        │</w:t>
      </w:r>
    </w:p>
    <w:p w14:paraId="3EDBE3CB">
      <w:pPr>
        <w:spacing w:after="0" w:line="240" w:lineRule="auto"/>
      </w:pPr>
      <w:r>
        <w:rPr>
          <w:rFonts w:ascii="Courier New" w:hAnsi="Courier New" w:eastAsia="Courier New" w:cs="Courier New"/>
          <w:sz w:val="18"/>
          <w:szCs w:val="18"/>
        </w:rPr>
        <w:t xml:space="preserve">        │  Consolidation (range builds)</w:t>
      </w:r>
    </w:p>
    <w:p w14:paraId="4A018065">
      <w:pPr>
        <w:spacing w:after="0" w:line="240" w:lineRule="auto"/>
      </w:pPr>
      <w:r>
        <w:rPr>
          <w:rFonts w:ascii="Courier New" w:hAnsi="Courier New" w:eastAsia="Courier New" w:cs="Courier New"/>
          <w:sz w:val="18"/>
          <w:szCs w:val="18"/>
        </w:rPr>
        <w:t xml:space="preserve">        ▼</w:t>
      </w:r>
    </w:p>
    <w:p w14:paraId="06516426">
      <w:pPr>
        <w:spacing w:after="0" w:line="240" w:lineRule="auto"/>
      </w:pPr>
      <w:r>
        <w:rPr>
          <w:rFonts w:ascii="Courier New" w:hAnsi="Courier New" w:eastAsia="Courier New" w:cs="Courier New"/>
          <w:sz w:val="18"/>
          <w:szCs w:val="18"/>
        </w:rPr>
        <w:t xml:space="preserve">   Manipulation / Sweep of A</w:t>
      </w:r>
    </w:p>
    <w:p w14:paraId="36792D71">
      <w:pPr>
        <w:spacing w:after="0" w:line="240" w:lineRule="auto"/>
      </w:pPr>
      <w:r>
        <w:rPr>
          <w:rFonts w:ascii="Courier New" w:hAnsi="Courier New" w:eastAsia="Courier New" w:cs="Courier New"/>
          <w:sz w:val="18"/>
          <w:szCs w:val="18"/>
        </w:rPr>
        <w:t xml:space="preserve">        │</w:t>
      </w:r>
    </w:p>
    <w:p w14:paraId="2BBCA8C1">
      <w:pPr>
        <w:spacing w:after="0" w:line="240" w:lineRule="auto"/>
      </w:pPr>
      <w:r>
        <w:rPr>
          <w:rFonts w:ascii="Courier New" w:hAnsi="Courier New" w:eastAsia="Courier New" w:cs="Courier New"/>
          <w:sz w:val="18"/>
          <w:szCs w:val="18"/>
        </w:rPr>
        <w:t xml:space="preserve">        │  Expansion / Displacement</w:t>
      </w:r>
    </w:p>
    <w:p w14:paraId="63491EB8">
      <w:pPr>
        <w:spacing w:after="0" w:line="240" w:lineRule="auto"/>
      </w:pPr>
      <w:r>
        <w:rPr>
          <w:rFonts w:ascii="Courier New" w:hAnsi="Courier New" w:eastAsia="Courier New" w:cs="Courier New"/>
          <w:sz w:val="18"/>
          <w:szCs w:val="18"/>
        </w:rPr>
        <w:t xml:space="preserve">        ▼</w:t>
      </w:r>
    </w:p>
    <w:p w14:paraId="28D03EDB">
      <w:pPr>
        <w:spacing w:after="0" w:line="240" w:lineRule="auto"/>
      </w:pPr>
      <w:r>
        <w:rPr>
          <w:rFonts w:ascii="Courier New" w:hAnsi="Courier New" w:eastAsia="Courier New" w:cs="Courier New"/>
          <w:sz w:val="18"/>
          <w:szCs w:val="18"/>
        </w:rPr>
        <w:t xml:space="preserve">   Imbalance created (FVG / void)</w:t>
      </w:r>
    </w:p>
    <w:p w14:paraId="75AC588C">
      <w:pPr>
        <w:spacing w:after="0" w:line="240" w:lineRule="auto"/>
      </w:pPr>
      <w:r>
        <w:rPr>
          <w:rFonts w:ascii="Courier New" w:hAnsi="Courier New" w:eastAsia="Courier New" w:cs="Courier New"/>
          <w:sz w:val="18"/>
          <w:szCs w:val="18"/>
        </w:rPr>
        <w:t xml:space="preserve">        │</w:t>
      </w:r>
    </w:p>
    <w:p w14:paraId="6E510EAA">
      <w:pPr>
        <w:spacing w:after="0" w:line="240" w:lineRule="auto"/>
      </w:pPr>
      <w:r>
        <w:rPr>
          <w:rFonts w:ascii="Courier New" w:hAnsi="Courier New" w:eastAsia="Courier New" w:cs="Courier New"/>
          <w:sz w:val="18"/>
          <w:szCs w:val="18"/>
        </w:rPr>
        <w:t xml:space="preserve">        │  Retracement / Repricing</w:t>
      </w:r>
    </w:p>
    <w:p w14:paraId="6C66AE6A">
      <w:pPr>
        <w:spacing w:after="0" w:line="240" w:lineRule="auto"/>
      </w:pPr>
      <w:r>
        <w:rPr>
          <w:rFonts w:ascii="Courier New" w:hAnsi="Courier New" w:eastAsia="Courier New" w:cs="Courier New"/>
          <w:sz w:val="18"/>
          <w:szCs w:val="18"/>
        </w:rPr>
        <w:t xml:space="preserve">        ▼</w:t>
      </w:r>
    </w:p>
    <w:p w14:paraId="6AAC0BB0">
      <w:pPr>
        <w:spacing w:after="0" w:line="240" w:lineRule="auto"/>
      </w:pPr>
      <w:r>
        <w:rPr>
          <w:rFonts w:ascii="Courier New" w:hAnsi="Courier New" w:eastAsia="Courier New" w:cs="Courier New"/>
          <w:sz w:val="18"/>
          <w:szCs w:val="18"/>
        </w:rPr>
        <w:t xml:space="preserve">   PD-array entry (optional)</w:t>
      </w:r>
    </w:p>
    <w:p w14:paraId="33DC76F1">
      <w:pPr>
        <w:spacing w:after="0" w:line="240" w:lineRule="auto"/>
      </w:pPr>
      <w:r>
        <w:rPr>
          <w:rFonts w:ascii="Courier New" w:hAnsi="Courier New" w:eastAsia="Courier New" w:cs="Courier New"/>
          <w:sz w:val="18"/>
          <w:szCs w:val="18"/>
        </w:rPr>
        <w:t xml:space="preserve">        │</w:t>
      </w:r>
    </w:p>
    <w:p w14:paraId="347D988D">
      <w:pPr>
        <w:spacing w:after="0" w:line="240" w:lineRule="auto"/>
      </w:pPr>
      <w:r>
        <w:rPr>
          <w:rFonts w:ascii="Courier New" w:hAnsi="Courier New" w:eastAsia="Courier New" w:cs="Courier New"/>
          <w:sz w:val="18"/>
          <w:szCs w:val="18"/>
        </w:rPr>
        <w:t xml:space="preserve">        │  Continuation Expansion</w:t>
      </w:r>
    </w:p>
    <w:p w14:paraId="020F3B2C">
      <w:pPr>
        <w:spacing w:after="0" w:line="240" w:lineRule="auto"/>
      </w:pPr>
      <w:r>
        <w:rPr>
          <w:rFonts w:ascii="Courier New" w:hAnsi="Courier New" w:eastAsia="Courier New" w:cs="Courier New"/>
          <w:sz w:val="18"/>
          <w:szCs w:val="18"/>
        </w:rPr>
        <w:t xml:space="preserve">        ▼</w:t>
      </w:r>
    </w:p>
    <w:p w14:paraId="5F58C090">
      <w:pPr>
        <w:spacing w:after="0" w:line="240" w:lineRule="auto"/>
      </w:pPr>
      <w:r>
        <w:rPr>
          <w:rFonts w:ascii="Courier New" w:hAnsi="Courier New" w:eastAsia="Courier New" w:cs="Courier New"/>
          <w:sz w:val="18"/>
          <w:szCs w:val="18"/>
        </w:rPr>
        <w:t>Liquidity Pool B (e.g. BSL)  ← delivery objective</w:t>
      </w:r>
    </w:p>
    <w:p w14:paraId="60311A52">
      <w:pPr>
        <w:pStyle w:val="2"/>
        <w:spacing w:before="360" w:after="240"/>
      </w:pPr>
      <w:r>
        <w:rPr>
          <w:rFonts w:ascii="Arial" w:hAnsi="Arial" w:eastAsia="Arial" w:cs="Arial"/>
          <w:b/>
          <w:bCs/>
          <w:sz w:val="32"/>
          <w:szCs w:val="32"/>
        </w:rPr>
        <w:t>10. Failure Conditions and Model Implications</w:t>
      </w:r>
    </w:p>
    <w:p w14:paraId="51C10DB1">
      <w:pPr>
        <w:spacing w:after="200" w:line="276" w:lineRule="auto"/>
      </w:pPr>
      <w:r>
        <w:rPr>
          <w:rFonts w:ascii="Arial" w:hAnsi="Arial" w:eastAsia="Arial" w:cs="Arial"/>
          <w:sz w:val="22"/>
          <w:szCs w:val="22"/>
        </w:rPr>
        <w:t>When a delivery leg fails:</w:t>
      </w:r>
    </w:p>
    <w:p w14:paraId="1E0BCC68">
      <w:pPr>
        <w:pStyle w:val="16"/>
        <w:numPr>
          <w:ilvl w:val="0"/>
          <w:numId w:val="1"/>
        </w:numPr>
        <w:spacing w:after="120" w:line="276" w:lineRule="auto"/>
      </w:pPr>
      <w:r>
        <w:rPr>
          <w:rFonts w:ascii="Arial" w:hAnsi="Arial" w:eastAsia="Arial" w:cs="Arial"/>
          <w:sz w:val="22"/>
          <w:szCs w:val="22"/>
        </w:rPr>
        <w:t>The target pool is abandoned or only partially probed.</w:t>
      </w:r>
    </w:p>
    <w:p w14:paraId="0B610122">
      <w:pPr>
        <w:pStyle w:val="16"/>
        <w:numPr>
          <w:ilvl w:val="0"/>
          <w:numId w:val="1"/>
        </w:numPr>
        <w:spacing w:after="120" w:line="276" w:lineRule="auto"/>
      </w:pPr>
      <w:r>
        <w:rPr>
          <w:rFonts w:ascii="Arial" w:hAnsi="Arial" w:eastAsia="Arial" w:cs="Arial"/>
          <w:sz w:val="22"/>
          <w:szCs w:val="22"/>
        </w:rPr>
        <w:t>Opposing displacement and MSS appear.</w:t>
      </w:r>
    </w:p>
    <w:p w14:paraId="5A6C99B4">
      <w:pPr>
        <w:pStyle w:val="16"/>
        <w:numPr>
          <w:ilvl w:val="0"/>
          <w:numId w:val="1"/>
        </w:numPr>
        <w:spacing w:after="120" w:line="276" w:lineRule="auto"/>
      </w:pPr>
      <w:r>
        <w:rPr>
          <w:rFonts w:ascii="Arial" w:hAnsi="Arial" w:eastAsia="Arial" w:cs="Arial"/>
          <w:sz w:val="22"/>
          <w:szCs w:val="22"/>
        </w:rPr>
        <w:t>The dealing-range premium/discount filter may invert relative to the new narrative.</w:t>
      </w:r>
    </w:p>
    <w:p w14:paraId="71E09D5D">
      <w:pPr>
        <w:spacing w:after="200" w:line="276" w:lineRule="auto"/>
      </w:pPr>
      <w:r>
        <w:rPr>
          <w:rFonts w:ascii="Arial" w:hAnsi="Arial" w:eastAsia="Arial" w:cs="Arial"/>
          <w:sz w:val="22"/>
          <w:szCs w:val="22"/>
        </w:rPr>
        <w:t>Model selection consequence: any model that assumed continuation of the failed leg is retired. Models that assume the new opposing delivery become candidates.</w:t>
      </w:r>
    </w:p>
    <w:p w14:paraId="7BCD5614">
      <w:pPr>
        <w:pStyle w:val="2"/>
        <w:spacing w:before="360" w:after="240"/>
      </w:pPr>
      <w:r>
        <w:rPr>
          <w:rFonts w:ascii="Arial" w:hAnsi="Arial" w:eastAsia="Arial" w:cs="Arial"/>
          <w:b/>
          <w:bCs/>
          <w:sz w:val="32"/>
          <w:szCs w:val="32"/>
        </w:rPr>
        <w:t>11. Common Misinterpretations</w:t>
      </w:r>
    </w:p>
    <w:p w14:paraId="51923245">
      <w:pPr>
        <w:pStyle w:val="16"/>
        <w:numPr>
          <w:ilvl w:val="0"/>
          <w:numId w:val="1"/>
        </w:numPr>
        <w:spacing w:after="120" w:line="276" w:lineRule="auto"/>
      </w:pPr>
      <w:r>
        <w:rPr>
          <w:rFonts w:ascii="Arial" w:hAnsi="Arial" w:eastAsia="Arial" w:cs="Arial"/>
          <w:sz w:val="22"/>
          <w:szCs w:val="22"/>
        </w:rPr>
        <w:t>Treating every FVG return as a reversal rather than as possible rebalancing inside an ongoing delivery.</w:t>
      </w:r>
    </w:p>
    <w:p w14:paraId="06FBC5E2">
      <w:pPr>
        <w:pStyle w:val="16"/>
        <w:numPr>
          <w:ilvl w:val="0"/>
          <w:numId w:val="1"/>
        </w:numPr>
        <w:spacing w:after="120" w:line="276" w:lineRule="auto"/>
      </w:pPr>
      <w:r>
        <w:rPr>
          <w:rFonts w:ascii="Arial" w:hAnsi="Arial" w:eastAsia="Arial" w:cs="Arial"/>
          <w:sz w:val="22"/>
          <w:szCs w:val="22"/>
        </w:rPr>
        <w:t>Naming a delivery objective without a concrete liquidity pool.</w:t>
      </w:r>
    </w:p>
    <w:p w14:paraId="74E7BE22">
      <w:pPr>
        <w:pStyle w:val="16"/>
        <w:numPr>
          <w:ilvl w:val="0"/>
          <w:numId w:val="1"/>
        </w:numPr>
        <w:spacing w:after="120" w:line="276" w:lineRule="auto"/>
      </w:pPr>
      <w:r>
        <w:rPr>
          <w:rFonts w:ascii="Arial" w:hAnsi="Arial" w:eastAsia="Arial" w:cs="Arial"/>
          <w:sz w:val="22"/>
          <w:szCs w:val="22"/>
        </w:rPr>
        <w:t>Allowing a lower-timeframe reversal to overwrite a higher-timeframe delivery narrative without structural confirmation on the higher timeframe.</w:t>
      </w:r>
    </w:p>
    <w:p w14:paraId="0991ED5A">
      <w:pPr>
        <w:pStyle w:val="16"/>
        <w:numPr>
          <w:ilvl w:val="0"/>
          <w:numId w:val="1"/>
        </w:numPr>
        <w:spacing w:after="120" w:line="276" w:lineRule="auto"/>
      </w:pPr>
      <w:r>
        <w:rPr>
          <w:rFonts w:ascii="Arial" w:hAnsi="Arial" w:eastAsia="Arial" w:cs="Arial"/>
          <w:sz w:val="22"/>
          <w:szCs w:val="22"/>
        </w:rPr>
        <w:t>Equating “algorithmic delivery” with a claim of perfect prediction; ICT presents a framework of high-probability conditions, not certainty.</w:t>
      </w:r>
    </w:p>
    <w:p w14:paraId="18AB0731">
      <w:pPr>
        <w:pStyle w:val="16"/>
        <w:numPr>
          <w:ilvl w:val="0"/>
          <w:numId w:val="1"/>
        </w:numPr>
        <w:spacing w:after="120" w:line="276" w:lineRule="auto"/>
      </w:pPr>
      <w:r>
        <w:rPr>
          <w:rFonts w:ascii="Arial" w:hAnsi="Arial" w:eastAsia="Arial" w:cs="Arial"/>
          <w:sz w:val="22"/>
          <w:szCs w:val="22"/>
        </w:rPr>
        <w:t>Importing conventional support/resistance or indicator logic and relabeling it as price delivery.</w:t>
      </w:r>
    </w:p>
    <w:p w14:paraId="046528A0">
      <w:pPr>
        <w:pStyle w:val="2"/>
        <w:spacing w:before="360" w:after="240"/>
      </w:pPr>
      <w:r>
        <w:rPr>
          <w:rFonts w:ascii="Arial" w:hAnsi="Arial" w:eastAsia="Arial" w:cs="Arial"/>
          <w:b/>
          <w:bCs/>
          <w:sz w:val="32"/>
          <w:szCs w:val="32"/>
        </w:rPr>
        <w:t>12. Evidence Summary</w:t>
      </w:r>
    </w:p>
    <w:p w14:paraId="21316F45">
      <w:pPr>
        <w:spacing w:after="200" w:line="276" w:lineRule="auto"/>
      </w:pPr>
      <w:r>
        <w:rPr>
          <w:rFonts w:ascii="Arial" w:hAnsi="Arial" w:eastAsia="Arial" w:cs="Arial"/>
          <w:sz w:val="22"/>
          <w:szCs w:val="22"/>
        </w:rPr>
        <w:t>The four conditions (Consolidation, Expansion, Retracement, Reversal), the primacy of liquidity seeking, displacement as the signature of commitment, and the return to imbalances for rebalancing are all directly supported by ICT Core Content and subsequent mentorship. IPDA language and the algorithmic framing are ICT’s own theoretical superstructure. Community expansions that add detailed “code” or fixed numerical rules beyond ICT’s demonstrations are classified as community interpretation unless primary support is shown.</w:t>
      </w:r>
    </w:p>
    <w:p w14:paraId="36A65006">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Primary orientation: ICT Mentorship Core Content Month 1 (market conditions and price delivery), later IPDA and algorithmic-delivery lectures, and repeated chart examples in which price is described as delivering from one liquidity pool to another. Secondary sources used only to locate and cross-reference those primary themes.</w:t>
      </w:r>
    </w:p>
    <w:p w14:paraId="7C5B2660">
      <w:pPr>
        <w:pStyle w:val="2"/>
        <w:spacing w:before="360" w:after="240"/>
      </w:pPr>
      <w:r>
        <w:rPr>
          <w:rFonts w:ascii="Arial" w:hAnsi="Arial" w:eastAsia="Arial" w:cs="Arial"/>
          <w:b/>
          <w:bCs/>
          <w:sz w:val="32"/>
          <w:szCs w:val="32"/>
        </w:rPr>
        <w:t>What You Should Now Be Able to Do</w:t>
      </w:r>
    </w:p>
    <w:p w14:paraId="68778BF4">
      <w:pPr>
        <w:pStyle w:val="16"/>
        <w:numPr>
          <w:ilvl w:val="0"/>
          <w:numId w:val="1"/>
        </w:numPr>
        <w:spacing w:after="120" w:line="276" w:lineRule="auto"/>
      </w:pPr>
      <w:r>
        <w:rPr>
          <w:rFonts w:ascii="Arial" w:hAnsi="Arial" w:eastAsia="Arial" w:cs="Arial"/>
          <w:sz w:val="22"/>
          <w:szCs w:val="22"/>
        </w:rPr>
        <w:t>Write a one-paragraph delivery narrative that names the origin pool, the target pool, the current condition (consolidation / expansion / retracement / reversal), and the timeframe hierarchy.</w:t>
      </w:r>
    </w:p>
    <w:p w14:paraId="23F3DF6A">
      <w:pPr>
        <w:pStyle w:val="16"/>
        <w:numPr>
          <w:ilvl w:val="0"/>
          <w:numId w:val="1"/>
        </w:numPr>
        <w:spacing w:after="120" w:line="276" w:lineRule="auto"/>
      </w:pPr>
      <w:r>
        <w:rPr>
          <w:rFonts w:ascii="Arial" w:hAnsi="Arial" w:eastAsia="Arial" w:cs="Arial"/>
          <w:sz w:val="22"/>
          <w:szCs w:val="22"/>
        </w:rPr>
        <w:t>Identify which of the four conditions is active on the controlling timeframe.</w:t>
      </w:r>
    </w:p>
    <w:p w14:paraId="43A2F3B5">
      <w:pPr>
        <w:pStyle w:val="16"/>
        <w:numPr>
          <w:ilvl w:val="0"/>
          <w:numId w:val="1"/>
        </w:numPr>
        <w:spacing w:after="120" w:line="276" w:lineRule="auto"/>
      </w:pPr>
      <w:r>
        <w:rPr>
          <w:rFonts w:ascii="Arial" w:hAnsi="Arial" w:eastAsia="Arial" w:cs="Arial"/>
          <w:sz w:val="22"/>
          <w:szCs w:val="22"/>
        </w:rPr>
        <w:t>Distinguish a retracement that is still part of the current delivery from a reversal that ends it.</w:t>
      </w:r>
    </w:p>
    <w:p w14:paraId="5E060069">
      <w:pPr>
        <w:pStyle w:val="16"/>
        <w:numPr>
          <w:ilvl w:val="0"/>
          <w:numId w:val="1"/>
        </w:numPr>
        <w:spacing w:after="120" w:line="276" w:lineRule="auto"/>
      </w:pPr>
      <w:r>
        <w:rPr>
          <w:rFonts w:ascii="Arial" w:hAnsi="Arial" w:eastAsia="Arial" w:cs="Arial"/>
          <w:sz w:val="22"/>
          <w:szCs w:val="22"/>
        </w:rPr>
        <w:t>State the implication of a failed delivery leg for model selection.</w:t>
      </w:r>
    </w:p>
    <w:p w14:paraId="0208D060">
      <w:pPr>
        <w:pStyle w:val="16"/>
        <w:numPr>
          <w:ilvl w:val="0"/>
          <w:numId w:val="1"/>
        </w:numPr>
        <w:spacing w:after="120" w:line="276" w:lineRule="auto"/>
      </w:pPr>
      <w:r>
        <w:rPr>
          <w:rFonts w:ascii="Arial" w:hAnsi="Arial" w:eastAsia="Arial" w:cs="Arial"/>
          <w:sz w:val="22"/>
          <w:szCs w:val="22"/>
        </w:rPr>
        <w:t>Keep lower-timeframe activity subordinate to the higher-timeframe delivery objective.</w:t>
      </w:r>
    </w:p>
    <w:p w14:paraId="001B5165">
      <w:pPr>
        <w:pStyle w:val="2"/>
        <w:spacing w:before="360" w:after="240"/>
      </w:pPr>
      <w:r>
        <w:rPr>
          <w:rFonts w:ascii="Arial" w:hAnsi="Arial" w:eastAsia="Arial" w:cs="Arial"/>
          <w:b/>
          <w:bCs/>
          <w:sz w:val="32"/>
          <w:szCs w:val="32"/>
        </w:rPr>
        <w:t>Module Review</w:t>
      </w:r>
    </w:p>
    <w:p w14:paraId="4ED9B33F">
      <w:pPr>
        <w:pStyle w:val="3"/>
        <w:spacing w:before="280" w:after="180"/>
      </w:pPr>
      <w:r>
        <w:rPr>
          <w:rFonts w:ascii="Arial" w:hAnsi="Arial" w:eastAsia="Arial" w:cs="Arial"/>
          <w:b/>
          <w:bCs/>
          <w:sz w:val="26"/>
          <w:szCs w:val="26"/>
        </w:rPr>
        <w:t>Key Terms</w:t>
      </w:r>
    </w:p>
    <w:p w14:paraId="4B51A6EB">
      <w:pPr>
        <w:pStyle w:val="16"/>
        <w:numPr>
          <w:ilvl w:val="0"/>
          <w:numId w:val="1"/>
        </w:numPr>
        <w:spacing w:after="120" w:line="276" w:lineRule="auto"/>
      </w:pPr>
      <w:r>
        <w:rPr>
          <w:rFonts w:ascii="Arial" w:hAnsi="Arial" w:eastAsia="Arial" w:cs="Arial"/>
          <w:sz w:val="22"/>
          <w:szCs w:val="22"/>
        </w:rPr>
        <w:t>Price delivery — the process by which the market moves from one liquidity objective to another.</w:t>
      </w:r>
    </w:p>
    <w:p w14:paraId="5A3DAE6F">
      <w:pPr>
        <w:pStyle w:val="16"/>
        <w:numPr>
          <w:ilvl w:val="0"/>
          <w:numId w:val="1"/>
        </w:numPr>
        <w:spacing w:after="120" w:line="276" w:lineRule="auto"/>
      </w:pPr>
      <w:r>
        <w:rPr>
          <w:rFonts w:ascii="Arial" w:hAnsi="Arial" w:eastAsia="Arial" w:cs="Arial"/>
          <w:sz w:val="22"/>
          <w:szCs w:val="22"/>
        </w:rPr>
        <w:t>Algorithmic / interbank price delivery — ICT’s framing that this process is systematic and time-conditioned.</w:t>
      </w:r>
    </w:p>
    <w:p w14:paraId="2EF875CA">
      <w:pPr>
        <w:pStyle w:val="16"/>
        <w:numPr>
          <w:ilvl w:val="0"/>
          <w:numId w:val="1"/>
        </w:numPr>
        <w:spacing w:after="120" w:line="276" w:lineRule="auto"/>
      </w:pPr>
      <w:r>
        <w:rPr>
          <w:rFonts w:ascii="Arial" w:hAnsi="Arial" w:eastAsia="Arial" w:cs="Arial"/>
          <w:sz w:val="22"/>
          <w:szCs w:val="22"/>
        </w:rPr>
        <w:t>Liquidity seeking — the primary driver of delivery legs.</w:t>
      </w:r>
    </w:p>
    <w:p w14:paraId="30B6FEAF">
      <w:pPr>
        <w:pStyle w:val="16"/>
        <w:numPr>
          <w:ilvl w:val="0"/>
          <w:numId w:val="1"/>
        </w:numPr>
        <w:spacing w:after="120" w:line="276" w:lineRule="auto"/>
      </w:pPr>
      <w:r>
        <w:rPr>
          <w:rFonts w:ascii="Arial" w:hAnsi="Arial" w:eastAsia="Arial" w:cs="Arial"/>
          <w:sz w:val="22"/>
          <w:szCs w:val="22"/>
        </w:rPr>
        <w:t>Consolidation / Expansion / Retracement / Reversal — the four observable conditions of delivery.</w:t>
      </w:r>
    </w:p>
    <w:p w14:paraId="1A859E8E">
      <w:pPr>
        <w:pStyle w:val="16"/>
        <w:numPr>
          <w:ilvl w:val="0"/>
          <w:numId w:val="1"/>
        </w:numPr>
        <w:spacing w:after="120" w:line="276" w:lineRule="auto"/>
      </w:pPr>
      <w:r>
        <w:rPr>
          <w:rFonts w:ascii="Arial" w:hAnsi="Arial" w:eastAsia="Arial" w:cs="Arial"/>
          <w:sz w:val="22"/>
          <w:szCs w:val="22"/>
        </w:rPr>
        <w:t>Displacement — energetic movement that both seeks liquidity and creates imbalance.</w:t>
      </w:r>
    </w:p>
    <w:p w14:paraId="44573495">
      <w:pPr>
        <w:pStyle w:val="16"/>
        <w:numPr>
          <w:ilvl w:val="0"/>
          <w:numId w:val="1"/>
        </w:numPr>
        <w:spacing w:after="120" w:line="276" w:lineRule="auto"/>
      </w:pPr>
      <w:r>
        <w:rPr>
          <w:rFonts w:ascii="Arial" w:hAnsi="Arial" w:eastAsia="Arial" w:cs="Arial"/>
          <w:sz w:val="22"/>
          <w:szCs w:val="22"/>
        </w:rPr>
        <w:t>Repricing / Rebalancing — return to inefficiency so that the market is left more balanced.</w:t>
      </w:r>
    </w:p>
    <w:p w14:paraId="2CAA4C56">
      <w:pPr>
        <w:pStyle w:val="16"/>
        <w:numPr>
          <w:ilvl w:val="0"/>
          <w:numId w:val="1"/>
        </w:numPr>
        <w:spacing w:after="120" w:line="276" w:lineRule="auto"/>
      </w:pPr>
      <w:r>
        <w:rPr>
          <w:rFonts w:ascii="Arial" w:hAnsi="Arial" w:eastAsia="Arial" w:cs="Arial"/>
          <w:sz w:val="22"/>
          <w:szCs w:val="22"/>
        </w:rPr>
        <w:t>Delivery leg — a complete or partial movement from one named pool to another.</w:t>
      </w:r>
    </w:p>
    <w:p w14:paraId="2AE07CCB">
      <w:pPr>
        <w:pStyle w:val="3"/>
        <w:spacing w:before="280" w:after="180"/>
      </w:pPr>
      <w:r>
        <w:rPr>
          <w:rFonts w:ascii="Arial" w:hAnsi="Arial" w:eastAsia="Arial" w:cs="Arial"/>
          <w:b/>
          <w:bCs/>
          <w:sz w:val="26"/>
          <w:szCs w:val="26"/>
        </w:rPr>
        <w:t>Self-Test</w:t>
      </w:r>
    </w:p>
    <w:p w14:paraId="2EED7A3C">
      <w:pPr>
        <w:pStyle w:val="16"/>
        <w:numPr>
          <w:ilvl w:val="0"/>
          <w:numId w:val="2"/>
        </w:numPr>
        <w:spacing w:after="120" w:line="276" w:lineRule="auto"/>
      </w:pPr>
      <w:r>
        <w:rPr>
          <w:rFonts w:ascii="Arial" w:hAnsi="Arial" w:eastAsia="Arial" w:cs="Arial"/>
          <w:sz w:val="22"/>
          <w:szCs w:val="22"/>
        </w:rPr>
        <w:t>State the atomic unit of an advanced delivery narrative.</w:t>
      </w:r>
    </w:p>
    <w:p w14:paraId="310B312F">
      <w:pPr>
        <w:pStyle w:val="16"/>
        <w:numPr>
          <w:ilvl w:val="0"/>
          <w:numId w:val="2"/>
        </w:numPr>
        <w:spacing w:after="120" w:line="276" w:lineRule="auto"/>
      </w:pPr>
      <w:r>
        <w:rPr>
          <w:rFonts w:ascii="Arial" w:hAnsi="Arial" w:eastAsia="Arial" w:cs="Arial"/>
          <w:sz w:val="22"/>
          <w:szCs w:val="22"/>
        </w:rPr>
        <w:t>How does a retracement differ from a reversal inside a delivery sequence?</w:t>
      </w:r>
    </w:p>
    <w:p w14:paraId="79F2BFDB">
      <w:pPr>
        <w:pStyle w:val="16"/>
        <w:numPr>
          <w:ilvl w:val="0"/>
          <w:numId w:val="2"/>
        </w:numPr>
        <w:spacing w:after="120" w:line="276" w:lineRule="auto"/>
      </w:pPr>
      <w:r>
        <w:rPr>
          <w:rFonts w:ascii="Arial" w:hAnsi="Arial" w:eastAsia="Arial" w:cs="Arial"/>
          <w:sz w:val="22"/>
          <w:szCs w:val="22"/>
        </w:rPr>
        <w:t>What is the practical consequence of a failed delivery leg?</w:t>
      </w:r>
    </w:p>
    <w:p w14:paraId="778F5600">
      <w:pPr>
        <w:pStyle w:val="16"/>
        <w:numPr>
          <w:ilvl w:val="0"/>
          <w:numId w:val="2"/>
        </w:numPr>
        <w:spacing w:after="120" w:line="276" w:lineRule="auto"/>
      </w:pPr>
      <w:r>
        <w:rPr>
          <w:rFonts w:ascii="Arial" w:hAnsi="Arial" w:eastAsia="Arial" w:cs="Arial"/>
          <w:sz w:val="22"/>
          <w:szCs w:val="22"/>
        </w:rPr>
        <w:t>Why must every advanced narrative name concrete liquidity pools rather than only a direction?</w:t>
      </w:r>
    </w:p>
    <w:p w14:paraId="0AB9E919">
      <w:pPr>
        <w:pStyle w:val="16"/>
        <w:numPr>
          <w:ilvl w:val="0"/>
          <w:numId w:val="2"/>
        </w:numPr>
        <w:spacing w:after="120" w:line="276" w:lineRule="auto"/>
      </w:pPr>
      <w:r>
        <w:rPr>
          <w:rFonts w:ascii="Arial" w:hAnsi="Arial" w:eastAsia="Arial" w:cs="Arial"/>
          <w:sz w:val="22"/>
          <w:szCs w:val="22"/>
        </w:rPr>
        <w:t>How should a lower-timeframe reversal be treated when the higher-timeframe delivery objective remains intact?</w:t>
      </w:r>
    </w:p>
    <w:p w14:paraId="29056E92">
      <w:pPr>
        <w:pStyle w:val="3"/>
        <w:spacing w:before="280" w:after="180"/>
      </w:pPr>
      <w:r>
        <w:rPr>
          <w:rFonts w:ascii="Arial" w:hAnsi="Arial" w:eastAsia="Arial" w:cs="Arial"/>
          <w:b/>
          <w:bCs/>
          <w:sz w:val="26"/>
          <w:szCs w:val="26"/>
        </w:rPr>
        <w:t>Transition to Module 2</w:t>
      </w:r>
    </w:p>
    <w:p w14:paraId="65A20BFC">
      <w:pPr>
        <w:spacing w:after="200" w:line="276" w:lineRule="auto"/>
        <w:rPr>
          <w:rFonts w:ascii="Arial" w:hAnsi="Arial" w:eastAsia="Arial" w:cs="Arial"/>
          <w:sz w:val="22"/>
          <w:szCs w:val="22"/>
        </w:rPr>
      </w:pPr>
      <w:r>
        <w:rPr>
          <w:rFonts w:ascii="Arial" w:hAnsi="Arial" w:eastAsia="Arial" w:cs="Arial"/>
          <w:sz w:val="22"/>
          <w:szCs w:val="22"/>
        </w:rPr>
        <w:t>Module 1 has established the delivery framework: price seeks liquidity, moves through the four conditions, and creates and rebalances imbalances along the way. Module 2 (Advanced Dealing Ranges) will locate that delivery inside nested dealing ranges, refine the selection of the controlling range, and show how premium and discount constrain which PD arrays are allowed to participate in the current delivery leg.</w:t>
      </w:r>
    </w:p>
    <w:p w14:paraId="6C47CE73">
      <w:pPr>
        <w:spacing w:after="200" w:line="276" w:lineRule="auto"/>
        <w:rPr>
          <w:rFonts w:ascii="Arial" w:hAnsi="Arial" w:eastAsia="Arial" w:cs="Arial"/>
          <w:sz w:val="22"/>
          <w:szCs w:val="22"/>
        </w:rPr>
      </w:pPr>
    </w:p>
    <w:p w14:paraId="6DA38AF3">
      <w:pPr>
        <w:spacing w:after="200" w:line="276" w:lineRule="auto"/>
        <w:rPr>
          <w:rFonts w:ascii="Arial" w:hAnsi="Arial" w:eastAsia="Arial" w:cs="Arial"/>
          <w:sz w:val="22"/>
          <w:szCs w:val="22"/>
        </w:rPr>
      </w:pPr>
    </w:p>
    <w:p w14:paraId="4B00BA79">
      <w:pPr>
        <w:spacing w:after="200" w:line="276" w:lineRule="auto"/>
        <w:rPr>
          <w:rFonts w:ascii="Arial" w:hAnsi="Arial" w:eastAsia="Arial" w:cs="Arial"/>
          <w:sz w:val="22"/>
          <w:szCs w:val="22"/>
        </w:rPr>
      </w:pPr>
    </w:p>
    <w:p w14:paraId="54CA54F2">
      <w:pPr>
        <w:spacing w:after="400"/>
        <w:jc w:val="center"/>
      </w:pPr>
      <w:r>
        <w:rPr>
          <w:rFonts w:ascii="Arial" w:hAnsi="Arial" w:eastAsia="Arial" w:cs="Arial"/>
          <w:b/>
          <w:bCs/>
          <w:sz w:val="36"/>
          <w:szCs w:val="36"/>
        </w:rPr>
        <w:t>MODULE 2</w:t>
      </w:r>
    </w:p>
    <w:p w14:paraId="20757FA3">
      <w:pPr>
        <w:spacing w:after="200"/>
        <w:jc w:val="center"/>
      </w:pPr>
      <w:r>
        <w:rPr>
          <w:rFonts w:ascii="Arial" w:hAnsi="Arial" w:eastAsia="Arial" w:cs="Arial"/>
          <w:b/>
          <w:bCs/>
          <w:sz w:val="28"/>
          <w:szCs w:val="28"/>
        </w:rPr>
        <w:t>Advanced Dealing Ranges</w:t>
      </w:r>
    </w:p>
    <w:p w14:paraId="79A7905E">
      <w:pPr>
        <w:spacing w:after="400"/>
        <w:jc w:val="center"/>
      </w:pPr>
      <w:r>
        <w:rPr>
          <w:rFonts w:ascii="Arial" w:hAnsi="Arial" w:eastAsia="Arial" w:cs="Arial"/>
          <w:i/>
          <w:iCs/>
          <w:sz w:val="20"/>
          <w:szCs w:val="20"/>
        </w:rPr>
        <w:t>External &amp; Internal Ranges, Nested Construction, Controlling Range Selection, Premium/Discount in Delivery Context</w:t>
      </w:r>
    </w:p>
    <w:p w14:paraId="4F9488FA">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 1 (Institutional Price Delivery Framework) and the full Intermediate volume. This module does not re-teach basic equilibrium or premium/discount definitions. It locates the delivery narrative of Module 1 inside nested dealing ranges and trains selection of the controlling range.</w:t>
      </w:r>
    </w:p>
    <w:p w14:paraId="4A54080C">
      <w:pPr>
        <w:pStyle w:val="2"/>
        <w:spacing w:before="360" w:after="240"/>
      </w:pPr>
      <w:r>
        <w:rPr>
          <w:rFonts w:ascii="Arial" w:hAnsi="Arial" w:eastAsia="Arial" w:cs="Arial"/>
          <w:b/>
          <w:bCs/>
          <w:sz w:val="32"/>
          <w:szCs w:val="32"/>
        </w:rPr>
        <w:t>Module Objectives</w:t>
      </w:r>
    </w:p>
    <w:p w14:paraId="7EB8E08A">
      <w:pPr>
        <w:spacing w:after="200" w:line="276" w:lineRule="auto"/>
      </w:pPr>
      <w:r>
        <w:rPr>
          <w:rFonts w:ascii="Arial" w:hAnsi="Arial" w:eastAsia="Arial" w:cs="Arial"/>
          <w:sz w:val="22"/>
          <w:szCs w:val="22"/>
        </w:rPr>
        <w:t>By the end of this module the advanced student should be able to:</w:t>
      </w:r>
    </w:p>
    <w:p w14:paraId="5693C343">
      <w:pPr>
        <w:pStyle w:val="16"/>
        <w:numPr>
          <w:ilvl w:val="0"/>
          <w:numId w:val="1"/>
        </w:numPr>
        <w:spacing w:after="120" w:line="276" w:lineRule="auto"/>
      </w:pPr>
      <w:r>
        <w:rPr>
          <w:rFonts w:ascii="Arial" w:hAnsi="Arial" w:eastAsia="Arial" w:cs="Arial"/>
          <w:sz w:val="22"/>
          <w:szCs w:val="22"/>
        </w:rPr>
        <w:t>Construct dealing ranges on multiple timeframes and state which range is currently controlling the narrative.</w:t>
      </w:r>
    </w:p>
    <w:p w14:paraId="274F8671">
      <w:pPr>
        <w:pStyle w:val="16"/>
        <w:numPr>
          <w:ilvl w:val="0"/>
          <w:numId w:val="1"/>
        </w:numPr>
        <w:spacing w:after="120" w:line="276" w:lineRule="auto"/>
      </w:pPr>
      <w:r>
        <w:rPr>
          <w:rFonts w:ascii="Arial" w:hAnsi="Arial" w:eastAsia="Arial" w:cs="Arial"/>
          <w:sz w:val="22"/>
          <w:szCs w:val="22"/>
        </w:rPr>
        <w:t>Distinguish external range liquidity (ERL) from internal range liquidity (IRL) relative to a chosen dealing range.</w:t>
      </w:r>
    </w:p>
    <w:p w14:paraId="21EA8902">
      <w:pPr>
        <w:pStyle w:val="16"/>
        <w:numPr>
          <w:ilvl w:val="0"/>
          <w:numId w:val="1"/>
        </w:numPr>
        <w:spacing w:after="120" w:line="276" w:lineRule="auto"/>
      </w:pPr>
      <w:r>
        <w:rPr>
          <w:rFonts w:ascii="Arial" w:hAnsi="Arial" w:eastAsia="Arial" w:cs="Arial"/>
          <w:sz w:val="22"/>
          <w:szCs w:val="22"/>
        </w:rPr>
        <w:t>Map a delivery leg (Module 1) onto the premium/discount structure of the controlling range.</w:t>
      </w:r>
    </w:p>
    <w:p w14:paraId="70215F05">
      <w:pPr>
        <w:pStyle w:val="16"/>
        <w:numPr>
          <w:ilvl w:val="0"/>
          <w:numId w:val="1"/>
        </w:numPr>
        <w:spacing w:after="120" w:line="276" w:lineRule="auto"/>
      </w:pPr>
      <w:r>
        <w:rPr>
          <w:rFonts w:ascii="Arial" w:hAnsi="Arial" w:eastAsia="Arial" w:cs="Arial"/>
          <w:sz w:val="22"/>
          <w:szCs w:val="22"/>
        </w:rPr>
        <w:t>Recognise range expansion and contraction as changes in the active container rather than as isolated volatility events.</w:t>
      </w:r>
    </w:p>
    <w:p w14:paraId="5A4B8B7C">
      <w:pPr>
        <w:pStyle w:val="16"/>
        <w:numPr>
          <w:ilvl w:val="0"/>
          <w:numId w:val="1"/>
        </w:numPr>
        <w:spacing w:after="120" w:line="276" w:lineRule="auto"/>
      </w:pPr>
      <w:r>
        <w:rPr>
          <w:rFonts w:ascii="Arial" w:hAnsi="Arial" w:eastAsia="Arial" w:cs="Arial"/>
          <w:sz w:val="22"/>
          <w:szCs w:val="22"/>
        </w:rPr>
        <w:t>Handle nested and multiple simultaneous dealing ranges without narrative conflict.</w:t>
      </w:r>
    </w:p>
    <w:p w14:paraId="0A2DFD8E">
      <w:pPr>
        <w:pStyle w:val="16"/>
        <w:numPr>
          <w:ilvl w:val="0"/>
          <w:numId w:val="1"/>
        </w:numPr>
        <w:spacing w:after="120" w:line="276" w:lineRule="auto"/>
      </w:pPr>
      <w:r>
        <w:rPr>
          <w:rFonts w:ascii="Arial" w:hAnsi="Arial" w:eastAsia="Arial" w:cs="Arial"/>
          <w:sz w:val="22"/>
          <w:szCs w:val="22"/>
        </w:rPr>
        <w:t>Update or retire a dealing range when external structure expands and holds.</w:t>
      </w:r>
    </w:p>
    <w:p w14:paraId="74C20CD4">
      <w:pPr>
        <w:pStyle w:val="16"/>
        <w:numPr>
          <w:ilvl w:val="0"/>
          <w:numId w:val="1"/>
        </w:numPr>
        <w:spacing w:after="120" w:line="276" w:lineRule="auto"/>
      </w:pPr>
      <w:r>
        <w:rPr>
          <w:rFonts w:ascii="Arial" w:hAnsi="Arial" w:eastAsia="Arial" w:cs="Arial"/>
          <w:sz w:val="22"/>
          <w:szCs w:val="22"/>
        </w:rPr>
        <w:t>Select PD arrays and liquidity objectives that are consistent with the controlling range’s premium/discount filter.</w:t>
      </w:r>
    </w:p>
    <w:p w14:paraId="55C0A6D2">
      <w:pPr>
        <w:pStyle w:val="2"/>
        <w:spacing w:before="360" w:after="240"/>
      </w:pPr>
      <w:r>
        <w:rPr>
          <w:rFonts w:ascii="Arial" w:hAnsi="Arial" w:eastAsia="Arial" w:cs="Arial"/>
          <w:b/>
          <w:bCs/>
          <w:sz w:val="32"/>
          <w:szCs w:val="32"/>
        </w:rPr>
        <w:t>1. Dealing Range as the Container of Delivery</w:t>
      </w:r>
    </w:p>
    <w:p w14:paraId="135EA7A3">
      <w:pPr>
        <w:pStyle w:val="3"/>
        <w:spacing w:before="280" w:after="180"/>
      </w:pPr>
      <w:r>
        <w:rPr>
          <w:rFonts w:ascii="Arial" w:hAnsi="Arial" w:eastAsia="Arial" w:cs="Arial"/>
          <w:b/>
          <w:bCs/>
          <w:sz w:val="26"/>
          <w:szCs w:val="26"/>
        </w:rPr>
        <w:t>1.1 Advanced Premise</w:t>
      </w:r>
    </w:p>
    <w:p w14:paraId="23282999">
      <w:pPr>
        <w:spacing w:after="200" w:line="276" w:lineRule="auto"/>
      </w:pPr>
      <w:r>
        <w:rPr>
          <w:rFonts w:ascii="Arial" w:hAnsi="Arial" w:eastAsia="Arial" w:cs="Arial"/>
          <w:sz w:val="22"/>
          <w:szCs w:val="22"/>
        </w:rPr>
        <w:t>Module 1 established that price is delivered from one liquidity pool to another. The dealing range is the price container inside which that delivery is measured. Equilibrium divides the container into premium and discount; those halves filter which PD arrays are high-probability participants in the current delivery leg.</w:t>
      </w:r>
    </w:p>
    <w:p w14:paraId="1A365991">
      <w:pPr>
        <w:pStyle w:val="3"/>
        <w:spacing w:before="280" w:after="180"/>
      </w:pPr>
      <w:r>
        <w:rPr>
          <w:rFonts w:ascii="Arial" w:hAnsi="Arial" w:eastAsia="Arial" w:cs="Arial"/>
          <w:b/>
          <w:bCs/>
          <w:sz w:val="26"/>
          <w:szCs w:val="26"/>
        </w:rPr>
        <w:t>1.2 Construction Rule (Advanced)</w:t>
      </w:r>
    </w:p>
    <w:p w14:paraId="054F5BE0">
      <w:pPr>
        <w:spacing w:after="200" w:line="276" w:lineRule="auto"/>
      </w:pPr>
      <w:r>
        <w:rPr>
          <w:rFonts w:ascii="Arial" w:hAnsi="Arial" w:eastAsia="Arial" w:cs="Arial"/>
          <w:sz w:val="22"/>
          <w:szCs w:val="22"/>
        </w:rPr>
        <w:t>A dealing range is bounded by a swing high and a swing low that are themselves significant: each has either swept prior liquidity or produced a structural break (BOS / MSS). Arbitrary candle extremes are not ranges.</w:t>
      </w:r>
    </w:p>
    <w:p w14:paraId="0A3F4AE3">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Dealing range, equilibrium, premium and discount are core ICT. The requirement that boundaries be structurally or liquidity-validated is consistent with primary teaching and Intermediate refinement.</w:t>
      </w:r>
    </w:p>
    <w:p w14:paraId="14BB3B82">
      <w:pPr>
        <w:pStyle w:val="2"/>
        <w:spacing w:before="360" w:after="240"/>
      </w:pPr>
      <w:r>
        <w:rPr>
          <w:rFonts w:ascii="Arial" w:hAnsi="Arial" w:eastAsia="Arial" w:cs="Arial"/>
          <w:b/>
          <w:bCs/>
          <w:sz w:val="32"/>
          <w:szCs w:val="32"/>
        </w:rPr>
        <w:t>2. External Range vs Internal Range</w:t>
      </w:r>
    </w:p>
    <w:p w14:paraId="3272DF12">
      <w:pPr>
        <w:pStyle w:val="3"/>
        <w:spacing w:before="280" w:after="180"/>
      </w:pPr>
      <w:r>
        <w:rPr>
          <w:rFonts w:ascii="Arial" w:hAnsi="Arial" w:eastAsia="Arial" w:cs="Arial"/>
          <w:b/>
          <w:bCs/>
          <w:sz w:val="26"/>
          <w:szCs w:val="26"/>
        </w:rPr>
        <w:t>2.1 External Range Liquidity (ERL)</w:t>
      </w:r>
    </w:p>
    <w:p w14:paraId="6C467CFC">
      <w:pPr>
        <w:spacing w:after="200" w:line="276" w:lineRule="auto"/>
      </w:pPr>
      <w:r>
        <w:rPr>
          <w:rFonts w:ascii="Arial" w:hAnsi="Arial" w:eastAsia="Arial" w:cs="Arial"/>
          <w:sz w:val="22"/>
          <w:szCs w:val="22"/>
        </w:rPr>
        <w:t>External Range Liquidity sits outside the current dealing-range boundaries — above the range high (buy-side) and below the range low (sell-side). ERL is the typical final destination of a completed delivery leg that expands the range or leaves it.</w:t>
      </w:r>
    </w:p>
    <w:p w14:paraId="44271BCB">
      <w:pPr>
        <w:pStyle w:val="3"/>
        <w:spacing w:before="280" w:after="180"/>
      </w:pPr>
      <w:r>
        <w:rPr>
          <w:rFonts w:ascii="Arial" w:hAnsi="Arial" w:eastAsia="Arial" w:cs="Arial"/>
          <w:b/>
          <w:bCs/>
          <w:sz w:val="26"/>
          <w:szCs w:val="26"/>
        </w:rPr>
        <w:t>2.2 Internal Range Liquidity (IRL)</w:t>
      </w:r>
    </w:p>
    <w:p w14:paraId="2F42C2E3">
      <w:pPr>
        <w:spacing w:after="200" w:line="276" w:lineRule="auto"/>
      </w:pPr>
      <w:r>
        <w:rPr>
          <w:rFonts w:ascii="Arial" w:hAnsi="Arial" w:eastAsia="Arial" w:cs="Arial"/>
          <w:sz w:val="22"/>
          <w:szCs w:val="22"/>
        </w:rPr>
        <w:t>Internal Range Liquidity sits inside the dealing range. It includes internal swing points, equal highs/lows inside the range, and, importantly in ICT usage, imbalances (FVGs) that form within the range. IRL often supplies intermediate targets and the PD arrays used for entry during retracement phases of delivery.</w:t>
      </w:r>
    </w:p>
    <w:p w14:paraId="0D7018EB">
      <w:pPr>
        <w:pStyle w:val="3"/>
        <w:spacing w:before="280" w:after="180"/>
      </w:pPr>
      <w:r>
        <w:rPr>
          <w:rFonts w:ascii="Arial" w:hAnsi="Arial" w:eastAsia="Arial" w:cs="Arial"/>
          <w:b/>
          <w:bCs/>
          <w:sz w:val="26"/>
          <w:szCs w:val="26"/>
        </w:rPr>
        <w:t>2.3 Delivery Implication</w:t>
      </w:r>
    </w:p>
    <w:p w14:paraId="683B767A">
      <w:pPr>
        <w:spacing w:after="200" w:line="276" w:lineRule="auto"/>
      </w:pPr>
      <w:r>
        <w:rPr>
          <w:rFonts w:ascii="Arial" w:hAnsi="Arial" w:eastAsia="Arial" w:cs="Arial"/>
          <w:sz w:val="22"/>
          <w:szCs w:val="22"/>
        </w:rPr>
        <w:t>A common high-quality sequence is: raid of IRL or of the opposing range boundary → displacement → retracement into an internal PD array → continuation toward ERL. The advanced student always knows whether the current objective is still internal or has become external.</w:t>
      </w:r>
    </w:p>
    <w:p w14:paraId="3AD42554">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IRL / ERL distinction is explicitly used in ICT teaching relative to the dealing range.</w:t>
      </w:r>
    </w:p>
    <w:p w14:paraId="695BF6B7">
      <w:pPr>
        <w:pStyle w:val="2"/>
        <w:spacing w:before="360" w:after="240"/>
      </w:pPr>
      <w:r>
        <w:rPr>
          <w:rFonts w:ascii="Arial" w:hAnsi="Arial" w:eastAsia="Arial" w:cs="Arial"/>
          <w:b/>
          <w:bCs/>
          <w:sz w:val="32"/>
          <w:szCs w:val="32"/>
        </w:rPr>
        <w:t>3. Nested Dealing Ranges</w:t>
      </w:r>
    </w:p>
    <w:p w14:paraId="00E45E8F">
      <w:pPr>
        <w:pStyle w:val="3"/>
        <w:spacing w:before="280" w:after="180"/>
      </w:pPr>
      <w:r>
        <w:rPr>
          <w:rFonts w:ascii="Arial" w:hAnsi="Arial" w:eastAsia="Arial" w:cs="Arial"/>
          <w:b/>
          <w:bCs/>
          <w:sz w:val="26"/>
          <w:szCs w:val="26"/>
        </w:rPr>
        <w:t>3.1 Fractal Construction</w:t>
      </w:r>
    </w:p>
    <w:p w14:paraId="5D4F4ED5">
      <w:pPr>
        <w:spacing w:after="200" w:line="276" w:lineRule="auto"/>
      </w:pPr>
      <w:r>
        <w:rPr>
          <w:rFonts w:ascii="Arial" w:hAnsi="Arial" w:eastAsia="Arial" w:cs="Arial"/>
          <w:sz w:val="22"/>
          <w:szCs w:val="22"/>
        </w:rPr>
        <w:t>Dealing ranges nest. A monthly range contains weekly ranges; a weekly range contains daily ranges; a daily range contains session or 1-hour ranges. Each lower-timeframe range is a refinement of delivery inside the higher-timeframe container.</w:t>
      </w:r>
    </w:p>
    <w:p w14:paraId="26E8A91F">
      <w:pPr>
        <w:pStyle w:val="3"/>
        <w:spacing w:before="280" w:after="180"/>
      </w:pPr>
      <w:r>
        <w:rPr>
          <w:rFonts w:ascii="Arial" w:hAnsi="Arial" w:eastAsia="Arial" w:cs="Arial"/>
          <w:b/>
          <w:bCs/>
          <w:sz w:val="26"/>
          <w:szCs w:val="26"/>
        </w:rPr>
        <w:t>3.2 Controlling Range</w:t>
      </w:r>
    </w:p>
    <w:p w14:paraId="0E2AB9F1">
      <w:pPr>
        <w:spacing w:after="200" w:line="276" w:lineRule="auto"/>
      </w:pPr>
      <w:r>
        <w:rPr>
          <w:rFonts w:ascii="Arial" w:hAnsi="Arial" w:eastAsia="Arial" w:cs="Arial"/>
          <w:sz w:val="22"/>
          <w:szCs w:val="22"/>
        </w:rPr>
        <w:t>The controlling range is the highest-timeframe range that still constrains the current narrative. When weekly and daily ranges agree on premium/discount location relative to the intended delivery direction, confluence is high. When they conflict, the higher-timeframe range retains priority for bias; the lower-timeframe range is used only for timing.</w:t>
      </w:r>
    </w:p>
    <w:p w14:paraId="3A454FC0">
      <w:pPr>
        <w:pStyle w:val="3"/>
        <w:spacing w:before="280" w:after="180"/>
      </w:pPr>
      <w:r>
        <w:rPr>
          <w:rFonts w:ascii="Arial" w:hAnsi="Arial" w:eastAsia="Arial" w:cs="Arial"/>
          <w:b/>
          <w:bCs/>
          <w:sz w:val="26"/>
          <w:szCs w:val="26"/>
        </w:rPr>
        <w:t>3.3 Practical Rule</w:t>
      </w:r>
    </w:p>
    <w:p w14:paraId="38E399AA">
      <w:pPr>
        <w:spacing w:after="200" w:line="276" w:lineRule="auto"/>
      </w:pPr>
      <w:r>
        <w:rPr>
          <w:rFonts w:ascii="Arial" w:hAnsi="Arial" w:eastAsia="Arial" w:cs="Arial"/>
          <w:sz w:val="22"/>
          <w:szCs w:val="22"/>
        </w:rPr>
        <w:t>Before selecting any PD array or entry model, state the controlling range and whether price is in its premium or discount half. Then state the next lower range that will be used for execution refinement.</w:t>
      </w:r>
    </w:p>
    <w:p w14:paraId="3671802D">
      <w:pPr>
        <w:pStyle w:val="2"/>
        <w:spacing w:before="360" w:after="240"/>
      </w:pPr>
      <w:r>
        <w:rPr>
          <w:rFonts w:ascii="Arial" w:hAnsi="Arial" w:eastAsia="Arial" w:cs="Arial"/>
          <w:b/>
          <w:bCs/>
          <w:sz w:val="32"/>
          <w:szCs w:val="32"/>
        </w:rPr>
        <w:t>4. Multiple Simultaneous Ranges</w:t>
      </w:r>
    </w:p>
    <w:p w14:paraId="5DB0219C">
      <w:pPr>
        <w:pStyle w:val="3"/>
        <w:spacing w:before="280" w:after="180"/>
      </w:pPr>
      <w:r>
        <w:rPr>
          <w:rFonts w:ascii="Arial" w:hAnsi="Arial" w:eastAsia="Arial" w:cs="Arial"/>
          <w:b/>
          <w:bCs/>
          <w:sz w:val="26"/>
          <w:szCs w:val="26"/>
        </w:rPr>
        <w:t>4.1 Recognition</w:t>
      </w:r>
    </w:p>
    <w:p w14:paraId="2A9518E7">
      <w:pPr>
        <w:spacing w:after="200" w:line="276" w:lineRule="auto"/>
      </w:pPr>
      <w:r>
        <w:rPr>
          <w:rFonts w:ascii="Arial" w:hAnsi="Arial" w:eastAsia="Arial" w:cs="Arial"/>
          <w:sz w:val="22"/>
          <w:szCs w:val="22"/>
        </w:rPr>
        <w:t>At any moment several ranges may be active: a weekly range still being delivered, a daily range that has just expanded, and a session range that is consolidating. The advanced task is to rank them by narrative authority, not to treat them as equal.</w:t>
      </w:r>
    </w:p>
    <w:p w14:paraId="0B6DC9F8">
      <w:pPr>
        <w:pStyle w:val="3"/>
        <w:spacing w:before="280" w:after="180"/>
      </w:pPr>
      <w:r>
        <w:rPr>
          <w:rFonts w:ascii="Arial" w:hAnsi="Arial" w:eastAsia="Arial" w:cs="Arial"/>
          <w:b/>
          <w:bCs/>
          <w:sz w:val="26"/>
          <w:szCs w:val="26"/>
        </w:rPr>
        <w:t>4.2 Selection Discipline</w:t>
      </w:r>
    </w:p>
    <w:p w14:paraId="5B3992EB">
      <w:pPr>
        <w:spacing w:after="200" w:line="276" w:lineRule="auto"/>
      </w:pPr>
      <w:r>
        <w:rPr>
          <w:rFonts w:ascii="Arial" w:hAnsi="Arial" w:eastAsia="Arial" w:cs="Arial"/>
          <w:sz w:val="22"/>
          <w:szCs w:val="22"/>
        </w:rPr>
        <w:t>Authority flows from higher timeframe to lower. A session-range discount long that sits in weekly premium is fighting the controlling narrative unless the weekly delivery has itself failed.</w:t>
      </w:r>
    </w:p>
    <w:p w14:paraId="408A390F">
      <w:pPr>
        <w:pStyle w:val="2"/>
        <w:spacing w:before="360" w:after="240"/>
      </w:pPr>
      <w:r>
        <w:rPr>
          <w:rFonts w:ascii="Arial" w:hAnsi="Arial" w:eastAsia="Arial" w:cs="Arial"/>
          <w:b/>
          <w:bCs/>
          <w:sz w:val="32"/>
          <w:szCs w:val="32"/>
        </w:rPr>
        <w:t>5. Range Expansion and Contraction in Delivery Context</w:t>
      </w:r>
    </w:p>
    <w:p w14:paraId="4C8F6391">
      <w:pPr>
        <w:pStyle w:val="3"/>
        <w:spacing w:before="280" w:after="180"/>
      </w:pPr>
      <w:r>
        <w:rPr>
          <w:rFonts w:ascii="Arial" w:hAnsi="Arial" w:eastAsia="Arial" w:cs="Arial"/>
          <w:b/>
          <w:bCs/>
          <w:sz w:val="26"/>
          <w:szCs w:val="26"/>
        </w:rPr>
        <w:t>5.1 Expansion</w:t>
      </w:r>
    </w:p>
    <w:p w14:paraId="4943DAFC">
      <w:pPr>
        <w:spacing w:after="200" w:line="276" w:lineRule="auto"/>
      </w:pPr>
      <w:r>
        <w:rPr>
          <w:rFonts w:ascii="Arial" w:hAnsi="Arial" w:eastAsia="Arial" w:cs="Arial"/>
          <w:sz w:val="22"/>
          <w:szCs w:val="22"/>
        </w:rPr>
        <w:t>Range expansion occurs when price leaves the current boundaries with displacement and the new extreme holds. The old range is retired or becomes internal to a new, larger container. Expansion is often the visible completion of a delivery leg toward prior ERL, which then becomes the new boundary.</w:t>
      </w:r>
    </w:p>
    <w:p w14:paraId="64C61A27">
      <w:pPr>
        <w:pStyle w:val="3"/>
        <w:spacing w:before="280" w:after="180"/>
      </w:pPr>
      <w:r>
        <w:rPr>
          <w:rFonts w:ascii="Arial" w:hAnsi="Arial" w:eastAsia="Arial" w:cs="Arial"/>
          <w:b/>
          <w:bCs/>
          <w:sz w:val="26"/>
          <w:szCs w:val="26"/>
        </w:rPr>
        <w:t>5.2 Contraction</w:t>
      </w:r>
    </w:p>
    <w:p w14:paraId="7DFF9FE8">
      <w:pPr>
        <w:spacing w:after="200" w:line="276" w:lineRule="auto"/>
      </w:pPr>
      <w:r>
        <w:rPr>
          <w:rFonts w:ascii="Arial" w:hAnsi="Arial" w:eastAsia="Arial" w:cs="Arial"/>
          <w:sz w:val="22"/>
          <w:szCs w:val="22"/>
        </w:rPr>
        <w:t>Range contraction is the formation of a tighter container inside the larger range. It is the typical environment in which the next manipulation and expansion are prepared. Prolonged contraction without displacement is not an invitation to force trades; it is a signal that delivery has not yet resumed.</w:t>
      </w:r>
    </w:p>
    <w:p w14:paraId="04129C58">
      <w:pPr>
        <w:pStyle w:val="3"/>
        <w:spacing w:before="280" w:after="180"/>
      </w:pPr>
      <w:r>
        <w:rPr>
          <w:rFonts w:ascii="Arial" w:hAnsi="Arial" w:eastAsia="Arial" w:cs="Arial"/>
          <w:b/>
          <w:bCs/>
          <w:sz w:val="26"/>
          <w:szCs w:val="26"/>
        </w:rPr>
        <w:t>5.3 Link to Module 1 Conditions</w:t>
      </w:r>
    </w:p>
    <w:p w14:paraId="0A8FE201">
      <w:pPr>
        <w:spacing w:after="200" w:line="276" w:lineRule="auto"/>
      </w:pPr>
      <w:r>
        <w:rPr>
          <w:rFonts w:ascii="Arial" w:hAnsi="Arial" w:eastAsia="Arial" w:cs="Arial"/>
          <w:sz w:val="22"/>
          <w:szCs w:val="22"/>
        </w:rPr>
        <w:t>Consolidation often coincides with contraction or with a stable range. Expansion is the delivery condition that creates new range boundaries. Retracement occurs inside the range. Reversal may expand the range in the opposite direction and redefine the container.</w:t>
      </w:r>
    </w:p>
    <w:p w14:paraId="7D15AB7E">
      <w:pPr>
        <w:pStyle w:val="2"/>
        <w:spacing w:before="360" w:after="240"/>
      </w:pPr>
      <w:r>
        <w:rPr>
          <w:rFonts w:ascii="Arial" w:hAnsi="Arial" w:eastAsia="Arial" w:cs="Arial"/>
          <w:b/>
          <w:bCs/>
          <w:sz w:val="32"/>
          <w:szCs w:val="32"/>
        </w:rPr>
        <w:t>6. Premium / Discount as Delivery Filters</w:t>
      </w:r>
    </w:p>
    <w:p w14:paraId="2C5F13FC">
      <w:pPr>
        <w:pStyle w:val="3"/>
        <w:spacing w:before="280" w:after="180"/>
      </w:pPr>
      <w:r>
        <w:rPr>
          <w:rFonts w:ascii="Arial" w:hAnsi="Arial" w:eastAsia="Arial" w:cs="Arial"/>
          <w:b/>
          <w:bCs/>
          <w:sz w:val="26"/>
          <w:szCs w:val="26"/>
        </w:rPr>
        <w:t>6.1 Advanced Application</w:t>
      </w:r>
    </w:p>
    <w:p w14:paraId="04570CE5">
      <w:pPr>
        <w:spacing w:after="200" w:line="276" w:lineRule="auto"/>
      </w:pPr>
      <w:r>
        <w:rPr>
          <w:rFonts w:ascii="Arial" w:hAnsi="Arial" w:eastAsia="Arial" w:cs="Arial"/>
          <w:sz w:val="22"/>
          <w:szCs w:val="22"/>
        </w:rPr>
        <w:t>Premium and discount are not static labels; they are filters on participation in the current delivery leg. When the higher-timeframe delivery is bullish, long PD arrays are preferentially sought in discount of the controlling range. When the delivery is bearish, short PD arrays are preferentially sought in premium.</w:t>
      </w:r>
    </w:p>
    <w:p w14:paraId="4442D526">
      <w:pPr>
        <w:pStyle w:val="3"/>
        <w:spacing w:before="280" w:after="180"/>
      </w:pPr>
      <w:r>
        <w:rPr>
          <w:rFonts w:ascii="Arial" w:hAnsi="Arial" w:eastAsia="Arial" w:cs="Arial"/>
          <w:b/>
          <w:bCs/>
          <w:sz w:val="26"/>
          <w:szCs w:val="26"/>
        </w:rPr>
        <w:t>6.2 Wrong-Half Participation</w:t>
      </w:r>
    </w:p>
    <w:p w14:paraId="0DE5F486">
      <w:pPr>
        <w:spacing w:after="200" w:line="276" w:lineRule="auto"/>
      </w:pPr>
      <w:r>
        <w:rPr>
          <w:rFonts w:ascii="Arial" w:hAnsi="Arial" w:eastAsia="Arial" w:cs="Arial"/>
          <w:sz w:val="22"/>
          <w:szCs w:val="22"/>
        </w:rPr>
        <w:t>A technically perfect bullish Order Block or FVG that sits in deep premium of the controlling range is participating against the location filter. It may still work if higher-timeframe confluence is overwhelming, but it is lower probability and requires stronger displacement and structural confirmation.</w:t>
      </w:r>
    </w:p>
    <w:p w14:paraId="67965CB1">
      <w:pPr>
        <w:pStyle w:val="3"/>
        <w:spacing w:before="280" w:after="180"/>
      </w:pPr>
      <w:r>
        <w:rPr>
          <w:rFonts w:ascii="Arial" w:hAnsi="Arial" w:eastAsia="Arial" w:cs="Arial"/>
          <w:b/>
          <w:bCs/>
          <w:sz w:val="26"/>
          <w:szCs w:val="26"/>
        </w:rPr>
        <w:t>6.3 Target Symmetry</w:t>
      </w:r>
    </w:p>
    <w:p w14:paraId="0518E195">
      <w:pPr>
        <w:spacing w:after="200" w:line="276" w:lineRule="auto"/>
      </w:pPr>
      <w:r>
        <w:rPr>
          <w:rFonts w:ascii="Arial" w:hAnsi="Arial" w:eastAsia="Arial" w:cs="Arial"/>
          <w:sz w:val="22"/>
          <w:szCs w:val="22"/>
        </w:rPr>
        <w:t>In a bullish delivery the premium half of the range (and ultimately the ERL above the range high) is the natural target territory. In a bearish delivery the discount half and the ERL below the range low serve the same role.</w:t>
      </w:r>
    </w:p>
    <w:p w14:paraId="36D86B71">
      <w:pPr>
        <w:pStyle w:val="2"/>
        <w:spacing w:before="360" w:after="240"/>
      </w:pPr>
      <w:r>
        <w:rPr>
          <w:rFonts w:ascii="Arial" w:hAnsi="Arial" w:eastAsia="Arial" w:cs="Arial"/>
          <w:b/>
          <w:bCs/>
          <w:sz w:val="32"/>
          <w:szCs w:val="32"/>
        </w:rPr>
        <w:t>7. Selecting the Controlling Range — Procedure</w:t>
      </w:r>
    </w:p>
    <w:p w14:paraId="17553466">
      <w:pPr>
        <w:pStyle w:val="16"/>
        <w:numPr>
          <w:ilvl w:val="0"/>
          <w:numId w:val="2"/>
        </w:numPr>
        <w:spacing w:after="120" w:line="276" w:lineRule="auto"/>
      </w:pPr>
      <w:r>
        <w:rPr>
          <w:rFonts w:ascii="Arial" w:hAnsi="Arial" w:eastAsia="Arial" w:cs="Arial"/>
          <w:sz w:val="22"/>
          <w:szCs w:val="22"/>
        </w:rPr>
        <w:t>Identify the highest-timeframe range that still frames the active liquidity objective (monthly or weekly for swing narratives; daily for intraday).</w:t>
      </w:r>
    </w:p>
    <w:p w14:paraId="0202D55F">
      <w:pPr>
        <w:pStyle w:val="16"/>
        <w:numPr>
          <w:ilvl w:val="0"/>
          <w:numId w:val="2"/>
        </w:numPr>
        <w:spacing w:after="120" w:line="276" w:lineRule="auto"/>
      </w:pPr>
      <w:r>
        <w:rPr>
          <w:rFonts w:ascii="Arial" w:hAnsi="Arial" w:eastAsia="Arial" w:cs="Arial"/>
          <w:sz w:val="22"/>
          <w:szCs w:val="22"/>
        </w:rPr>
        <w:t>Confirm that both boundaries are structurally or liquidity-validated.</w:t>
      </w:r>
    </w:p>
    <w:p w14:paraId="34A7F9B5">
      <w:pPr>
        <w:pStyle w:val="16"/>
        <w:numPr>
          <w:ilvl w:val="0"/>
          <w:numId w:val="2"/>
        </w:numPr>
        <w:spacing w:after="120" w:line="276" w:lineRule="auto"/>
      </w:pPr>
      <w:r>
        <w:rPr>
          <w:rFonts w:ascii="Arial" w:hAnsi="Arial" w:eastAsia="Arial" w:cs="Arial"/>
          <w:sz w:val="22"/>
          <w:szCs w:val="22"/>
        </w:rPr>
        <w:t>Locate equilibrium and label premium / discount.</w:t>
      </w:r>
    </w:p>
    <w:p w14:paraId="57E7B442">
      <w:pPr>
        <w:pStyle w:val="16"/>
        <w:numPr>
          <w:ilvl w:val="0"/>
          <w:numId w:val="2"/>
        </w:numPr>
        <w:spacing w:after="120" w:line="276" w:lineRule="auto"/>
      </w:pPr>
      <w:r>
        <w:rPr>
          <w:rFonts w:ascii="Arial" w:hAnsi="Arial" w:eastAsia="Arial" w:cs="Arial"/>
          <w:sz w:val="22"/>
          <w:szCs w:val="22"/>
        </w:rPr>
        <w:t>State the current delivery objective (Module 1) relative to that range: which pool is being sought, and is price in the correct half to support the intended direction?</w:t>
      </w:r>
    </w:p>
    <w:p w14:paraId="03EE3C61">
      <w:pPr>
        <w:pStyle w:val="16"/>
        <w:numPr>
          <w:ilvl w:val="0"/>
          <w:numId w:val="2"/>
        </w:numPr>
        <w:spacing w:after="120" w:line="276" w:lineRule="auto"/>
      </w:pPr>
      <w:r>
        <w:rPr>
          <w:rFonts w:ascii="Arial" w:hAnsi="Arial" w:eastAsia="Arial" w:cs="Arial"/>
          <w:sz w:val="22"/>
          <w:szCs w:val="22"/>
        </w:rPr>
        <w:t>Identify the next lower-timeframe range that will supply the entry PD arrays and the conditioning sequence.</w:t>
      </w:r>
    </w:p>
    <w:p w14:paraId="2371D441">
      <w:pPr>
        <w:pStyle w:val="16"/>
        <w:numPr>
          <w:ilvl w:val="0"/>
          <w:numId w:val="2"/>
        </w:numPr>
        <w:spacing w:after="120" w:line="276" w:lineRule="auto"/>
      </w:pPr>
      <w:r>
        <w:rPr>
          <w:rFonts w:ascii="Arial" w:hAnsi="Arial" w:eastAsia="Arial" w:cs="Arial"/>
          <w:sz w:val="22"/>
          <w:szCs w:val="22"/>
        </w:rPr>
        <w:t>If the lower-timeframe range’s premium/discount conflicts with the controlling range, require additional confluence or stand aside.</w:t>
      </w:r>
    </w:p>
    <w:p w14:paraId="7487264F">
      <w:pPr>
        <w:pStyle w:val="16"/>
        <w:numPr>
          <w:ilvl w:val="0"/>
          <w:numId w:val="2"/>
        </w:numPr>
        <w:spacing w:after="120" w:line="276" w:lineRule="auto"/>
      </w:pPr>
      <w:r>
        <w:rPr>
          <w:rFonts w:ascii="Arial" w:hAnsi="Arial" w:eastAsia="Arial" w:cs="Arial"/>
          <w:sz w:val="22"/>
          <w:szCs w:val="22"/>
        </w:rPr>
        <w:t>Update the controlling range when expansion beyond a boundary holds and a new structural extreme is accepted.</w:t>
      </w:r>
    </w:p>
    <w:p w14:paraId="0FD254ED">
      <w:pPr>
        <w:pStyle w:val="2"/>
        <w:spacing w:before="360" w:after="240"/>
      </w:pPr>
      <w:r>
        <w:rPr>
          <w:rFonts w:ascii="Arial" w:hAnsi="Arial" w:eastAsia="Arial" w:cs="Arial"/>
          <w:b/>
          <w:bCs/>
          <w:sz w:val="32"/>
          <w:szCs w:val="32"/>
        </w:rPr>
        <w:t>8. Worked Narrative — Nested Ranges in Delivery</w:t>
      </w:r>
    </w:p>
    <w:p w14:paraId="6B5D6B35">
      <w:pPr>
        <w:spacing w:after="200" w:line="276" w:lineRule="auto"/>
      </w:pPr>
      <w:r>
        <w:rPr>
          <w:rFonts w:ascii="Arial" w:hAnsi="Arial" w:eastAsia="Arial" w:cs="Arial"/>
          <w:sz w:val="22"/>
          <w:szCs w:val="22"/>
        </w:rPr>
        <w:t>Weekly controlling range: 1.0500–1.1200, equilibrium 1.0850. Price is at 1.0620 (discount). Weekly delivery objective is buy-side liquidity above 1.1200.</w:t>
      </w:r>
    </w:p>
    <w:p w14:paraId="204C171B">
      <w:pPr>
        <w:spacing w:after="200" w:line="276" w:lineRule="auto"/>
      </w:pPr>
      <w:r>
        <w:rPr>
          <w:rFonts w:ascii="Arial" w:hAnsi="Arial" w:eastAsia="Arial" w:cs="Arial"/>
          <w:sz w:val="22"/>
          <w:szCs w:val="22"/>
        </w:rPr>
        <w:t>Daily range nested inside: 1.0550–1.0800, equilibrium 1.0675. Price has just swept the daily low and displaced higher, leaving a daily FVG in discount of both the daily and the weekly range.</w:t>
      </w:r>
    </w:p>
    <w:p w14:paraId="69BE9D06">
      <w:pPr>
        <w:spacing w:after="200" w:line="276" w:lineRule="auto"/>
      </w:pPr>
      <w:r>
        <w:rPr>
          <w:rFonts w:ascii="Arial" w:hAnsi="Arial" w:eastAsia="Arial" w:cs="Arial"/>
          <w:sz w:val="22"/>
          <w:szCs w:val="22"/>
        </w:rPr>
        <w:t>Session range: consolidating inside the daily FVG. London produces a further sell-side raid and a bullish MSS.</w:t>
      </w:r>
    </w:p>
    <w:p w14:paraId="4E0621FB">
      <w:pPr>
        <w:spacing w:after="200" w:line="276" w:lineRule="auto"/>
      </w:pPr>
      <w:r>
        <w:rPr>
          <w:rFonts w:ascii="Arial" w:hAnsi="Arial" w:eastAsia="Arial" w:cs="Arial"/>
          <w:sz w:val="22"/>
          <w:szCs w:val="22"/>
        </w:rPr>
        <w:t>Narrative statement: “Weekly delivery is seeking the external buy-side pool above 1.1200. Price is in weekly and daily discount. The daily displacement FVG, reinforced by London conditioning, supplies the entry. Intermediate targets are daily internal buy-side pools; the final objective remains weekly ERL.”</w:t>
      </w:r>
    </w:p>
    <w:p w14:paraId="7647F34D">
      <w:pPr>
        <w:spacing w:after="200" w:line="276" w:lineRule="auto"/>
      </w:pPr>
      <w:r>
        <w:rPr>
          <w:rFonts w:ascii="Arial" w:hAnsi="Arial" w:eastAsia="Arial" w:cs="Arial"/>
          <w:sz w:val="22"/>
          <w:szCs w:val="22"/>
        </w:rPr>
        <w:t>This is range-aligned, multi-timeframe delivery. A long taken from a premium daily array while the weekly remained in discount would have been range-misaligned.</w:t>
      </w:r>
    </w:p>
    <w:p w14:paraId="28F454A3">
      <w:pPr>
        <w:pStyle w:val="2"/>
        <w:spacing w:before="360" w:after="240"/>
      </w:pPr>
      <w:r>
        <w:rPr>
          <w:rFonts w:ascii="Arial" w:hAnsi="Arial" w:eastAsia="Arial" w:cs="Arial"/>
          <w:b/>
          <w:bCs/>
          <w:sz w:val="32"/>
          <w:szCs w:val="32"/>
        </w:rPr>
        <w:t>Visual Reference — Nested Ranges &amp; IRL / ERL</w:t>
      </w:r>
    </w:p>
    <w:p w14:paraId="6D182650">
      <w:pPr>
        <w:spacing w:after="0" w:line="240" w:lineRule="auto"/>
      </w:pPr>
      <w:r>
        <w:rPr>
          <w:rFonts w:ascii="Courier New" w:hAnsi="Courier New" w:eastAsia="Courier New" w:cs="Courier New"/>
          <w:sz w:val="18"/>
          <w:szCs w:val="18"/>
        </w:rPr>
        <w:t>Weekly ERL (BSL) ─────────────────────────</w:t>
      </w:r>
    </w:p>
    <w:p w14:paraId="2FE46F88">
      <w:pPr>
        <w:spacing w:after="0" w:line="240" w:lineRule="auto"/>
      </w:pPr>
      <w:r>
        <w:rPr>
          <w:rFonts w:ascii="Courier New" w:hAnsi="Courier New" w:eastAsia="Courier New" w:cs="Courier New"/>
          <w:sz w:val="18"/>
          <w:szCs w:val="18"/>
        </w:rPr>
        <w:t xml:space="preserve">     Weekly Premium</w:t>
      </w:r>
    </w:p>
    <w:p w14:paraId="3E201788">
      <w:pPr>
        <w:spacing w:after="0" w:line="240" w:lineRule="auto"/>
      </w:pPr>
      <w:r>
        <w:rPr>
          <w:rFonts w:ascii="Courier New" w:hAnsi="Courier New" w:eastAsia="Courier New" w:cs="Courier New"/>
          <w:sz w:val="18"/>
          <w:szCs w:val="18"/>
        </w:rPr>
        <w:t xml:space="preserve">     ──────── Weekly Equilibrium ────────</w:t>
      </w:r>
    </w:p>
    <w:p w14:paraId="06090CD3">
      <w:pPr>
        <w:spacing w:after="0" w:line="240" w:lineRule="auto"/>
      </w:pPr>
      <w:r>
        <w:rPr>
          <w:rFonts w:ascii="Courier New" w:hAnsi="Courier New" w:eastAsia="Courier New" w:cs="Courier New"/>
          <w:sz w:val="18"/>
          <w:szCs w:val="18"/>
        </w:rPr>
        <w:t xml:space="preserve">     Weekly Discount</w:t>
      </w:r>
    </w:p>
    <w:p w14:paraId="7594E519">
      <w:pPr>
        <w:spacing w:after="0" w:line="240" w:lineRule="auto"/>
      </w:pPr>
      <w:r>
        <w:rPr>
          <w:rFonts w:ascii="Courier New" w:hAnsi="Courier New" w:eastAsia="Courier New" w:cs="Courier New"/>
          <w:sz w:val="18"/>
          <w:szCs w:val="18"/>
        </w:rPr>
        <w:t xml:space="preserve">        Daily ERL (high) ───────────────</w:t>
      </w:r>
    </w:p>
    <w:p w14:paraId="002C1FD0">
      <w:pPr>
        <w:spacing w:after="0" w:line="240" w:lineRule="auto"/>
      </w:pPr>
      <w:r>
        <w:rPr>
          <w:rFonts w:ascii="Courier New" w:hAnsi="Courier New" w:eastAsia="Courier New" w:cs="Courier New"/>
          <w:sz w:val="18"/>
          <w:szCs w:val="18"/>
        </w:rPr>
        <w:t xml:space="preserve">           Daily Premium</w:t>
      </w:r>
    </w:p>
    <w:p w14:paraId="1CBC8823">
      <w:pPr>
        <w:spacing w:after="0" w:line="240" w:lineRule="auto"/>
      </w:pPr>
      <w:r>
        <w:rPr>
          <w:rFonts w:ascii="Courier New" w:hAnsi="Courier New" w:eastAsia="Courier New" w:cs="Courier New"/>
          <w:sz w:val="18"/>
          <w:szCs w:val="18"/>
        </w:rPr>
        <w:t xml:space="preserve">           ── Daily Equilibrium ──</w:t>
      </w:r>
    </w:p>
    <w:p w14:paraId="1F91753F">
      <w:pPr>
        <w:spacing w:after="0" w:line="240" w:lineRule="auto"/>
      </w:pPr>
      <w:r>
        <w:rPr>
          <w:rFonts w:ascii="Courier New" w:hAnsi="Courier New" w:eastAsia="Courier New" w:cs="Courier New"/>
          <w:sz w:val="18"/>
          <w:szCs w:val="18"/>
        </w:rPr>
        <w:t xml:space="preserve">           Daily Discount   ← IRL / PD arrays here</w:t>
      </w:r>
    </w:p>
    <w:p w14:paraId="0DC2EA68">
      <w:pPr>
        <w:spacing w:after="0" w:line="240" w:lineRule="auto"/>
      </w:pPr>
      <w:r>
        <w:rPr>
          <w:rFonts w:ascii="Courier New" w:hAnsi="Courier New" w:eastAsia="Courier New" w:cs="Courier New"/>
          <w:sz w:val="18"/>
          <w:szCs w:val="18"/>
        </w:rPr>
        <w:t xml:space="preserve">        Daily ERL (low)  ───────────────</w:t>
      </w:r>
    </w:p>
    <w:p w14:paraId="6B4943FF">
      <w:pPr>
        <w:spacing w:after="0" w:line="240" w:lineRule="auto"/>
      </w:pPr>
      <w:r>
        <w:rPr>
          <w:rFonts w:ascii="Courier New" w:hAnsi="Courier New" w:eastAsia="Courier New" w:cs="Courier New"/>
          <w:sz w:val="18"/>
          <w:szCs w:val="18"/>
        </w:rPr>
        <w:t>Weekly ERL (SSL) ─────────────────────────</w:t>
      </w:r>
    </w:p>
    <w:p w14:paraId="7BD937A9">
      <w:pPr>
        <w:spacing w:after="200" w:line="276" w:lineRule="auto"/>
      </w:pPr>
      <w:r>
        <w:rPr>
          <w:rFonts w:ascii="Arial" w:hAnsi="Arial" w:eastAsia="Arial" w:cs="Arial"/>
          <w:sz w:val="22"/>
          <w:szCs w:val="22"/>
        </w:rPr>
        <w:t>Delivery that begins with a raid of daily or weekly SSL and expands toward weekly BSL is range-aligned when entries are taken from discount PD arrays inside the nested containers.</w:t>
      </w:r>
    </w:p>
    <w:p w14:paraId="353B25A0">
      <w:pPr>
        <w:pStyle w:val="2"/>
        <w:spacing w:before="360" w:after="240"/>
      </w:pPr>
      <w:r>
        <w:rPr>
          <w:rFonts w:ascii="Arial" w:hAnsi="Arial" w:eastAsia="Arial" w:cs="Arial"/>
          <w:b/>
          <w:bCs/>
          <w:sz w:val="32"/>
          <w:szCs w:val="32"/>
        </w:rPr>
        <w:t>9. Failure and Range Retirement</w:t>
      </w:r>
    </w:p>
    <w:p w14:paraId="75A5CCA4">
      <w:pPr>
        <w:spacing w:after="200" w:line="276" w:lineRule="auto"/>
      </w:pPr>
      <w:r>
        <w:rPr>
          <w:rFonts w:ascii="Arial" w:hAnsi="Arial" w:eastAsia="Arial" w:cs="Arial"/>
          <w:sz w:val="22"/>
          <w:szCs w:val="22"/>
        </w:rPr>
        <w:t>A dealing range is retired or expanded when:</w:t>
      </w:r>
    </w:p>
    <w:p w14:paraId="3210430F">
      <w:pPr>
        <w:pStyle w:val="16"/>
        <w:numPr>
          <w:ilvl w:val="0"/>
          <w:numId w:val="1"/>
        </w:numPr>
        <w:spacing w:after="120" w:line="276" w:lineRule="auto"/>
      </w:pPr>
      <w:r>
        <w:rPr>
          <w:rFonts w:ascii="Arial" w:hAnsi="Arial" w:eastAsia="Arial" w:cs="Arial"/>
          <w:sz w:val="22"/>
          <w:szCs w:val="22"/>
        </w:rPr>
        <w:t>Price closes beyond a boundary with displacement and the new extreme holds as structure.</w:t>
      </w:r>
    </w:p>
    <w:p w14:paraId="169F6AAF">
      <w:pPr>
        <w:pStyle w:val="16"/>
        <w:numPr>
          <w:ilvl w:val="0"/>
          <w:numId w:val="1"/>
        </w:numPr>
        <w:spacing w:after="120" w:line="276" w:lineRule="auto"/>
      </w:pPr>
      <w:r>
        <w:rPr>
          <w:rFonts w:ascii="Arial" w:hAnsi="Arial" w:eastAsia="Arial" w:cs="Arial"/>
          <w:sz w:val="22"/>
          <w:szCs w:val="22"/>
        </w:rPr>
        <w:t>The liquidity objective that defined the range has been satisfied and a new opposing objective takes control.</w:t>
      </w:r>
    </w:p>
    <w:p w14:paraId="3E92D4B1">
      <w:pPr>
        <w:pStyle w:val="16"/>
        <w:numPr>
          <w:ilvl w:val="0"/>
          <w:numId w:val="1"/>
        </w:numPr>
        <w:spacing w:after="120" w:line="276" w:lineRule="auto"/>
      </w:pPr>
      <w:r>
        <w:rPr>
          <w:rFonts w:ascii="Arial" w:hAnsi="Arial" w:eastAsia="Arial" w:cs="Arial"/>
          <w:sz w:val="22"/>
          <w:szCs w:val="22"/>
        </w:rPr>
        <w:t>Higher-timeframe structure invalidates the premise that justified the range.</w:t>
      </w:r>
    </w:p>
    <w:p w14:paraId="74167B34">
      <w:pPr>
        <w:spacing w:after="200" w:line="276" w:lineRule="auto"/>
      </w:pPr>
      <w:r>
        <w:rPr>
          <w:rFonts w:ascii="Arial" w:hAnsi="Arial" w:eastAsia="Arial" w:cs="Arial"/>
          <w:sz w:val="22"/>
          <w:szCs w:val="22"/>
        </w:rPr>
        <w:t>After retirement, the new boundaries are drawn and the premium/discount filter is recalculated. Continuing to use a retired range produces narrative lag.</w:t>
      </w:r>
    </w:p>
    <w:p w14:paraId="4EFAB524">
      <w:pPr>
        <w:pStyle w:val="2"/>
        <w:spacing w:before="360" w:after="240"/>
      </w:pPr>
      <w:r>
        <w:rPr>
          <w:rFonts w:ascii="Arial" w:hAnsi="Arial" w:eastAsia="Arial" w:cs="Arial"/>
          <w:b/>
          <w:bCs/>
          <w:sz w:val="32"/>
          <w:szCs w:val="32"/>
        </w:rPr>
        <w:t>10. Common Misinterpretations</w:t>
      </w:r>
    </w:p>
    <w:p w14:paraId="60E30816">
      <w:pPr>
        <w:pStyle w:val="16"/>
        <w:numPr>
          <w:ilvl w:val="0"/>
          <w:numId w:val="1"/>
        </w:numPr>
        <w:spacing w:after="120" w:line="276" w:lineRule="auto"/>
      </w:pPr>
      <w:r>
        <w:rPr>
          <w:rFonts w:ascii="Arial" w:hAnsi="Arial" w:eastAsia="Arial" w:cs="Arial"/>
          <w:sz w:val="22"/>
          <w:szCs w:val="22"/>
        </w:rPr>
        <w:t>Treating every swing high/low as a dealing-range boundary without structural or liquidity validation.</w:t>
      </w:r>
    </w:p>
    <w:p w14:paraId="46C54450">
      <w:pPr>
        <w:pStyle w:val="16"/>
        <w:numPr>
          <w:ilvl w:val="0"/>
          <w:numId w:val="1"/>
        </w:numPr>
        <w:spacing w:after="120" w:line="276" w:lineRule="auto"/>
      </w:pPr>
      <w:r>
        <w:rPr>
          <w:rFonts w:ascii="Arial" w:hAnsi="Arial" w:eastAsia="Arial" w:cs="Arial"/>
          <w:sz w:val="22"/>
          <w:szCs w:val="22"/>
        </w:rPr>
        <w:t>Allowing a lower-timeframe range’s premium/discount to override the controlling higher-timeframe range.</w:t>
      </w:r>
    </w:p>
    <w:p w14:paraId="40A9AE3F">
      <w:pPr>
        <w:pStyle w:val="16"/>
        <w:numPr>
          <w:ilvl w:val="0"/>
          <w:numId w:val="1"/>
        </w:numPr>
        <w:spacing w:after="120" w:line="276" w:lineRule="auto"/>
      </w:pPr>
      <w:r>
        <w:rPr>
          <w:rFonts w:ascii="Arial" w:hAnsi="Arial" w:eastAsia="Arial" w:cs="Arial"/>
          <w:sz w:val="22"/>
          <w:szCs w:val="22"/>
        </w:rPr>
        <w:t>Entering long from deep premium (or short from deep discount) of the controlling range because a lower-timeframe signal appeared.</w:t>
      </w:r>
    </w:p>
    <w:p w14:paraId="25EB2CB1">
      <w:pPr>
        <w:pStyle w:val="16"/>
        <w:numPr>
          <w:ilvl w:val="0"/>
          <w:numId w:val="1"/>
        </w:numPr>
        <w:spacing w:after="120" w:line="276" w:lineRule="auto"/>
      </w:pPr>
      <w:r>
        <w:rPr>
          <w:rFonts w:ascii="Arial" w:hAnsi="Arial" w:eastAsia="Arial" w:cs="Arial"/>
          <w:sz w:val="22"/>
          <w:szCs w:val="22"/>
        </w:rPr>
        <w:t>Failing to update the range after a genuine expansion, so that premium/discount labels become outdated.</w:t>
      </w:r>
    </w:p>
    <w:p w14:paraId="73D3AF1F">
      <w:pPr>
        <w:pStyle w:val="16"/>
        <w:numPr>
          <w:ilvl w:val="0"/>
          <w:numId w:val="1"/>
        </w:numPr>
        <w:spacing w:after="120" w:line="276" w:lineRule="auto"/>
      </w:pPr>
      <w:r>
        <w:rPr>
          <w:rFonts w:ascii="Arial" w:hAnsi="Arial" w:eastAsia="Arial" w:cs="Arial"/>
          <w:sz w:val="22"/>
          <w:szCs w:val="22"/>
        </w:rPr>
        <w:t>Confusing IRL with ERL and therefore mis-stating whether the current delivery objective is intermediate or final.</w:t>
      </w:r>
    </w:p>
    <w:p w14:paraId="581D4D8F">
      <w:pPr>
        <w:pStyle w:val="2"/>
        <w:spacing w:before="360" w:after="240"/>
      </w:pPr>
      <w:r>
        <w:rPr>
          <w:rFonts w:ascii="Arial" w:hAnsi="Arial" w:eastAsia="Arial" w:cs="Arial"/>
          <w:b/>
          <w:bCs/>
          <w:sz w:val="32"/>
          <w:szCs w:val="32"/>
        </w:rPr>
        <w:t>11. Evidence Summary</w:t>
      </w:r>
    </w:p>
    <w:p w14:paraId="0B05C303">
      <w:pPr>
        <w:spacing w:after="200" w:line="276" w:lineRule="auto"/>
      </w:pPr>
      <w:r>
        <w:rPr>
          <w:rFonts w:ascii="Arial" w:hAnsi="Arial" w:eastAsia="Arial" w:cs="Arial"/>
          <w:sz w:val="22"/>
          <w:szCs w:val="22"/>
        </w:rPr>
        <w:t>Dealing range, equilibrium, premium and discount are foundational ICT. The IRL / ERL distinction relative to the range is explicitly taught. Nested ranges follow from the fractal character of ICT structure and are demonstrated in multi-timeframe examples. The discipline of selecting a controlling range and subordinating lower-timeframe location to it is the advanced operational synthesis required for consistent narrative construction.</w:t>
      </w:r>
    </w:p>
    <w:p w14:paraId="3DEAB263">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Primary orientation: ICT teaching on dealing ranges, premium/discount, and liquidity relative to range boundaries. IRL/ERL language is used in ICT material. Nested-range application is the consistent multi-timeframe extension of those teachings. Community refinements of selection checklists are used only where they align with primary logic.</w:t>
      </w:r>
    </w:p>
    <w:p w14:paraId="0A59A3FB">
      <w:pPr>
        <w:pStyle w:val="2"/>
        <w:spacing w:before="360" w:after="240"/>
      </w:pPr>
      <w:r>
        <w:rPr>
          <w:rFonts w:ascii="Arial" w:hAnsi="Arial" w:eastAsia="Arial" w:cs="Arial"/>
          <w:b/>
          <w:bCs/>
          <w:sz w:val="32"/>
          <w:szCs w:val="32"/>
        </w:rPr>
        <w:t>What You Should Now Be Able to Do</w:t>
      </w:r>
    </w:p>
    <w:p w14:paraId="3941EF9B">
      <w:pPr>
        <w:pStyle w:val="16"/>
        <w:numPr>
          <w:ilvl w:val="0"/>
          <w:numId w:val="1"/>
        </w:numPr>
        <w:spacing w:after="120" w:line="276" w:lineRule="auto"/>
      </w:pPr>
      <w:r>
        <w:rPr>
          <w:rFonts w:ascii="Arial" w:hAnsi="Arial" w:eastAsia="Arial" w:cs="Arial"/>
          <w:sz w:val="22"/>
          <w:szCs w:val="22"/>
        </w:rPr>
        <w:t>Draw the controlling dealing range and at least one nested lower-timeframe range for the active narrative.</w:t>
      </w:r>
    </w:p>
    <w:p w14:paraId="2546BBB6">
      <w:pPr>
        <w:pStyle w:val="16"/>
        <w:numPr>
          <w:ilvl w:val="0"/>
          <w:numId w:val="1"/>
        </w:numPr>
        <w:spacing w:after="120" w:line="276" w:lineRule="auto"/>
      </w:pPr>
      <w:r>
        <w:rPr>
          <w:rFonts w:ascii="Arial" w:hAnsi="Arial" w:eastAsia="Arial" w:cs="Arial"/>
          <w:sz w:val="22"/>
          <w:szCs w:val="22"/>
        </w:rPr>
        <w:t>Label ERL and IRL relative to the controlling range.</w:t>
      </w:r>
    </w:p>
    <w:p w14:paraId="5527DAC9">
      <w:pPr>
        <w:pStyle w:val="16"/>
        <w:numPr>
          <w:ilvl w:val="0"/>
          <w:numId w:val="1"/>
        </w:numPr>
        <w:spacing w:after="120" w:line="276" w:lineRule="auto"/>
      </w:pPr>
      <w:r>
        <w:rPr>
          <w:rFonts w:ascii="Arial" w:hAnsi="Arial" w:eastAsia="Arial" w:cs="Arial"/>
          <w:sz w:val="22"/>
          <w:szCs w:val="22"/>
        </w:rPr>
        <w:t>State whether the current delivery leg (Module 1) is aligned with the premium/discount filter of the controlling range.</w:t>
      </w:r>
    </w:p>
    <w:p w14:paraId="7D9BF241">
      <w:pPr>
        <w:pStyle w:val="16"/>
        <w:numPr>
          <w:ilvl w:val="0"/>
          <w:numId w:val="1"/>
        </w:numPr>
        <w:spacing w:after="120" w:line="276" w:lineRule="auto"/>
      </w:pPr>
      <w:r>
        <w:rPr>
          <w:rFonts w:ascii="Arial" w:hAnsi="Arial" w:eastAsia="Arial" w:cs="Arial"/>
          <w:sz w:val="22"/>
          <w:szCs w:val="22"/>
        </w:rPr>
        <w:t>Select or reject PD arrays according to that filter.</w:t>
      </w:r>
    </w:p>
    <w:p w14:paraId="3C080F74">
      <w:pPr>
        <w:pStyle w:val="16"/>
        <w:numPr>
          <w:ilvl w:val="0"/>
          <w:numId w:val="1"/>
        </w:numPr>
        <w:spacing w:after="120" w:line="276" w:lineRule="auto"/>
      </w:pPr>
      <w:r>
        <w:rPr>
          <w:rFonts w:ascii="Arial" w:hAnsi="Arial" w:eastAsia="Arial" w:cs="Arial"/>
          <w:sz w:val="22"/>
          <w:szCs w:val="22"/>
        </w:rPr>
        <w:t>Update the controlling range when expansion holds.</w:t>
      </w:r>
    </w:p>
    <w:p w14:paraId="4CB959AB">
      <w:pPr>
        <w:pStyle w:val="16"/>
        <w:numPr>
          <w:ilvl w:val="0"/>
          <w:numId w:val="1"/>
        </w:numPr>
        <w:spacing w:after="120" w:line="276" w:lineRule="auto"/>
      </w:pPr>
      <w:r>
        <w:rPr>
          <w:rFonts w:ascii="Arial" w:hAnsi="Arial" w:eastAsia="Arial" w:cs="Arial"/>
          <w:sz w:val="22"/>
          <w:szCs w:val="22"/>
        </w:rPr>
        <w:t>Write a short nested-range narrative that links weekly/daily/session containers to a single delivery objective.</w:t>
      </w:r>
    </w:p>
    <w:p w14:paraId="058BF059">
      <w:pPr>
        <w:pStyle w:val="2"/>
        <w:spacing w:before="360" w:after="240"/>
      </w:pPr>
      <w:r>
        <w:rPr>
          <w:rFonts w:ascii="Arial" w:hAnsi="Arial" w:eastAsia="Arial" w:cs="Arial"/>
          <w:b/>
          <w:bCs/>
          <w:sz w:val="32"/>
          <w:szCs w:val="32"/>
        </w:rPr>
        <w:t>Module Review</w:t>
      </w:r>
    </w:p>
    <w:p w14:paraId="518EEBE5">
      <w:pPr>
        <w:pStyle w:val="3"/>
        <w:spacing w:before="280" w:after="180"/>
      </w:pPr>
      <w:r>
        <w:rPr>
          <w:rFonts w:ascii="Arial" w:hAnsi="Arial" w:eastAsia="Arial" w:cs="Arial"/>
          <w:b/>
          <w:bCs/>
          <w:sz w:val="26"/>
          <w:szCs w:val="26"/>
        </w:rPr>
        <w:t>Key Terms</w:t>
      </w:r>
    </w:p>
    <w:p w14:paraId="2BED75CE">
      <w:pPr>
        <w:pStyle w:val="16"/>
        <w:numPr>
          <w:ilvl w:val="0"/>
          <w:numId w:val="1"/>
        </w:numPr>
        <w:spacing w:after="120" w:line="276" w:lineRule="auto"/>
      </w:pPr>
      <w:r>
        <w:rPr>
          <w:rFonts w:ascii="Arial" w:hAnsi="Arial" w:eastAsia="Arial" w:cs="Arial"/>
          <w:sz w:val="22"/>
          <w:szCs w:val="22"/>
        </w:rPr>
        <w:t>Controlling range — the highest-timeframe dealing range that still governs the active narrative.</w:t>
      </w:r>
    </w:p>
    <w:p w14:paraId="4BBE8F40">
      <w:pPr>
        <w:pStyle w:val="16"/>
        <w:numPr>
          <w:ilvl w:val="0"/>
          <w:numId w:val="1"/>
        </w:numPr>
        <w:spacing w:after="120" w:line="276" w:lineRule="auto"/>
      </w:pPr>
      <w:r>
        <w:rPr>
          <w:rFonts w:ascii="Arial" w:hAnsi="Arial" w:eastAsia="Arial" w:cs="Arial"/>
          <w:sz w:val="22"/>
          <w:szCs w:val="22"/>
        </w:rPr>
        <w:t>External Range Liquidity (ERL) — liquidity outside the range boundaries; typical final delivery objective.</w:t>
      </w:r>
    </w:p>
    <w:p w14:paraId="18C912AC">
      <w:pPr>
        <w:pStyle w:val="16"/>
        <w:numPr>
          <w:ilvl w:val="0"/>
          <w:numId w:val="1"/>
        </w:numPr>
        <w:spacing w:after="120" w:line="276" w:lineRule="auto"/>
      </w:pPr>
      <w:r>
        <w:rPr>
          <w:rFonts w:ascii="Arial" w:hAnsi="Arial" w:eastAsia="Arial" w:cs="Arial"/>
          <w:sz w:val="22"/>
          <w:szCs w:val="22"/>
        </w:rPr>
        <w:t>Internal Range Liquidity (IRL) — liquidity and imbalances inside the range; intermediate targets and entry arrays.</w:t>
      </w:r>
    </w:p>
    <w:p w14:paraId="34B110D0">
      <w:pPr>
        <w:pStyle w:val="16"/>
        <w:numPr>
          <w:ilvl w:val="0"/>
          <w:numId w:val="1"/>
        </w:numPr>
        <w:spacing w:after="120" w:line="276" w:lineRule="auto"/>
      </w:pPr>
      <w:r>
        <w:rPr>
          <w:rFonts w:ascii="Arial" w:hAnsi="Arial" w:eastAsia="Arial" w:cs="Arial"/>
          <w:sz w:val="22"/>
          <w:szCs w:val="22"/>
        </w:rPr>
        <w:t>Nested ranges — lower-timeframe dealing ranges contained inside higher-timeframe ranges.</w:t>
      </w:r>
    </w:p>
    <w:p w14:paraId="7D2FC175">
      <w:pPr>
        <w:pStyle w:val="16"/>
        <w:numPr>
          <w:ilvl w:val="0"/>
          <w:numId w:val="1"/>
        </w:numPr>
        <w:spacing w:after="120" w:line="276" w:lineRule="auto"/>
      </w:pPr>
      <w:r>
        <w:rPr>
          <w:rFonts w:ascii="Arial" w:hAnsi="Arial" w:eastAsia="Arial" w:cs="Arial"/>
          <w:sz w:val="22"/>
          <w:szCs w:val="22"/>
        </w:rPr>
        <w:t>Range expansion — displacement beyond a boundary that holds and redefines the container.</w:t>
      </w:r>
    </w:p>
    <w:p w14:paraId="096EE915">
      <w:pPr>
        <w:pStyle w:val="16"/>
        <w:numPr>
          <w:ilvl w:val="0"/>
          <w:numId w:val="1"/>
        </w:numPr>
        <w:spacing w:after="120" w:line="276" w:lineRule="auto"/>
      </w:pPr>
      <w:r>
        <w:rPr>
          <w:rFonts w:ascii="Arial" w:hAnsi="Arial" w:eastAsia="Arial" w:cs="Arial"/>
          <w:sz w:val="22"/>
          <w:szCs w:val="22"/>
        </w:rPr>
        <w:t>Range contraction — formation of a tighter container inside a larger range; often preparatory.</w:t>
      </w:r>
    </w:p>
    <w:p w14:paraId="067FC855">
      <w:pPr>
        <w:pStyle w:val="3"/>
        <w:spacing w:before="280" w:after="180"/>
      </w:pPr>
      <w:r>
        <w:rPr>
          <w:rFonts w:ascii="Arial" w:hAnsi="Arial" w:eastAsia="Arial" w:cs="Arial"/>
          <w:b/>
          <w:bCs/>
          <w:sz w:val="26"/>
          <w:szCs w:val="26"/>
        </w:rPr>
        <w:t>Self-Test</w:t>
      </w:r>
    </w:p>
    <w:p w14:paraId="0FE59841">
      <w:pPr>
        <w:pStyle w:val="16"/>
        <w:numPr>
          <w:ilvl w:val="0"/>
          <w:numId w:val="2"/>
        </w:numPr>
        <w:spacing w:after="120" w:line="276" w:lineRule="auto"/>
      </w:pPr>
      <w:r>
        <w:rPr>
          <w:rFonts w:ascii="Arial" w:hAnsi="Arial" w:eastAsia="Arial" w:cs="Arial"/>
          <w:sz w:val="22"/>
          <w:szCs w:val="22"/>
        </w:rPr>
        <w:t>What distinguishes a valid dealing-range boundary from an arbitrary swing?</w:t>
      </w:r>
    </w:p>
    <w:p w14:paraId="6A1B7D12">
      <w:pPr>
        <w:pStyle w:val="16"/>
        <w:numPr>
          <w:ilvl w:val="0"/>
          <w:numId w:val="2"/>
        </w:numPr>
        <w:spacing w:after="120" w:line="276" w:lineRule="auto"/>
      </w:pPr>
      <w:r>
        <w:rPr>
          <w:rFonts w:ascii="Arial" w:hAnsi="Arial" w:eastAsia="Arial" w:cs="Arial"/>
          <w:sz w:val="22"/>
          <w:szCs w:val="22"/>
        </w:rPr>
        <w:t>How should a conflict between daily discount and weekly premium be resolved for bias?</w:t>
      </w:r>
    </w:p>
    <w:p w14:paraId="7B83AEF0">
      <w:pPr>
        <w:pStyle w:val="16"/>
        <w:numPr>
          <w:ilvl w:val="0"/>
          <w:numId w:val="2"/>
        </w:numPr>
        <w:spacing w:after="120" w:line="276" w:lineRule="auto"/>
      </w:pPr>
      <w:r>
        <w:rPr>
          <w:rFonts w:ascii="Arial" w:hAnsi="Arial" w:eastAsia="Arial" w:cs="Arial"/>
          <w:sz w:val="22"/>
          <w:szCs w:val="22"/>
        </w:rPr>
        <w:t>Where does ERL sit relative to the dealing range, and what is its typical role in delivery?</w:t>
      </w:r>
    </w:p>
    <w:p w14:paraId="35E001D2">
      <w:pPr>
        <w:pStyle w:val="16"/>
        <w:numPr>
          <w:ilvl w:val="0"/>
          <w:numId w:val="2"/>
        </w:numPr>
        <w:spacing w:after="120" w:line="276" w:lineRule="auto"/>
      </w:pPr>
      <w:r>
        <w:rPr>
          <w:rFonts w:ascii="Arial" w:hAnsi="Arial" w:eastAsia="Arial" w:cs="Arial"/>
          <w:sz w:val="22"/>
          <w:szCs w:val="22"/>
        </w:rPr>
        <w:t>When must the controlling range be updated?</w:t>
      </w:r>
    </w:p>
    <w:p w14:paraId="77F6CB26">
      <w:pPr>
        <w:pStyle w:val="16"/>
        <w:numPr>
          <w:ilvl w:val="0"/>
          <w:numId w:val="2"/>
        </w:numPr>
        <w:spacing w:after="120" w:line="276" w:lineRule="auto"/>
      </w:pPr>
      <w:r>
        <w:rPr>
          <w:rFonts w:ascii="Arial" w:hAnsi="Arial" w:eastAsia="Arial" w:cs="Arial"/>
          <w:sz w:val="22"/>
          <w:szCs w:val="22"/>
        </w:rPr>
        <w:t>Why is a bullish PD array in deep premium of the controlling range lower probability?</w:t>
      </w:r>
    </w:p>
    <w:p w14:paraId="76531C80">
      <w:pPr>
        <w:pStyle w:val="3"/>
        <w:spacing w:before="280" w:after="180"/>
      </w:pPr>
      <w:r>
        <w:rPr>
          <w:rFonts w:ascii="Arial" w:hAnsi="Arial" w:eastAsia="Arial" w:cs="Arial"/>
          <w:b/>
          <w:bCs/>
          <w:sz w:val="26"/>
          <w:szCs w:val="26"/>
        </w:rPr>
        <w:t>Transition to Module 3</w:t>
      </w:r>
    </w:p>
    <w:p w14:paraId="4956722C">
      <w:pPr>
        <w:spacing w:after="200" w:line="276" w:lineRule="auto"/>
      </w:pPr>
      <w:r>
        <w:rPr>
          <w:rFonts w:ascii="Arial" w:hAnsi="Arial" w:eastAsia="Arial" w:cs="Arial"/>
          <w:sz w:val="22"/>
          <w:szCs w:val="22"/>
        </w:rPr>
        <w:t>Module 2 has located delivery inside nested dealing ranges and established the controlling-range filter. Module 3 (Advanced Liquidity Framework) will deepen the liquidity map itself — internal vs external, relative equal highs/lows, short-term vs intermediate vs long-term liquidity, liquidity voids, and the hierarchy that decides which pool is the true Draw on Liquidity for the current narrative.</w:t>
      </w:r>
    </w:p>
    <w:p w14:paraId="19EC70CD">
      <w:pPr>
        <w:spacing w:after="200" w:line="276" w:lineRule="auto"/>
        <w:rPr>
          <w:rFonts w:ascii="Arial" w:hAnsi="Arial" w:eastAsia="Arial" w:cs="Arial"/>
          <w:sz w:val="22"/>
          <w:szCs w:val="22"/>
        </w:rPr>
      </w:pPr>
    </w:p>
    <w:p w14:paraId="7CD74D6B">
      <w:pPr>
        <w:spacing w:after="200" w:line="276" w:lineRule="auto"/>
        <w:rPr>
          <w:rFonts w:ascii="Arial" w:hAnsi="Arial" w:eastAsia="Arial" w:cs="Arial"/>
          <w:sz w:val="22"/>
          <w:szCs w:val="22"/>
        </w:rPr>
      </w:pPr>
    </w:p>
    <w:p w14:paraId="5DEF40A5">
      <w:pPr>
        <w:spacing w:after="200" w:line="276" w:lineRule="auto"/>
        <w:rPr>
          <w:rFonts w:ascii="Arial" w:hAnsi="Arial" w:eastAsia="Arial" w:cs="Arial"/>
          <w:sz w:val="22"/>
          <w:szCs w:val="22"/>
        </w:rPr>
      </w:pPr>
    </w:p>
    <w:p w14:paraId="6C6E63B6">
      <w:pPr>
        <w:spacing w:after="200" w:line="276" w:lineRule="auto"/>
        <w:rPr>
          <w:rFonts w:ascii="Arial" w:hAnsi="Arial" w:eastAsia="Arial" w:cs="Arial"/>
          <w:sz w:val="22"/>
          <w:szCs w:val="22"/>
        </w:rPr>
      </w:pPr>
    </w:p>
    <w:p w14:paraId="38EE7425">
      <w:pPr>
        <w:spacing w:after="200" w:line="276" w:lineRule="auto"/>
        <w:rPr>
          <w:rFonts w:ascii="Arial" w:hAnsi="Arial" w:eastAsia="Arial" w:cs="Arial"/>
          <w:sz w:val="22"/>
          <w:szCs w:val="22"/>
        </w:rPr>
      </w:pPr>
    </w:p>
    <w:p w14:paraId="1AD9B6E7">
      <w:pPr>
        <w:spacing w:after="200" w:line="276" w:lineRule="auto"/>
        <w:rPr>
          <w:rFonts w:ascii="Arial" w:hAnsi="Arial" w:eastAsia="Arial" w:cs="Arial"/>
          <w:sz w:val="22"/>
          <w:szCs w:val="22"/>
        </w:rPr>
      </w:pPr>
    </w:p>
    <w:p w14:paraId="5D894705">
      <w:pPr>
        <w:spacing w:after="200" w:line="276" w:lineRule="auto"/>
        <w:rPr>
          <w:rFonts w:ascii="Arial" w:hAnsi="Arial" w:eastAsia="Arial" w:cs="Arial"/>
          <w:sz w:val="22"/>
          <w:szCs w:val="22"/>
        </w:rPr>
      </w:pPr>
    </w:p>
    <w:p w14:paraId="07C9E586">
      <w:pPr>
        <w:spacing w:after="200" w:line="276" w:lineRule="auto"/>
        <w:rPr>
          <w:rFonts w:ascii="Arial" w:hAnsi="Arial" w:eastAsia="Arial" w:cs="Arial"/>
          <w:sz w:val="22"/>
          <w:szCs w:val="22"/>
        </w:rPr>
      </w:pPr>
    </w:p>
    <w:p w14:paraId="20050594">
      <w:pPr>
        <w:spacing w:after="200" w:line="276" w:lineRule="auto"/>
        <w:rPr>
          <w:rFonts w:ascii="Arial" w:hAnsi="Arial" w:eastAsia="Arial" w:cs="Arial"/>
          <w:sz w:val="22"/>
          <w:szCs w:val="22"/>
        </w:rPr>
      </w:pPr>
    </w:p>
    <w:p w14:paraId="65D2E410">
      <w:pPr>
        <w:spacing w:after="200" w:line="276" w:lineRule="auto"/>
        <w:rPr>
          <w:rFonts w:ascii="Arial" w:hAnsi="Arial" w:eastAsia="Arial" w:cs="Arial"/>
          <w:sz w:val="22"/>
          <w:szCs w:val="22"/>
        </w:rPr>
      </w:pPr>
    </w:p>
    <w:p w14:paraId="3E9E0200">
      <w:pPr>
        <w:spacing w:after="200" w:line="276" w:lineRule="auto"/>
        <w:rPr>
          <w:rFonts w:ascii="Arial" w:hAnsi="Arial" w:eastAsia="Arial" w:cs="Arial"/>
          <w:sz w:val="22"/>
          <w:szCs w:val="22"/>
        </w:rPr>
      </w:pPr>
    </w:p>
    <w:p w14:paraId="499D8326">
      <w:pPr>
        <w:spacing w:after="200" w:line="276" w:lineRule="auto"/>
        <w:rPr>
          <w:rFonts w:ascii="Arial" w:hAnsi="Arial" w:eastAsia="Arial" w:cs="Arial"/>
          <w:sz w:val="22"/>
          <w:szCs w:val="22"/>
        </w:rPr>
      </w:pPr>
    </w:p>
    <w:p w14:paraId="3B89AE9D">
      <w:pPr>
        <w:spacing w:after="400"/>
        <w:jc w:val="center"/>
      </w:pPr>
      <w:r>
        <w:rPr>
          <w:rFonts w:ascii="Arial" w:hAnsi="Arial" w:eastAsia="Arial" w:cs="Arial"/>
          <w:b/>
          <w:bCs/>
          <w:sz w:val="36"/>
          <w:szCs w:val="36"/>
        </w:rPr>
        <w:t>MODULE 3</w:t>
      </w:r>
    </w:p>
    <w:p w14:paraId="614D6D6A">
      <w:pPr>
        <w:spacing w:after="200"/>
        <w:jc w:val="center"/>
      </w:pPr>
      <w:r>
        <w:rPr>
          <w:rFonts w:ascii="Arial" w:hAnsi="Arial" w:eastAsia="Arial" w:cs="Arial"/>
          <w:b/>
          <w:bCs/>
          <w:sz w:val="28"/>
          <w:szCs w:val="28"/>
        </w:rPr>
        <w:t>Advanced Liquidity Framework</w:t>
      </w:r>
    </w:p>
    <w:p w14:paraId="7997AA8E">
      <w:pPr>
        <w:spacing w:after="400"/>
        <w:jc w:val="center"/>
      </w:pPr>
      <w:r>
        <w:rPr>
          <w:rFonts w:ascii="Arial" w:hAnsi="Arial" w:eastAsia="Arial" w:cs="Arial"/>
          <w:i/>
          <w:iCs/>
          <w:sz w:val="20"/>
          <w:szCs w:val="20"/>
        </w:rPr>
        <w:t>IRL / ERL, Relative Equal Highs &amp; Lows, Liquidity Hierarchy, Draw on Liquidity, Delivery Sequence, Voids</w:t>
      </w:r>
    </w:p>
    <w:p w14:paraId="583985B2">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Modules 1–2 and the Intermediate volume. Liquidity is no longer treated as a list of pools; it is treated as the ranked set of objectives that define and constrain every delivery narrative.</w:t>
      </w:r>
    </w:p>
    <w:p w14:paraId="5D1DA8F2">
      <w:pPr>
        <w:pStyle w:val="2"/>
        <w:spacing w:before="360" w:after="240"/>
      </w:pPr>
      <w:r>
        <w:rPr>
          <w:rFonts w:ascii="Arial" w:hAnsi="Arial" w:eastAsia="Arial" w:cs="Arial"/>
          <w:b/>
          <w:bCs/>
          <w:sz w:val="32"/>
          <w:szCs w:val="32"/>
        </w:rPr>
        <w:t>Module Objectives</w:t>
      </w:r>
    </w:p>
    <w:p w14:paraId="16294A4B">
      <w:pPr>
        <w:spacing w:after="200" w:line="276" w:lineRule="auto"/>
      </w:pPr>
      <w:r>
        <w:rPr>
          <w:rFonts w:ascii="Arial" w:hAnsi="Arial" w:eastAsia="Arial" w:cs="Arial"/>
          <w:sz w:val="22"/>
          <w:szCs w:val="22"/>
        </w:rPr>
        <w:t>By the end of this module the advanced student should be able to:</w:t>
      </w:r>
    </w:p>
    <w:p w14:paraId="25CD6039">
      <w:pPr>
        <w:pStyle w:val="16"/>
        <w:numPr>
          <w:ilvl w:val="0"/>
          <w:numId w:val="1"/>
        </w:numPr>
        <w:spacing w:after="120" w:line="276" w:lineRule="auto"/>
      </w:pPr>
      <w:r>
        <w:rPr>
          <w:rFonts w:ascii="Arial" w:hAnsi="Arial" w:eastAsia="Arial" w:cs="Arial"/>
          <w:sz w:val="22"/>
          <w:szCs w:val="22"/>
        </w:rPr>
        <w:t>Rank liquidity pools by timeframe significance (short-term, intermediate-term, long-term).</w:t>
      </w:r>
    </w:p>
    <w:p w14:paraId="10E3488D">
      <w:pPr>
        <w:pStyle w:val="16"/>
        <w:numPr>
          <w:ilvl w:val="0"/>
          <w:numId w:val="1"/>
        </w:numPr>
        <w:spacing w:after="120" w:line="276" w:lineRule="auto"/>
      </w:pPr>
      <w:r>
        <w:rPr>
          <w:rFonts w:ascii="Arial" w:hAnsi="Arial" w:eastAsia="Arial" w:cs="Arial"/>
          <w:sz w:val="22"/>
          <w:szCs w:val="22"/>
        </w:rPr>
        <w:t>Distinguish relative equal highs/lows from ordinary swing points and state their role in engineering.</w:t>
      </w:r>
    </w:p>
    <w:p w14:paraId="03144D6F">
      <w:pPr>
        <w:pStyle w:val="16"/>
        <w:numPr>
          <w:ilvl w:val="0"/>
          <w:numId w:val="1"/>
        </w:numPr>
        <w:spacing w:after="120" w:line="276" w:lineRule="auto"/>
      </w:pPr>
      <w:r>
        <w:rPr>
          <w:rFonts w:ascii="Arial" w:hAnsi="Arial" w:eastAsia="Arial" w:cs="Arial"/>
          <w:sz w:val="22"/>
          <w:szCs w:val="22"/>
        </w:rPr>
        <w:t>Map Internal Range Liquidity and External Range Liquidity to the controlling dealing range (Module 2).</w:t>
      </w:r>
    </w:p>
    <w:p w14:paraId="2D667838">
      <w:pPr>
        <w:pStyle w:val="16"/>
        <w:numPr>
          <w:ilvl w:val="0"/>
          <w:numId w:val="1"/>
        </w:numPr>
        <w:spacing w:after="120" w:line="276" w:lineRule="auto"/>
      </w:pPr>
      <w:r>
        <w:rPr>
          <w:rFonts w:ascii="Arial" w:hAnsi="Arial" w:eastAsia="Arial" w:cs="Arial"/>
          <w:sz w:val="22"/>
          <w:szCs w:val="22"/>
        </w:rPr>
        <w:t>State a precise Draw on Liquidity for any active narrative and defend why that pool ranks above alternatives.</w:t>
      </w:r>
    </w:p>
    <w:p w14:paraId="64117CEC">
      <w:pPr>
        <w:pStyle w:val="16"/>
        <w:numPr>
          <w:ilvl w:val="0"/>
          <w:numId w:val="1"/>
        </w:numPr>
        <w:spacing w:after="120" w:line="276" w:lineRule="auto"/>
      </w:pPr>
      <w:r>
        <w:rPr>
          <w:rFonts w:ascii="Arial" w:hAnsi="Arial" w:eastAsia="Arial" w:cs="Arial"/>
          <w:sz w:val="22"/>
          <w:szCs w:val="22"/>
        </w:rPr>
        <w:t>Describe a liquidity delivery sequence from origin pool to target pool, including intermediate pools.</w:t>
      </w:r>
    </w:p>
    <w:p w14:paraId="2764A97B">
      <w:pPr>
        <w:pStyle w:val="16"/>
        <w:numPr>
          <w:ilvl w:val="0"/>
          <w:numId w:val="1"/>
        </w:numPr>
        <w:spacing w:after="120" w:line="276" w:lineRule="auto"/>
      </w:pPr>
      <w:r>
        <w:rPr>
          <w:rFonts w:ascii="Arial" w:hAnsi="Arial" w:eastAsia="Arial" w:cs="Arial"/>
          <w:sz w:val="22"/>
          <w:szCs w:val="22"/>
        </w:rPr>
        <w:t>Recognise liquidity voids and their relationship to imbalance and rebalancing.</w:t>
      </w:r>
    </w:p>
    <w:p w14:paraId="11C99F08">
      <w:pPr>
        <w:pStyle w:val="16"/>
        <w:numPr>
          <w:ilvl w:val="0"/>
          <w:numId w:val="1"/>
        </w:numPr>
        <w:spacing w:after="120" w:line="276" w:lineRule="auto"/>
      </w:pPr>
      <w:r>
        <w:rPr>
          <w:rFonts w:ascii="Arial" w:hAnsi="Arial" w:eastAsia="Arial" w:cs="Arial"/>
          <w:sz w:val="22"/>
          <w:szCs w:val="22"/>
        </w:rPr>
        <w:t>Identify opposing liquidity and the conditions under which it becomes the new Draw on Liquidity.</w:t>
      </w:r>
    </w:p>
    <w:p w14:paraId="75C5CB74">
      <w:pPr>
        <w:pStyle w:val="2"/>
        <w:spacing w:before="360" w:after="240"/>
      </w:pPr>
      <w:r>
        <w:rPr>
          <w:rFonts w:ascii="Arial" w:hAnsi="Arial" w:eastAsia="Arial" w:cs="Arial"/>
          <w:b/>
          <w:bCs/>
          <w:sz w:val="32"/>
          <w:szCs w:val="32"/>
        </w:rPr>
        <w:t>1. Liquidity as the Objective of Delivery</w:t>
      </w:r>
    </w:p>
    <w:p w14:paraId="732971D6">
      <w:pPr>
        <w:pStyle w:val="3"/>
        <w:spacing w:before="280" w:after="180"/>
      </w:pPr>
      <w:r>
        <w:rPr>
          <w:rFonts w:ascii="Arial" w:hAnsi="Arial" w:eastAsia="Arial" w:cs="Arial"/>
          <w:b/>
          <w:bCs/>
          <w:sz w:val="26"/>
          <w:szCs w:val="26"/>
        </w:rPr>
        <w:t>1.1 Advanced Premise</w:t>
      </w:r>
    </w:p>
    <w:p w14:paraId="6C59408F">
      <w:pPr>
        <w:spacing w:after="200" w:line="276" w:lineRule="auto"/>
      </w:pPr>
      <w:r>
        <w:rPr>
          <w:rFonts w:ascii="Arial" w:hAnsi="Arial" w:eastAsia="Arial" w:cs="Arial"/>
          <w:sz w:val="22"/>
          <w:szCs w:val="22"/>
        </w:rPr>
        <w:t>Module 1 established that price is delivered from one liquidity pool to another. Module 2 located that delivery inside nested dealing ranges. This module supplies the ranked map of the pools themselves. Without a clear hierarchy, every high and low competes for attention and the narrative dissolves into noise.</w:t>
      </w:r>
    </w:p>
    <w:p w14:paraId="6AE141E7">
      <w:pPr>
        <w:pStyle w:val="3"/>
        <w:spacing w:before="280" w:after="180"/>
      </w:pPr>
      <w:r>
        <w:rPr>
          <w:rFonts w:ascii="Arial" w:hAnsi="Arial" w:eastAsia="Arial" w:cs="Arial"/>
          <w:b/>
          <w:bCs/>
          <w:sz w:val="26"/>
          <w:szCs w:val="26"/>
        </w:rPr>
        <w:t>1.2 Core Distinction</w:t>
      </w:r>
    </w:p>
    <w:p w14:paraId="7562B5C5">
      <w:pPr>
        <w:spacing w:after="200" w:line="276" w:lineRule="auto"/>
      </w:pPr>
      <w:r>
        <w:rPr>
          <w:rFonts w:ascii="Arial" w:hAnsi="Arial" w:eastAsia="Arial" w:cs="Arial"/>
          <w:sz w:val="22"/>
          <w:szCs w:val="22"/>
        </w:rPr>
        <w:t>Not every pool is equal. The algorithm (in ICT’s framing) does not treat a five-minute equal high with the same urgency as a weekly swing high that has not been tested for months. Advanced practice begins by ranking.</w:t>
      </w:r>
    </w:p>
    <w:p w14:paraId="2405EE1B">
      <w:pPr>
        <w:pStyle w:val="2"/>
        <w:spacing w:before="360" w:after="240"/>
      </w:pPr>
      <w:r>
        <w:rPr>
          <w:rFonts w:ascii="Arial" w:hAnsi="Arial" w:eastAsia="Arial" w:cs="Arial"/>
          <w:b/>
          <w:bCs/>
          <w:sz w:val="32"/>
          <w:szCs w:val="32"/>
        </w:rPr>
        <w:t>2. Internal Range Liquidity vs External Range Liquidity</w:t>
      </w:r>
    </w:p>
    <w:p w14:paraId="62197A54">
      <w:pPr>
        <w:pStyle w:val="3"/>
        <w:spacing w:before="280" w:after="180"/>
      </w:pPr>
      <w:r>
        <w:rPr>
          <w:rFonts w:ascii="Arial" w:hAnsi="Arial" w:eastAsia="Arial" w:cs="Arial"/>
          <w:b/>
          <w:bCs/>
          <w:sz w:val="26"/>
          <w:szCs w:val="26"/>
        </w:rPr>
        <w:t>2.1 Recap Linked to Controlling Range</w:t>
      </w:r>
    </w:p>
    <w:p w14:paraId="3278F202">
      <w:pPr>
        <w:spacing w:after="200" w:line="276" w:lineRule="auto"/>
      </w:pPr>
      <w:r>
        <w:rPr>
          <w:rFonts w:ascii="Arial" w:hAnsi="Arial" w:eastAsia="Arial" w:cs="Arial"/>
          <w:sz w:val="22"/>
          <w:szCs w:val="22"/>
        </w:rPr>
        <w:t>Relative to the controlling dealing range (Module 2):</w:t>
      </w:r>
    </w:p>
    <w:p w14:paraId="285C3DCA">
      <w:pPr>
        <w:pStyle w:val="16"/>
        <w:numPr>
          <w:ilvl w:val="0"/>
          <w:numId w:val="1"/>
        </w:numPr>
        <w:spacing w:after="120" w:line="276" w:lineRule="auto"/>
      </w:pPr>
      <w:r>
        <w:rPr>
          <w:rFonts w:ascii="Arial" w:hAnsi="Arial" w:eastAsia="Arial" w:cs="Arial"/>
          <w:sz w:val="22"/>
          <w:szCs w:val="22"/>
        </w:rPr>
        <w:t>Internal Range Liquidity (IRL) sits inside the range boundaries — internal swings, internal equal highs/lows, and imbalances (FVGs) formed within the range.</w:t>
      </w:r>
    </w:p>
    <w:p w14:paraId="1D37821F">
      <w:pPr>
        <w:pStyle w:val="16"/>
        <w:numPr>
          <w:ilvl w:val="0"/>
          <w:numId w:val="1"/>
        </w:numPr>
        <w:spacing w:after="120" w:line="276" w:lineRule="auto"/>
      </w:pPr>
      <w:r>
        <w:rPr>
          <w:rFonts w:ascii="Arial" w:hAnsi="Arial" w:eastAsia="Arial" w:cs="Arial"/>
          <w:sz w:val="22"/>
          <w:szCs w:val="22"/>
        </w:rPr>
        <w:t>External Range Liquidity (ERL) sits outside the range boundaries — above the range high and below the range low.</w:t>
      </w:r>
    </w:p>
    <w:p w14:paraId="4E12D704">
      <w:pPr>
        <w:pStyle w:val="3"/>
        <w:spacing w:before="280" w:after="180"/>
      </w:pPr>
      <w:r>
        <w:rPr>
          <w:rFonts w:ascii="Arial" w:hAnsi="Arial" w:eastAsia="Arial" w:cs="Arial"/>
          <w:b/>
          <w:bCs/>
          <w:sz w:val="26"/>
          <w:szCs w:val="26"/>
        </w:rPr>
        <w:t>2.2 Role in Delivery</w:t>
      </w:r>
    </w:p>
    <w:p w14:paraId="0D2D1469">
      <w:pPr>
        <w:spacing w:after="200" w:line="276" w:lineRule="auto"/>
      </w:pPr>
      <w:r>
        <w:rPr>
          <w:rFonts w:ascii="Arial" w:hAnsi="Arial" w:eastAsia="Arial" w:cs="Arial"/>
          <w:sz w:val="22"/>
          <w:szCs w:val="22"/>
        </w:rPr>
        <w:t>IRL typically supplies intermediate objectives and the PD arrays used during retracement phases. ERL typically supplies the terminal objective of a completed delivery leg that expands or leaves the range. A narrative that cannot state whether its current target is IRL or ERL is incomplete.</w:t>
      </w:r>
    </w:p>
    <w:p w14:paraId="15E60C19">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IRL/ERL terminology and usage relative to the dealing range are ICT-supported.</w:t>
      </w:r>
    </w:p>
    <w:p w14:paraId="5E82D390">
      <w:pPr>
        <w:pStyle w:val="2"/>
        <w:spacing w:before="360" w:after="240"/>
      </w:pPr>
      <w:r>
        <w:rPr>
          <w:rFonts w:ascii="Arial" w:hAnsi="Arial" w:eastAsia="Arial" w:cs="Arial"/>
          <w:b/>
          <w:bCs/>
          <w:sz w:val="32"/>
          <w:szCs w:val="32"/>
        </w:rPr>
        <w:t>3. Relative Equal Highs and Relative Equal Lows</w:t>
      </w:r>
    </w:p>
    <w:p w14:paraId="7671F393">
      <w:pPr>
        <w:pStyle w:val="3"/>
        <w:spacing w:before="280" w:after="180"/>
      </w:pPr>
      <w:r>
        <w:rPr>
          <w:rFonts w:ascii="Arial" w:hAnsi="Arial" w:eastAsia="Arial" w:cs="Arial"/>
          <w:b/>
          <w:bCs/>
          <w:sz w:val="26"/>
          <w:szCs w:val="26"/>
        </w:rPr>
        <w:t>3.1 Definition</w:t>
      </w:r>
    </w:p>
    <w:p w14:paraId="7A4F0321">
      <w:pPr>
        <w:spacing w:after="200" w:line="276" w:lineRule="auto"/>
      </w:pPr>
      <w:r>
        <w:rPr>
          <w:rFonts w:ascii="Arial" w:hAnsi="Arial" w:eastAsia="Arial" w:cs="Arial"/>
          <w:sz w:val="22"/>
          <w:szCs w:val="22"/>
        </w:rPr>
        <w:t>Relative equal highs (or lows) are swing points that are not perfectly identical in price but are close enough that resting liquidity is expected to cluster at or just beyond them. ICT treats these as high-probability engineering targets because retail and systematic stops concentrate at obvious “double top / double bottom” style levels.</w:t>
      </w:r>
    </w:p>
    <w:p w14:paraId="3B18C8AE">
      <w:pPr>
        <w:pStyle w:val="3"/>
        <w:spacing w:before="280" w:after="180"/>
      </w:pPr>
      <w:r>
        <w:rPr>
          <w:rFonts w:ascii="Arial" w:hAnsi="Arial" w:eastAsia="Arial" w:cs="Arial"/>
          <w:b/>
          <w:bCs/>
          <w:sz w:val="26"/>
          <w:szCs w:val="26"/>
        </w:rPr>
        <w:t>3.2 Advanced Use</w:t>
      </w:r>
    </w:p>
    <w:p w14:paraId="581BFFE2">
      <w:pPr>
        <w:spacing w:after="200" w:line="276" w:lineRule="auto"/>
      </w:pPr>
      <w:r>
        <w:rPr>
          <w:rFonts w:ascii="Arial" w:hAnsi="Arial" w:eastAsia="Arial" w:cs="Arial"/>
          <w:sz w:val="22"/>
          <w:szCs w:val="22"/>
        </w:rPr>
        <w:t>Relative equals are often the first liquidity taken in a manipulation phase (Judas Swing / stop run) before delivery reverses toward the opposing pool. Their presence raises the quality of a liquidity-seeking narrative.</w:t>
      </w:r>
    </w:p>
    <w:p w14:paraId="53FE21C9">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Relative equal highs/lows are standard ICT teaching.</w:t>
      </w:r>
    </w:p>
    <w:p w14:paraId="14D89487">
      <w:pPr>
        <w:pStyle w:val="2"/>
        <w:spacing w:before="360" w:after="240"/>
      </w:pPr>
      <w:r>
        <w:rPr>
          <w:rFonts w:ascii="Arial" w:hAnsi="Arial" w:eastAsia="Arial" w:cs="Arial"/>
          <w:b/>
          <w:bCs/>
          <w:sz w:val="32"/>
          <w:szCs w:val="32"/>
        </w:rPr>
        <w:t>4. Timeframe Hierarchy of Liquidity</w:t>
      </w:r>
    </w:p>
    <w:p w14:paraId="77EA7D4F">
      <w:pPr>
        <w:pStyle w:val="3"/>
        <w:spacing w:before="280" w:after="180"/>
      </w:pPr>
      <w:r>
        <w:rPr>
          <w:rFonts w:ascii="Arial" w:hAnsi="Arial" w:eastAsia="Arial" w:cs="Arial"/>
          <w:b/>
          <w:bCs/>
          <w:sz w:val="26"/>
          <w:szCs w:val="26"/>
        </w:rPr>
        <w:t>4.1 Short-Term Liquidity</w:t>
      </w:r>
    </w:p>
    <w:p w14:paraId="08C43F9A">
      <w:pPr>
        <w:spacing w:after="200" w:line="276" w:lineRule="auto"/>
      </w:pPr>
      <w:r>
        <w:rPr>
          <w:rFonts w:ascii="Arial" w:hAnsi="Arial" w:eastAsia="Arial" w:cs="Arial"/>
          <w:sz w:val="22"/>
          <w:szCs w:val="22"/>
        </w:rPr>
        <w:t>Session extremes, 15-minute or 5-minute swing points, intraday equal highs/lows. These are the pools most frequently raided during kill zones. They condition lower-timeframe entries but rarely define the higher-timeframe Draw on Liquidity.</w:t>
      </w:r>
    </w:p>
    <w:p w14:paraId="17E88753">
      <w:pPr>
        <w:pStyle w:val="3"/>
        <w:spacing w:before="280" w:after="180"/>
      </w:pPr>
      <w:r>
        <w:rPr>
          <w:rFonts w:ascii="Arial" w:hAnsi="Arial" w:eastAsia="Arial" w:cs="Arial"/>
          <w:b/>
          <w:bCs/>
          <w:sz w:val="26"/>
          <w:szCs w:val="26"/>
        </w:rPr>
        <w:t>4.2 Intermediate-Term Liquidity</w:t>
      </w:r>
    </w:p>
    <w:p w14:paraId="3E1B309F">
      <w:pPr>
        <w:spacing w:after="200" w:line="276" w:lineRule="auto"/>
      </w:pPr>
      <w:r>
        <w:rPr>
          <w:rFonts w:ascii="Arial" w:hAnsi="Arial" w:eastAsia="Arial" w:cs="Arial"/>
          <w:sz w:val="22"/>
          <w:szCs w:val="22"/>
        </w:rPr>
        <w:t>Daily extremes, prior day high/low, 4-hour or 1-hour structural points, daily equal highs/lows. These often serve as the daily delivery objective or as intermediate targets inside a weekly narrative.</w:t>
      </w:r>
    </w:p>
    <w:p w14:paraId="14C8A0CA">
      <w:pPr>
        <w:pStyle w:val="3"/>
        <w:spacing w:before="280" w:after="180"/>
      </w:pPr>
      <w:r>
        <w:rPr>
          <w:rFonts w:ascii="Arial" w:hAnsi="Arial" w:eastAsia="Arial" w:cs="Arial"/>
          <w:b/>
          <w:bCs/>
          <w:sz w:val="26"/>
          <w:szCs w:val="26"/>
        </w:rPr>
        <w:t>4.3 Long-Term Liquidity</w:t>
      </w:r>
    </w:p>
    <w:p w14:paraId="01B7BA24">
      <w:pPr>
        <w:spacing w:after="200" w:line="276" w:lineRule="auto"/>
      </w:pPr>
      <w:r>
        <w:rPr>
          <w:rFonts w:ascii="Arial" w:hAnsi="Arial" w:eastAsia="Arial" w:cs="Arial"/>
          <w:sz w:val="22"/>
          <w:szCs w:val="22"/>
        </w:rPr>
        <w:t>Weekly and monthly extremes, multi-week swing points, untested weekly/monthly equal highs/lows. These are the pools that define macro delivery objectives. A weekly narrative that ignores long-term liquidity in favour of session noise is mis-specified.</w:t>
      </w:r>
    </w:p>
    <w:p w14:paraId="676F04CF">
      <w:pPr>
        <w:pStyle w:val="3"/>
        <w:spacing w:before="280" w:after="180"/>
      </w:pPr>
      <w:r>
        <w:rPr>
          <w:rFonts w:ascii="Arial" w:hAnsi="Arial" w:eastAsia="Arial" w:cs="Arial"/>
          <w:b/>
          <w:bCs/>
          <w:sz w:val="26"/>
          <w:szCs w:val="26"/>
        </w:rPr>
        <w:t>4.4 Ranking Rule</w:t>
      </w:r>
    </w:p>
    <w:p w14:paraId="5BB9B292">
      <w:pPr>
        <w:spacing w:after="200" w:line="276" w:lineRule="auto"/>
      </w:pPr>
      <w:r>
        <w:rPr>
          <w:rFonts w:ascii="Arial" w:hAnsi="Arial" w:eastAsia="Arial" w:cs="Arial"/>
          <w:sz w:val="22"/>
          <w:szCs w:val="22"/>
        </w:rPr>
        <w:t>When multiple pools are candidates, higher-timeframe pools outrank lower-timeframe pools for narrative authority. Lower-timeframe pools are used for conditioning and partial objectives.</w:t>
      </w:r>
    </w:p>
    <w:p w14:paraId="716A9C11">
      <w:pPr>
        <w:pStyle w:val="2"/>
        <w:spacing w:before="360" w:after="240"/>
      </w:pPr>
      <w:r>
        <w:rPr>
          <w:rFonts w:ascii="Arial" w:hAnsi="Arial" w:eastAsia="Arial" w:cs="Arial"/>
          <w:b/>
          <w:bCs/>
          <w:sz w:val="32"/>
          <w:szCs w:val="32"/>
        </w:rPr>
        <w:t>5. Draw on Liquidity</w:t>
      </w:r>
    </w:p>
    <w:p w14:paraId="32A8354E">
      <w:pPr>
        <w:pStyle w:val="3"/>
        <w:spacing w:before="280" w:after="180"/>
      </w:pPr>
      <w:r>
        <w:rPr>
          <w:rFonts w:ascii="Arial" w:hAnsi="Arial" w:eastAsia="Arial" w:cs="Arial"/>
          <w:b/>
          <w:bCs/>
          <w:sz w:val="26"/>
          <w:szCs w:val="26"/>
        </w:rPr>
        <w:t>5.1 Definition (Advanced)</w:t>
      </w:r>
    </w:p>
    <w:p w14:paraId="015514F0">
      <w:pPr>
        <w:spacing w:after="200" w:line="276" w:lineRule="auto"/>
      </w:pPr>
      <w:r>
        <w:rPr>
          <w:rFonts w:ascii="Arial" w:hAnsi="Arial" w:eastAsia="Arial" w:cs="Arial"/>
          <w:sz w:val="22"/>
          <w:szCs w:val="22"/>
        </w:rPr>
        <w:t>The Draw on Liquidity (DOL) is the specific pool that the current narrative expects price to seek next. It is not a vague direction; it is a named level or cluster (e.g., “buy-side liquidity above the 12 June weekly high” or “sell-side liquidity below the Asian range low”).</w:t>
      </w:r>
    </w:p>
    <w:p w14:paraId="09F3BECF">
      <w:pPr>
        <w:pStyle w:val="3"/>
        <w:spacing w:before="280" w:after="180"/>
      </w:pPr>
      <w:r>
        <w:rPr>
          <w:rFonts w:ascii="Arial" w:hAnsi="Arial" w:eastAsia="Arial" w:cs="Arial"/>
          <w:b/>
          <w:bCs/>
          <w:sz w:val="26"/>
          <w:szCs w:val="26"/>
        </w:rPr>
        <w:t>5.2 Construction</w:t>
      </w:r>
    </w:p>
    <w:p w14:paraId="5A02F1CB">
      <w:pPr>
        <w:spacing w:after="200" w:line="276" w:lineRule="auto"/>
      </w:pPr>
      <w:r>
        <w:rPr>
          <w:rFonts w:ascii="Arial" w:hAnsi="Arial" w:eastAsia="Arial" w:cs="Arial"/>
          <w:sz w:val="22"/>
          <w:szCs w:val="22"/>
        </w:rPr>
        <w:t>A complete DOL statement includes:</w:t>
      </w:r>
    </w:p>
    <w:p w14:paraId="200768ED">
      <w:pPr>
        <w:pStyle w:val="16"/>
        <w:numPr>
          <w:ilvl w:val="0"/>
          <w:numId w:val="1"/>
        </w:numPr>
        <w:spacing w:after="120" w:line="276" w:lineRule="auto"/>
      </w:pPr>
      <w:r>
        <w:rPr>
          <w:rFonts w:ascii="Arial" w:hAnsi="Arial" w:eastAsia="Arial" w:cs="Arial"/>
          <w:sz w:val="22"/>
          <w:szCs w:val="22"/>
        </w:rPr>
        <w:t>The pool’s location (price or structural reference),</w:t>
      </w:r>
    </w:p>
    <w:p w14:paraId="5A2E78AC">
      <w:pPr>
        <w:pStyle w:val="16"/>
        <w:numPr>
          <w:ilvl w:val="0"/>
          <w:numId w:val="1"/>
        </w:numPr>
        <w:spacing w:after="120" w:line="276" w:lineRule="auto"/>
      </w:pPr>
      <w:r>
        <w:rPr>
          <w:rFonts w:ascii="Arial" w:hAnsi="Arial" w:eastAsia="Arial" w:cs="Arial"/>
          <w:sz w:val="22"/>
          <w:szCs w:val="22"/>
        </w:rPr>
        <w:t>Its timeframe significance (short / intermediate / long-term),</w:t>
      </w:r>
    </w:p>
    <w:p w14:paraId="483509C9">
      <w:pPr>
        <w:pStyle w:val="16"/>
        <w:numPr>
          <w:ilvl w:val="0"/>
          <w:numId w:val="1"/>
        </w:numPr>
        <w:spacing w:after="120" w:line="276" w:lineRule="auto"/>
      </w:pPr>
      <w:r>
        <w:rPr>
          <w:rFonts w:ascii="Arial" w:hAnsi="Arial" w:eastAsia="Arial" w:cs="Arial"/>
          <w:sz w:val="22"/>
          <w:szCs w:val="22"/>
        </w:rPr>
        <w:t>Whether it is IRL or ERL relative to the controlling range,</w:t>
      </w:r>
    </w:p>
    <w:p w14:paraId="60D81E79">
      <w:pPr>
        <w:pStyle w:val="16"/>
        <w:numPr>
          <w:ilvl w:val="0"/>
          <w:numId w:val="1"/>
        </w:numPr>
        <w:spacing w:after="120" w:line="276" w:lineRule="auto"/>
      </w:pPr>
      <w:r>
        <w:rPr>
          <w:rFonts w:ascii="Arial" w:hAnsi="Arial" w:eastAsia="Arial" w:cs="Arial"/>
          <w:sz w:val="22"/>
          <w:szCs w:val="22"/>
        </w:rPr>
        <w:t>Why it outranks alternative pools given the higher-timeframe delivery narrative.</w:t>
      </w:r>
    </w:p>
    <w:p w14:paraId="3E4F52B1">
      <w:pPr>
        <w:pStyle w:val="3"/>
        <w:spacing w:before="280" w:after="180"/>
      </w:pPr>
      <w:r>
        <w:rPr>
          <w:rFonts w:ascii="Arial" w:hAnsi="Arial" w:eastAsia="Arial" w:cs="Arial"/>
          <w:b/>
          <w:bCs/>
          <w:sz w:val="26"/>
          <w:szCs w:val="26"/>
        </w:rPr>
        <w:t>5.3 Relationship to Bias</w:t>
      </w:r>
    </w:p>
    <w:p w14:paraId="42A651AD">
      <w:pPr>
        <w:spacing w:after="200" w:line="276" w:lineRule="auto"/>
      </w:pPr>
      <w:r>
        <w:rPr>
          <w:rFonts w:ascii="Arial" w:hAnsi="Arial" w:eastAsia="Arial" w:cs="Arial"/>
          <w:sz w:val="22"/>
          <w:szCs w:val="22"/>
        </w:rPr>
        <w:t>Bias (Intermediate Module 11, Advanced Module 10) is incomplete without a DOL. “Bullish” becomes “bullish toward [named pool].”</w:t>
      </w:r>
    </w:p>
    <w:p w14:paraId="07848215">
      <w:pPr>
        <w:pStyle w:val="2"/>
        <w:spacing w:before="360" w:after="240"/>
      </w:pPr>
      <w:r>
        <w:rPr>
          <w:rFonts w:ascii="Arial" w:hAnsi="Arial" w:eastAsia="Arial" w:cs="Arial"/>
          <w:b/>
          <w:bCs/>
          <w:sz w:val="32"/>
          <w:szCs w:val="32"/>
        </w:rPr>
        <w:t>6. Liquidity Delivery Sequence</w:t>
      </w:r>
    </w:p>
    <w:p w14:paraId="70FCDCE9">
      <w:pPr>
        <w:pStyle w:val="3"/>
        <w:spacing w:before="280" w:after="180"/>
      </w:pPr>
      <w:r>
        <w:rPr>
          <w:rFonts w:ascii="Arial" w:hAnsi="Arial" w:eastAsia="Arial" w:cs="Arial"/>
          <w:b/>
          <w:bCs/>
          <w:sz w:val="26"/>
          <w:szCs w:val="26"/>
        </w:rPr>
        <w:t>6.1 Canonical Sequence</w:t>
      </w:r>
    </w:p>
    <w:p w14:paraId="6C1F96B0">
      <w:pPr>
        <w:spacing w:after="200" w:line="276" w:lineRule="auto"/>
      </w:pPr>
      <w:r>
        <w:rPr>
          <w:rFonts w:ascii="Arial" w:hAnsi="Arial" w:eastAsia="Arial" w:cs="Arial"/>
          <w:sz w:val="22"/>
          <w:szCs w:val="22"/>
        </w:rPr>
        <w:t>Origin pool (often opposing liquidity that is raided) → displacement away from origin → optional intermediate IRL targets → terminal objective (often ERL or higher-timeframe pool). Retracement into PD arrays occurs after displacement and before or during continuation toward the terminal objective.</w:t>
      </w:r>
    </w:p>
    <w:p w14:paraId="13D33148">
      <w:pPr>
        <w:pStyle w:val="3"/>
        <w:spacing w:before="280" w:after="180"/>
      </w:pPr>
      <w:r>
        <w:rPr>
          <w:rFonts w:ascii="Arial" w:hAnsi="Arial" w:eastAsia="Arial" w:cs="Arial"/>
          <w:b/>
          <w:bCs/>
          <w:sz w:val="26"/>
          <w:szCs w:val="26"/>
        </w:rPr>
        <w:t>6.2 Opposing Liquidity</w:t>
      </w:r>
    </w:p>
    <w:p w14:paraId="4641BB96">
      <w:pPr>
        <w:spacing w:after="200" w:line="276" w:lineRule="auto"/>
      </w:pPr>
      <w:r>
        <w:rPr>
          <w:rFonts w:ascii="Arial" w:hAnsi="Arial" w:eastAsia="Arial" w:cs="Arial"/>
          <w:sz w:val="22"/>
          <w:szCs w:val="22"/>
        </w:rPr>
        <w:t>At every stage the opposite side of the market also holds liquidity. When a delivery leg fails, the opposing pool frequently becomes the new DOL. Recognition of opposing liquidity prevents surprise when a narrative reverses.</w:t>
      </w:r>
    </w:p>
    <w:p w14:paraId="336A57EF">
      <w:pPr>
        <w:pStyle w:val="2"/>
        <w:spacing w:before="360" w:after="240"/>
      </w:pPr>
      <w:r>
        <w:rPr>
          <w:rFonts w:ascii="Arial" w:hAnsi="Arial" w:eastAsia="Arial" w:cs="Arial"/>
          <w:b/>
          <w:bCs/>
          <w:sz w:val="32"/>
          <w:szCs w:val="32"/>
        </w:rPr>
        <w:t>7. Liquidity Voids</w:t>
      </w:r>
    </w:p>
    <w:p w14:paraId="08DEF7BC">
      <w:pPr>
        <w:pStyle w:val="3"/>
        <w:spacing w:before="280" w:after="180"/>
      </w:pPr>
      <w:r>
        <w:rPr>
          <w:rFonts w:ascii="Arial" w:hAnsi="Arial" w:eastAsia="Arial" w:cs="Arial"/>
          <w:b/>
          <w:bCs/>
          <w:sz w:val="26"/>
          <w:szCs w:val="26"/>
        </w:rPr>
        <w:t>7.1 Relationship to Imbalance</w:t>
      </w:r>
    </w:p>
    <w:p w14:paraId="0DCBA114">
      <w:pPr>
        <w:spacing w:after="200" w:line="276" w:lineRule="auto"/>
      </w:pPr>
      <w:r>
        <w:rPr>
          <w:rFonts w:ascii="Arial" w:hAnsi="Arial" w:eastAsia="Arial" w:cs="Arial"/>
          <w:sz w:val="22"/>
          <w:szCs w:val="22"/>
        </w:rPr>
        <w:t>A liquidity void is an area of rapid price movement with little to no trading activity — the extreme form of imbalance. In ICT usage it is closely related to the Fair Value Gap / imbalance concept: price is expected, under certain conditions, to return and rebalance the void.</w:t>
      </w:r>
    </w:p>
    <w:p w14:paraId="67D93378">
      <w:pPr>
        <w:pStyle w:val="3"/>
        <w:spacing w:before="280" w:after="180"/>
      </w:pPr>
      <w:r>
        <w:rPr>
          <w:rFonts w:ascii="Arial" w:hAnsi="Arial" w:eastAsia="Arial" w:cs="Arial"/>
          <w:b/>
          <w:bCs/>
          <w:sz w:val="26"/>
          <w:szCs w:val="26"/>
        </w:rPr>
        <w:t>7.2 Delivery Role</w:t>
      </w:r>
    </w:p>
    <w:p w14:paraId="680ED087">
      <w:pPr>
        <w:spacing w:after="200" w:line="276" w:lineRule="auto"/>
      </w:pPr>
      <w:r>
        <w:rPr>
          <w:rFonts w:ascii="Arial" w:hAnsi="Arial" w:eastAsia="Arial" w:cs="Arial"/>
          <w:sz w:val="22"/>
          <w:szCs w:val="22"/>
        </w:rPr>
        <w:t>Voids left by displacement often become the retracement objectives (repricing) inside an ongoing delivery leg. They are not automatically reversal signals; they are inefficiencies that the algorithm may choose to rebalance before continuing.</w:t>
      </w:r>
    </w:p>
    <w:p w14:paraId="51FEC415">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B/C — Liquidity void language appears in ICT teaching in connection with imbalances and rapid delivery; exact boundary with FVG terminology is sometimes fluid.</w:t>
      </w:r>
    </w:p>
    <w:p w14:paraId="36F409F1">
      <w:pPr>
        <w:pStyle w:val="2"/>
        <w:spacing w:before="360" w:after="240"/>
      </w:pPr>
      <w:r>
        <w:rPr>
          <w:rFonts w:ascii="Arial" w:hAnsi="Arial" w:eastAsia="Arial" w:cs="Arial"/>
          <w:b/>
          <w:bCs/>
          <w:sz w:val="32"/>
          <w:szCs w:val="32"/>
        </w:rPr>
        <w:t>8. Liquidity Hierarchy — Practical Ranking</w:t>
      </w:r>
    </w:p>
    <w:p w14:paraId="34F7A6FD">
      <w:pPr>
        <w:spacing w:after="200" w:line="276" w:lineRule="auto"/>
      </w:pPr>
      <w:r>
        <w:rPr>
          <w:rFonts w:ascii="Arial" w:hAnsi="Arial" w:eastAsia="Arial" w:cs="Arial"/>
          <w:sz w:val="22"/>
          <w:szCs w:val="22"/>
        </w:rPr>
        <w:t>When several pools compete, apply this order of consideration (all else equal):</w:t>
      </w:r>
    </w:p>
    <w:p w14:paraId="09B5F438">
      <w:pPr>
        <w:pStyle w:val="16"/>
        <w:numPr>
          <w:ilvl w:val="0"/>
          <w:numId w:val="2"/>
        </w:numPr>
        <w:spacing w:after="120" w:line="276" w:lineRule="auto"/>
      </w:pPr>
      <w:r>
        <w:rPr>
          <w:rFonts w:ascii="Arial" w:hAnsi="Arial" w:eastAsia="Arial" w:cs="Arial"/>
          <w:sz w:val="22"/>
          <w:szCs w:val="22"/>
        </w:rPr>
        <w:t>Long-term untested external liquidity that aligns with the higher-timeframe delivery narrative.</w:t>
      </w:r>
    </w:p>
    <w:p w14:paraId="1ED9E557">
      <w:pPr>
        <w:pStyle w:val="16"/>
        <w:numPr>
          <w:ilvl w:val="0"/>
          <w:numId w:val="2"/>
        </w:numPr>
        <w:spacing w:after="120" w:line="276" w:lineRule="auto"/>
      </w:pPr>
      <w:r>
        <w:rPr>
          <w:rFonts w:ascii="Arial" w:hAnsi="Arial" w:eastAsia="Arial" w:cs="Arial"/>
          <w:sz w:val="22"/>
          <w:szCs w:val="22"/>
        </w:rPr>
        <w:t>Intermediate-term external or strong internal liquidity that sits in the direction of the narrative.</w:t>
      </w:r>
    </w:p>
    <w:p w14:paraId="2E64572D">
      <w:pPr>
        <w:pStyle w:val="16"/>
        <w:numPr>
          <w:ilvl w:val="0"/>
          <w:numId w:val="2"/>
        </w:numPr>
        <w:spacing w:after="120" w:line="276" w:lineRule="auto"/>
      </w:pPr>
      <w:r>
        <w:rPr>
          <w:rFonts w:ascii="Arial" w:hAnsi="Arial" w:eastAsia="Arial" w:cs="Arial"/>
          <w:sz w:val="22"/>
          <w:szCs w:val="22"/>
        </w:rPr>
        <w:t>Relative equal highs/lows that have not been raided and that sit on the path to the higher-timeframe objective.</w:t>
      </w:r>
    </w:p>
    <w:p w14:paraId="6C2C75EE">
      <w:pPr>
        <w:pStyle w:val="16"/>
        <w:numPr>
          <w:ilvl w:val="0"/>
          <w:numId w:val="2"/>
        </w:numPr>
        <w:spacing w:after="120" w:line="276" w:lineRule="auto"/>
      </w:pPr>
      <w:r>
        <w:rPr>
          <w:rFonts w:ascii="Arial" w:hAnsi="Arial" w:eastAsia="Arial" w:cs="Arial"/>
          <w:sz w:val="22"/>
          <w:szCs w:val="22"/>
        </w:rPr>
        <w:t>Short-term session liquidity used for conditioning and entry timing.</w:t>
      </w:r>
    </w:p>
    <w:p w14:paraId="1C5FA6F7">
      <w:pPr>
        <w:pStyle w:val="16"/>
        <w:numPr>
          <w:ilvl w:val="0"/>
          <w:numId w:val="2"/>
        </w:numPr>
        <w:spacing w:after="120" w:line="276" w:lineRule="auto"/>
      </w:pPr>
      <w:r>
        <w:rPr>
          <w:rFonts w:ascii="Arial" w:hAnsi="Arial" w:eastAsia="Arial" w:cs="Arial"/>
          <w:sz w:val="22"/>
          <w:szCs w:val="22"/>
        </w:rPr>
        <w:t>Already-raided pools (lower priority unless a second pass is part of the narrative).</w:t>
      </w:r>
    </w:p>
    <w:p w14:paraId="54B50849">
      <w:pPr>
        <w:spacing w:after="200" w:line="276" w:lineRule="auto"/>
      </w:pPr>
      <w:r>
        <w:rPr>
          <w:rFonts w:ascii="Arial" w:hAnsi="Arial" w:eastAsia="Arial" w:cs="Arial"/>
          <w:sz w:val="22"/>
          <w:szCs w:val="22"/>
        </w:rPr>
        <w:t>Hierarchy is always subordinate to the controlling delivery narrative and the controlling dealing range’s premium/discount filter.</w:t>
      </w:r>
    </w:p>
    <w:p w14:paraId="01AB2C59">
      <w:pPr>
        <w:pStyle w:val="2"/>
        <w:spacing w:before="360" w:after="240"/>
      </w:pPr>
      <w:r>
        <w:rPr>
          <w:rFonts w:ascii="Arial" w:hAnsi="Arial" w:eastAsia="Arial" w:cs="Arial"/>
          <w:b/>
          <w:bCs/>
          <w:sz w:val="32"/>
          <w:szCs w:val="32"/>
        </w:rPr>
        <w:t>9. Worked Narrative — Liquidity Hierarchy in Action</w:t>
      </w:r>
    </w:p>
    <w:p w14:paraId="0897AE0A">
      <w:pPr>
        <w:spacing w:after="200" w:line="276" w:lineRule="auto"/>
      </w:pPr>
      <w:r>
        <w:rPr>
          <w:rFonts w:ascii="Arial" w:hAnsi="Arial" w:eastAsia="Arial" w:cs="Arial"/>
          <w:sz w:val="22"/>
          <w:szCs w:val="22"/>
        </w:rPr>
        <w:t>Weekly delivery: seeking buy-side liquidity above the prior weekly high at 1.1200 (long-term ERL). Weekly range in discount.</w:t>
      </w:r>
    </w:p>
    <w:p w14:paraId="10C1BFC9">
      <w:pPr>
        <w:spacing w:after="200" w:line="276" w:lineRule="auto"/>
      </w:pPr>
      <w:r>
        <w:rPr>
          <w:rFonts w:ascii="Arial" w:hAnsi="Arial" w:eastAsia="Arial" w:cs="Arial"/>
          <w:sz w:val="22"/>
          <w:szCs w:val="22"/>
        </w:rPr>
        <w:t>Daily: prior day low at 1.0580 has been swept (intermediate SSL taken). Daily displacement higher leaves a FVG. Next daily internal buy-side pool sits at 1.0850; the weekly objective remains 1.1200.</w:t>
      </w:r>
    </w:p>
    <w:p w14:paraId="63210B4B">
      <w:pPr>
        <w:spacing w:after="200" w:line="276" w:lineRule="auto"/>
      </w:pPr>
      <w:r>
        <w:rPr>
          <w:rFonts w:ascii="Arial" w:hAnsi="Arial" w:eastAsia="Arial" w:cs="Arial"/>
          <w:sz w:val="22"/>
          <w:szCs w:val="22"/>
        </w:rPr>
        <w:t>Session: Asian range low swept in London; relative equal lows around 1.0610 also taken. New York retraces into the daily FVG.</w:t>
      </w:r>
    </w:p>
    <w:p w14:paraId="599EFD04">
      <w:pPr>
        <w:spacing w:after="200" w:line="276" w:lineRule="auto"/>
      </w:pPr>
      <w:r>
        <w:rPr>
          <w:rFonts w:ascii="Arial" w:hAnsi="Arial" w:eastAsia="Arial" w:cs="Arial"/>
          <w:sz w:val="22"/>
          <w:szCs w:val="22"/>
        </w:rPr>
        <w:t>DOL statement: “Primary Draw on Liquidity is the weekly buy-side pool above 1.1200. Intermediate objective is daily buy-side at 1.0850. Session sell-side has been satisfied and functions as the origin of the current daily delivery leg.”</w:t>
      </w:r>
    </w:p>
    <w:p w14:paraId="3411F460">
      <w:pPr>
        <w:spacing w:after="200" w:line="276" w:lineRule="auto"/>
      </w:pPr>
      <w:r>
        <w:rPr>
          <w:rFonts w:ascii="Arial" w:hAnsi="Arial" w:eastAsia="Arial" w:cs="Arial"/>
          <w:sz w:val="22"/>
          <w:szCs w:val="22"/>
        </w:rPr>
        <w:t>This hierarchy keeps the student from treating the session sweep as the entire story or from abandoning the weekly objective after a daily partial is reached.</w:t>
      </w:r>
    </w:p>
    <w:p w14:paraId="16EEF85A">
      <w:pPr>
        <w:pStyle w:val="2"/>
        <w:spacing w:before="360" w:after="240"/>
      </w:pPr>
      <w:r>
        <w:rPr>
          <w:rFonts w:ascii="Arial" w:hAnsi="Arial" w:eastAsia="Arial" w:cs="Arial"/>
          <w:b/>
          <w:bCs/>
          <w:sz w:val="32"/>
          <w:szCs w:val="32"/>
        </w:rPr>
        <w:t>Visual Reference — Liquidity Hierarchy Inside a Range</w:t>
      </w:r>
    </w:p>
    <w:p w14:paraId="5443D383">
      <w:pPr>
        <w:spacing w:after="0" w:line="240" w:lineRule="auto"/>
      </w:pPr>
      <w:r>
        <w:rPr>
          <w:rFonts w:ascii="Courier New" w:hAnsi="Courier New" w:eastAsia="Courier New" w:cs="Courier New"/>
          <w:sz w:val="18"/>
          <w:szCs w:val="18"/>
        </w:rPr>
        <w:t>Long-term ERL (Weekly BSL)  ────────────  primary DOL</w:t>
      </w:r>
    </w:p>
    <w:p w14:paraId="136E4A29">
      <w:pPr>
        <w:spacing w:after="0" w:line="240" w:lineRule="auto"/>
      </w:pPr>
      <w:r>
        <w:rPr>
          <w:rFonts w:ascii="Courier New" w:hAnsi="Courier New" w:eastAsia="Courier New" w:cs="Courier New"/>
          <w:sz w:val="18"/>
          <w:szCs w:val="18"/>
        </w:rPr>
        <w:t xml:space="preserve">     Intermediate BSL (Daily)  ────────  intermediate target</w:t>
      </w:r>
    </w:p>
    <w:p w14:paraId="3B0B9F02">
      <w:pPr>
        <w:spacing w:after="0" w:line="240" w:lineRule="auto"/>
      </w:pPr>
      <w:r>
        <w:rPr>
          <w:rFonts w:ascii="Courier New" w:hAnsi="Courier New" w:eastAsia="Courier New" w:cs="Courier New"/>
          <w:sz w:val="18"/>
          <w:szCs w:val="18"/>
        </w:rPr>
        <w:t xml:space="preserve">          Session BSL / EQH     ──────  short-term / conditioning</w:t>
      </w:r>
    </w:p>
    <w:p w14:paraId="08C1369A">
      <w:pPr>
        <w:spacing w:after="0" w:line="240" w:lineRule="auto"/>
      </w:pPr>
      <w:r>
        <w:rPr>
          <w:rFonts w:ascii="Courier New" w:hAnsi="Courier New" w:eastAsia="Courier New" w:cs="Courier New"/>
          <w:sz w:val="18"/>
          <w:szCs w:val="18"/>
        </w:rPr>
        <w:t xml:space="preserve">     ──────── Equilibrium ────────────</w:t>
      </w:r>
    </w:p>
    <w:p w14:paraId="05276B2D">
      <w:pPr>
        <w:spacing w:after="0" w:line="240" w:lineRule="auto"/>
      </w:pPr>
      <w:r>
        <w:rPr>
          <w:rFonts w:ascii="Courier New" w:hAnsi="Courier New" w:eastAsia="Courier New" w:cs="Courier New"/>
          <w:sz w:val="18"/>
          <w:szCs w:val="18"/>
        </w:rPr>
        <w:t xml:space="preserve">          Session SSL / EQL     ──────  origin / manipulation</w:t>
      </w:r>
    </w:p>
    <w:p w14:paraId="53D44747">
      <w:pPr>
        <w:spacing w:after="0" w:line="240" w:lineRule="auto"/>
      </w:pPr>
      <w:r>
        <w:rPr>
          <w:rFonts w:ascii="Courier New" w:hAnsi="Courier New" w:eastAsia="Courier New" w:cs="Courier New"/>
          <w:sz w:val="18"/>
          <w:szCs w:val="18"/>
        </w:rPr>
        <w:t xml:space="preserve">     Intermediate SSL (Daily)  ────────  already taken</w:t>
      </w:r>
    </w:p>
    <w:p w14:paraId="5C7E08F0">
      <w:pPr>
        <w:spacing w:after="0" w:line="240" w:lineRule="auto"/>
      </w:pPr>
      <w:r>
        <w:rPr>
          <w:rFonts w:ascii="Courier New" w:hAnsi="Courier New" w:eastAsia="Courier New" w:cs="Courier New"/>
          <w:sz w:val="18"/>
          <w:szCs w:val="18"/>
        </w:rPr>
        <w:t>Long-term ERL (Weekly SSL)  ────────────  opposing liquidity</w:t>
      </w:r>
    </w:p>
    <w:p w14:paraId="588D993E">
      <w:pPr>
        <w:pStyle w:val="2"/>
        <w:spacing w:before="360" w:after="240"/>
      </w:pPr>
      <w:r>
        <w:rPr>
          <w:rFonts w:ascii="Arial" w:hAnsi="Arial" w:eastAsia="Arial" w:cs="Arial"/>
          <w:b/>
          <w:bCs/>
          <w:sz w:val="32"/>
          <w:szCs w:val="32"/>
        </w:rPr>
        <w:t>10. Failure Conditions</w:t>
      </w:r>
    </w:p>
    <w:p w14:paraId="3FFB81B4">
      <w:pPr>
        <w:spacing w:after="200" w:line="276" w:lineRule="auto"/>
      </w:pPr>
      <w:r>
        <w:rPr>
          <w:rFonts w:ascii="Arial" w:hAnsi="Arial" w:eastAsia="Arial" w:cs="Arial"/>
          <w:sz w:val="22"/>
          <w:szCs w:val="22"/>
        </w:rPr>
        <w:t>Liquidity narrative fails when:</w:t>
      </w:r>
    </w:p>
    <w:p w14:paraId="09A93212">
      <w:pPr>
        <w:pStyle w:val="16"/>
        <w:numPr>
          <w:ilvl w:val="0"/>
          <w:numId w:val="1"/>
        </w:numPr>
        <w:spacing w:after="120" w:line="276" w:lineRule="auto"/>
      </w:pPr>
      <w:r>
        <w:rPr>
          <w:rFonts w:ascii="Arial" w:hAnsi="Arial" w:eastAsia="Arial" w:cs="Arial"/>
          <w:sz w:val="22"/>
          <w:szCs w:val="22"/>
        </w:rPr>
        <w:t>The stated DOL is reached and price reverses with opposing displacement and MSS, promoting the opposing pool to new DOL.</w:t>
      </w:r>
    </w:p>
    <w:p w14:paraId="258DA285">
      <w:pPr>
        <w:pStyle w:val="16"/>
        <w:numPr>
          <w:ilvl w:val="0"/>
          <w:numId w:val="1"/>
        </w:numPr>
        <w:spacing w:after="120" w:line="276" w:lineRule="auto"/>
      </w:pPr>
      <w:r>
        <w:rPr>
          <w:rFonts w:ascii="Arial" w:hAnsi="Arial" w:eastAsia="Arial" w:cs="Arial"/>
          <w:sz w:val="22"/>
          <w:szCs w:val="22"/>
        </w:rPr>
        <w:t>A higher-timeframe pool that was ignored suddenly becomes active and overrides the intermediate narrative.</w:t>
      </w:r>
    </w:p>
    <w:p w14:paraId="49D18D6D">
      <w:pPr>
        <w:pStyle w:val="16"/>
        <w:numPr>
          <w:ilvl w:val="0"/>
          <w:numId w:val="1"/>
        </w:numPr>
        <w:spacing w:after="120" w:line="276" w:lineRule="auto"/>
      </w:pPr>
      <w:r>
        <w:rPr>
          <w:rFonts w:ascii="Arial" w:hAnsi="Arial" w:eastAsia="Arial" w:cs="Arial"/>
          <w:sz w:val="22"/>
          <w:szCs w:val="22"/>
        </w:rPr>
        <w:t>Repeated raids of the same pool without continuation suggest the pool is no longer the true objective.</w:t>
      </w:r>
    </w:p>
    <w:p w14:paraId="3F4F3428">
      <w:pPr>
        <w:spacing w:after="200" w:line="276" w:lineRule="auto"/>
      </w:pPr>
      <w:r>
        <w:rPr>
          <w:rFonts w:ascii="Arial" w:hAnsi="Arial" w:eastAsia="Arial" w:cs="Arial"/>
          <w:sz w:val="22"/>
          <w:szCs w:val="22"/>
        </w:rPr>
        <w:t>Failure requires an explicit rewrite of the DOL and of the delivery narrative (Module 1), not a silent hope that the original pool will still be sought.</w:t>
      </w:r>
    </w:p>
    <w:p w14:paraId="53574BEF">
      <w:pPr>
        <w:pStyle w:val="2"/>
        <w:spacing w:before="360" w:after="240"/>
      </w:pPr>
      <w:r>
        <w:rPr>
          <w:rFonts w:ascii="Arial" w:hAnsi="Arial" w:eastAsia="Arial" w:cs="Arial"/>
          <w:b/>
          <w:bCs/>
          <w:sz w:val="32"/>
          <w:szCs w:val="32"/>
        </w:rPr>
        <w:t>11. Common Misinterpretations</w:t>
      </w:r>
    </w:p>
    <w:p w14:paraId="1B41A6C3">
      <w:pPr>
        <w:pStyle w:val="16"/>
        <w:numPr>
          <w:ilvl w:val="0"/>
          <w:numId w:val="1"/>
        </w:numPr>
        <w:spacing w:after="120" w:line="276" w:lineRule="auto"/>
      </w:pPr>
      <w:r>
        <w:rPr>
          <w:rFonts w:ascii="Arial" w:hAnsi="Arial" w:eastAsia="Arial" w:cs="Arial"/>
          <w:sz w:val="22"/>
          <w:szCs w:val="22"/>
        </w:rPr>
        <w:t>Treating every swing high/low as equal in significance.</w:t>
      </w:r>
    </w:p>
    <w:p w14:paraId="104C09C2">
      <w:pPr>
        <w:pStyle w:val="16"/>
        <w:numPr>
          <w:ilvl w:val="0"/>
          <w:numId w:val="1"/>
        </w:numPr>
        <w:spacing w:after="120" w:line="276" w:lineRule="auto"/>
      </w:pPr>
      <w:r>
        <w:rPr>
          <w:rFonts w:ascii="Arial" w:hAnsi="Arial" w:eastAsia="Arial" w:cs="Arial"/>
          <w:sz w:val="22"/>
          <w:szCs w:val="22"/>
        </w:rPr>
        <w:t>Naming a direction (“bullish”) without naming the concrete pool that is the Draw on Liquidity.</w:t>
      </w:r>
    </w:p>
    <w:p w14:paraId="0DB3C606">
      <w:pPr>
        <w:pStyle w:val="16"/>
        <w:numPr>
          <w:ilvl w:val="0"/>
          <w:numId w:val="1"/>
        </w:numPr>
        <w:spacing w:after="120" w:line="276" w:lineRule="auto"/>
      </w:pPr>
      <w:r>
        <w:rPr>
          <w:rFonts w:ascii="Arial" w:hAnsi="Arial" w:eastAsia="Arial" w:cs="Arial"/>
          <w:sz w:val="22"/>
          <w:szCs w:val="22"/>
        </w:rPr>
        <w:t>Allowing short-term session liquidity to override long-term untested external liquidity.</w:t>
      </w:r>
    </w:p>
    <w:p w14:paraId="60B49A36">
      <w:pPr>
        <w:pStyle w:val="16"/>
        <w:numPr>
          <w:ilvl w:val="0"/>
          <w:numId w:val="1"/>
        </w:numPr>
        <w:spacing w:after="120" w:line="276" w:lineRule="auto"/>
      </w:pPr>
      <w:r>
        <w:rPr>
          <w:rFonts w:ascii="Arial" w:hAnsi="Arial" w:eastAsia="Arial" w:cs="Arial"/>
          <w:sz w:val="22"/>
          <w:szCs w:val="22"/>
        </w:rPr>
        <w:t>Assuming that once a pool is raided it can never be revisited (second passes occur).</w:t>
      </w:r>
    </w:p>
    <w:p w14:paraId="0AD5FF20">
      <w:pPr>
        <w:pStyle w:val="16"/>
        <w:numPr>
          <w:ilvl w:val="0"/>
          <w:numId w:val="1"/>
        </w:numPr>
        <w:spacing w:after="120" w:line="276" w:lineRule="auto"/>
      </w:pPr>
      <w:r>
        <w:rPr>
          <w:rFonts w:ascii="Arial" w:hAnsi="Arial" w:eastAsia="Arial" w:cs="Arial"/>
          <w:sz w:val="22"/>
          <w:szCs w:val="22"/>
        </w:rPr>
        <w:t>Confusing a liquidity void / FVG return with an automatic reversal of the higher-timeframe DOL.</w:t>
      </w:r>
    </w:p>
    <w:p w14:paraId="64B94836">
      <w:pPr>
        <w:pStyle w:val="2"/>
        <w:spacing w:before="360" w:after="240"/>
      </w:pPr>
      <w:r>
        <w:rPr>
          <w:rFonts w:ascii="Arial" w:hAnsi="Arial" w:eastAsia="Arial" w:cs="Arial"/>
          <w:b/>
          <w:bCs/>
          <w:sz w:val="32"/>
          <w:szCs w:val="32"/>
        </w:rPr>
        <w:t>12. Evidence Summary</w:t>
      </w:r>
    </w:p>
    <w:p w14:paraId="4D9084CA">
      <w:pPr>
        <w:spacing w:after="200" w:line="276" w:lineRule="auto"/>
      </w:pPr>
      <w:r>
        <w:rPr>
          <w:rFonts w:ascii="Arial" w:hAnsi="Arial" w:eastAsia="Arial" w:cs="Arial"/>
          <w:sz w:val="22"/>
          <w:szCs w:val="22"/>
        </w:rPr>
        <w:t>Buy-side / sell-side liquidity, equal highs/lows, Draw on Liquidity, and the distinction between internal and external objectives relative to a range are core ICT. The timeframe ranking of liquidity (short / intermediate / long-term) is the consistent multi-timeframe extension of that teaching. Liquidity void language is used in connection with rapid delivery and imbalance. Community elaborations that assign fixed numerical priorities or mechanical scoring systems beyond ICT’s demonstrations are classified as community interpretation.</w:t>
      </w:r>
    </w:p>
    <w:p w14:paraId="15772526">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Primary orientation: ICT teaching on liquidity pools, equal highs/lows, Draw on Liquidity, and IRL/ERL relative to dealing ranges. Timeframe hierarchy is the operational synthesis required for advanced narrative construction. Secondary sources used only to locate and cross-reference primary themes.</w:t>
      </w:r>
    </w:p>
    <w:p w14:paraId="7F8F80A1">
      <w:pPr>
        <w:pStyle w:val="2"/>
        <w:spacing w:before="360" w:after="240"/>
      </w:pPr>
      <w:r>
        <w:rPr>
          <w:rFonts w:ascii="Arial" w:hAnsi="Arial" w:eastAsia="Arial" w:cs="Arial"/>
          <w:b/>
          <w:bCs/>
          <w:sz w:val="32"/>
          <w:szCs w:val="32"/>
        </w:rPr>
        <w:t>What You Should Now Be Able to Do</w:t>
      </w:r>
    </w:p>
    <w:p w14:paraId="5905BF80">
      <w:pPr>
        <w:pStyle w:val="16"/>
        <w:numPr>
          <w:ilvl w:val="0"/>
          <w:numId w:val="1"/>
        </w:numPr>
        <w:spacing w:after="120" w:line="276" w:lineRule="auto"/>
      </w:pPr>
      <w:r>
        <w:rPr>
          <w:rFonts w:ascii="Arial" w:hAnsi="Arial" w:eastAsia="Arial" w:cs="Arial"/>
          <w:sz w:val="22"/>
          <w:szCs w:val="22"/>
        </w:rPr>
        <w:t>Produce a ranked list of the relevant liquidity pools for the active narrative (long-term → intermediate → short-term).</w:t>
      </w:r>
    </w:p>
    <w:p w14:paraId="1D951FEE">
      <w:pPr>
        <w:pStyle w:val="16"/>
        <w:numPr>
          <w:ilvl w:val="0"/>
          <w:numId w:val="1"/>
        </w:numPr>
        <w:spacing w:after="120" w:line="276" w:lineRule="auto"/>
      </w:pPr>
      <w:r>
        <w:rPr>
          <w:rFonts w:ascii="Arial" w:hAnsi="Arial" w:eastAsia="Arial" w:cs="Arial"/>
          <w:sz w:val="22"/>
          <w:szCs w:val="22"/>
        </w:rPr>
        <w:t>Write a complete Draw on Liquidity statement that names the pool, its timeframe, and its IRL/ERL status.</w:t>
      </w:r>
    </w:p>
    <w:p w14:paraId="2D9B6489">
      <w:pPr>
        <w:pStyle w:val="16"/>
        <w:numPr>
          <w:ilvl w:val="0"/>
          <w:numId w:val="1"/>
        </w:numPr>
        <w:spacing w:after="120" w:line="276" w:lineRule="auto"/>
      </w:pPr>
      <w:r>
        <w:rPr>
          <w:rFonts w:ascii="Arial" w:hAnsi="Arial" w:eastAsia="Arial" w:cs="Arial"/>
          <w:sz w:val="22"/>
          <w:szCs w:val="22"/>
        </w:rPr>
        <w:t>Map a delivery sequence from origin pool through intermediate pools to the terminal objective.</w:t>
      </w:r>
    </w:p>
    <w:p w14:paraId="25AFBB97">
      <w:pPr>
        <w:pStyle w:val="16"/>
        <w:numPr>
          <w:ilvl w:val="0"/>
          <w:numId w:val="1"/>
        </w:numPr>
        <w:spacing w:after="120" w:line="276" w:lineRule="auto"/>
      </w:pPr>
      <w:r>
        <w:rPr>
          <w:rFonts w:ascii="Arial" w:hAnsi="Arial" w:eastAsia="Arial" w:cs="Arial"/>
          <w:sz w:val="22"/>
          <w:szCs w:val="22"/>
        </w:rPr>
        <w:t>Identify relative equal highs/lows and state their likely role in manipulation.</w:t>
      </w:r>
    </w:p>
    <w:p w14:paraId="001CA86A">
      <w:pPr>
        <w:pStyle w:val="16"/>
        <w:numPr>
          <w:ilvl w:val="0"/>
          <w:numId w:val="1"/>
        </w:numPr>
        <w:spacing w:after="120" w:line="276" w:lineRule="auto"/>
      </w:pPr>
      <w:r>
        <w:rPr>
          <w:rFonts w:ascii="Arial" w:hAnsi="Arial" w:eastAsia="Arial" w:cs="Arial"/>
          <w:sz w:val="22"/>
          <w:szCs w:val="22"/>
        </w:rPr>
        <w:t>Recognise when opposing liquidity has taken control and rewrite the DOL accordingly.</w:t>
      </w:r>
    </w:p>
    <w:p w14:paraId="2CAB54CE">
      <w:pPr>
        <w:pStyle w:val="16"/>
        <w:numPr>
          <w:ilvl w:val="0"/>
          <w:numId w:val="1"/>
        </w:numPr>
        <w:spacing w:after="120" w:line="276" w:lineRule="auto"/>
      </w:pPr>
      <w:r>
        <w:rPr>
          <w:rFonts w:ascii="Arial" w:hAnsi="Arial" w:eastAsia="Arial" w:cs="Arial"/>
          <w:sz w:val="22"/>
          <w:szCs w:val="22"/>
        </w:rPr>
        <w:t>Keep short-term liquidity subordinate to the higher-timeframe Draw on Liquidity.</w:t>
      </w:r>
    </w:p>
    <w:p w14:paraId="4BAF4F5E">
      <w:pPr>
        <w:pStyle w:val="2"/>
        <w:spacing w:before="360" w:after="240"/>
      </w:pPr>
      <w:r>
        <w:rPr>
          <w:rFonts w:ascii="Arial" w:hAnsi="Arial" w:eastAsia="Arial" w:cs="Arial"/>
          <w:b/>
          <w:bCs/>
          <w:sz w:val="32"/>
          <w:szCs w:val="32"/>
        </w:rPr>
        <w:t>Module Review</w:t>
      </w:r>
    </w:p>
    <w:p w14:paraId="40CF6278">
      <w:pPr>
        <w:pStyle w:val="3"/>
        <w:spacing w:before="280" w:after="180"/>
      </w:pPr>
      <w:r>
        <w:rPr>
          <w:rFonts w:ascii="Arial" w:hAnsi="Arial" w:eastAsia="Arial" w:cs="Arial"/>
          <w:b/>
          <w:bCs/>
          <w:sz w:val="26"/>
          <w:szCs w:val="26"/>
        </w:rPr>
        <w:t>Key Terms</w:t>
      </w:r>
    </w:p>
    <w:p w14:paraId="56CC9165">
      <w:pPr>
        <w:pStyle w:val="16"/>
        <w:numPr>
          <w:ilvl w:val="0"/>
          <w:numId w:val="1"/>
        </w:numPr>
        <w:spacing w:after="120" w:line="276" w:lineRule="auto"/>
      </w:pPr>
      <w:r>
        <w:rPr>
          <w:rFonts w:ascii="Arial" w:hAnsi="Arial" w:eastAsia="Arial" w:cs="Arial"/>
          <w:sz w:val="22"/>
          <w:szCs w:val="22"/>
        </w:rPr>
        <w:t>Draw on Liquidity (DOL) — the specific named pool the narrative expects price to seek next.</w:t>
      </w:r>
    </w:p>
    <w:p w14:paraId="034BE8A1">
      <w:pPr>
        <w:pStyle w:val="16"/>
        <w:numPr>
          <w:ilvl w:val="0"/>
          <w:numId w:val="1"/>
        </w:numPr>
        <w:spacing w:after="120" w:line="276" w:lineRule="auto"/>
      </w:pPr>
      <w:r>
        <w:rPr>
          <w:rFonts w:ascii="Arial" w:hAnsi="Arial" w:eastAsia="Arial" w:cs="Arial"/>
          <w:sz w:val="22"/>
          <w:szCs w:val="22"/>
        </w:rPr>
        <w:t>Internal Range Liquidity (IRL) — liquidity and imbalances inside the controlling dealing range.</w:t>
      </w:r>
    </w:p>
    <w:p w14:paraId="37E62CA5">
      <w:pPr>
        <w:pStyle w:val="16"/>
        <w:numPr>
          <w:ilvl w:val="0"/>
          <w:numId w:val="1"/>
        </w:numPr>
        <w:spacing w:after="120" w:line="276" w:lineRule="auto"/>
      </w:pPr>
      <w:r>
        <w:rPr>
          <w:rFonts w:ascii="Arial" w:hAnsi="Arial" w:eastAsia="Arial" w:cs="Arial"/>
          <w:sz w:val="22"/>
          <w:szCs w:val="22"/>
        </w:rPr>
        <w:t>External Range Liquidity (ERL) — liquidity outside the controlling dealing range boundaries.</w:t>
      </w:r>
    </w:p>
    <w:p w14:paraId="2F78EE2D">
      <w:pPr>
        <w:pStyle w:val="16"/>
        <w:numPr>
          <w:ilvl w:val="0"/>
          <w:numId w:val="1"/>
        </w:numPr>
        <w:spacing w:after="120" w:line="276" w:lineRule="auto"/>
      </w:pPr>
      <w:r>
        <w:rPr>
          <w:rFonts w:ascii="Arial" w:hAnsi="Arial" w:eastAsia="Arial" w:cs="Arial"/>
          <w:sz w:val="22"/>
          <w:szCs w:val="22"/>
        </w:rPr>
        <w:t>Relative equal highs / lows — near-equal swing points that concentrate resting liquidity.</w:t>
      </w:r>
    </w:p>
    <w:p w14:paraId="4DB41094">
      <w:pPr>
        <w:pStyle w:val="16"/>
        <w:numPr>
          <w:ilvl w:val="0"/>
          <w:numId w:val="1"/>
        </w:numPr>
        <w:spacing w:after="120" w:line="276" w:lineRule="auto"/>
      </w:pPr>
      <w:r>
        <w:rPr>
          <w:rFonts w:ascii="Arial" w:hAnsi="Arial" w:eastAsia="Arial" w:cs="Arial"/>
          <w:sz w:val="22"/>
          <w:szCs w:val="22"/>
        </w:rPr>
        <w:t>Short-term / Intermediate-term / Long-term liquidity — timeframe ranking of pools.</w:t>
      </w:r>
    </w:p>
    <w:p w14:paraId="2A709E0F">
      <w:pPr>
        <w:pStyle w:val="16"/>
        <w:numPr>
          <w:ilvl w:val="0"/>
          <w:numId w:val="1"/>
        </w:numPr>
        <w:spacing w:after="120" w:line="276" w:lineRule="auto"/>
      </w:pPr>
      <w:r>
        <w:rPr>
          <w:rFonts w:ascii="Arial" w:hAnsi="Arial" w:eastAsia="Arial" w:cs="Arial"/>
          <w:sz w:val="22"/>
          <w:szCs w:val="22"/>
        </w:rPr>
        <w:t>Liquidity void — area of rapid movement with little activity; related to imbalance / FVG.</w:t>
      </w:r>
    </w:p>
    <w:p w14:paraId="2530B8E4">
      <w:pPr>
        <w:pStyle w:val="16"/>
        <w:numPr>
          <w:ilvl w:val="0"/>
          <w:numId w:val="1"/>
        </w:numPr>
        <w:spacing w:after="120" w:line="276" w:lineRule="auto"/>
      </w:pPr>
      <w:r>
        <w:rPr>
          <w:rFonts w:ascii="Arial" w:hAnsi="Arial" w:eastAsia="Arial" w:cs="Arial"/>
          <w:sz w:val="22"/>
          <w:szCs w:val="22"/>
        </w:rPr>
        <w:t>Opposing liquidity — the pools on the opposite side of the current delivery direction.</w:t>
      </w:r>
    </w:p>
    <w:p w14:paraId="224F193C">
      <w:pPr>
        <w:pStyle w:val="16"/>
        <w:numPr>
          <w:ilvl w:val="0"/>
          <w:numId w:val="1"/>
        </w:numPr>
        <w:spacing w:after="120" w:line="276" w:lineRule="auto"/>
      </w:pPr>
      <w:r>
        <w:rPr>
          <w:rFonts w:ascii="Arial" w:hAnsi="Arial" w:eastAsia="Arial" w:cs="Arial"/>
          <w:sz w:val="22"/>
          <w:szCs w:val="22"/>
        </w:rPr>
        <w:t>Liquidity hierarchy — the ranked order of pools that governs narrative priority.</w:t>
      </w:r>
    </w:p>
    <w:p w14:paraId="17B43AC6">
      <w:pPr>
        <w:pStyle w:val="3"/>
        <w:spacing w:before="280" w:after="180"/>
      </w:pPr>
      <w:r>
        <w:rPr>
          <w:rFonts w:ascii="Arial" w:hAnsi="Arial" w:eastAsia="Arial" w:cs="Arial"/>
          <w:b/>
          <w:bCs/>
          <w:sz w:val="26"/>
          <w:szCs w:val="26"/>
        </w:rPr>
        <w:t>Self-Test</w:t>
      </w:r>
    </w:p>
    <w:p w14:paraId="3C00B829">
      <w:pPr>
        <w:pStyle w:val="16"/>
        <w:numPr>
          <w:ilvl w:val="0"/>
          <w:numId w:val="2"/>
        </w:numPr>
        <w:spacing w:after="120" w:line="276" w:lineRule="auto"/>
      </w:pPr>
      <w:r>
        <w:rPr>
          <w:rFonts w:ascii="Arial" w:hAnsi="Arial" w:eastAsia="Arial" w:cs="Arial"/>
          <w:sz w:val="22"/>
          <w:szCs w:val="22"/>
        </w:rPr>
        <w:t>What four elements belong in a complete Draw on Liquidity statement?</w:t>
      </w:r>
    </w:p>
    <w:p w14:paraId="41612837">
      <w:pPr>
        <w:pStyle w:val="16"/>
        <w:numPr>
          <w:ilvl w:val="0"/>
          <w:numId w:val="2"/>
        </w:numPr>
        <w:spacing w:after="120" w:line="276" w:lineRule="auto"/>
      </w:pPr>
      <w:r>
        <w:rPr>
          <w:rFonts w:ascii="Arial" w:hAnsi="Arial" w:eastAsia="Arial" w:cs="Arial"/>
          <w:sz w:val="22"/>
          <w:szCs w:val="22"/>
        </w:rPr>
        <w:t>How does IRL differ from ERL in role within a delivery leg?</w:t>
      </w:r>
    </w:p>
    <w:p w14:paraId="6ACE1A5A">
      <w:pPr>
        <w:pStyle w:val="16"/>
        <w:numPr>
          <w:ilvl w:val="0"/>
          <w:numId w:val="2"/>
        </w:numPr>
        <w:spacing w:after="120" w:line="276" w:lineRule="auto"/>
      </w:pPr>
      <w:r>
        <w:rPr>
          <w:rFonts w:ascii="Arial" w:hAnsi="Arial" w:eastAsia="Arial" w:cs="Arial"/>
          <w:sz w:val="22"/>
          <w:szCs w:val="22"/>
        </w:rPr>
        <w:t>Why do relative equal highs/lows rank higher than ordinary single swing points for engineering?</w:t>
      </w:r>
    </w:p>
    <w:p w14:paraId="26EE688F">
      <w:pPr>
        <w:pStyle w:val="16"/>
        <w:numPr>
          <w:ilvl w:val="0"/>
          <w:numId w:val="2"/>
        </w:numPr>
        <w:spacing w:after="120" w:line="276" w:lineRule="auto"/>
      </w:pPr>
      <w:r>
        <w:rPr>
          <w:rFonts w:ascii="Arial" w:hAnsi="Arial" w:eastAsia="Arial" w:cs="Arial"/>
          <w:sz w:val="22"/>
          <w:szCs w:val="22"/>
        </w:rPr>
        <w:t>When a weekly DOL and a session pool conflict, which governs the narrative?</w:t>
      </w:r>
    </w:p>
    <w:p w14:paraId="3C04C933">
      <w:pPr>
        <w:pStyle w:val="16"/>
        <w:numPr>
          <w:ilvl w:val="0"/>
          <w:numId w:val="2"/>
        </w:numPr>
        <w:spacing w:after="120" w:line="276" w:lineRule="auto"/>
      </w:pPr>
      <w:r>
        <w:rPr>
          <w:rFonts w:ascii="Arial" w:hAnsi="Arial" w:eastAsia="Arial" w:cs="Arial"/>
          <w:sz w:val="22"/>
          <w:szCs w:val="22"/>
        </w:rPr>
        <w:t>What should the student do when the stated DOL is reached and opposing displacement appears?</w:t>
      </w:r>
    </w:p>
    <w:p w14:paraId="26DFD72C">
      <w:pPr>
        <w:pStyle w:val="3"/>
        <w:spacing w:before="280" w:after="180"/>
      </w:pPr>
      <w:r>
        <w:rPr>
          <w:rFonts w:ascii="Arial" w:hAnsi="Arial" w:eastAsia="Arial" w:cs="Arial"/>
          <w:b/>
          <w:bCs/>
          <w:sz w:val="26"/>
          <w:szCs w:val="26"/>
        </w:rPr>
        <w:t>Transition to Module 4</w:t>
      </w:r>
    </w:p>
    <w:p w14:paraId="75292142">
      <w:pPr>
        <w:spacing w:after="200" w:line="276" w:lineRule="auto"/>
      </w:pPr>
      <w:r>
        <w:rPr>
          <w:rFonts w:ascii="Arial" w:hAnsi="Arial" w:eastAsia="Arial" w:cs="Arial"/>
          <w:sz w:val="22"/>
          <w:szCs w:val="22"/>
        </w:rPr>
        <w:t>Module 3 has ranked the liquidity objectives that drive delivery. Module 4 (Advanced Market Structure) will examine the structural sequence — macro, intermediate and internal structure, internal vs external MSS, structural confirmation and failure — that confirms whether price is still delivering toward the stated Draw on Liquidity or has shifted to a new objective.</w:t>
      </w:r>
    </w:p>
    <w:p w14:paraId="382ACB75">
      <w:pPr>
        <w:spacing w:after="200" w:line="276" w:lineRule="auto"/>
        <w:rPr>
          <w:rFonts w:ascii="Arial" w:hAnsi="Arial" w:eastAsia="Arial" w:cs="Arial"/>
          <w:sz w:val="22"/>
          <w:szCs w:val="22"/>
        </w:rPr>
      </w:pPr>
    </w:p>
    <w:p w14:paraId="20B87BBB">
      <w:pPr>
        <w:spacing w:after="200" w:line="276" w:lineRule="auto"/>
        <w:rPr>
          <w:rFonts w:ascii="Arial" w:hAnsi="Arial" w:eastAsia="Arial" w:cs="Arial"/>
          <w:sz w:val="22"/>
          <w:szCs w:val="22"/>
        </w:rPr>
      </w:pPr>
    </w:p>
    <w:p w14:paraId="79FDB278">
      <w:pPr>
        <w:spacing w:after="200" w:line="276" w:lineRule="auto"/>
        <w:rPr>
          <w:rFonts w:ascii="Arial" w:hAnsi="Arial" w:eastAsia="Arial" w:cs="Arial"/>
          <w:sz w:val="22"/>
          <w:szCs w:val="22"/>
        </w:rPr>
      </w:pPr>
    </w:p>
    <w:p w14:paraId="2C7CB3A1">
      <w:pPr>
        <w:spacing w:after="200" w:line="276" w:lineRule="auto"/>
        <w:rPr>
          <w:rFonts w:ascii="Arial" w:hAnsi="Arial" w:eastAsia="Arial" w:cs="Arial"/>
          <w:sz w:val="22"/>
          <w:szCs w:val="22"/>
        </w:rPr>
      </w:pPr>
    </w:p>
    <w:p w14:paraId="0A9041FE">
      <w:pPr>
        <w:spacing w:after="200" w:line="276" w:lineRule="auto"/>
        <w:rPr>
          <w:rFonts w:ascii="Arial" w:hAnsi="Arial" w:eastAsia="Arial" w:cs="Arial"/>
          <w:sz w:val="22"/>
          <w:szCs w:val="22"/>
        </w:rPr>
      </w:pPr>
    </w:p>
    <w:p w14:paraId="3AA4BAEB">
      <w:pPr>
        <w:spacing w:after="200" w:line="276" w:lineRule="auto"/>
        <w:rPr>
          <w:rFonts w:ascii="Arial" w:hAnsi="Arial" w:eastAsia="Arial" w:cs="Arial"/>
          <w:sz w:val="22"/>
          <w:szCs w:val="22"/>
        </w:rPr>
      </w:pPr>
    </w:p>
    <w:p w14:paraId="71848306">
      <w:pPr>
        <w:spacing w:after="200" w:line="276" w:lineRule="auto"/>
        <w:rPr>
          <w:rFonts w:ascii="Arial" w:hAnsi="Arial" w:eastAsia="Arial" w:cs="Arial"/>
          <w:sz w:val="22"/>
          <w:szCs w:val="22"/>
        </w:rPr>
      </w:pPr>
    </w:p>
    <w:p w14:paraId="1FBD7C09">
      <w:pPr>
        <w:spacing w:after="200" w:line="276" w:lineRule="auto"/>
        <w:rPr>
          <w:rFonts w:ascii="Arial" w:hAnsi="Arial" w:eastAsia="Arial" w:cs="Arial"/>
          <w:sz w:val="22"/>
          <w:szCs w:val="22"/>
        </w:rPr>
      </w:pPr>
    </w:p>
    <w:p w14:paraId="53312F72">
      <w:pPr>
        <w:spacing w:after="200" w:line="276" w:lineRule="auto"/>
        <w:rPr>
          <w:rFonts w:ascii="Arial" w:hAnsi="Arial" w:eastAsia="Arial" w:cs="Arial"/>
          <w:sz w:val="22"/>
          <w:szCs w:val="22"/>
        </w:rPr>
      </w:pPr>
    </w:p>
    <w:p w14:paraId="4B97EB76">
      <w:pPr>
        <w:spacing w:after="200" w:line="276" w:lineRule="auto"/>
        <w:rPr>
          <w:rFonts w:ascii="Arial" w:hAnsi="Arial" w:eastAsia="Arial" w:cs="Arial"/>
          <w:sz w:val="22"/>
          <w:szCs w:val="22"/>
        </w:rPr>
      </w:pPr>
    </w:p>
    <w:p w14:paraId="65CC706F">
      <w:pPr>
        <w:spacing w:after="200" w:line="276" w:lineRule="auto"/>
        <w:rPr>
          <w:rFonts w:ascii="Arial" w:hAnsi="Arial" w:eastAsia="Arial" w:cs="Arial"/>
          <w:sz w:val="22"/>
          <w:szCs w:val="22"/>
        </w:rPr>
      </w:pPr>
    </w:p>
    <w:p w14:paraId="2F42BDCF">
      <w:pPr>
        <w:spacing w:after="200" w:line="276" w:lineRule="auto"/>
        <w:rPr>
          <w:rFonts w:ascii="Arial" w:hAnsi="Arial" w:eastAsia="Arial" w:cs="Arial"/>
          <w:sz w:val="22"/>
          <w:szCs w:val="22"/>
        </w:rPr>
      </w:pPr>
    </w:p>
    <w:p w14:paraId="56B94AA4">
      <w:pPr>
        <w:spacing w:after="200" w:line="276" w:lineRule="auto"/>
        <w:rPr>
          <w:rFonts w:ascii="Arial" w:hAnsi="Arial" w:eastAsia="Arial" w:cs="Arial"/>
          <w:sz w:val="22"/>
          <w:szCs w:val="22"/>
        </w:rPr>
      </w:pPr>
    </w:p>
    <w:p w14:paraId="642E9F1B">
      <w:pPr>
        <w:spacing w:after="400"/>
        <w:jc w:val="center"/>
      </w:pPr>
      <w:r>
        <w:rPr>
          <w:rFonts w:ascii="Arial" w:hAnsi="Arial" w:eastAsia="Arial" w:cs="Arial"/>
          <w:b/>
          <w:bCs/>
          <w:sz w:val="36"/>
          <w:szCs w:val="36"/>
        </w:rPr>
        <w:t>MODULE 4</w:t>
      </w:r>
    </w:p>
    <w:p w14:paraId="3D37C3BD">
      <w:pPr>
        <w:spacing w:after="200"/>
        <w:jc w:val="center"/>
      </w:pPr>
      <w:r>
        <w:rPr>
          <w:rFonts w:ascii="Arial" w:hAnsi="Arial" w:eastAsia="Arial" w:cs="Arial"/>
          <w:b/>
          <w:bCs/>
          <w:sz w:val="28"/>
          <w:szCs w:val="28"/>
        </w:rPr>
        <w:t>Advanced Market Structure</w:t>
      </w:r>
    </w:p>
    <w:p w14:paraId="243CCAC4">
      <w:pPr>
        <w:spacing w:after="400"/>
        <w:jc w:val="center"/>
      </w:pPr>
      <w:r>
        <w:rPr>
          <w:rFonts w:ascii="Arial" w:hAnsi="Arial" w:eastAsia="Arial" w:cs="Arial"/>
          <w:i/>
          <w:iCs/>
          <w:sz w:val="20"/>
          <w:szCs w:val="20"/>
        </w:rPr>
        <w:t>Macro / Intermediate / Internal Structure, Internal vs External MSS, Confirmation &amp; Failure, Structural Narrative</w:t>
      </w:r>
    </w:p>
    <w:p w14:paraId="5D388B81">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Modules 1–3. Structure is no longer read as a collection of BOS/CHoCH labels; it is read as the confirmation language of the liquidity delivery narrative.</w:t>
      </w:r>
    </w:p>
    <w:p w14:paraId="2F28298C">
      <w:pPr>
        <w:pStyle w:val="2"/>
        <w:spacing w:before="360" w:after="240"/>
      </w:pPr>
      <w:r>
        <w:rPr>
          <w:rFonts w:ascii="Arial" w:hAnsi="Arial" w:eastAsia="Arial" w:cs="Arial"/>
          <w:b/>
          <w:bCs/>
          <w:sz w:val="32"/>
          <w:szCs w:val="32"/>
        </w:rPr>
        <w:t>Module Objectives</w:t>
      </w:r>
    </w:p>
    <w:p w14:paraId="6A478605">
      <w:pPr>
        <w:spacing w:after="200" w:line="276" w:lineRule="auto"/>
      </w:pPr>
      <w:r>
        <w:rPr>
          <w:rFonts w:ascii="Arial" w:hAnsi="Arial" w:eastAsia="Arial" w:cs="Arial"/>
          <w:sz w:val="22"/>
          <w:szCs w:val="22"/>
        </w:rPr>
        <w:t>By the end of this module the advanced student should be able to:</w:t>
      </w:r>
    </w:p>
    <w:p w14:paraId="751490A8">
      <w:pPr>
        <w:pStyle w:val="16"/>
        <w:numPr>
          <w:ilvl w:val="0"/>
          <w:numId w:val="1"/>
        </w:numPr>
        <w:spacing w:after="120" w:line="276" w:lineRule="auto"/>
      </w:pPr>
      <w:r>
        <w:rPr>
          <w:rFonts w:ascii="Arial" w:hAnsi="Arial" w:eastAsia="Arial" w:cs="Arial"/>
          <w:sz w:val="22"/>
          <w:szCs w:val="22"/>
        </w:rPr>
        <w:t>Rank structure by timeframe significance (macro, intermediate, internal).</w:t>
      </w:r>
    </w:p>
    <w:p w14:paraId="53404A74">
      <w:pPr>
        <w:pStyle w:val="16"/>
        <w:numPr>
          <w:ilvl w:val="0"/>
          <w:numId w:val="1"/>
        </w:numPr>
        <w:spacing w:after="120" w:line="276" w:lineRule="auto"/>
      </w:pPr>
      <w:r>
        <w:rPr>
          <w:rFonts w:ascii="Arial" w:hAnsi="Arial" w:eastAsia="Arial" w:cs="Arial"/>
          <w:sz w:val="22"/>
          <w:szCs w:val="22"/>
        </w:rPr>
        <w:t>Distinguish internal Market Structure Shift from external Market Structure Shift and state the narrative implication of each.</w:t>
      </w:r>
    </w:p>
    <w:p w14:paraId="2DB983F1">
      <w:pPr>
        <w:pStyle w:val="16"/>
        <w:numPr>
          <w:ilvl w:val="0"/>
          <w:numId w:val="1"/>
        </w:numPr>
        <w:spacing w:after="120" w:line="276" w:lineRule="auto"/>
      </w:pPr>
      <w:r>
        <w:rPr>
          <w:rFonts w:ascii="Arial" w:hAnsi="Arial" w:eastAsia="Arial" w:cs="Arial"/>
          <w:sz w:val="22"/>
          <w:szCs w:val="22"/>
        </w:rPr>
        <w:t>Confirm or reject a delivery leg (Module 1) using structural evidence.</w:t>
      </w:r>
    </w:p>
    <w:p w14:paraId="71C46DBA">
      <w:pPr>
        <w:pStyle w:val="16"/>
        <w:numPr>
          <w:ilvl w:val="0"/>
          <w:numId w:val="1"/>
        </w:numPr>
        <w:spacing w:after="120" w:line="276" w:lineRule="auto"/>
      </w:pPr>
      <w:r>
        <w:rPr>
          <w:rFonts w:ascii="Arial" w:hAnsi="Arial" w:eastAsia="Arial" w:cs="Arial"/>
          <w:sz w:val="22"/>
          <w:szCs w:val="22"/>
        </w:rPr>
        <w:t>Recognise structural failure and the conditions under which it promotes a new Draw on Liquidity (Module 3).</w:t>
      </w:r>
    </w:p>
    <w:p w14:paraId="681151D1">
      <w:pPr>
        <w:pStyle w:val="16"/>
        <w:numPr>
          <w:ilvl w:val="0"/>
          <w:numId w:val="1"/>
        </w:numPr>
        <w:spacing w:after="120" w:line="276" w:lineRule="auto"/>
      </w:pPr>
      <w:r>
        <w:rPr>
          <w:rFonts w:ascii="Arial" w:hAnsi="Arial" w:eastAsia="Arial" w:cs="Arial"/>
          <w:sz w:val="22"/>
          <w:szCs w:val="22"/>
        </w:rPr>
        <w:t>Resolve multi-timeframe structure conflict by reference to the controlling narrative and controlling range.</w:t>
      </w:r>
    </w:p>
    <w:p w14:paraId="5EBE87DB">
      <w:pPr>
        <w:pStyle w:val="16"/>
        <w:numPr>
          <w:ilvl w:val="0"/>
          <w:numId w:val="1"/>
        </w:numPr>
        <w:spacing w:after="120" w:line="276" w:lineRule="auto"/>
      </w:pPr>
      <w:r>
        <w:rPr>
          <w:rFonts w:ascii="Arial" w:hAnsi="Arial" w:eastAsia="Arial" w:cs="Arial"/>
          <w:sz w:val="22"/>
          <w:szCs w:val="22"/>
        </w:rPr>
        <w:t>Write a structural narrative that sits inside the liquidity delivery sequence rather than replacing it.</w:t>
      </w:r>
    </w:p>
    <w:p w14:paraId="3CD4D8DD">
      <w:pPr>
        <w:pStyle w:val="16"/>
        <w:numPr>
          <w:ilvl w:val="0"/>
          <w:numId w:val="1"/>
        </w:numPr>
        <w:spacing w:after="120" w:line="276" w:lineRule="auto"/>
      </w:pPr>
      <w:r>
        <w:rPr>
          <w:rFonts w:ascii="Arial" w:hAnsi="Arial" w:eastAsia="Arial" w:cs="Arial"/>
          <w:sz w:val="22"/>
          <w:szCs w:val="22"/>
        </w:rPr>
        <w:t>Avoid elevating internal structure to macro authority.</w:t>
      </w:r>
    </w:p>
    <w:p w14:paraId="4D914836">
      <w:pPr>
        <w:pStyle w:val="2"/>
        <w:spacing w:before="360" w:after="240"/>
      </w:pPr>
      <w:r>
        <w:rPr>
          <w:rFonts w:ascii="Arial" w:hAnsi="Arial" w:eastAsia="Arial" w:cs="Arial"/>
          <w:b/>
          <w:bCs/>
          <w:sz w:val="32"/>
          <w:szCs w:val="32"/>
        </w:rPr>
        <w:t>1. Structure as Confirmation of Delivery</w:t>
      </w:r>
    </w:p>
    <w:p w14:paraId="78F631FA">
      <w:pPr>
        <w:pStyle w:val="3"/>
        <w:spacing w:before="280" w:after="180"/>
      </w:pPr>
      <w:r>
        <w:rPr>
          <w:rFonts w:ascii="Arial" w:hAnsi="Arial" w:eastAsia="Arial" w:cs="Arial"/>
          <w:b/>
          <w:bCs/>
          <w:sz w:val="26"/>
          <w:szCs w:val="26"/>
        </w:rPr>
        <w:t>1.1 Advanced Premise</w:t>
      </w:r>
    </w:p>
    <w:p w14:paraId="2C0EEE79">
      <w:pPr>
        <w:spacing w:after="200" w:line="276" w:lineRule="auto"/>
      </w:pPr>
      <w:r>
        <w:rPr>
          <w:rFonts w:ascii="Arial" w:hAnsi="Arial" w:eastAsia="Arial" w:cs="Arial"/>
          <w:sz w:val="22"/>
          <w:szCs w:val="22"/>
        </w:rPr>
        <w:t>Liquidity (Module 3) tells the student where price is being drawn. Structure tells the student whether the market has accepted that delivery. A liquidity objective without structural confirmation remains a hypothesis; a structural break without a liquidity objective is an incomplete story.</w:t>
      </w:r>
    </w:p>
    <w:p w14:paraId="2306D4C4">
      <w:pPr>
        <w:pStyle w:val="3"/>
        <w:spacing w:before="280" w:after="180"/>
      </w:pPr>
      <w:r>
        <w:rPr>
          <w:rFonts w:ascii="Arial" w:hAnsi="Arial" w:eastAsia="Arial" w:cs="Arial"/>
          <w:b/>
          <w:bCs/>
          <w:sz w:val="26"/>
          <w:szCs w:val="26"/>
        </w:rPr>
        <w:t>1.2 Fractal Character</w:t>
      </w:r>
    </w:p>
    <w:p w14:paraId="5B06B337">
      <w:pPr>
        <w:spacing w:after="200" w:line="276" w:lineRule="auto"/>
      </w:pPr>
      <w:r>
        <w:rPr>
          <w:rFonts w:ascii="Arial" w:hAnsi="Arial" w:eastAsia="Arial" w:cs="Arial"/>
          <w:sz w:val="22"/>
          <w:szCs w:val="22"/>
        </w:rPr>
        <w:t>Structure is fractal. The same sequence of higher highs / higher lows or lower highs / lower lows appears on monthly, weekly, daily and session charts. Advanced practice assigns different narrative authority to each scale.</w:t>
      </w:r>
    </w:p>
    <w:p w14:paraId="6CE0917D">
      <w:pPr>
        <w:pStyle w:val="2"/>
        <w:spacing w:before="360" w:after="240"/>
      </w:pPr>
      <w:r>
        <w:rPr>
          <w:rFonts w:ascii="Arial" w:hAnsi="Arial" w:eastAsia="Arial" w:cs="Arial"/>
          <w:b/>
          <w:bCs/>
          <w:sz w:val="32"/>
          <w:szCs w:val="32"/>
        </w:rPr>
        <w:t>2. Structural Hierarchy</w:t>
      </w:r>
    </w:p>
    <w:p w14:paraId="6D21304B">
      <w:pPr>
        <w:pStyle w:val="3"/>
        <w:spacing w:before="280" w:after="180"/>
      </w:pPr>
      <w:r>
        <w:rPr>
          <w:rFonts w:ascii="Arial" w:hAnsi="Arial" w:eastAsia="Arial" w:cs="Arial"/>
          <w:b/>
          <w:bCs/>
          <w:sz w:val="26"/>
          <w:szCs w:val="26"/>
        </w:rPr>
        <w:t>2.1 Macro Structure</w:t>
      </w:r>
    </w:p>
    <w:p w14:paraId="211943A9">
      <w:pPr>
        <w:spacing w:after="200" w:line="276" w:lineRule="auto"/>
      </w:pPr>
      <w:r>
        <w:rPr>
          <w:rFonts w:ascii="Arial" w:hAnsi="Arial" w:eastAsia="Arial" w:cs="Arial"/>
          <w:sz w:val="22"/>
          <w:szCs w:val="22"/>
        </w:rPr>
        <w:t>Weekly and monthly swing sequences. Macro structure defines the highest-authority directional framework and the long-term Draw on Liquidity. A macro bullish sequence (higher highs and higher lows on the weekly) constrains daily and intraday interpretation until it fails.</w:t>
      </w:r>
    </w:p>
    <w:p w14:paraId="749CF3BF">
      <w:pPr>
        <w:pStyle w:val="3"/>
        <w:spacing w:before="280" w:after="180"/>
      </w:pPr>
      <w:r>
        <w:rPr>
          <w:rFonts w:ascii="Arial" w:hAnsi="Arial" w:eastAsia="Arial" w:cs="Arial"/>
          <w:b/>
          <w:bCs/>
          <w:sz w:val="26"/>
          <w:szCs w:val="26"/>
        </w:rPr>
        <w:t>2.2 Intermediate Structure</w:t>
      </w:r>
    </w:p>
    <w:p w14:paraId="512C3E44">
      <w:pPr>
        <w:spacing w:after="200" w:line="276" w:lineRule="auto"/>
      </w:pPr>
      <w:r>
        <w:rPr>
          <w:rFonts w:ascii="Arial" w:hAnsi="Arial" w:eastAsia="Arial" w:cs="Arial"/>
          <w:sz w:val="22"/>
          <w:szCs w:val="22"/>
        </w:rPr>
        <w:t>Daily and 4-hour swing sequences. Intermediate structure refines the macro narrative into the working daily delivery leg. It is the scale on which most daily Draw on Liquidity statements are confirmed or challenged.</w:t>
      </w:r>
    </w:p>
    <w:p w14:paraId="095256B2">
      <w:pPr>
        <w:pStyle w:val="3"/>
        <w:spacing w:before="280" w:after="180"/>
      </w:pPr>
      <w:r>
        <w:rPr>
          <w:rFonts w:ascii="Arial" w:hAnsi="Arial" w:eastAsia="Arial" w:cs="Arial"/>
          <w:b/>
          <w:bCs/>
          <w:sz w:val="26"/>
          <w:szCs w:val="26"/>
        </w:rPr>
        <w:t>2.3 Internal Structure</w:t>
      </w:r>
    </w:p>
    <w:p w14:paraId="3D3256A5">
      <w:pPr>
        <w:spacing w:after="200" w:line="276" w:lineRule="auto"/>
      </w:pPr>
      <w:r>
        <w:rPr>
          <w:rFonts w:ascii="Arial" w:hAnsi="Arial" w:eastAsia="Arial" w:cs="Arial"/>
          <w:sz w:val="22"/>
          <w:szCs w:val="22"/>
        </w:rPr>
        <w:t>Session, 1-hour, 15-minute and lower swing sequences. Internal structure times entries and confirms or denies the immediate conditioning sequence (liquidity raid → displacement). It does not, by itself, rewrite the intermediate or macro narrative.</w:t>
      </w:r>
    </w:p>
    <w:p w14:paraId="67371550">
      <w:pPr>
        <w:pStyle w:val="3"/>
        <w:spacing w:before="280" w:after="180"/>
      </w:pPr>
      <w:r>
        <w:rPr>
          <w:rFonts w:ascii="Arial" w:hAnsi="Arial" w:eastAsia="Arial" w:cs="Arial"/>
          <w:b/>
          <w:bCs/>
          <w:sz w:val="26"/>
          <w:szCs w:val="26"/>
        </w:rPr>
        <w:t>2.4 Authority Rule</w:t>
      </w:r>
    </w:p>
    <w:p w14:paraId="7BF1C885">
      <w:pPr>
        <w:spacing w:after="200" w:line="276" w:lineRule="auto"/>
      </w:pPr>
      <w:r>
        <w:rPr>
          <w:rFonts w:ascii="Arial" w:hAnsi="Arial" w:eastAsia="Arial" w:cs="Arial"/>
          <w:sz w:val="22"/>
          <w:szCs w:val="22"/>
        </w:rPr>
        <w:t>Macro &gt; Intermediate &gt; Internal. An internal MSS that opposes intermediate structure is a potential retracement or trap, not an automatic change of intermediate bias.</w:t>
      </w:r>
    </w:p>
    <w:p w14:paraId="41E4C594">
      <w:pPr>
        <w:pStyle w:val="2"/>
        <w:spacing w:before="360" w:after="240"/>
      </w:pPr>
      <w:r>
        <w:rPr>
          <w:rFonts w:ascii="Arial" w:hAnsi="Arial" w:eastAsia="Arial" w:cs="Arial"/>
          <w:b/>
          <w:bCs/>
          <w:sz w:val="32"/>
          <w:szCs w:val="32"/>
        </w:rPr>
        <w:t>3. Internal MSS vs External MSS</w:t>
      </w:r>
    </w:p>
    <w:p w14:paraId="7D46F6D3">
      <w:pPr>
        <w:pStyle w:val="3"/>
        <w:spacing w:before="280" w:after="180"/>
      </w:pPr>
      <w:r>
        <w:rPr>
          <w:rFonts w:ascii="Arial" w:hAnsi="Arial" w:eastAsia="Arial" w:cs="Arial"/>
          <w:b/>
          <w:bCs/>
          <w:sz w:val="26"/>
          <w:szCs w:val="26"/>
        </w:rPr>
        <w:t>3.1 Internal Market Structure Shift</w:t>
      </w:r>
    </w:p>
    <w:p w14:paraId="4939A445">
      <w:pPr>
        <w:spacing w:after="200" w:line="276" w:lineRule="auto"/>
      </w:pPr>
      <w:r>
        <w:rPr>
          <w:rFonts w:ascii="Arial" w:hAnsi="Arial" w:eastAsia="Arial" w:cs="Arial"/>
          <w:sz w:val="22"/>
          <w:szCs w:val="22"/>
        </w:rPr>
        <w:t>An internal MSS occurs inside the current dealing range or inside the current intermediate swing. It often confirms that a retracement has ended and that delivery toward the existing Draw on Liquidity has resumed. It does not necessarily expand the range or change the higher-timeframe objective.</w:t>
      </w:r>
    </w:p>
    <w:p w14:paraId="6B0FF931">
      <w:pPr>
        <w:pStyle w:val="3"/>
        <w:spacing w:before="280" w:after="180"/>
      </w:pPr>
      <w:r>
        <w:rPr>
          <w:rFonts w:ascii="Arial" w:hAnsi="Arial" w:eastAsia="Arial" w:cs="Arial"/>
          <w:b/>
          <w:bCs/>
          <w:sz w:val="26"/>
          <w:szCs w:val="26"/>
        </w:rPr>
        <w:t>3.2 External Market Structure Shift</w:t>
      </w:r>
    </w:p>
    <w:p w14:paraId="611DADA8">
      <w:pPr>
        <w:spacing w:after="200" w:line="276" w:lineRule="auto"/>
      </w:pPr>
      <w:r>
        <w:rPr>
          <w:rFonts w:ascii="Arial" w:hAnsi="Arial" w:eastAsia="Arial" w:cs="Arial"/>
          <w:sz w:val="22"/>
          <w:szCs w:val="22"/>
        </w:rPr>
        <w:t>An external MSS breaks a dealing-range boundary or a significant intermediate / macro swing point and is accompanied by displacement. It either expands the current delivery leg (continuation that takes ERL) or begins a new opposing delivery leg (reversal).</w:t>
      </w:r>
    </w:p>
    <w:p w14:paraId="609B4697">
      <w:pPr>
        <w:pStyle w:val="3"/>
        <w:spacing w:before="280" w:after="180"/>
      </w:pPr>
      <w:r>
        <w:rPr>
          <w:rFonts w:ascii="Arial" w:hAnsi="Arial" w:eastAsia="Arial" w:cs="Arial"/>
          <w:b/>
          <w:bCs/>
          <w:sz w:val="26"/>
          <w:szCs w:val="26"/>
        </w:rPr>
        <w:t>3.3 Narrative Implication</w:t>
      </w:r>
    </w:p>
    <w:p w14:paraId="7458734D">
      <w:pPr>
        <w:spacing w:after="200" w:line="276" w:lineRule="auto"/>
      </w:pPr>
      <w:r>
        <w:rPr>
          <w:rFonts w:ascii="Arial" w:hAnsi="Arial" w:eastAsia="Arial" w:cs="Arial"/>
          <w:sz w:val="22"/>
          <w:szCs w:val="22"/>
        </w:rPr>
        <w:t>Internal MSS → continue managing the existing narrative. External MSS → re-evaluate whether the Draw on Liquidity has been satisfied or replaced.</w:t>
      </w:r>
    </w:p>
    <w:p w14:paraId="534DBE31">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Internal vs external structure and MSS language is consistent with ICT multi-timeframe teaching and Intermediate refinement; exact label usage varies slightly across ICT presentations.</w:t>
      </w:r>
    </w:p>
    <w:p w14:paraId="7E24E9F4">
      <w:pPr>
        <w:pStyle w:val="2"/>
        <w:spacing w:before="360" w:after="240"/>
      </w:pPr>
      <w:r>
        <w:rPr>
          <w:rFonts w:ascii="Arial" w:hAnsi="Arial" w:eastAsia="Arial" w:cs="Arial"/>
          <w:b/>
          <w:bCs/>
          <w:sz w:val="32"/>
          <w:szCs w:val="32"/>
        </w:rPr>
        <w:t>4. Structural Confirmation</w:t>
      </w:r>
    </w:p>
    <w:p w14:paraId="26C748A1">
      <w:pPr>
        <w:pStyle w:val="3"/>
        <w:spacing w:before="280" w:after="180"/>
      </w:pPr>
      <w:r>
        <w:rPr>
          <w:rFonts w:ascii="Arial" w:hAnsi="Arial" w:eastAsia="Arial" w:cs="Arial"/>
          <w:b/>
          <w:bCs/>
          <w:sz w:val="26"/>
          <w:szCs w:val="26"/>
        </w:rPr>
        <w:t>4.1 What Confirmation Requires</w:t>
      </w:r>
    </w:p>
    <w:p w14:paraId="07362C54">
      <w:pPr>
        <w:spacing w:after="200" w:line="276" w:lineRule="auto"/>
      </w:pPr>
      <w:r>
        <w:rPr>
          <w:rFonts w:ascii="Arial" w:hAnsi="Arial" w:eastAsia="Arial" w:cs="Arial"/>
          <w:sz w:val="22"/>
          <w:szCs w:val="22"/>
        </w:rPr>
        <w:t>For a delivery leg to be considered structurally confirmed:</w:t>
      </w:r>
    </w:p>
    <w:p w14:paraId="3E6503B5">
      <w:pPr>
        <w:pStyle w:val="16"/>
        <w:numPr>
          <w:ilvl w:val="0"/>
          <w:numId w:val="1"/>
        </w:numPr>
        <w:spacing w:after="120" w:line="276" w:lineRule="auto"/>
      </w:pPr>
      <w:r>
        <w:rPr>
          <w:rFonts w:ascii="Arial" w:hAnsi="Arial" w:eastAsia="Arial" w:cs="Arial"/>
          <w:sz w:val="22"/>
          <w:szCs w:val="22"/>
        </w:rPr>
        <w:t>A liquidity event (raid of opposing pool) has occurred or is occurring,</w:t>
      </w:r>
    </w:p>
    <w:p w14:paraId="3AA3E19F">
      <w:pPr>
        <w:pStyle w:val="16"/>
        <w:numPr>
          <w:ilvl w:val="0"/>
          <w:numId w:val="1"/>
        </w:numPr>
        <w:spacing w:after="120" w:line="276" w:lineRule="auto"/>
      </w:pPr>
      <w:r>
        <w:rPr>
          <w:rFonts w:ascii="Arial" w:hAnsi="Arial" w:eastAsia="Arial" w:cs="Arial"/>
          <w:sz w:val="22"/>
          <w:szCs w:val="22"/>
        </w:rPr>
        <w:t>Displacement away from that pool is present,</w:t>
      </w:r>
    </w:p>
    <w:p w14:paraId="1D58A668">
      <w:pPr>
        <w:pStyle w:val="16"/>
        <w:numPr>
          <w:ilvl w:val="0"/>
          <w:numId w:val="1"/>
        </w:numPr>
        <w:spacing w:after="120" w:line="276" w:lineRule="auto"/>
      </w:pPr>
      <w:r>
        <w:rPr>
          <w:rFonts w:ascii="Arial" w:hAnsi="Arial" w:eastAsia="Arial" w:cs="Arial"/>
          <w:sz w:val="22"/>
          <w:szCs w:val="22"/>
        </w:rPr>
        <w:t>A Market Structure Shift (internal or external as appropriate) has printed,</w:t>
      </w:r>
    </w:p>
    <w:p w14:paraId="087C2074">
      <w:pPr>
        <w:pStyle w:val="16"/>
        <w:numPr>
          <w:ilvl w:val="0"/>
          <w:numId w:val="1"/>
        </w:numPr>
        <w:spacing w:after="120" w:line="276" w:lineRule="auto"/>
      </w:pPr>
      <w:r>
        <w:rPr>
          <w:rFonts w:ascii="Arial" w:hAnsi="Arial" w:eastAsia="Arial" w:cs="Arial"/>
          <w:sz w:val="22"/>
          <w:szCs w:val="22"/>
        </w:rPr>
        <w:t>The shift aligns with the higher-timeframe Draw on Liquidity.</w:t>
      </w:r>
    </w:p>
    <w:p w14:paraId="01412474">
      <w:pPr>
        <w:pStyle w:val="3"/>
        <w:spacing w:before="280" w:after="180"/>
      </w:pPr>
      <w:r>
        <w:rPr>
          <w:rFonts w:ascii="Arial" w:hAnsi="Arial" w:eastAsia="Arial" w:cs="Arial"/>
          <w:b/>
          <w:bCs/>
          <w:sz w:val="26"/>
          <w:szCs w:val="26"/>
        </w:rPr>
        <w:t>4.2 Partial Confirmation</w:t>
      </w:r>
    </w:p>
    <w:p w14:paraId="00C63222">
      <w:pPr>
        <w:spacing w:after="200" w:line="276" w:lineRule="auto"/>
      </w:pPr>
      <w:r>
        <w:rPr>
          <w:rFonts w:ascii="Arial" w:hAnsi="Arial" w:eastAsia="Arial" w:cs="Arial"/>
          <w:sz w:val="22"/>
          <w:szCs w:val="22"/>
        </w:rPr>
        <w:t>Displacement without MSS, or MSS without a clear liquidity origin, is partial. Advanced practice waits for the combination or reduces size / requires additional confluence.</w:t>
      </w:r>
    </w:p>
    <w:p w14:paraId="77463FAD">
      <w:pPr>
        <w:pStyle w:val="2"/>
        <w:spacing w:before="360" w:after="240"/>
      </w:pPr>
      <w:r>
        <w:rPr>
          <w:rFonts w:ascii="Arial" w:hAnsi="Arial" w:eastAsia="Arial" w:cs="Arial"/>
          <w:b/>
          <w:bCs/>
          <w:sz w:val="32"/>
          <w:szCs w:val="32"/>
        </w:rPr>
        <w:t>5. Structural Failure</w:t>
      </w:r>
    </w:p>
    <w:p w14:paraId="32094DBA">
      <w:pPr>
        <w:pStyle w:val="3"/>
        <w:spacing w:before="280" w:after="180"/>
      </w:pPr>
      <w:r>
        <w:rPr>
          <w:rFonts w:ascii="Arial" w:hAnsi="Arial" w:eastAsia="Arial" w:cs="Arial"/>
          <w:b/>
          <w:bCs/>
          <w:sz w:val="26"/>
          <w:szCs w:val="26"/>
        </w:rPr>
        <w:t>5.1 Definition</w:t>
      </w:r>
    </w:p>
    <w:p w14:paraId="75487CD8">
      <w:pPr>
        <w:spacing w:after="200" w:line="276" w:lineRule="auto"/>
      </w:pPr>
      <w:r>
        <w:rPr>
          <w:rFonts w:ascii="Arial" w:hAnsi="Arial" w:eastAsia="Arial" w:cs="Arial"/>
          <w:sz w:val="22"/>
          <w:szCs w:val="22"/>
        </w:rPr>
        <w:t>Structural failure occurs when price violates the swing sequence that defined the current delivery leg with decisive displacement, and the violation is not quickly recovered. Failure promotes the opposing liquidity to candidate Draw on Liquidity status.</w:t>
      </w:r>
    </w:p>
    <w:p w14:paraId="216D039E">
      <w:pPr>
        <w:pStyle w:val="3"/>
        <w:spacing w:before="280" w:after="180"/>
      </w:pPr>
      <w:r>
        <w:rPr>
          <w:rFonts w:ascii="Arial" w:hAnsi="Arial" w:eastAsia="Arial" w:cs="Arial"/>
          <w:b/>
          <w:bCs/>
          <w:sz w:val="26"/>
          <w:szCs w:val="26"/>
        </w:rPr>
        <w:t>5.2 Relationship to Range and Liquidity</w:t>
      </w:r>
    </w:p>
    <w:p w14:paraId="2356255D">
      <w:pPr>
        <w:spacing w:after="200" w:line="276" w:lineRule="auto"/>
      </w:pPr>
      <w:r>
        <w:rPr>
          <w:rFonts w:ascii="Arial" w:hAnsi="Arial" w:eastAsia="Arial" w:cs="Arial"/>
          <w:sz w:val="22"/>
          <w:szCs w:val="22"/>
        </w:rPr>
        <w:t>Failure often coincides with expansion beyond a dealing-range boundary (Module 2) and with the activation of previously opposing ERL (Module 3). The three modules are read together: structure fails, range updates, liquidity hierarchy is rewritten.</w:t>
      </w:r>
    </w:p>
    <w:p w14:paraId="5B6C1EB1">
      <w:pPr>
        <w:pStyle w:val="2"/>
        <w:spacing w:before="360" w:after="240"/>
      </w:pPr>
      <w:r>
        <w:rPr>
          <w:rFonts w:ascii="Arial" w:hAnsi="Arial" w:eastAsia="Arial" w:cs="Arial"/>
          <w:b/>
          <w:bCs/>
          <w:sz w:val="32"/>
          <w:szCs w:val="32"/>
        </w:rPr>
        <w:t>6. Continuation vs Reversal</w:t>
      </w:r>
    </w:p>
    <w:p w14:paraId="73F5BC3D">
      <w:pPr>
        <w:pStyle w:val="3"/>
        <w:spacing w:before="280" w:after="180"/>
      </w:pPr>
      <w:r>
        <w:rPr>
          <w:rFonts w:ascii="Arial" w:hAnsi="Arial" w:eastAsia="Arial" w:cs="Arial"/>
          <w:b/>
          <w:bCs/>
          <w:sz w:val="26"/>
          <w:szCs w:val="26"/>
        </w:rPr>
        <w:t>6.1 Continuation</w:t>
      </w:r>
    </w:p>
    <w:p w14:paraId="4F8F3B42">
      <w:pPr>
        <w:spacing w:after="200" w:line="276" w:lineRule="auto"/>
      </w:pPr>
      <w:r>
        <w:rPr>
          <w:rFonts w:ascii="Arial" w:hAnsi="Arial" w:eastAsia="Arial" w:cs="Arial"/>
          <w:sz w:val="22"/>
          <w:szCs w:val="22"/>
        </w:rPr>
        <w:t>After an internal MSS in the direction of the higher-timeframe DOL, price resumes toward that DOL. Structure is making higher highs and higher lows (bullish) or lower highs and lower lows (bearish) in alignment with the narrative.</w:t>
      </w:r>
    </w:p>
    <w:p w14:paraId="6FCC3E27">
      <w:pPr>
        <w:pStyle w:val="3"/>
        <w:spacing w:before="280" w:after="180"/>
      </w:pPr>
      <w:r>
        <w:rPr>
          <w:rFonts w:ascii="Arial" w:hAnsi="Arial" w:eastAsia="Arial" w:cs="Arial"/>
          <w:b/>
          <w:bCs/>
          <w:sz w:val="26"/>
          <w:szCs w:val="26"/>
        </w:rPr>
        <w:t>6.2 Reversal</w:t>
      </w:r>
    </w:p>
    <w:p w14:paraId="59115BCA">
      <w:pPr>
        <w:spacing w:after="200" w:line="276" w:lineRule="auto"/>
      </w:pPr>
      <w:r>
        <w:rPr>
          <w:rFonts w:ascii="Arial" w:hAnsi="Arial" w:eastAsia="Arial" w:cs="Arial"/>
          <w:sz w:val="22"/>
          <w:szCs w:val="22"/>
        </w:rPr>
        <w:t>An external MSS against the prior sequence, accompanied by displacement and a new liquidity objective, ends the prior delivery leg. The structural narrative is rewritten from that point.</w:t>
      </w:r>
    </w:p>
    <w:p w14:paraId="6555F79D">
      <w:pPr>
        <w:pStyle w:val="3"/>
        <w:spacing w:before="280" w:after="180"/>
      </w:pPr>
      <w:r>
        <w:rPr>
          <w:rFonts w:ascii="Arial" w:hAnsi="Arial" w:eastAsia="Arial" w:cs="Arial"/>
          <w:b/>
          <w:bCs/>
          <w:sz w:val="26"/>
          <w:szCs w:val="26"/>
        </w:rPr>
        <w:t>6.3 Ambiguity</w:t>
      </w:r>
    </w:p>
    <w:p w14:paraId="6F80BDD0">
      <w:pPr>
        <w:spacing w:after="200" w:line="276" w:lineRule="auto"/>
      </w:pPr>
      <w:r>
        <w:rPr>
          <w:rFonts w:ascii="Arial" w:hAnsi="Arial" w:eastAsia="Arial" w:cs="Arial"/>
          <w:sz w:val="22"/>
          <w:szCs w:val="22"/>
        </w:rPr>
        <w:t>Not every break is a clean reversal. A deep retracement that undercuts a prior low but immediately recovers and continues higher may be a liquidity raid inside an ongoing bullish structure rather than a failure. Context (displacement quality, higher-timeframe DOL, dealing-range location) decides.</w:t>
      </w:r>
    </w:p>
    <w:p w14:paraId="7850F162">
      <w:pPr>
        <w:pStyle w:val="2"/>
        <w:spacing w:before="360" w:after="240"/>
      </w:pPr>
      <w:r>
        <w:rPr>
          <w:rFonts w:ascii="Arial" w:hAnsi="Arial" w:eastAsia="Arial" w:cs="Arial"/>
          <w:b/>
          <w:bCs/>
          <w:sz w:val="32"/>
          <w:szCs w:val="32"/>
        </w:rPr>
        <w:t>7. Multi-Timeframe Structure Conflict</w:t>
      </w:r>
    </w:p>
    <w:p w14:paraId="6737238E">
      <w:pPr>
        <w:pStyle w:val="3"/>
        <w:spacing w:before="280" w:after="180"/>
      </w:pPr>
      <w:r>
        <w:rPr>
          <w:rFonts w:ascii="Arial" w:hAnsi="Arial" w:eastAsia="Arial" w:cs="Arial"/>
          <w:b/>
          <w:bCs/>
          <w:sz w:val="26"/>
          <w:szCs w:val="26"/>
        </w:rPr>
        <w:t>7.1 Recognition</w:t>
      </w:r>
    </w:p>
    <w:p w14:paraId="31EA3E7D">
      <w:pPr>
        <w:spacing w:after="200" w:line="276" w:lineRule="auto"/>
      </w:pPr>
      <w:r>
        <w:rPr>
          <w:rFonts w:ascii="Arial" w:hAnsi="Arial" w:eastAsia="Arial" w:cs="Arial"/>
          <w:sz w:val="22"/>
          <w:szCs w:val="22"/>
        </w:rPr>
        <w:t>Conflict exists when internal structure points opposite to intermediate structure, or intermediate opposite to macro. Example: daily making lower lows while weekly continues to print higher highs and higher lows.</w:t>
      </w:r>
    </w:p>
    <w:p w14:paraId="1349B8EF">
      <w:pPr>
        <w:pStyle w:val="3"/>
        <w:spacing w:before="280" w:after="180"/>
      </w:pPr>
      <w:r>
        <w:rPr>
          <w:rFonts w:ascii="Arial" w:hAnsi="Arial" w:eastAsia="Arial" w:cs="Arial"/>
          <w:b/>
          <w:bCs/>
          <w:sz w:val="26"/>
          <w:szCs w:val="26"/>
        </w:rPr>
        <w:t>7.2 Resolution</w:t>
      </w:r>
    </w:p>
    <w:p w14:paraId="7FCC9E69">
      <w:pPr>
        <w:spacing w:after="200" w:line="276" w:lineRule="auto"/>
      </w:pPr>
      <w:r>
        <w:rPr>
          <w:rFonts w:ascii="Arial" w:hAnsi="Arial" w:eastAsia="Arial" w:cs="Arial"/>
          <w:sz w:val="22"/>
          <w:szCs w:val="22"/>
        </w:rPr>
        <w:t>Higher-timeframe structure retains narrative authority. Lower-timeframe opposing structure is treated as:</w:t>
      </w:r>
    </w:p>
    <w:p w14:paraId="7EE30770">
      <w:pPr>
        <w:pStyle w:val="16"/>
        <w:numPr>
          <w:ilvl w:val="0"/>
          <w:numId w:val="1"/>
        </w:numPr>
        <w:spacing w:after="120" w:line="276" w:lineRule="auto"/>
      </w:pPr>
      <w:r>
        <w:rPr>
          <w:rFonts w:ascii="Arial" w:hAnsi="Arial" w:eastAsia="Arial" w:cs="Arial"/>
          <w:sz w:val="22"/>
          <w:szCs w:val="22"/>
        </w:rPr>
        <w:t>A corrective phase inside the higher-timeframe delivery, or</w:t>
      </w:r>
    </w:p>
    <w:p w14:paraId="6D5E2261">
      <w:pPr>
        <w:pStyle w:val="16"/>
        <w:numPr>
          <w:ilvl w:val="0"/>
          <w:numId w:val="1"/>
        </w:numPr>
        <w:spacing w:after="120" w:line="276" w:lineRule="auto"/>
      </w:pPr>
      <w:r>
        <w:rPr>
          <w:rFonts w:ascii="Arial" w:hAnsi="Arial" w:eastAsia="Arial" w:cs="Arial"/>
          <w:sz w:val="22"/>
          <w:szCs w:val="22"/>
        </w:rPr>
        <w:t>A potential early warning that requires higher-timeframe confirmation before the macro narrative is abandoned.</w:t>
      </w:r>
    </w:p>
    <w:p w14:paraId="75AF8554">
      <w:pPr>
        <w:spacing w:after="200" w:line="276" w:lineRule="auto"/>
      </w:pPr>
      <w:r>
        <w:rPr>
          <w:rFonts w:ascii="Arial" w:hAnsi="Arial" w:eastAsia="Arial" w:cs="Arial"/>
          <w:sz w:val="22"/>
          <w:szCs w:val="22"/>
        </w:rPr>
        <w:t>Trading the lower-timeframe signal against the higher-timeframe structure is a deliberate counter-narrative decision and must be sized and invalidated accordingly.</w:t>
      </w:r>
    </w:p>
    <w:p w14:paraId="4EFE8FD9">
      <w:pPr>
        <w:pStyle w:val="2"/>
        <w:spacing w:before="360" w:after="240"/>
      </w:pPr>
      <w:r>
        <w:rPr>
          <w:rFonts w:ascii="Arial" w:hAnsi="Arial" w:eastAsia="Arial" w:cs="Arial"/>
          <w:b/>
          <w:bCs/>
          <w:sz w:val="32"/>
          <w:szCs w:val="32"/>
        </w:rPr>
        <w:t>8. Structural Narrative</w:t>
      </w:r>
    </w:p>
    <w:p w14:paraId="77476677">
      <w:pPr>
        <w:pStyle w:val="3"/>
        <w:spacing w:before="280" w:after="180"/>
      </w:pPr>
      <w:r>
        <w:rPr>
          <w:rFonts w:ascii="Arial" w:hAnsi="Arial" w:eastAsia="Arial" w:cs="Arial"/>
          <w:b/>
          <w:bCs/>
          <w:sz w:val="26"/>
          <w:szCs w:val="26"/>
        </w:rPr>
        <w:t>8.1 Form</w:t>
      </w:r>
    </w:p>
    <w:p w14:paraId="26F1622F">
      <w:pPr>
        <w:spacing w:after="200" w:line="276" w:lineRule="auto"/>
      </w:pPr>
      <w:r>
        <w:rPr>
          <w:rFonts w:ascii="Arial" w:hAnsi="Arial" w:eastAsia="Arial" w:cs="Arial"/>
          <w:sz w:val="22"/>
          <w:szCs w:val="22"/>
        </w:rPr>
        <w:t>A complete structural narrative states:</w:t>
      </w:r>
    </w:p>
    <w:p w14:paraId="33CF7A60">
      <w:pPr>
        <w:pStyle w:val="16"/>
        <w:numPr>
          <w:ilvl w:val="0"/>
          <w:numId w:val="1"/>
        </w:numPr>
        <w:spacing w:after="120" w:line="276" w:lineRule="auto"/>
      </w:pPr>
      <w:r>
        <w:rPr>
          <w:rFonts w:ascii="Arial" w:hAnsi="Arial" w:eastAsia="Arial" w:cs="Arial"/>
          <w:sz w:val="22"/>
          <w:szCs w:val="22"/>
        </w:rPr>
        <w:t>The macro sequence and its current state (intact / under pressure / failed),</w:t>
      </w:r>
    </w:p>
    <w:p w14:paraId="0EDA851B">
      <w:pPr>
        <w:pStyle w:val="16"/>
        <w:numPr>
          <w:ilvl w:val="0"/>
          <w:numId w:val="1"/>
        </w:numPr>
        <w:spacing w:after="120" w:line="276" w:lineRule="auto"/>
      </w:pPr>
      <w:r>
        <w:rPr>
          <w:rFonts w:ascii="Arial" w:hAnsi="Arial" w:eastAsia="Arial" w:cs="Arial"/>
          <w:sz w:val="22"/>
          <w:szCs w:val="22"/>
        </w:rPr>
        <w:t>The intermediate sequence and its alignment with macro,</w:t>
      </w:r>
    </w:p>
    <w:p w14:paraId="052DF03D">
      <w:pPr>
        <w:pStyle w:val="16"/>
        <w:numPr>
          <w:ilvl w:val="0"/>
          <w:numId w:val="1"/>
        </w:numPr>
        <w:spacing w:after="120" w:line="276" w:lineRule="auto"/>
      </w:pPr>
      <w:r>
        <w:rPr>
          <w:rFonts w:ascii="Arial" w:hAnsi="Arial" w:eastAsia="Arial" w:cs="Arial"/>
          <w:sz w:val="22"/>
          <w:szCs w:val="22"/>
        </w:rPr>
        <w:t>The most recent internal MSS and whether it confirms or challenges the intermediate delivery,</w:t>
      </w:r>
    </w:p>
    <w:p w14:paraId="714C59AE">
      <w:pPr>
        <w:pStyle w:val="16"/>
        <w:numPr>
          <w:ilvl w:val="0"/>
          <w:numId w:val="1"/>
        </w:numPr>
        <w:spacing w:after="120" w:line="276" w:lineRule="auto"/>
      </w:pPr>
      <w:r>
        <w:rPr>
          <w:rFonts w:ascii="Arial" w:hAnsi="Arial" w:eastAsia="Arial" w:cs="Arial"/>
          <w:sz w:val="22"/>
          <w:szCs w:val="22"/>
        </w:rPr>
        <w:t>The structural invalidation level that would force a rewrite.</w:t>
      </w:r>
    </w:p>
    <w:p w14:paraId="45A86457">
      <w:pPr>
        <w:pStyle w:val="3"/>
        <w:spacing w:before="280" w:after="180"/>
      </w:pPr>
      <w:r>
        <w:rPr>
          <w:rFonts w:ascii="Arial" w:hAnsi="Arial" w:eastAsia="Arial" w:cs="Arial"/>
          <w:b/>
          <w:bCs/>
          <w:sz w:val="26"/>
          <w:szCs w:val="26"/>
        </w:rPr>
        <w:t>8.2 Integration</w:t>
      </w:r>
    </w:p>
    <w:p w14:paraId="731A10CF">
      <w:pPr>
        <w:spacing w:after="200" w:line="276" w:lineRule="auto"/>
      </w:pPr>
      <w:r>
        <w:rPr>
          <w:rFonts w:ascii="Arial" w:hAnsi="Arial" w:eastAsia="Arial" w:cs="Arial"/>
          <w:sz w:val="22"/>
          <w:szCs w:val="22"/>
        </w:rPr>
        <w:t>The structural narrative is always subordinate to the liquidity delivery narrative (Modules 1 and 3). Structure confirms or denies; liquidity defines the objective.</w:t>
      </w:r>
    </w:p>
    <w:p w14:paraId="4B74370C">
      <w:pPr>
        <w:pStyle w:val="2"/>
        <w:spacing w:before="360" w:after="240"/>
      </w:pPr>
      <w:r>
        <w:rPr>
          <w:rFonts w:ascii="Arial" w:hAnsi="Arial" w:eastAsia="Arial" w:cs="Arial"/>
          <w:b/>
          <w:bCs/>
          <w:sz w:val="32"/>
          <w:szCs w:val="32"/>
        </w:rPr>
        <w:t>9. Worked Narrative — Structure Confirming Delivery</w:t>
      </w:r>
    </w:p>
    <w:p w14:paraId="6EBFC0BE">
      <w:pPr>
        <w:spacing w:after="200" w:line="276" w:lineRule="auto"/>
      </w:pPr>
      <w:r>
        <w:rPr>
          <w:rFonts w:ascii="Arial" w:hAnsi="Arial" w:eastAsia="Arial" w:cs="Arial"/>
          <w:sz w:val="22"/>
          <w:szCs w:val="22"/>
        </w:rPr>
        <w:t>Macro (Weekly): Higher highs and higher lows intact. Long-term DOL = buy-side above prior weekly high. Invalidation = weekly close below the origin of the last weekly bullish displacement.</w:t>
      </w:r>
    </w:p>
    <w:p w14:paraId="3C700C1F">
      <w:pPr>
        <w:spacing w:after="200" w:line="276" w:lineRule="auto"/>
      </w:pPr>
      <w:r>
        <w:rPr>
          <w:rFonts w:ascii="Arial" w:hAnsi="Arial" w:eastAsia="Arial" w:cs="Arial"/>
          <w:sz w:val="22"/>
          <w:szCs w:val="22"/>
        </w:rPr>
        <w:t>Intermediate (Daily): After sweeping daily SSL, price displaced higher and printed a daily bullish MSS (break of prior daily high). Daily sequence now aligns with weekly.</w:t>
      </w:r>
    </w:p>
    <w:p w14:paraId="1AB816C7">
      <w:pPr>
        <w:spacing w:after="200" w:line="276" w:lineRule="auto"/>
      </w:pPr>
      <w:r>
        <w:rPr>
          <w:rFonts w:ascii="Arial" w:hAnsi="Arial" w:eastAsia="Arial" w:cs="Arial"/>
          <w:sz w:val="22"/>
          <w:szCs w:val="22"/>
        </w:rPr>
        <w:t>Internal (15-minute): London raided Asian low; New York printed a 15-minute bullish MSS and left an FVG. This internal MSS confirms resumption of the daily delivery leg.</w:t>
      </w:r>
    </w:p>
    <w:p w14:paraId="4661F483">
      <w:pPr>
        <w:spacing w:after="200" w:line="276" w:lineRule="auto"/>
      </w:pPr>
      <w:r>
        <w:rPr>
          <w:rFonts w:ascii="Arial" w:hAnsi="Arial" w:eastAsia="Arial" w:cs="Arial"/>
          <w:sz w:val="22"/>
          <w:szCs w:val="22"/>
        </w:rPr>
        <w:t>Integrated statement: “Macro and intermediate structure are aligned and bullish. The internal MSS confirms that the daily delivery toward weekly buy-side liquidity is active. Structural invalidation remains the weekly level; trade-level invalidation sits below the daily displacement origin.”</w:t>
      </w:r>
    </w:p>
    <w:p w14:paraId="1B8CB701">
      <w:pPr>
        <w:pStyle w:val="2"/>
        <w:spacing w:before="360" w:after="240"/>
      </w:pPr>
      <w:r>
        <w:rPr>
          <w:rFonts w:ascii="Arial" w:hAnsi="Arial" w:eastAsia="Arial" w:cs="Arial"/>
          <w:b/>
          <w:bCs/>
          <w:sz w:val="32"/>
          <w:szCs w:val="32"/>
        </w:rPr>
        <w:t>Visual Reference — Structural Hierarchy</w:t>
      </w:r>
    </w:p>
    <w:p w14:paraId="0E6AFE2F">
      <w:pPr>
        <w:spacing w:after="0" w:line="240" w:lineRule="auto"/>
      </w:pPr>
      <w:r>
        <w:rPr>
          <w:rFonts w:ascii="Courier New" w:hAnsi="Courier New" w:eastAsia="Courier New" w:cs="Courier New"/>
          <w:sz w:val="18"/>
          <w:szCs w:val="18"/>
        </w:rPr>
        <w:t>MACRO (Weekly / Monthly)</w:t>
      </w:r>
    </w:p>
    <w:p w14:paraId="3577AF8B">
      <w:pPr>
        <w:spacing w:after="0" w:line="240" w:lineRule="auto"/>
      </w:pPr>
      <w:r>
        <w:rPr>
          <w:rFonts w:ascii="Courier New" w:hAnsi="Courier New" w:eastAsia="Courier New" w:cs="Courier New"/>
          <w:sz w:val="18"/>
          <w:szCs w:val="18"/>
        </w:rPr>
        <w:t xml:space="preserve">  HH-HL or LH-LL sequence + long-term DOL</w:t>
      </w:r>
    </w:p>
    <w:p w14:paraId="770582A6">
      <w:pPr>
        <w:spacing w:after="0" w:line="240" w:lineRule="auto"/>
      </w:pPr>
      <w:r>
        <w:rPr>
          <w:rFonts w:ascii="Courier New" w:hAnsi="Courier New" w:eastAsia="Courier New" w:cs="Courier New"/>
          <w:sz w:val="18"/>
          <w:szCs w:val="18"/>
        </w:rPr>
        <w:t xml:space="preserve">          │</w:t>
      </w:r>
    </w:p>
    <w:p w14:paraId="4207D106">
      <w:pPr>
        <w:spacing w:after="0" w:line="240" w:lineRule="auto"/>
      </w:pPr>
      <w:r>
        <w:rPr>
          <w:rFonts w:ascii="Courier New" w:hAnsi="Courier New" w:eastAsia="Courier New" w:cs="Courier New"/>
          <w:sz w:val="18"/>
          <w:szCs w:val="18"/>
        </w:rPr>
        <w:t xml:space="preserve">          ▼  (must align or intermediate is corrective)</w:t>
      </w:r>
    </w:p>
    <w:p w14:paraId="15F1AB6D">
      <w:pPr>
        <w:spacing w:after="0" w:line="240" w:lineRule="auto"/>
      </w:pPr>
      <w:r>
        <w:rPr>
          <w:rFonts w:ascii="Courier New" w:hAnsi="Courier New" w:eastAsia="Courier New" w:cs="Courier New"/>
          <w:sz w:val="18"/>
          <w:szCs w:val="18"/>
        </w:rPr>
        <w:t>INTERMEDIATE (Daily / 4H)</w:t>
      </w:r>
    </w:p>
    <w:p w14:paraId="1352A162">
      <w:pPr>
        <w:spacing w:after="0" w:line="240" w:lineRule="auto"/>
      </w:pPr>
      <w:r>
        <w:rPr>
          <w:rFonts w:ascii="Courier New" w:hAnsi="Courier New" w:eastAsia="Courier New" w:cs="Courier New"/>
          <w:sz w:val="18"/>
          <w:szCs w:val="18"/>
        </w:rPr>
        <w:t xml:space="preserve">  Daily sequence + intermediate DOL / confirmation</w:t>
      </w:r>
    </w:p>
    <w:p w14:paraId="116EDFB0">
      <w:pPr>
        <w:spacing w:after="0" w:line="240" w:lineRule="auto"/>
      </w:pPr>
      <w:r>
        <w:rPr>
          <w:rFonts w:ascii="Courier New" w:hAnsi="Courier New" w:eastAsia="Courier New" w:cs="Courier New"/>
          <w:sz w:val="18"/>
          <w:szCs w:val="18"/>
        </w:rPr>
        <w:t xml:space="preserve">          │</w:t>
      </w:r>
    </w:p>
    <w:p w14:paraId="05EAD4D0">
      <w:pPr>
        <w:spacing w:after="0" w:line="240" w:lineRule="auto"/>
      </w:pPr>
      <w:r>
        <w:rPr>
          <w:rFonts w:ascii="Courier New" w:hAnsi="Courier New" w:eastAsia="Courier New" w:cs="Courier New"/>
          <w:sz w:val="18"/>
          <w:szCs w:val="18"/>
        </w:rPr>
        <w:t xml:space="preserve">          ▼  (timing and entry confirmation only)</w:t>
      </w:r>
    </w:p>
    <w:p w14:paraId="3FC89472">
      <w:pPr>
        <w:spacing w:after="0" w:line="240" w:lineRule="auto"/>
      </w:pPr>
      <w:r>
        <w:rPr>
          <w:rFonts w:ascii="Courier New" w:hAnsi="Courier New" w:eastAsia="Courier New" w:cs="Courier New"/>
          <w:sz w:val="18"/>
          <w:szCs w:val="18"/>
        </w:rPr>
        <w:t>INTERNAL (Session / LTF)</w:t>
      </w:r>
    </w:p>
    <w:p w14:paraId="6D5E9EFB">
      <w:pPr>
        <w:spacing w:after="0" w:line="240" w:lineRule="auto"/>
      </w:pPr>
      <w:r>
        <w:rPr>
          <w:rFonts w:ascii="Courier New" w:hAnsi="Courier New" w:eastAsia="Courier New" w:cs="Courier New"/>
          <w:sz w:val="18"/>
          <w:szCs w:val="18"/>
        </w:rPr>
        <w:t xml:space="preserve">  Raid → Displacement → Internal MSS → PD-array entry</w:t>
      </w:r>
    </w:p>
    <w:p w14:paraId="3D4A4CB6">
      <w:pPr>
        <w:pStyle w:val="2"/>
        <w:spacing w:before="360" w:after="240"/>
      </w:pPr>
      <w:r>
        <w:rPr>
          <w:rFonts w:ascii="Arial" w:hAnsi="Arial" w:eastAsia="Arial" w:cs="Arial"/>
          <w:b/>
          <w:bCs/>
          <w:sz w:val="32"/>
          <w:szCs w:val="32"/>
        </w:rPr>
        <w:t>10. Failure Conditions and Model Implications</w:t>
      </w:r>
    </w:p>
    <w:p w14:paraId="523FE744">
      <w:pPr>
        <w:spacing w:after="200" w:line="276" w:lineRule="auto"/>
      </w:pPr>
      <w:r>
        <w:rPr>
          <w:rFonts w:ascii="Arial" w:hAnsi="Arial" w:eastAsia="Arial" w:cs="Arial"/>
          <w:sz w:val="22"/>
          <w:szCs w:val="22"/>
        </w:rPr>
        <w:t>When intermediate or macro structure fails:</w:t>
      </w:r>
    </w:p>
    <w:p w14:paraId="336918A4">
      <w:pPr>
        <w:pStyle w:val="16"/>
        <w:numPr>
          <w:ilvl w:val="0"/>
          <w:numId w:val="1"/>
        </w:numPr>
        <w:spacing w:after="120" w:line="276" w:lineRule="auto"/>
      </w:pPr>
      <w:r>
        <w:rPr>
          <w:rFonts w:ascii="Arial" w:hAnsi="Arial" w:eastAsia="Arial" w:cs="Arial"/>
          <w:sz w:val="22"/>
          <w:szCs w:val="22"/>
        </w:rPr>
        <w:t>The prior Draw on Liquidity is retired or demoted.</w:t>
      </w:r>
    </w:p>
    <w:p w14:paraId="422E88EA">
      <w:pPr>
        <w:pStyle w:val="16"/>
        <w:numPr>
          <w:ilvl w:val="0"/>
          <w:numId w:val="1"/>
        </w:numPr>
        <w:spacing w:after="120" w:line="276" w:lineRule="auto"/>
      </w:pPr>
      <w:r>
        <w:rPr>
          <w:rFonts w:ascii="Arial" w:hAnsi="Arial" w:eastAsia="Arial" w:cs="Arial"/>
          <w:sz w:val="22"/>
          <w:szCs w:val="22"/>
        </w:rPr>
        <w:t>Opposing liquidity is promoted.</w:t>
      </w:r>
    </w:p>
    <w:p w14:paraId="4FFA3E68">
      <w:pPr>
        <w:pStyle w:val="16"/>
        <w:numPr>
          <w:ilvl w:val="0"/>
          <w:numId w:val="1"/>
        </w:numPr>
        <w:spacing w:after="120" w:line="276" w:lineRule="auto"/>
      </w:pPr>
      <w:r>
        <w:rPr>
          <w:rFonts w:ascii="Arial" w:hAnsi="Arial" w:eastAsia="Arial" w:cs="Arial"/>
          <w:sz w:val="22"/>
          <w:szCs w:val="22"/>
        </w:rPr>
        <w:t>Models that assumed continuation of the failed sequence are invalidated.</w:t>
      </w:r>
    </w:p>
    <w:p w14:paraId="6A552B45">
      <w:pPr>
        <w:pStyle w:val="16"/>
        <w:numPr>
          <w:ilvl w:val="0"/>
          <w:numId w:val="1"/>
        </w:numPr>
        <w:spacing w:after="120" w:line="276" w:lineRule="auto"/>
      </w:pPr>
      <w:r>
        <w:rPr>
          <w:rFonts w:ascii="Arial" w:hAnsi="Arial" w:eastAsia="Arial" w:cs="Arial"/>
          <w:sz w:val="22"/>
          <w:szCs w:val="22"/>
        </w:rPr>
        <w:t>Models that assume the new opposing delivery become candidates.</w:t>
      </w:r>
    </w:p>
    <w:p w14:paraId="0D4A1FD2">
      <w:pPr>
        <w:spacing w:after="200" w:line="276" w:lineRule="auto"/>
      </w:pPr>
      <w:r>
        <w:rPr>
          <w:rFonts w:ascii="Arial" w:hAnsi="Arial" w:eastAsia="Arial" w:cs="Arial"/>
          <w:sz w:val="22"/>
          <w:szCs w:val="22"/>
        </w:rPr>
        <w:t>Structural failure is one of the cleanest signals that model selection must change.</w:t>
      </w:r>
    </w:p>
    <w:p w14:paraId="5A9602F5">
      <w:pPr>
        <w:pStyle w:val="2"/>
        <w:spacing w:before="360" w:after="240"/>
      </w:pPr>
      <w:r>
        <w:rPr>
          <w:rFonts w:ascii="Arial" w:hAnsi="Arial" w:eastAsia="Arial" w:cs="Arial"/>
          <w:b/>
          <w:bCs/>
          <w:sz w:val="32"/>
          <w:szCs w:val="32"/>
        </w:rPr>
        <w:t>11. Common Misinterpretations</w:t>
      </w:r>
    </w:p>
    <w:p w14:paraId="1C5525A5">
      <w:pPr>
        <w:pStyle w:val="16"/>
        <w:numPr>
          <w:ilvl w:val="0"/>
          <w:numId w:val="1"/>
        </w:numPr>
        <w:spacing w:after="120" w:line="276" w:lineRule="auto"/>
      </w:pPr>
      <w:r>
        <w:rPr>
          <w:rFonts w:ascii="Arial" w:hAnsi="Arial" w:eastAsia="Arial" w:cs="Arial"/>
          <w:sz w:val="22"/>
          <w:szCs w:val="22"/>
        </w:rPr>
        <w:t>Treating every internal MSS as a change in intermediate or macro bias.</w:t>
      </w:r>
    </w:p>
    <w:p w14:paraId="2F8EA63D">
      <w:pPr>
        <w:pStyle w:val="16"/>
        <w:numPr>
          <w:ilvl w:val="0"/>
          <w:numId w:val="1"/>
        </w:numPr>
        <w:spacing w:after="120" w:line="276" w:lineRule="auto"/>
      </w:pPr>
      <w:r>
        <w:rPr>
          <w:rFonts w:ascii="Arial" w:hAnsi="Arial" w:eastAsia="Arial" w:cs="Arial"/>
          <w:sz w:val="22"/>
          <w:szCs w:val="22"/>
        </w:rPr>
        <w:t>Ignoring higher-timeframe structure because a clean lower-timeframe sequence appeared.</w:t>
      </w:r>
    </w:p>
    <w:p w14:paraId="0DD9A7AD">
      <w:pPr>
        <w:pStyle w:val="16"/>
        <w:numPr>
          <w:ilvl w:val="0"/>
          <w:numId w:val="1"/>
        </w:numPr>
        <w:spacing w:after="120" w:line="276" w:lineRule="auto"/>
      </w:pPr>
      <w:r>
        <w:rPr>
          <w:rFonts w:ascii="Arial" w:hAnsi="Arial" w:eastAsia="Arial" w:cs="Arial"/>
          <w:sz w:val="22"/>
          <w:szCs w:val="22"/>
        </w:rPr>
        <w:t>Labeling structure without reference to the liquidity objective it is confirming or denying.</w:t>
      </w:r>
    </w:p>
    <w:p w14:paraId="4E7F7B53">
      <w:pPr>
        <w:pStyle w:val="16"/>
        <w:numPr>
          <w:ilvl w:val="0"/>
          <w:numId w:val="1"/>
        </w:numPr>
        <w:spacing w:after="120" w:line="276" w:lineRule="auto"/>
      </w:pPr>
      <w:r>
        <w:rPr>
          <w:rFonts w:ascii="Arial" w:hAnsi="Arial" w:eastAsia="Arial" w:cs="Arial"/>
          <w:sz w:val="22"/>
          <w:szCs w:val="22"/>
        </w:rPr>
        <w:t>Assuming that a deep undercut of a prior low is automatically a structural failure (it may be a liquidity raid inside an ongoing sequence).</w:t>
      </w:r>
    </w:p>
    <w:p w14:paraId="562C7710">
      <w:pPr>
        <w:pStyle w:val="16"/>
        <w:numPr>
          <w:ilvl w:val="0"/>
          <w:numId w:val="1"/>
        </w:numPr>
        <w:spacing w:after="120" w:line="276" w:lineRule="auto"/>
      </w:pPr>
      <w:r>
        <w:rPr>
          <w:rFonts w:ascii="Arial" w:hAnsi="Arial" w:eastAsia="Arial" w:cs="Arial"/>
          <w:sz w:val="22"/>
          <w:szCs w:val="22"/>
        </w:rPr>
        <w:t>Using structure in isolation from dealing-range location and premium/discount filters.</w:t>
      </w:r>
    </w:p>
    <w:p w14:paraId="40B3CFC6">
      <w:pPr>
        <w:pStyle w:val="2"/>
        <w:spacing w:before="360" w:after="240"/>
      </w:pPr>
      <w:r>
        <w:rPr>
          <w:rFonts w:ascii="Arial" w:hAnsi="Arial" w:eastAsia="Arial" w:cs="Arial"/>
          <w:b/>
          <w:bCs/>
          <w:sz w:val="32"/>
          <w:szCs w:val="32"/>
        </w:rPr>
        <w:t>12. Evidence Summary</w:t>
      </w:r>
    </w:p>
    <w:p w14:paraId="793B6129">
      <w:pPr>
        <w:spacing w:after="200" w:line="276" w:lineRule="auto"/>
      </w:pPr>
      <w:r>
        <w:rPr>
          <w:rFonts w:ascii="Arial" w:hAnsi="Arial" w:eastAsia="Arial" w:cs="Arial"/>
          <w:sz w:val="22"/>
          <w:szCs w:val="22"/>
        </w:rPr>
        <w:t>Market structure, Break of Structure, Change of Character / Market Structure Shift, and the multi-timeframe application of those ideas are foundational ICT. The internal vs external distinction and the explicit subordination of lower-timeframe structure to higher-timeframe narrative are the advanced operational synthesis. Exact label variants (BOS, CHoCH, MSS, CISD) appear across ICT material; the underlying hierarchy of authority is consistent.</w:t>
      </w:r>
    </w:p>
    <w:p w14:paraId="1F43319A">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Primary orientation: ICT teaching on market structure, MSS/CHoCH, and multi-timeframe analysis. Internal/external framing and the authority hierarchy are the advanced synthesis required for narrative construction. Secondary sources used only to locate and cross-reference primary themes.</w:t>
      </w:r>
    </w:p>
    <w:p w14:paraId="1F8F8652">
      <w:pPr>
        <w:pStyle w:val="2"/>
        <w:spacing w:before="360" w:after="240"/>
      </w:pPr>
      <w:r>
        <w:rPr>
          <w:rFonts w:ascii="Arial" w:hAnsi="Arial" w:eastAsia="Arial" w:cs="Arial"/>
          <w:b/>
          <w:bCs/>
          <w:sz w:val="32"/>
          <w:szCs w:val="32"/>
        </w:rPr>
        <w:t>What You Should Now Be Able to Do</w:t>
      </w:r>
    </w:p>
    <w:p w14:paraId="4A944A79">
      <w:pPr>
        <w:pStyle w:val="16"/>
        <w:numPr>
          <w:ilvl w:val="0"/>
          <w:numId w:val="1"/>
        </w:numPr>
        <w:spacing w:after="120" w:line="276" w:lineRule="auto"/>
      </w:pPr>
      <w:r>
        <w:rPr>
          <w:rFonts w:ascii="Arial" w:hAnsi="Arial" w:eastAsia="Arial" w:cs="Arial"/>
          <w:sz w:val="22"/>
          <w:szCs w:val="22"/>
        </w:rPr>
        <w:t>State the macro, intermediate and internal structural sequence for the active narrative.</w:t>
      </w:r>
    </w:p>
    <w:p w14:paraId="37098029">
      <w:pPr>
        <w:pStyle w:val="16"/>
        <w:numPr>
          <w:ilvl w:val="0"/>
          <w:numId w:val="1"/>
        </w:numPr>
        <w:spacing w:after="120" w:line="276" w:lineRule="auto"/>
      </w:pPr>
      <w:r>
        <w:rPr>
          <w:rFonts w:ascii="Arial" w:hAnsi="Arial" w:eastAsia="Arial" w:cs="Arial"/>
          <w:sz w:val="22"/>
          <w:szCs w:val="22"/>
        </w:rPr>
        <w:t>Classify a Market Structure Shift as internal or external and state its narrative implication.</w:t>
      </w:r>
    </w:p>
    <w:p w14:paraId="45734FD1">
      <w:pPr>
        <w:pStyle w:val="16"/>
        <w:numPr>
          <w:ilvl w:val="0"/>
          <w:numId w:val="1"/>
        </w:numPr>
        <w:spacing w:after="120" w:line="276" w:lineRule="auto"/>
      </w:pPr>
      <w:r>
        <w:rPr>
          <w:rFonts w:ascii="Arial" w:hAnsi="Arial" w:eastAsia="Arial" w:cs="Arial"/>
          <w:sz w:val="22"/>
          <w:szCs w:val="22"/>
        </w:rPr>
        <w:t>Confirm or challenge a Draw on Liquidity using structural evidence.</w:t>
      </w:r>
    </w:p>
    <w:p w14:paraId="79792179">
      <w:pPr>
        <w:pStyle w:val="16"/>
        <w:numPr>
          <w:ilvl w:val="0"/>
          <w:numId w:val="1"/>
        </w:numPr>
        <w:spacing w:after="120" w:line="276" w:lineRule="auto"/>
      </w:pPr>
      <w:r>
        <w:rPr>
          <w:rFonts w:ascii="Arial" w:hAnsi="Arial" w:eastAsia="Arial" w:cs="Arial"/>
          <w:sz w:val="22"/>
          <w:szCs w:val="22"/>
        </w:rPr>
        <w:t>Resolve a conflict between internal and intermediate structure by reference to higher-timeframe authority.</w:t>
      </w:r>
    </w:p>
    <w:p w14:paraId="35FAB446">
      <w:pPr>
        <w:pStyle w:val="16"/>
        <w:numPr>
          <w:ilvl w:val="0"/>
          <w:numId w:val="1"/>
        </w:numPr>
        <w:spacing w:after="120" w:line="276" w:lineRule="auto"/>
      </w:pPr>
      <w:r>
        <w:rPr>
          <w:rFonts w:ascii="Arial" w:hAnsi="Arial" w:eastAsia="Arial" w:cs="Arial"/>
          <w:sz w:val="22"/>
          <w:szCs w:val="22"/>
        </w:rPr>
        <w:t>Write a structural narrative that integrates with the liquidity delivery narrative rather than replacing it.</w:t>
      </w:r>
    </w:p>
    <w:p w14:paraId="3FFB1119">
      <w:pPr>
        <w:pStyle w:val="16"/>
        <w:numPr>
          <w:ilvl w:val="0"/>
          <w:numId w:val="1"/>
        </w:numPr>
        <w:spacing w:after="120" w:line="276" w:lineRule="auto"/>
      </w:pPr>
      <w:r>
        <w:rPr>
          <w:rFonts w:ascii="Arial" w:hAnsi="Arial" w:eastAsia="Arial" w:cs="Arial"/>
          <w:sz w:val="22"/>
          <w:szCs w:val="22"/>
        </w:rPr>
        <w:t>Identify structural failure and the consequent change in model eligibility.</w:t>
      </w:r>
    </w:p>
    <w:p w14:paraId="00368694">
      <w:pPr>
        <w:pStyle w:val="2"/>
        <w:spacing w:before="360" w:after="240"/>
      </w:pPr>
      <w:r>
        <w:rPr>
          <w:rFonts w:ascii="Arial" w:hAnsi="Arial" w:eastAsia="Arial" w:cs="Arial"/>
          <w:b/>
          <w:bCs/>
          <w:sz w:val="32"/>
          <w:szCs w:val="32"/>
        </w:rPr>
        <w:t>Module Review</w:t>
      </w:r>
    </w:p>
    <w:p w14:paraId="4866DFAB">
      <w:pPr>
        <w:pStyle w:val="3"/>
        <w:spacing w:before="280" w:after="180"/>
      </w:pPr>
      <w:r>
        <w:rPr>
          <w:rFonts w:ascii="Arial" w:hAnsi="Arial" w:eastAsia="Arial" w:cs="Arial"/>
          <w:b/>
          <w:bCs/>
          <w:sz w:val="26"/>
          <w:szCs w:val="26"/>
        </w:rPr>
        <w:t>Key Terms</w:t>
      </w:r>
    </w:p>
    <w:p w14:paraId="7726D19D">
      <w:pPr>
        <w:pStyle w:val="16"/>
        <w:numPr>
          <w:ilvl w:val="0"/>
          <w:numId w:val="1"/>
        </w:numPr>
        <w:spacing w:after="120" w:line="276" w:lineRule="auto"/>
      </w:pPr>
      <w:r>
        <w:rPr>
          <w:rFonts w:ascii="Arial" w:hAnsi="Arial" w:eastAsia="Arial" w:cs="Arial"/>
          <w:sz w:val="22"/>
          <w:szCs w:val="22"/>
        </w:rPr>
        <w:t>Macro structure — weekly / monthly swing sequence; highest narrative authority.</w:t>
      </w:r>
    </w:p>
    <w:p w14:paraId="7088D7FF">
      <w:pPr>
        <w:pStyle w:val="16"/>
        <w:numPr>
          <w:ilvl w:val="0"/>
          <w:numId w:val="1"/>
        </w:numPr>
        <w:spacing w:after="120" w:line="276" w:lineRule="auto"/>
      </w:pPr>
      <w:r>
        <w:rPr>
          <w:rFonts w:ascii="Arial" w:hAnsi="Arial" w:eastAsia="Arial" w:cs="Arial"/>
          <w:sz w:val="22"/>
          <w:szCs w:val="22"/>
        </w:rPr>
        <w:t>Intermediate structure — daily / 4-hour sequence; working delivery confirmation.</w:t>
      </w:r>
    </w:p>
    <w:p w14:paraId="2F806876">
      <w:pPr>
        <w:pStyle w:val="16"/>
        <w:numPr>
          <w:ilvl w:val="0"/>
          <w:numId w:val="1"/>
        </w:numPr>
        <w:spacing w:after="120" w:line="276" w:lineRule="auto"/>
      </w:pPr>
      <w:r>
        <w:rPr>
          <w:rFonts w:ascii="Arial" w:hAnsi="Arial" w:eastAsia="Arial" w:cs="Arial"/>
          <w:sz w:val="22"/>
          <w:szCs w:val="22"/>
        </w:rPr>
        <w:t>Internal structure — session / LTF sequence; entry timing and local confirmation.</w:t>
      </w:r>
    </w:p>
    <w:p w14:paraId="6C64CF22">
      <w:pPr>
        <w:pStyle w:val="16"/>
        <w:numPr>
          <w:ilvl w:val="0"/>
          <w:numId w:val="1"/>
        </w:numPr>
        <w:spacing w:after="120" w:line="276" w:lineRule="auto"/>
      </w:pPr>
      <w:r>
        <w:rPr>
          <w:rFonts w:ascii="Arial" w:hAnsi="Arial" w:eastAsia="Arial" w:cs="Arial"/>
          <w:sz w:val="22"/>
          <w:szCs w:val="22"/>
        </w:rPr>
        <w:t>Internal MSS — shift inside the current range or intermediate swing; often confirms continuation.</w:t>
      </w:r>
    </w:p>
    <w:p w14:paraId="7CCABD63">
      <w:pPr>
        <w:pStyle w:val="16"/>
        <w:numPr>
          <w:ilvl w:val="0"/>
          <w:numId w:val="1"/>
        </w:numPr>
        <w:spacing w:after="120" w:line="276" w:lineRule="auto"/>
      </w:pPr>
      <w:r>
        <w:rPr>
          <w:rFonts w:ascii="Arial" w:hAnsi="Arial" w:eastAsia="Arial" w:cs="Arial"/>
          <w:sz w:val="22"/>
          <w:szCs w:val="22"/>
        </w:rPr>
        <w:t>External MSS — shift that breaks a significant boundary; may expand or reverse the delivery leg.</w:t>
      </w:r>
    </w:p>
    <w:p w14:paraId="60230D05">
      <w:pPr>
        <w:pStyle w:val="16"/>
        <w:numPr>
          <w:ilvl w:val="0"/>
          <w:numId w:val="1"/>
        </w:numPr>
        <w:spacing w:after="120" w:line="276" w:lineRule="auto"/>
      </w:pPr>
      <w:r>
        <w:rPr>
          <w:rFonts w:ascii="Arial" w:hAnsi="Arial" w:eastAsia="Arial" w:cs="Arial"/>
          <w:sz w:val="22"/>
          <w:szCs w:val="22"/>
        </w:rPr>
        <w:t>Structural confirmation — liquidity event + displacement + MSS aligned with the DOL.</w:t>
      </w:r>
    </w:p>
    <w:p w14:paraId="69E3FF7C">
      <w:pPr>
        <w:pStyle w:val="16"/>
        <w:numPr>
          <w:ilvl w:val="0"/>
          <w:numId w:val="1"/>
        </w:numPr>
        <w:spacing w:after="120" w:line="276" w:lineRule="auto"/>
      </w:pPr>
      <w:r>
        <w:rPr>
          <w:rFonts w:ascii="Arial" w:hAnsi="Arial" w:eastAsia="Arial" w:cs="Arial"/>
          <w:sz w:val="22"/>
          <w:szCs w:val="22"/>
        </w:rPr>
        <w:t>Structural failure — decisive violation of the defining sequence that promotes opposing liquidity.</w:t>
      </w:r>
    </w:p>
    <w:p w14:paraId="3FC3CD70">
      <w:pPr>
        <w:pStyle w:val="16"/>
        <w:numPr>
          <w:ilvl w:val="0"/>
          <w:numId w:val="1"/>
        </w:numPr>
        <w:spacing w:after="120" w:line="276" w:lineRule="auto"/>
      </w:pPr>
      <w:r>
        <w:rPr>
          <w:rFonts w:ascii="Arial" w:hAnsi="Arial" w:eastAsia="Arial" w:cs="Arial"/>
          <w:sz w:val="22"/>
          <w:szCs w:val="22"/>
        </w:rPr>
        <w:t>Structural narrative — the hierarchical statement of macro / intermediate / internal state and invalidation.</w:t>
      </w:r>
    </w:p>
    <w:p w14:paraId="7BB69D2A">
      <w:pPr>
        <w:pStyle w:val="3"/>
        <w:spacing w:before="280" w:after="180"/>
      </w:pPr>
      <w:r>
        <w:rPr>
          <w:rFonts w:ascii="Arial" w:hAnsi="Arial" w:eastAsia="Arial" w:cs="Arial"/>
          <w:b/>
          <w:bCs/>
          <w:sz w:val="26"/>
          <w:szCs w:val="26"/>
        </w:rPr>
        <w:t>Self-Test</w:t>
      </w:r>
    </w:p>
    <w:p w14:paraId="21A36F76">
      <w:pPr>
        <w:pStyle w:val="16"/>
        <w:numPr>
          <w:ilvl w:val="0"/>
          <w:numId w:val="2"/>
        </w:numPr>
        <w:spacing w:after="120" w:line="276" w:lineRule="auto"/>
      </w:pPr>
      <w:r>
        <w:rPr>
          <w:rFonts w:ascii="Arial" w:hAnsi="Arial" w:eastAsia="Arial" w:cs="Arial"/>
          <w:sz w:val="22"/>
          <w:szCs w:val="22"/>
        </w:rPr>
        <w:t>What is the authority order among macro, intermediate and internal structure?</w:t>
      </w:r>
    </w:p>
    <w:p w14:paraId="3745DDA7">
      <w:pPr>
        <w:pStyle w:val="16"/>
        <w:numPr>
          <w:ilvl w:val="0"/>
          <w:numId w:val="2"/>
        </w:numPr>
        <w:spacing w:after="120" w:line="276" w:lineRule="auto"/>
      </w:pPr>
      <w:r>
        <w:rPr>
          <w:rFonts w:ascii="Arial" w:hAnsi="Arial" w:eastAsia="Arial" w:cs="Arial"/>
          <w:sz w:val="22"/>
          <w:szCs w:val="22"/>
        </w:rPr>
        <w:t>How does an internal MSS differ in narrative implication from an external MSS?</w:t>
      </w:r>
    </w:p>
    <w:p w14:paraId="1C589442">
      <w:pPr>
        <w:pStyle w:val="16"/>
        <w:numPr>
          <w:ilvl w:val="0"/>
          <w:numId w:val="2"/>
        </w:numPr>
        <w:spacing w:after="120" w:line="276" w:lineRule="auto"/>
      </w:pPr>
      <w:r>
        <w:rPr>
          <w:rFonts w:ascii="Arial" w:hAnsi="Arial" w:eastAsia="Arial" w:cs="Arial"/>
          <w:sz w:val="22"/>
          <w:szCs w:val="22"/>
        </w:rPr>
        <w:t>What four elements constitute structural confirmation of a delivery leg?</w:t>
      </w:r>
    </w:p>
    <w:p w14:paraId="377E3C1F">
      <w:pPr>
        <w:pStyle w:val="16"/>
        <w:numPr>
          <w:ilvl w:val="0"/>
          <w:numId w:val="2"/>
        </w:numPr>
        <w:spacing w:after="120" w:line="276" w:lineRule="auto"/>
      </w:pPr>
      <w:r>
        <w:rPr>
          <w:rFonts w:ascii="Arial" w:hAnsi="Arial" w:eastAsia="Arial" w:cs="Arial"/>
          <w:sz w:val="22"/>
          <w:szCs w:val="22"/>
        </w:rPr>
        <w:t>How should an internal bullish MSS be treated when intermediate structure remains bearish?</w:t>
      </w:r>
    </w:p>
    <w:p w14:paraId="6D9339CB">
      <w:pPr>
        <w:pStyle w:val="16"/>
        <w:numPr>
          <w:ilvl w:val="0"/>
          <w:numId w:val="2"/>
        </w:numPr>
        <w:spacing w:after="120" w:line="276" w:lineRule="auto"/>
      </w:pPr>
      <w:r>
        <w:rPr>
          <w:rFonts w:ascii="Arial" w:hAnsi="Arial" w:eastAsia="Arial" w:cs="Arial"/>
          <w:sz w:val="22"/>
          <w:szCs w:val="22"/>
        </w:rPr>
        <w:t>What happens to the Draw on Liquidity when intermediate structure fails with opposing displacement?</w:t>
      </w:r>
    </w:p>
    <w:p w14:paraId="2C0EC2EC">
      <w:pPr>
        <w:pStyle w:val="3"/>
        <w:spacing w:before="280" w:after="180"/>
      </w:pPr>
      <w:r>
        <w:rPr>
          <w:rFonts w:ascii="Arial" w:hAnsi="Arial" w:eastAsia="Arial" w:cs="Arial"/>
          <w:b/>
          <w:bCs/>
          <w:sz w:val="26"/>
          <w:szCs w:val="26"/>
        </w:rPr>
        <w:t>Transition to Module 5</w:t>
      </w:r>
    </w:p>
    <w:p w14:paraId="28810813">
      <w:pPr>
        <w:spacing w:after="200" w:line="276" w:lineRule="auto"/>
      </w:pPr>
      <w:r>
        <w:rPr>
          <w:rFonts w:ascii="Arial" w:hAnsi="Arial" w:eastAsia="Arial" w:cs="Arial"/>
          <w:sz w:val="22"/>
          <w:szCs w:val="22"/>
        </w:rPr>
        <w:t>Module 4 has established structure as the confirmation language of delivery. Module 5 (Advanced PD Array Theory) will examine the specific price arrays — FVG, Order Block, Breaker, Mitigation, and related constructs — that form along the delivery path and that supply the precise locations for entry, management and invalidation inside the structurally confirmed narrative.</w:t>
      </w:r>
    </w:p>
    <w:p w14:paraId="6915ACED">
      <w:pPr>
        <w:spacing w:after="200" w:line="276" w:lineRule="auto"/>
        <w:rPr>
          <w:rFonts w:ascii="Arial" w:hAnsi="Arial" w:eastAsia="Arial" w:cs="Arial"/>
          <w:sz w:val="22"/>
          <w:szCs w:val="22"/>
        </w:rPr>
      </w:pPr>
    </w:p>
    <w:p w14:paraId="29B4A9EF">
      <w:pPr>
        <w:spacing w:after="200" w:line="276" w:lineRule="auto"/>
        <w:rPr>
          <w:rFonts w:ascii="Arial" w:hAnsi="Arial" w:eastAsia="Arial" w:cs="Arial"/>
          <w:sz w:val="22"/>
          <w:szCs w:val="22"/>
        </w:rPr>
      </w:pPr>
    </w:p>
    <w:p w14:paraId="1C3FE3D3">
      <w:pPr>
        <w:spacing w:after="200" w:line="276" w:lineRule="auto"/>
        <w:rPr>
          <w:rFonts w:ascii="Arial" w:hAnsi="Arial" w:eastAsia="Arial" w:cs="Arial"/>
          <w:sz w:val="22"/>
          <w:szCs w:val="22"/>
        </w:rPr>
      </w:pPr>
    </w:p>
    <w:p w14:paraId="4780C746">
      <w:pPr>
        <w:spacing w:after="200" w:line="276" w:lineRule="auto"/>
        <w:rPr>
          <w:rFonts w:ascii="Arial" w:hAnsi="Arial" w:eastAsia="Arial" w:cs="Arial"/>
          <w:sz w:val="22"/>
          <w:szCs w:val="22"/>
        </w:rPr>
      </w:pPr>
    </w:p>
    <w:p w14:paraId="445F09A2">
      <w:pPr>
        <w:spacing w:after="200" w:line="276" w:lineRule="auto"/>
        <w:rPr>
          <w:rFonts w:ascii="Arial" w:hAnsi="Arial" w:eastAsia="Arial" w:cs="Arial"/>
          <w:sz w:val="22"/>
          <w:szCs w:val="22"/>
        </w:rPr>
      </w:pPr>
    </w:p>
    <w:p w14:paraId="1E7963BC">
      <w:pPr>
        <w:spacing w:after="200" w:line="276" w:lineRule="auto"/>
        <w:rPr>
          <w:rFonts w:ascii="Arial" w:hAnsi="Arial" w:eastAsia="Arial" w:cs="Arial"/>
          <w:sz w:val="22"/>
          <w:szCs w:val="22"/>
        </w:rPr>
      </w:pPr>
    </w:p>
    <w:p w14:paraId="03BBF721">
      <w:pPr>
        <w:spacing w:after="200" w:line="276" w:lineRule="auto"/>
        <w:rPr>
          <w:rFonts w:ascii="Arial" w:hAnsi="Arial" w:eastAsia="Arial" w:cs="Arial"/>
          <w:sz w:val="22"/>
          <w:szCs w:val="22"/>
        </w:rPr>
      </w:pPr>
    </w:p>
    <w:p w14:paraId="225FABE2">
      <w:pPr>
        <w:spacing w:after="200" w:line="276" w:lineRule="auto"/>
        <w:rPr>
          <w:rFonts w:ascii="Arial" w:hAnsi="Arial" w:eastAsia="Arial" w:cs="Arial"/>
          <w:sz w:val="22"/>
          <w:szCs w:val="22"/>
        </w:rPr>
      </w:pPr>
    </w:p>
    <w:p w14:paraId="471D77FF">
      <w:pPr>
        <w:spacing w:after="200" w:line="276" w:lineRule="auto"/>
        <w:rPr>
          <w:rFonts w:ascii="Arial" w:hAnsi="Arial" w:eastAsia="Arial" w:cs="Arial"/>
          <w:sz w:val="22"/>
          <w:szCs w:val="22"/>
        </w:rPr>
      </w:pPr>
    </w:p>
    <w:p w14:paraId="71847A69">
      <w:pPr>
        <w:spacing w:after="200" w:line="276" w:lineRule="auto"/>
        <w:rPr>
          <w:rFonts w:ascii="Arial" w:hAnsi="Arial" w:eastAsia="Arial" w:cs="Arial"/>
          <w:sz w:val="22"/>
          <w:szCs w:val="22"/>
        </w:rPr>
      </w:pPr>
    </w:p>
    <w:p w14:paraId="1B4240D9">
      <w:pPr>
        <w:spacing w:after="200" w:line="276" w:lineRule="auto"/>
        <w:rPr>
          <w:rFonts w:ascii="Arial" w:hAnsi="Arial" w:eastAsia="Arial" w:cs="Arial"/>
          <w:sz w:val="22"/>
          <w:szCs w:val="22"/>
        </w:rPr>
      </w:pPr>
    </w:p>
    <w:p w14:paraId="5B4C36A1">
      <w:pPr>
        <w:spacing w:after="200" w:line="276" w:lineRule="auto"/>
        <w:rPr>
          <w:rFonts w:ascii="Arial" w:hAnsi="Arial" w:eastAsia="Arial" w:cs="Arial"/>
          <w:sz w:val="22"/>
          <w:szCs w:val="22"/>
        </w:rPr>
      </w:pPr>
    </w:p>
    <w:p w14:paraId="064D2AB5">
      <w:pPr>
        <w:spacing w:after="200" w:line="276" w:lineRule="auto"/>
        <w:rPr>
          <w:rFonts w:ascii="Arial" w:hAnsi="Arial" w:eastAsia="Arial" w:cs="Arial"/>
          <w:sz w:val="22"/>
          <w:szCs w:val="22"/>
        </w:rPr>
      </w:pPr>
    </w:p>
    <w:p w14:paraId="0FF662B4">
      <w:pPr>
        <w:spacing w:after="200" w:line="276" w:lineRule="auto"/>
        <w:rPr>
          <w:rFonts w:ascii="Arial" w:hAnsi="Arial" w:eastAsia="Arial" w:cs="Arial"/>
          <w:sz w:val="22"/>
          <w:szCs w:val="22"/>
        </w:rPr>
      </w:pPr>
    </w:p>
    <w:p w14:paraId="2B1424F3">
      <w:pPr>
        <w:spacing w:after="400"/>
        <w:jc w:val="center"/>
      </w:pPr>
      <w:r>
        <w:rPr>
          <w:rFonts w:ascii="Arial" w:hAnsi="Arial" w:eastAsia="Arial" w:cs="Arial"/>
          <w:b/>
          <w:bCs/>
          <w:sz w:val="36"/>
          <w:szCs w:val="36"/>
        </w:rPr>
        <w:t>MODULE 5</w:t>
      </w:r>
    </w:p>
    <w:p w14:paraId="519ABEDE">
      <w:pPr>
        <w:spacing w:after="200"/>
        <w:jc w:val="center"/>
      </w:pPr>
      <w:r>
        <w:rPr>
          <w:rFonts w:ascii="Arial" w:hAnsi="Arial" w:eastAsia="Arial" w:cs="Arial"/>
          <w:b/>
          <w:bCs/>
          <w:sz w:val="28"/>
          <w:szCs w:val="28"/>
        </w:rPr>
        <w:t>Advanced PD Array Theory</w:t>
      </w:r>
    </w:p>
    <w:p w14:paraId="04CF59BD">
      <w:pPr>
        <w:spacing w:after="400"/>
        <w:jc w:val="center"/>
      </w:pPr>
      <w:r>
        <w:rPr>
          <w:rFonts w:ascii="Arial" w:hAnsi="Arial" w:eastAsia="Arial" w:cs="Arial"/>
          <w:i/>
          <w:iCs/>
          <w:sz w:val="20"/>
          <w:szCs w:val="20"/>
        </w:rPr>
        <w:t>PD-Array Framework &amp; Hierarchy, FVG / OB / Breaker / Mitigation / IFVG, Confluence, Failure &amp; Repricing</w:t>
      </w:r>
    </w:p>
    <w:p w14:paraId="02E3619A">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Modules 1–4. PD arrays are no longer isolated entry tools; they are the specific price levels at which the delivery narrative (liquidity + structure + range) is expected to react, continue or fail.</w:t>
      </w:r>
    </w:p>
    <w:p w14:paraId="63AD9634">
      <w:pPr>
        <w:pStyle w:val="2"/>
        <w:spacing w:before="360" w:after="240"/>
      </w:pPr>
      <w:r>
        <w:rPr>
          <w:rFonts w:ascii="Arial" w:hAnsi="Arial" w:eastAsia="Arial" w:cs="Arial"/>
          <w:b/>
          <w:bCs/>
          <w:sz w:val="32"/>
          <w:szCs w:val="32"/>
        </w:rPr>
        <w:t>Module Objectives</w:t>
      </w:r>
    </w:p>
    <w:p w14:paraId="3491FB46">
      <w:pPr>
        <w:spacing w:after="200" w:line="276" w:lineRule="auto"/>
      </w:pPr>
      <w:r>
        <w:rPr>
          <w:rFonts w:ascii="Arial" w:hAnsi="Arial" w:eastAsia="Arial" w:cs="Arial"/>
          <w:sz w:val="22"/>
          <w:szCs w:val="22"/>
        </w:rPr>
        <w:t>By the end of this module the advanced student should be able to:</w:t>
      </w:r>
    </w:p>
    <w:p w14:paraId="035A17C6">
      <w:pPr>
        <w:pStyle w:val="16"/>
        <w:numPr>
          <w:ilvl w:val="0"/>
          <w:numId w:val="1"/>
        </w:numPr>
        <w:spacing w:after="120" w:line="276" w:lineRule="auto"/>
      </w:pPr>
      <w:r>
        <w:rPr>
          <w:rFonts w:ascii="Arial" w:hAnsi="Arial" w:eastAsia="Arial" w:cs="Arial"/>
          <w:sz w:val="22"/>
          <w:szCs w:val="22"/>
        </w:rPr>
        <w:t>Locate every relevant PD array inside the controlling dealing range and grade it by hierarchy and location (premium/discount).</w:t>
      </w:r>
    </w:p>
    <w:p w14:paraId="2E21FC04">
      <w:pPr>
        <w:pStyle w:val="16"/>
        <w:numPr>
          <w:ilvl w:val="0"/>
          <w:numId w:val="1"/>
        </w:numPr>
        <w:spacing w:after="120" w:line="276" w:lineRule="auto"/>
      </w:pPr>
      <w:r>
        <w:rPr>
          <w:rFonts w:ascii="Arial" w:hAnsi="Arial" w:eastAsia="Arial" w:cs="Arial"/>
          <w:sz w:val="22"/>
          <w:szCs w:val="22"/>
        </w:rPr>
        <w:t>Distinguish Order Block, Breaker, Mitigation Block and Inversion FVG by formation and polarity behaviour.</w:t>
      </w:r>
    </w:p>
    <w:p w14:paraId="3B80B442">
      <w:pPr>
        <w:pStyle w:val="16"/>
        <w:numPr>
          <w:ilvl w:val="0"/>
          <w:numId w:val="1"/>
        </w:numPr>
        <w:spacing w:after="120" w:line="276" w:lineRule="auto"/>
      </w:pPr>
      <w:r>
        <w:rPr>
          <w:rFonts w:ascii="Arial" w:hAnsi="Arial" w:eastAsia="Arial" w:cs="Arial"/>
          <w:sz w:val="22"/>
          <w:szCs w:val="22"/>
        </w:rPr>
        <w:t>Apply Consequent Encroachment as a refinement inside an FVG.</w:t>
      </w:r>
    </w:p>
    <w:p w14:paraId="374E1D83">
      <w:pPr>
        <w:pStyle w:val="16"/>
        <w:numPr>
          <w:ilvl w:val="0"/>
          <w:numId w:val="1"/>
        </w:numPr>
        <w:spacing w:after="120" w:line="276" w:lineRule="auto"/>
      </w:pPr>
      <w:r>
        <w:rPr>
          <w:rFonts w:ascii="Arial" w:hAnsi="Arial" w:eastAsia="Arial" w:cs="Arial"/>
          <w:sz w:val="22"/>
          <w:szCs w:val="22"/>
        </w:rPr>
        <w:t>Recognise PD-array confluence and PD-array failure and state the narrative implication of each.</w:t>
      </w:r>
    </w:p>
    <w:p w14:paraId="7349ED7E">
      <w:pPr>
        <w:pStyle w:val="16"/>
        <w:numPr>
          <w:ilvl w:val="0"/>
          <w:numId w:val="1"/>
        </w:numPr>
        <w:spacing w:after="120" w:line="276" w:lineRule="auto"/>
      </w:pPr>
      <w:r>
        <w:rPr>
          <w:rFonts w:ascii="Arial" w:hAnsi="Arial" w:eastAsia="Arial" w:cs="Arial"/>
          <w:sz w:val="22"/>
          <w:szCs w:val="22"/>
        </w:rPr>
        <w:t>Select the highest-probability array for entry given the current delivery leg, Draw on Liquidity and structural confirmation.</w:t>
      </w:r>
    </w:p>
    <w:p w14:paraId="5E874947">
      <w:pPr>
        <w:pStyle w:val="16"/>
        <w:numPr>
          <w:ilvl w:val="0"/>
          <w:numId w:val="1"/>
        </w:numPr>
        <w:spacing w:after="120" w:line="276" w:lineRule="auto"/>
      </w:pPr>
      <w:r>
        <w:rPr>
          <w:rFonts w:ascii="Arial" w:hAnsi="Arial" w:eastAsia="Arial" w:cs="Arial"/>
          <w:sz w:val="22"/>
          <w:szCs w:val="22"/>
        </w:rPr>
        <w:t>Classify less-supported constructs (e.g. Rejection Block) appropriately and avoid elevating them above primary ICT arrays.</w:t>
      </w:r>
    </w:p>
    <w:p w14:paraId="64C6A600">
      <w:pPr>
        <w:pStyle w:val="16"/>
        <w:numPr>
          <w:ilvl w:val="0"/>
          <w:numId w:val="1"/>
        </w:numPr>
        <w:spacing w:after="120" w:line="276" w:lineRule="auto"/>
      </w:pPr>
      <w:r>
        <w:rPr>
          <w:rFonts w:ascii="Arial" w:hAnsi="Arial" w:eastAsia="Arial" w:cs="Arial"/>
          <w:sz w:val="22"/>
          <w:szCs w:val="22"/>
        </w:rPr>
        <w:t>Integrate PD-array choice into the multi-timeframe delivery narrative rather than treating arrays as standalone signals.</w:t>
      </w:r>
    </w:p>
    <w:p w14:paraId="316B3C70">
      <w:pPr>
        <w:pStyle w:val="2"/>
        <w:spacing w:before="360" w:after="240"/>
      </w:pPr>
      <w:r>
        <w:rPr>
          <w:rFonts w:ascii="Arial" w:hAnsi="Arial" w:eastAsia="Arial" w:cs="Arial"/>
          <w:b/>
          <w:bCs/>
          <w:sz w:val="32"/>
          <w:szCs w:val="32"/>
        </w:rPr>
        <w:t>1. PD Array Framework — Advanced Premise</w:t>
      </w:r>
    </w:p>
    <w:p w14:paraId="708E8860">
      <w:pPr>
        <w:pStyle w:val="3"/>
        <w:spacing w:before="280" w:after="180"/>
      </w:pPr>
      <w:r>
        <w:rPr>
          <w:rFonts w:ascii="Arial" w:hAnsi="Arial" w:eastAsia="Arial" w:cs="Arial"/>
          <w:b/>
          <w:bCs/>
          <w:sz w:val="26"/>
          <w:szCs w:val="26"/>
        </w:rPr>
        <w:t>1.1 Definition</w:t>
      </w:r>
    </w:p>
    <w:p w14:paraId="032CF16F">
      <w:pPr>
        <w:spacing w:after="200" w:line="276" w:lineRule="auto"/>
      </w:pPr>
      <w:r>
        <w:rPr>
          <w:rFonts w:ascii="Arial" w:hAnsi="Arial" w:eastAsia="Arial" w:cs="Arial"/>
          <w:sz w:val="22"/>
          <w:szCs w:val="22"/>
        </w:rPr>
        <w:t>A PD Array (Premium / Discount Array) is any ICT price reference that the algorithm is expected to respect or reprice when price returns to it, conditioned by its location in premium or discount relative to the controlling dealing range. Arrays are not zones of magic; they are the recorded footprints of prior institutional activity and imbalance.</w:t>
      </w:r>
    </w:p>
    <w:p w14:paraId="5119C07F">
      <w:pPr>
        <w:pStyle w:val="3"/>
        <w:spacing w:before="280" w:after="180"/>
      </w:pPr>
      <w:r>
        <w:rPr>
          <w:rFonts w:ascii="Arial" w:hAnsi="Arial" w:eastAsia="Arial" w:cs="Arial"/>
          <w:b/>
          <w:bCs/>
          <w:sz w:val="26"/>
          <w:szCs w:val="26"/>
        </w:rPr>
        <w:t>1.2 Role in Delivery</w:t>
      </w:r>
    </w:p>
    <w:p w14:paraId="12E9A8DC">
      <w:pPr>
        <w:spacing w:after="200" w:line="276" w:lineRule="auto"/>
      </w:pPr>
      <w:r>
        <w:rPr>
          <w:rFonts w:ascii="Arial" w:hAnsi="Arial" w:eastAsia="Arial" w:cs="Arial"/>
          <w:sz w:val="22"/>
          <w:szCs w:val="22"/>
        </w:rPr>
        <w:t>Within the delivery sequence (Module 1), PD arrays form during displacement and become the retracement objectives during the retracement / rebalancing phase. They are the precise locations at which the trader may enter in the direction of the Draw on Liquidity after structural confirmation (Module 4).</w:t>
      </w:r>
    </w:p>
    <w:p w14:paraId="582CF9E5">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 — PD Array terminology and the premium/discount conditioning of arrays are core ICT.</w:t>
      </w:r>
    </w:p>
    <w:p w14:paraId="41A4CB98">
      <w:pPr>
        <w:pStyle w:val="2"/>
        <w:spacing w:before="360" w:after="240"/>
      </w:pPr>
      <w:r>
        <w:rPr>
          <w:rFonts w:ascii="Arial" w:hAnsi="Arial" w:eastAsia="Arial" w:cs="Arial"/>
          <w:b/>
          <w:bCs/>
          <w:sz w:val="32"/>
          <w:szCs w:val="32"/>
        </w:rPr>
        <w:t>2. Core PD Arrays</w:t>
      </w:r>
    </w:p>
    <w:p w14:paraId="30EED3D2">
      <w:pPr>
        <w:pStyle w:val="3"/>
        <w:spacing w:before="280" w:after="180"/>
      </w:pPr>
      <w:r>
        <w:rPr>
          <w:rFonts w:ascii="Arial" w:hAnsi="Arial" w:eastAsia="Arial" w:cs="Arial"/>
          <w:b/>
          <w:bCs/>
          <w:sz w:val="26"/>
          <w:szCs w:val="26"/>
        </w:rPr>
        <w:t>2.1 Fair Value Gap (FVG) / Imbalance</w:t>
      </w:r>
    </w:p>
    <w:p w14:paraId="36DE7DBC">
      <w:pPr>
        <w:spacing w:after="200" w:line="276" w:lineRule="auto"/>
      </w:pPr>
      <w:r>
        <w:rPr>
          <w:rFonts w:ascii="Arial" w:hAnsi="Arial" w:eastAsia="Arial" w:cs="Arial"/>
          <w:sz w:val="22"/>
          <w:szCs w:val="22"/>
        </w:rPr>
        <w:t>A three-candle imbalance in which the wick of the first and third candles do not fully overlap, leaving a gap in price delivery. Bullish FVG is sometimes labelled BISI (Buy-side Imbalance, Sell-side Inefficiency); bearish FVG is sometimes labelled SIBI. The FVG is both a record of displacement and a potential retracement magnet.</w:t>
      </w:r>
    </w:p>
    <w:p w14:paraId="7FC10EF0">
      <w:pPr>
        <w:pStyle w:val="3"/>
        <w:spacing w:before="280" w:after="180"/>
      </w:pPr>
      <w:r>
        <w:rPr>
          <w:rFonts w:ascii="Arial" w:hAnsi="Arial" w:eastAsia="Arial" w:cs="Arial"/>
          <w:b/>
          <w:bCs/>
          <w:sz w:val="26"/>
          <w:szCs w:val="26"/>
        </w:rPr>
        <w:t>2.2 Order Block (OB)</w:t>
      </w:r>
    </w:p>
    <w:p w14:paraId="716F1C7A">
      <w:pPr>
        <w:spacing w:after="200" w:line="276" w:lineRule="auto"/>
      </w:pPr>
      <w:r>
        <w:rPr>
          <w:rFonts w:ascii="Arial" w:hAnsi="Arial" w:eastAsia="Arial" w:cs="Arial"/>
          <w:sz w:val="22"/>
          <w:szCs w:val="22"/>
        </w:rPr>
        <w:t>The last opposing candle (or small cluster) before a displacement that breaks structure. It is the presumed origin of the institutional order flow that produced the energetic move. High-quality OBs are those that form after a liquidity event and are followed by genuine displacement and MSS.</w:t>
      </w:r>
    </w:p>
    <w:p w14:paraId="578C5C44">
      <w:pPr>
        <w:pStyle w:val="3"/>
        <w:spacing w:before="280" w:after="180"/>
      </w:pPr>
      <w:r>
        <w:rPr>
          <w:rFonts w:ascii="Arial" w:hAnsi="Arial" w:eastAsia="Arial" w:cs="Arial"/>
          <w:b/>
          <w:bCs/>
          <w:sz w:val="26"/>
          <w:szCs w:val="26"/>
        </w:rPr>
        <w:t>2.3 Breaker Block</w:t>
      </w:r>
    </w:p>
    <w:p w14:paraId="6029E3AC">
      <w:pPr>
        <w:spacing w:after="200" w:line="276" w:lineRule="auto"/>
      </w:pPr>
      <w:r>
        <w:rPr>
          <w:rFonts w:ascii="Arial" w:hAnsi="Arial" w:eastAsia="Arial" w:cs="Arial"/>
          <w:sz w:val="22"/>
          <w:szCs w:val="22"/>
        </w:rPr>
        <w:t>A previously valid Order Block that has been violated by a body close beyond its far boundary, after which the zone is expected to act with inverted polarity. A failed bullish OB becomes a bearish Breaker (resistance on the return); a failed bearish OB becomes a bullish Breaker.</w:t>
      </w:r>
    </w:p>
    <w:p w14:paraId="6E99BFC1">
      <w:pPr>
        <w:pStyle w:val="3"/>
        <w:spacing w:before="280" w:after="180"/>
      </w:pPr>
      <w:r>
        <w:rPr>
          <w:rFonts w:ascii="Arial" w:hAnsi="Arial" w:eastAsia="Arial" w:cs="Arial"/>
          <w:b/>
          <w:bCs/>
          <w:sz w:val="26"/>
          <w:szCs w:val="26"/>
        </w:rPr>
        <w:t>2.4 Mitigation Block</w:t>
      </w:r>
    </w:p>
    <w:p w14:paraId="594A5F96">
      <w:pPr>
        <w:spacing w:after="200" w:line="276" w:lineRule="auto"/>
      </w:pPr>
      <w:r>
        <w:rPr>
          <w:rFonts w:ascii="Arial" w:hAnsi="Arial" w:eastAsia="Arial" w:cs="Arial"/>
          <w:sz w:val="22"/>
          <w:szCs w:val="22"/>
        </w:rPr>
        <w:t>An Order Block that is retested without a decisive body close beyond its far boundary, and from which price continues in the original direction. The return is understood as residual interest being satisfied before continuation. (Note: community definitions of Mitigation vs Breaker vary; the body-close test remains the clearest operational delimiter.)</w:t>
      </w:r>
    </w:p>
    <w:p w14:paraId="065985B5">
      <w:pPr>
        <w:pStyle w:val="3"/>
        <w:spacing w:before="280" w:after="180"/>
      </w:pPr>
      <w:r>
        <w:rPr>
          <w:rFonts w:ascii="Arial" w:hAnsi="Arial" w:eastAsia="Arial" w:cs="Arial"/>
          <w:b/>
          <w:bCs/>
          <w:sz w:val="26"/>
          <w:szCs w:val="26"/>
        </w:rPr>
        <w:t>2.5 Inversion Fair Value Gap (IFVG)</w:t>
      </w:r>
    </w:p>
    <w:p w14:paraId="34744897">
      <w:pPr>
        <w:spacing w:after="200" w:line="276" w:lineRule="auto"/>
      </w:pPr>
      <w:r>
        <w:rPr>
          <w:rFonts w:ascii="Arial" w:hAnsi="Arial" w:eastAsia="Arial" w:cs="Arial"/>
          <w:sz w:val="22"/>
          <w:szCs w:val="22"/>
        </w:rPr>
        <w:t>A Fair Value Gap that has been traded through and that subsequently acts with inverted polarity. The former bullish FVG, once mitigated and closed through, may act as resistance on the return, and vice versa.</w:t>
      </w:r>
    </w:p>
    <w:p w14:paraId="29825E4A">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FVG, Order Block, Breaker and Mitigation are primary ICT. BISI/SIBI and IFVG appear in ICT teaching and later refinements. Exact Mitigation vs Breaker boundary shows some variation across presentations.</w:t>
      </w:r>
    </w:p>
    <w:p w14:paraId="7BF5999C">
      <w:pPr>
        <w:pStyle w:val="2"/>
        <w:spacing w:before="360" w:after="240"/>
      </w:pPr>
      <w:r>
        <w:rPr>
          <w:rFonts w:ascii="Arial" w:hAnsi="Arial" w:eastAsia="Arial" w:cs="Arial"/>
          <w:b/>
          <w:bCs/>
          <w:sz w:val="32"/>
          <w:szCs w:val="32"/>
        </w:rPr>
        <w:t>3. Consequent Encroachment</w:t>
      </w:r>
    </w:p>
    <w:p w14:paraId="0634E2FA">
      <w:pPr>
        <w:spacing w:after="200" w:line="276" w:lineRule="auto"/>
      </w:pPr>
      <w:r>
        <w:rPr>
          <w:rFonts w:ascii="Arial" w:hAnsi="Arial" w:eastAsia="Arial" w:cs="Arial"/>
          <w:sz w:val="22"/>
          <w:szCs w:val="22"/>
        </w:rPr>
        <w:t>Consequent Encroachment (CE) is the midpoint (50 %) of a Fair Value Gap. ICT often treats the CE as a refined entry or reaction reference inside the larger FVG. Advanced practice uses CE when the full FVG is wide and a tighter invalidation or more precise entry is desired, while still respecting the higher-timeframe narrative.</w:t>
      </w:r>
    </w:p>
    <w:p w14:paraId="51B92ED3">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 — Consequent Encroachment is explicit ICT terminology.</w:t>
      </w:r>
    </w:p>
    <w:p w14:paraId="383860F3">
      <w:pPr>
        <w:pStyle w:val="2"/>
        <w:spacing w:before="360" w:after="240"/>
      </w:pPr>
      <w:r>
        <w:rPr>
          <w:rFonts w:ascii="Arial" w:hAnsi="Arial" w:eastAsia="Arial" w:cs="Arial"/>
          <w:b/>
          <w:bCs/>
          <w:sz w:val="32"/>
          <w:szCs w:val="32"/>
        </w:rPr>
        <w:t>4. Liquidity Void and Balanced Price Range</w:t>
      </w:r>
    </w:p>
    <w:p w14:paraId="2A27E971">
      <w:pPr>
        <w:pStyle w:val="3"/>
        <w:spacing w:before="280" w:after="180"/>
      </w:pPr>
      <w:r>
        <w:rPr>
          <w:rFonts w:ascii="Arial" w:hAnsi="Arial" w:eastAsia="Arial" w:cs="Arial"/>
          <w:b/>
          <w:bCs/>
          <w:sz w:val="26"/>
          <w:szCs w:val="26"/>
        </w:rPr>
        <w:t>4.1 Liquidity Void</w:t>
      </w:r>
    </w:p>
    <w:p w14:paraId="34C884CD">
      <w:pPr>
        <w:spacing w:after="200" w:line="276" w:lineRule="auto"/>
      </w:pPr>
      <w:r>
        <w:rPr>
          <w:rFonts w:ascii="Arial" w:hAnsi="Arial" w:eastAsia="Arial" w:cs="Arial"/>
          <w:sz w:val="22"/>
          <w:szCs w:val="22"/>
        </w:rPr>
        <w:t>An area of rapid price movement with little to no trading activity — the extreme expression of imbalance. Closely related to FVG; some presentations treat voids as the more extreme form. Price may return to rebalance the void as part of the delivery narrative.</w:t>
      </w:r>
    </w:p>
    <w:p w14:paraId="061D87F8">
      <w:pPr>
        <w:pStyle w:val="3"/>
        <w:spacing w:before="280" w:after="180"/>
      </w:pPr>
      <w:r>
        <w:rPr>
          <w:rFonts w:ascii="Arial" w:hAnsi="Arial" w:eastAsia="Arial" w:cs="Arial"/>
          <w:b/>
          <w:bCs/>
          <w:sz w:val="26"/>
          <w:szCs w:val="26"/>
        </w:rPr>
        <w:t>4.2 Balanced Price Range</w:t>
      </w:r>
    </w:p>
    <w:p w14:paraId="4FB1ED12">
      <w:pPr>
        <w:spacing w:after="200" w:line="276" w:lineRule="auto"/>
      </w:pPr>
      <w:r>
        <w:rPr>
          <w:rFonts w:ascii="Arial" w:hAnsi="Arial" w:eastAsia="Arial" w:cs="Arial"/>
          <w:sz w:val="22"/>
          <w:szCs w:val="22"/>
        </w:rPr>
        <w:t>A range in which opposing imbalances have been filled or in which price has spent sufficient time to leave the area relatively efficient. Balanced ranges are less attractive as immediate retracement magnets than fresh, unmitigated imbalances.</w:t>
      </w:r>
    </w:p>
    <w:p w14:paraId="6185525B">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B/C — Liquidity void and balanced price range language appears in ICT material in connection with imbalance and efficiency; precise boundaries with FVG terminology are sometimes fluid.</w:t>
      </w:r>
    </w:p>
    <w:p w14:paraId="3B240686">
      <w:pPr>
        <w:pStyle w:val="2"/>
        <w:spacing w:before="360" w:after="240"/>
      </w:pPr>
      <w:r>
        <w:rPr>
          <w:rFonts w:ascii="Arial" w:hAnsi="Arial" w:eastAsia="Arial" w:cs="Arial"/>
          <w:b/>
          <w:bCs/>
          <w:sz w:val="32"/>
          <w:szCs w:val="32"/>
        </w:rPr>
        <w:t>5. Rejection Block — Classification Note</w:t>
      </w:r>
    </w:p>
    <w:p w14:paraId="7C297157">
      <w:pPr>
        <w:spacing w:after="200" w:line="276" w:lineRule="auto"/>
      </w:pPr>
      <w:r>
        <w:rPr>
          <w:rFonts w:ascii="Arial" w:hAnsi="Arial" w:eastAsia="Arial" w:cs="Arial"/>
          <w:sz w:val="22"/>
          <w:szCs w:val="22"/>
        </w:rPr>
        <w:t>Rejection Block (a wick-based rejection zone after a liquidity sweep) appears frequently in community PD-array matrices and secondary materials. Primary ICT teaching emphasises Order Blocks, FVGs, Breakers and related constructs more consistently than a distinct “Rejection Block” category. Advanced students may observe wick rejections as price action, but should not elevate Rejection Block above the primary arrays without explicit primary support for the specific trade.</w:t>
      </w:r>
    </w:p>
    <w:p w14:paraId="76F8EC06">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D — Community terminology / secondary emphasis. Use with caution; do not treat as equal to core ICT arrays.</w:t>
      </w:r>
    </w:p>
    <w:p w14:paraId="61A9FFC3">
      <w:pPr>
        <w:pStyle w:val="2"/>
        <w:spacing w:before="360" w:after="240"/>
      </w:pPr>
      <w:r>
        <w:rPr>
          <w:rFonts w:ascii="Arial" w:hAnsi="Arial" w:eastAsia="Arial" w:cs="Arial"/>
          <w:b/>
          <w:bCs/>
          <w:sz w:val="32"/>
          <w:szCs w:val="32"/>
        </w:rPr>
        <w:t>6. PD-Array Hierarchy (Practical Advanced Ranking)</w:t>
      </w:r>
    </w:p>
    <w:p w14:paraId="16EB5A65">
      <w:pPr>
        <w:spacing w:after="200" w:line="276" w:lineRule="auto"/>
      </w:pPr>
      <w:r>
        <w:rPr>
          <w:rFonts w:ascii="Arial" w:hAnsi="Arial" w:eastAsia="Arial" w:cs="Arial"/>
          <w:sz w:val="22"/>
          <w:szCs w:val="22"/>
        </w:rPr>
        <w:t>When multiple arrays compete inside the same region of the controlling range, a practical hierarchy (strongest to weaker, all else equal) is:</w:t>
      </w:r>
    </w:p>
    <w:p w14:paraId="0CAA4795">
      <w:pPr>
        <w:pStyle w:val="16"/>
        <w:numPr>
          <w:ilvl w:val="0"/>
          <w:numId w:val="2"/>
        </w:numPr>
        <w:spacing w:after="120" w:line="276" w:lineRule="auto"/>
      </w:pPr>
      <w:r>
        <w:rPr>
          <w:rFonts w:ascii="Arial" w:hAnsi="Arial" w:eastAsia="Arial" w:cs="Arial"/>
          <w:sz w:val="22"/>
          <w:szCs w:val="22"/>
        </w:rPr>
        <w:t>Higher-timeframe unmitigated structural levels and unmitigated higher-timeframe Order Blocks / FVGs that align with the delivery narrative.</w:t>
      </w:r>
    </w:p>
    <w:p w14:paraId="439A9A3A">
      <w:pPr>
        <w:pStyle w:val="16"/>
        <w:numPr>
          <w:ilvl w:val="0"/>
          <w:numId w:val="2"/>
        </w:numPr>
        <w:spacing w:after="120" w:line="276" w:lineRule="auto"/>
      </w:pPr>
      <w:r>
        <w:rPr>
          <w:rFonts w:ascii="Arial" w:hAnsi="Arial" w:eastAsia="Arial" w:cs="Arial"/>
          <w:sz w:val="22"/>
          <w:szCs w:val="22"/>
        </w:rPr>
        <w:t>Unmitigated Order Blocks that originated the most recent displacement + MSS.</w:t>
      </w:r>
    </w:p>
    <w:p w14:paraId="056C7176">
      <w:pPr>
        <w:pStyle w:val="16"/>
        <w:numPr>
          <w:ilvl w:val="0"/>
          <w:numId w:val="2"/>
        </w:numPr>
        <w:spacing w:after="120" w:line="276" w:lineRule="auto"/>
      </w:pPr>
      <w:r>
        <w:rPr>
          <w:rFonts w:ascii="Arial" w:hAnsi="Arial" w:eastAsia="Arial" w:cs="Arial"/>
          <w:sz w:val="22"/>
          <w:szCs w:val="22"/>
        </w:rPr>
        <w:t>Fair Value Gaps created by that same displacement (especially at Consequent Encroachment).</w:t>
      </w:r>
    </w:p>
    <w:p w14:paraId="081ED8BF">
      <w:pPr>
        <w:pStyle w:val="16"/>
        <w:numPr>
          <w:ilvl w:val="0"/>
          <w:numId w:val="2"/>
        </w:numPr>
        <w:spacing w:after="120" w:line="276" w:lineRule="auto"/>
      </w:pPr>
      <w:r>
        <w:rPr>
          <w:rFonts w:ascii="Arial" w:hAnsi="Arial" w:eastAsia="Arial" w:cs="Arial"/>
          <w:sz w:val="22"/>
          <w:szCs w:val="22"/>
        </w:rPr>
        <w:t>Breaker Blocks that meet quality filters (prior high-quality OB, clear violation, displacement in the new direction).</w:t>
      </w:r>
    </w:p>
    <w:p w14:paraId="2F41D361">
      <w:pPr>
        <w:pStyle w:val="16"/>
        <w:numPr>
          <w:ilvl w:val="0"/>
          <w:numId w:val="2"/>
        </w:numPr>
        <w:spacing w:after="120" w:line="276" w:lineRule="auto"/>
      </w:pPr>
      <w:r>
        <w:rPr>
          <w:rFonts w:ascii="Arial" w:hAnsi="Arial" w:eastAsia="Arial" w:cs="Arial"/>
          <w:sz w:val="22"/>
          <w:szCs w:val="22"/>
        </w:rPr>
        <w:t>Mitigation / partially mitigated arrays that still show reaction potential.</w:t>
      </w:r>
    </w:p>
    <w:p w14:paraId="645B262C">
      <w:pPr>
        <w:pStyle w:val="16"/>
        <w:numPr>
          <w:ilvl w:val="0"/>
          <w:numId w:val="2"/>
        </w:numPr>
        <w:spacing w:after="120" w:line="276" w:lineRule="auto"/>
      </w:pPr>
      <w:r>
        <w:rPr>
          <w:rFonts w:ascii="Arial" w:hAnsi="Arial" w:eastAsia="Arial" w:cs="Arial"/>
          <w:sz w:val="22"/>
          <w:szCs w:val="22"/>
        </w:rPr>
        <w:t>Lower-timeframe or heavily mitigated arrays.</w:t>
      </w:r>
    </w:p>
    <w:p w14:paraId="6075F2EA">
      <w:pPr>
        <w:spacing w:after="200" w:line="276" w:lineRule="auto"/>
      </w:pPr>
      <w:r>
        <w:rPr>
          <w:rFonts w:ascii="Arial" w:hAnsi="Arial" w:eastAsia="Arial" w:cs="Arial"/>
          <w:sz w:val="22"/>
          <w:szCs w:val="22"/>
        </w:rPr>
        <w:t>Hierarchy is always subordinate to: (1) alignment with the Draw on Liquidity, (2) location in the correct premium/discount half of the controlling range, and (3) structural confirmation.</w:t>
      </w:r>
    </w:p>
    <w:p w14:paraId="05A08ED9">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C — Practical synthesis. ICT presents the family of arrays; exact numerical rankings are community refinements of that family.</w:t>
      </w:r>
    </w:p>
    <w:p w14:paraId="1DD6B6EA">
      <w:pPr>
        <w:pStyle w:val="2"/>
        <w:spacing w:before="360" w:after="240"/>
      </w:pPr>
      <w:r>
        <w:rPr>
          <w:rFonts w:ascii="Arial" w:hAnsi="Arial" w:eastAsia="Arial" w:cs="Arial"/>
          <w:b/>
          <w:bCs/>
          <w:sz w:val="32"/>
          <w:szCs w:val="32"/>
        </w:rPr>
        <w:t>7. PD-Array Confluence</w:t>
      </w:r>
    </w:p>
    <w:p w14:paraId="2236D981">
      <w:pPr>
        <w:spacing w:after="200" w:line="276" w:lineRule="auto"/>
      </w:pPr>
      <w:r>
        <w:rPr>
          <w:rFonts w:ascii="Arial" w:hAnsi="Arial" w:eastAsia="Arial" w:cs="Arial"/>
          <w:sz w:val="22"/>
          <w:szCs w:val="22"/>
        </w:rPr>
        <w:t>Confluence exists when two or more arrays overlap or sit immediately adjacent (e.g., Order Block overlapping an FVG, or CE of an FVG sitting inside a higher-timeframe OB). Confluence raises the quality of the location provided the higher-timeframe narrative and range filter are satisfied. Confluence does not override a conflicting Draw on Liquidity or a wrong-half location.</w:t>
      </w:r>
    </w:p>
    <w:p w14:paraId="597BAC2F">
      <w:pPr>
        <w:pStyle w:val="2"/>
        <w:spacing w:before="360" w:after="240"/>
      </w:pPr>
      <w:r>
        <w:rPr>
          <w:rFonts w:ascii="Arial" w:hAnsi="Arial" w:eastAsia="Arial" w:cs="Arial"/>
          <w:b/>
          <w:bCs/>
          <w:sz w:val="32"/>
          <w:szCs w:val="32"/>
        </w:rPr>
        <w:t>8. PD-Array Failure</w:t>
      </w:r>
    </w:p>
    <w:p w14:paraId="040A4795">
      <w:pPr>
        <w:pStyle w:val="3"/>
        <w:spacing w:before="280" w:after="180"/>
      </w:pPr>
      <w:r>
        <w:rPr>
          <w:rFonts w:ascii="Arial" w:hAnsi="Arial" w:eastAsia="Arial" w:cs="Arial"/>
          <w:b/>
          <w:bCs/>
          <w:sz w:val="26"/>
          <w:szCs w:val="26"/>
        </w:rPr>
        <w:t>8.1 Definition</w:t>
      </w:r>
    </w:p>
    <w:p w14:paraId="7799CA5D">
      <w:pPr>
        <w:spacing w:after="200" w:line="276" w:lineRule="auto"/>
      </w:pPr>
      <w:r>
        <w:rPr>
          <w:rFonts w:ascii="Arial" w:hAnsi="Arial" w:eastAsia="Arial" w:cs="Arial"/>
          <w:sz w:val="22"/>
          <w:szCs w:val="22"/>
        </w:rPr>
        <w:t>An array fails when price trades through it with decisive displacement and closes beyond its far boundary in a manner that negates its expected polarity. Failure of an Order Block produces a Breaker candidate. Failure of an FVG may produce an IFVG candidate. Failure of the array that was expected to hold the delivery leg challenges the current narrative.</w:t>
      </w:r>
    </w:p>
    <w:p w14:paraId="4DE07BC1">
      <w:pPr>
        <w:pStyle w:val="3"/>
        <w:spacing w:before="280" w:after="180"/>
      </w:pPr>
      <w:r>
        <w:rPr>
          <w:rFonts w:ascii="Arial" w:hAnsi="Arial" w:eastAsia="Arial" w:cs="Arial"/>
          <w:b/>
          <w:bCs/>
          <w:sz w:val="26"/>
          <w:szCs w:val="26"/>
        </w:rPr>
        <w:t>8.2 Narrative Implication</w:t>
      </w:r>
    </w:p>
    <w:p w14:paraId="10264B0D">
      <w:pPr>
        <w:spacing w:after="200" w:line="276" w:lineRule="auto"/>
      </w:pPr>
      <w:r>
        <w:rPr>
          <w:rFonts w:ascii="Arial" w:hAnsi="Arial" w:eastAsia="Arial" w:cs="Arial"/>
          <w:sz w:val="22"/>
          <w:szCs w:val="22"/>
        </w:rPr>
        <w:t>Array failure is information. It may mean: the retracement is deeper than expected (still inside the delivery leg), or the delivery leg itself is failing and opposing liquidity is being promoted. Structure (Module 4) and the higher-timeframe DOL decide which interpretation applies.</w:t>
      </w:r>
    </w:p>
    <w:p w14:paraId="5BED866B">
      <w:pPr>
        <w:pStyle w:val="2"/>
        <w:spacing w:before="360" w:after="240"/>
      </w:pPr>
      <w:r>
        <w:rPr>
          <w:rFonts w:ascii="Arial" w:hAnsi="Arial" w:eastAsia="Arial" w:cs="Arial"/>
          <w:b/>
          <w:bCs/>
          <w:sz w:val="32"/>
          <w:szCs w:val="32"/>
        </w:rPr>
        <w:t>9. Selection Procedure — Which Array to Trade</w:t>
      </w:r>
    </w:p>
    <w:p w14:paraId="38C93CB9">
      <w:pPr>
        <w:pStyle w:val="16"/>
        <w:numPr>
          <w:ilvl w:val="0"/>
          <w:numId w:val="2"/>
        </w:numPr>
        <w:spacing w:after="120" w:line="276" w:lineRule="auto"/>
      </w:pPr>
      <w:r>
        <w:rPr>
          <w:rFonts w:ascii="Arial" w:hAnsi="Arial" w:eastAsia="Arial" w:cs="Arial"/>
          <w:sz w:val="22"/>
          <w:szCs w:val="22"/>
        </w:rPr>
        <w:t>State the controlling dealing range and whether price is in premium or discount relative to the intended direction.</w:t>
      </w:r>
    </w:p>
    <w:p w14:paraId="745F56FD">
      <w:pPr>
        <w:pStyle w:val="16"/>
        <w:numPr>
          <w:ilvl w:val="0"/>
          <w:numId w:val="2"/>
        </w:numPr>
        <w:spacing w:after="120" w:line="276" w:lineRule="auto"/>
      </w:pPr>
      <w:r>
        <w:rPr>
          <w:rFonts w:ascii="Arial" w:hAnsi="Arial" w:eastAsia="Arial" w:cs="Arial"/>
          <w:sz w:val="22"/>
          <w:szCs w:val="22"/>
        </w:rPr>
        <w:t>State the Draw on Liquidity and the structural confirmation status.</w:t>
      </w:r>
    </w:p>
    <w:p w14:paraId="25934112">
      <w:pPr>
        <w:pStyle w:val="16"/>
        <w:numPr>
          <w:ilvl w:val="0"/>
          <w:numId w:val="2"/>
        </w:numPr>
        <w:spacing w:after="120" w:line="276" w:lineRule="auto"/>
      </w:pPr>
      <w:r>
        <w:rPr>
          <w:rFonts w:ascii="Arial" w:hAnsi="Arial" w:eastAsia="Arial" w:cs="Arial"/>
          <w:sz w:val="22"/>
          <w:szCs w:val="22"/>
        </w:rPr>
        <w:t>List the unmitigated PD arrays that sit in the correct half of the range and that were created by (or align with) the current delivery displacement.</w:t>
      </w:r>
    </w:p>
    <w:p w14:paraId="40AC59A3">
      <w:pPr>
        <w:pStyle w:val="16"/>
        <w:numPr>
          <w:ilvl w:val="0"/>
          <w:numId w:val="2"/>
        </w:numPr>
        <w:spacing w:after="120" w:line="276" w:lineRule="auto"/>
      </w:pPr>
      <w:r>
        <w:rPr>
          <w:rFonts w:ascii="Arial" w:hAnsi="Arial" w:eastAsia="Arial" w:cs="Arial"/>
          <w:sz w:val="22"/>
          <w:szCs w:val="22"/>
        </w:rPr>
        <w:t>Rank them by the practical hierarchy and by confluence.</w:t>
      </w:r>
    </w:p>
    <w:p w14:paraId="13321493">
      <w:pPr>
        <w:pStyle w:val="16"/>
        <w:numPr>
          <w:ilvl w:val="0"/>
          <w:numId w:val="2"/>
        </w:numPr>
        <w:spacing w:after="120" w:line="276" w:lineRule="auto"/>
      </w:pPr>
      <w:r>
        <w:rPr>
          <w:rFonts w:ascii="Arial" w:hAnsi="Arial" w:eastAsia="Arial" w:cs="Arial"/>
          <w:sz w:val="22"/>
          <w:szCs w:val="22"/>
        </w:rPr>
        <w:t>Select the highest-ranked array that still offers acceptable invalidation distance.</w:t>
      </w:r>
    </w:p>
    <w:p w14:paraId="48C7DF22">
      <w:pPr>
        <w:pStyle w:val="16"/>
        <w:numPr>
          <w:ilvl w:val="0"/>
          <w:numId w:val="2"/>
        </w:numPr>
        <w:spacing w:after="120" w:line="276" w:lineRule="auto"/>
      </w:pPr>
      <w:r>
        <w:rPr>
          <w:rFonts w:ascii="Arial" w:hAnsi="Arial" w:eastAsia="Arial" w:cs="Arial"/>
          <w:sz w:val="22"/>
          <w:szCs w:val="22"/>
        </w:rPr>
        <w:t>Require lower-timeframe conditioning (liquidity raid + displacement + MSS) before entry if the narrative demands it.</w:t>
      </w:r>
    </w:p>
    <w:p w14:paraId="5470A992">
      <w:pPr>
        <w:pStyle w:val="16"/>
        <w:numPr>
          <w:ilvl w:val="0"/>
          <w:numId w:val="2"/>
        </w:numPr>
        <w:spacing w:after="120" w:line="276" w:lineRule="auto"/>
      </w:pPr>
      <w:r>
        <w:rPr>
          <w:rFonts w:ascii="Arial" w:hAnsi="Arial" w:eastAsia="Arial" w:cs="Arial"/>
          <w:sz w:val="22"/>
          <w:szCs w:val="22"/>
        </w:rPr>
        <w:t>If no array satisfies location, hierarchy and narrative alignment, stand aside.</w:t>
      </w:r>
    </w:p>
    <w:p w14:paraId="35C68827">
      <w:pPr>
        <w:pStyle w:val="2"/>
        <w:spacing w:before="360" w:after="240"/>
      </w:pPr>
      <w:r>
        <w:rPr>
          <w:rFonts w:ascii="Arial" w:hAnsi="Arial" w:eastAsia="Arial" w:cs="Arial"/>
          <w:b/>
          <w:bCs/>
          <w:sz w:val="32"/>
          <w:szCs w:val="32"/>
        </w:rPr>
        <w:t>10. Worked Narrative — PD Array Inside Delivery</w:t>
      </w:r>
    </w:p>
    <w:p w14:paraId="73D66060">
      <w:pPr>
        <w:spacing w:after="200" w:line="276" w:lineRule="auto"/>
      </w:pPr>
      <w:r>
        <w:rPr>
          <w:rFonts w:ascii="Arial" w:hAnsi="Arial" w:eastAsia="Arial" w:cs="Arial"/>
          <w:sz w:val="22"/>
          <w:szCs w:val="22"/>
        </w:rPr>
        <w:t>Weekly DOL: buy-side above 1.1200. Weekly and daily ranges in discount. Daily SSL swept; daily bullish displacement and MSS printed; daily bullish FVG and Order Block overlap at 1.0630–1.0660 (discount of both ranges).</w:t>
      </w:r>
    </w:p>
    <w:p w14:paraId="0EE339FD">
      <w:pPr>
        <w:spacing w:after="200" w:line="276" w:lineRule="auto"/>
      </w:pPr>
      <w:r>
        <w:rPr>
          <w:rFonts w:ascii="Arial" w:hAnsi="Arial" w:eastAsia="Arial" w:cs="Arial"/>
          <w:sz w:val="22"/>
          <w:szCs w:val="22"/>
        </w:rPr>
        <w:t>London: further sell-side raid; 15-minute bullish MSS; 15-minute FVG forms inside the daily array.</w:t>
      </w:r>
    </w:p>
    <w:p w14:paraId="20D0C861">
      <w:pPr>
        <w:spacing w:after="200" w:line="276" w:lineRule="auto"/>
      </w:pPr>
      <w:r>
        <w:rPr>
          <w:rFonts w:ascii="Arial" w:hAnsi="Arial" w:eastAsia="Arial" w:cs="Arial"/>
          <w:sz w:val="22"/>
          <w:szCs w:val="22"/>
        </w:rPr>
        <w:t>Selection: The daily OB/FVG confluence in discount is the primary array. The 15-minute FVG is the refinement. Entry on retracement into the 15-minute FVG / CE, invalidation below the daily displacement origin. Target hierarchy: daily internal buy-side, then weekly ERL.</w:t>
      </w:r>
    </w:p>
    <w:p w14:paraId="244D3846">
      <w:pPr>
        <w:spacing w:after="200" w:line="276" w:lineRule="auto"/>
      </w:pPr>
      <w:r>
        <w:rPr>
          <w:rFonts w:ascii="Arial" w:hAnsi="Arial" w:eastAsia="Arial" w:cs="Arial"/>
          <w:sz w:val="22"/>
          <w:szCs w:val="22"/>
        </w:rPr>
        <w:t>This is PD-array selection fully subordinated to delivery, range and structure.</w:t>
      </w:r>
    </w:p>
    <w:p w14:paraId="1B113DC8">
      <w:pPr>
        <w:pStyle w:val="2"/>
        <w:spacing w:before="360" w:after="240"/>
      </w:pPr>
      <w:r>
        <w:rPr>
          <w:rFonts w:ascii="Arial" w:hAnsi="Arial" w:eastAsia="Arial" w:cs="Arial"/>
          <w:b/>
          <w:bCs/>
          <w:sz w:val="32"/>
          <w:szCs w:val="32"/>
        </w:rPr>
        <w:t>Visual Reference — Arrays Inside the Delivery Path</w:t>
      </w:r>
    </w:p>
    <w:p w14:paraId="25301C23">
      <w:pPr>
        <w:spacing w:after="0" w:line="240" w:lineRule="auto"/>
      </w:pPr>
      <w:r>
        <w:rPr>
          <w:rFonts w:ascii="Courier New" w:hAnsi="Courier New" w:eastAsia="Courier New" w:cs="Courier New"/>
          <w:sz w:val="18"/>
          <w:szCs w:val="18"/>
        </w:rPr>
        <w:t>DOL / ERL target</w:t>
      </w:r>
    </w:p>
    <w:p w14:paraId="789E0BEE">
      <w:pPr>
        <w:spacing w:after="0" w:line="240" w:lineRule="auto"/>
      </w:pPr>
      <w:r>
        <w:rPr>
          <w:rFonts w:ascii="Courier New" w:hAnsi="Courier New" w:eastAsia="Courier New" w:cs="Courier New"/>
          <w:sz w:val="18"/>
          <w:szCs w:val="18"/>
        </w:rPr>
        <w:t xml:space="preserve">        ▲ continuation</w:t>
      </w:r>
    </w:p>
    <w:p w14:paraId="650B6363">
      <w:pPr>
        <w:spacing w:after="0" w:line="240" w:lineRule="auto"/>
      </w:pPr>
      <w:r>
        <w:rPr>
          <w:rFonts w:ascii="Courier New" w:hAnsi="Courier New" w:eastAsia="Courier New" w:cs="Courier New"/>
          <w:sz w:val="18"/>
          <w:szCs w:val="18"/>
        </w:rPr>
        <w:t xml:space="preserve">   PD Array (OB / FVG / CE)  ← retracement entry</w:t>
      </w:r>
    </w:p>
    <w:p w14:paraId="046AF820">
      <w:pPr>
        <w:spacing w:after="0" w:line="240" w:lineRule="auto"/>
      </w:pPr>
      <w:r>
        <w:rPr>
          <w:rFonts w:ascii="Courier New" w:hAnsi="Courier New" w:eastAsia="Courier New" w:cs="Courier New"/>
          <w:sz w:val="18"/>
          <w:szCs w:val="18"/>
        </w:rPr>
        <w:t xml:space="preserve">        │</w:t>
      </w:r>
    </w:p>
    <w:p w14:paraId="61F95086">
      <w:pPr>
        <w:spacing w:after="0" w:line="240" w:lineRule="auto"/>
      </w:pPr>
      <w:r>
        <w:rPr>
          <w:rFonts w:ascii="Courier New" w:hAnsi="Courier New" w:eastAsia="Courier New" w:cs="Courier New"/>
          <w:sz w:val="18"/>
          <w:szCs w:val="18"/>
        </w:rPr>
        <w:t xml:space="preserve">   Displacement + MSS</w:t>
      </w:r>
    </w:p>
    <w:p w14:paraId="0C773BA5">
      <w:pPr>
        <w:spacing w:after="0" w:line="240" w:lineRule="auto"/>
      </w:pPr>
      <w:r>
        <w:rPr>
          <w:rFonts w:ascii="Courier New" w:hAnsi="Courier New" w:eastAsia="Courier New" w:cs="Courier New"/>
          <w:sz w:val="18"/>
          <w:szCs w:val="18"/>
        </w:rPr>
        <w:t xml:space="preserve">        │</w:t>
      </w:r>
    </w:p>
    <w:p w14:paraId="051D238E">
      <w:pPr>
        <w:spacing w:after="0" w:line="240" w:lineRule="auto"/>
      </w:pPr>
      <w:r>
        <w:rPr>
          <w:rFonts w:ascii="Courier New" w:hAnsi="Courier New" w:eastAsia="Courier New" w:cs="Courier New"/>
          <w:sz w:val="18"/>
          <w:szCs w:val="18"/>
        </w:rPr>
        <w:t xml:space="preserve">   Liquidity raid (origin)</w:t>
      </w:r>
    </w:p>
    <w:p w14:paraId="1C3B985F">
      <w:pPr>
        <w:spacing w:after="0" w:line="240" w:lineRule="auto"/>
      </w:pPr>
      <w:r>
        <w:rPr>
          <w:rFonts w:ascii="Courier New" w:hAnsi="Courier New" w:eastAsia="Courier New" w:cs="Courier New"/>
          <w:sz w:val="18"/>
          <w:szCs w:val="18"/>
        </w:rPr>
        <w:t xml:space="preserve">        │</w:t>
      </w:r>
    </w:p>
    <w:p w14:paraId="7A3CADC4">
      <w:pPr>
        <w:spacing w:after="0" w:line="240" w:lineRule="auto"/>
      </w:pPr>
      <w:r>
        <w:rPr>
          <w:rFonts w:ascii="Courier New" w:hAnsi="Courier New" w:eastAsia="Courier New" w:cs="Courier New"/>
          <w:sz w:val="18"/>
          <w:szCs w:val="18"/>
        </w:rPr>
        <w:t xml:space="preserve">   Opposing pool taken</w:t>
      </w:r>
    </w:p>
    <w:p w14:paraId="3A98FEF4">
      <w:pPr>
        <w:pStyle w:val="2"/>
        <w:spacing w:before="360" w:after="240"/>
      </w:pPr>
      <w:r>
        <w:rPr>
          <w:rFonts w:ascii="Arial" w:hAnsi="Arial" w:eastAsia="Arial" w:cs="Arial"/>
          <w:b/>
          <w:bCs/>
          <w:sz w:val="32"/>
          <w:szCs w:val="32"/>
        </w:rPr>
        <w:t>11. Common Misinterpretations</w:t>
      </w:r>
    </w:p>
    <w:p w14:paraId="1F372E91">
      <w:pPr>
        <w:pStyle w:val="16"/>
        <w:numPr>
          <w:ilvl w:val="0"/>
          <w:numId w:val="1"/>
        </w:numPr>
        <w:spacing w:after="120" w:line="276" w:lineRule="auto"/>
      </w:pPr>
      <w:r>
        <w:rPr>
          <w:rFonts w:ascii="Arial" w:hAnsi="Arial" w:eastAsia="Arial" w:cs="Arial"/>
          <w:sz w:val="22"/>
          <w:szCs w:val="22"/>
        </w:rPr>
        <w:t>Trading every FVG or Order Block regardless of premium/discount location and higher-timeframe DOL.</w:t>
      </w:r>
    </w:p>
    <w:p w14:paraId="12CFE606">
      <w:pPr>
        <w:pStyle w:val="16"/>
        <w:numPr>
          <w:ilvl w:val="0"/>
          <w:numId w:val="1"/>
        </w:numPr>
        <w:spacing w:after="120" w:line="276" w:lineRule="auto"/>
      </w:pPr>
      <w:r>
        <w:rPr>
          <w:rFonts w:ascii="Arial" w:hAnsi="Arial" w:eastAsia="Arial" w:cs="Arial"/>
          <w:sz w:val="22"/>
          <w:szCs w:val="22"/>
        </w:rPr>
        <w:t>Treating Breaker and Mitigation as interchangeable.</w:t>
      </w:r>
    </w:p>
    <w:p w14:paraId="02B0CE42">
      <w:pPr>
        <w:pStyle w:val="16"/>
        <w:numPr>
          <w:ilvl w:val="0"/>
          <w:numId w:val="1"/>
        </w:numPr>
        <w:spacing w:after="120" w:line="276" w:lineRule="auto"/>
      </w:pPr>
      <w:r>
        <w:rPr>
          <w:rFonts w:ascii="Arial" w:hAnsi="Arial" w:eastAsia="Arial" w:cs="Arial"/>
          <w:sz w:val="22"/>
          <w:szCs w:val="22"/>
        </w:rPr>
        <w:t>Elevating Rejection Block or other community labels above core ICT arrays.</w:t>
      </w:r>
    </w:p>
    <w:p w14:paraId="4F17CB1D">
      <w:pPr>
        <w:pStyle w:val="16"/>
        <w:numPr>
          <w:ilvl w:val="0"/>
          <w:numId w:val="1"/>
        </w:numPr>
        <w:spacing w:after="120" w:line="276" w:lineRule="auto"/>
      </w:pPr>
      <w:r>
        <w:rPr>
          <w:rFonts w:ascii="Arial" w:hAnsi="Arial" w:eastAsia="Arial" w:cs="Arial"/>
          <w:sz w:val="22"/>
          <w:szCs w:val="22"/>
        </w:rPr>
        <w:t>Ignoring array failure and continuing to treat a violated zone as supportive in its original polarity.</w:t>
      </w:r>
    </w:p>
    <w:p w14:paraId="5853C159">
      <w:pPr>
        <w:pStyle w:val="16"/>
        <w:numPr>
          <w:ilvl w:val="0"/>
          <w:numId w:val="1"/>
        </w:numPr>
        <w:spacing w:after="120" w:line="276" w:lineRule="auto"/>
      </w:pPr>
      <w:r>
        <w:rPr>
          <w:rFonts w:ascii="Arial" w:hAnsi="Arial" w:eastAsia="Arial" w:cs="Arial"/>
          <w:sz w:val="22"/>
          <w:szCs w:val="22"/>
        </w:rPr>
        <w:t>Selecting a lower-timeframe array that conflicts with the controlling range’s location filter.</w:t>
      </w:r>
    </w:p>
    <w:p w14:paraId="1152450A">
      <w:pPr>
        <w:pStyle w:val="16"/>
        <w:numPr>
          <w:ilvl w:val="0"/>
          <w:numId w:val="1"/>
        </w:numPr>
        <w:spacing w:after="120" w:line="276" w:lineRule="auto"/>
      </w:pPr>
      <w:r>
        <w:rPr>
          <w:rFonts w:ascii="Arial" w:hAnsi="Arial" w:eastAsia="Arial" w:cs="Arial"/>
          <w:sz w:val="22"/>
          <w:szCs w:val="22"/>
        </w:rPr>
        <w:t>Using PD arrays as standalone signals without a delivery narrative.</w:t>
      </w:r>
    </w:p>
    <w:p w14:paraId="220ADBA2">
      <w:pPr>
        <w:pStyle w:val="2"/>
        <w:spacing w:before="360" w:after="240"/>
      </w:pPr>
      <w:r>
        <w:rPr>
          <w:rFonts w:ascii="Arial" w:hAnsi="Arial" w:eastAsia="Arial" w:cs="Arial"/>
          <w:b/>
          <w:bCs/>
          <w:sz w:val="32"/>
          <w:szCs w:val="32"/>
        </w:rPr>
        <w:t>12. Evidence Summary</w:t>
      </w:r>
    </w:p>
    <w:p w14:paraId="15CDD969">
      <w:pPr>
        <w:spacing w:after="200" w:line="276" w:lineRule="auto"/>
      </w:pPr>
      <w:r>
        <w:rPr>
          <w:rFonts w:ascii="Arial" w:hAnsi="Arial" w:eastAsia="Arial" w:cs="Arial"/>
          <w:sz w:val="22"/>
          <w:szCs w:val="22"/>
        </w:rPr>
        <w:t>Fair Value Gap, Order Block, Breaker, Mitigation, Consequent Encroachment and the PD-array framing are primary ICT. BISI/SIBI and IFVG appear in ICT teaching. Liquidity void and balanced price range are used in connection with imbalance. Rejection Block is primarily community/secondary. Practical hierarchy rankings are synthesis; ICT supplies the family of arrays and the premium/discount conditioning, not a rigid numerical scorecard.</w:t>
      </w:r>
    </w:p>
    <w:p w14:paraId="58FD81BF">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Primary orientation: ICT teaching on Order Blocks, Fair Value Gaps, Breakers, Mitigation, Consequent Encroachment and PD arrays in premium/discount. Secondary matrices and rankings used only as practical synthesis and clearly labelled.</w:t>
      </w:r>
    </w:p>
    <w:p w14:paraId="4D7DB4AF">
      <w:pPr>
        <w:pStyle w:val="2"/>
        <w:spacing w:before="360" w:after="240"/>
      </w:pPr>
      <w:r>
        <w:rPr>
          <w:rFonts w:ascii="Arial" w:hAnsi="Arial" w:eastAsia="Arial" w:cs="Arial"/>
          <w:b/>
          <w:bCs/>
          <w:sz w:val="32"/>
          <w:szCs w:val="32"/>
        </w:rPr>
        <w:t>What You Should Now Be Able to Do</w:t>
      </w:r>
    </w:p>
    <w:p w14:paraId="37F5E492">
      <w:pPr>
        <w:pStyle w:val="16"/>
        <w:numPr>
          <w:ilvl w:val="0"/>
          <w:numId w:val="1"/>
        </w:numPr>
        <w:spacing w:after="120" w:line="276" w:lineRule="auto"/>
      </w:pPr>
      <w:r>
        <w:rPr>
          <w:rFonts w:ascii="Arial" w:hAnsi="Arial" w:eastAsia="Arial" w:cs="Arial"/>
          <w:sz w:val="22"/>
          <w:szCs w:val="22"/>
        </w:rPr>
        <w:t>List every relevant PD array inside the controlling range and grade each by hierarchy, location and narrative alignment.</w:t>
      </w:r>
    </w:p>
    <w:p w14:paraId="373A28EE">
      <w:pPr>
        <w:pStyle w:val="16"/>
        <w:numPr>
          <w:ilvl w:val="0"/>
          <w:numId w:val="1"/>
        </w:numPr>
        <w:spacing w:after="120" w:line="276" w:lineRule="auto"/>
      </w:pPr>
      <w:r>
        <w:rPr>
          <w:rFonts w:ascii="Arial" w:hAnsi="Arial" w:eastAsia="Arial" w:cs="Arial"/>
          <w:sz w:val="22"/>
          <w:szCs w:val="22"/>
        </w:rPr>
        <w:t>Distinguish OB, Breaker, Mitigation and IFVG by formation and expected polarity.</w:t>
      </w:r>
    </w:p>
    <w:p w14:paraId="020322AC">
      <w:pPr>
        <w:pStyle w:val="16"/>
        <w:numPr>
          <w:ilvl w:val="0"/>
          <w:numId w:val="1"/>
        </w:numPr>
        <w:spacing w:after="120" w:line="276" w:lineRule="auto"/>
      </w:pPr>
      <w:r>
        <w:rPr>
          <w:rFonts w:ascii="Arial" w:hAnsi="Arial" w:eastAsia="Arial" w:cs="Arial"/>
          <w:sz w:val="22"/>
          <w:szCs w:val="22"/>
        </w:rPr>
        <w:t>Apply Consequent Encroachment as a refinement inside an FVG.</w:t>
      </w:r>
    </w:p>
    <w:p w14:paraId="2D5F64AD">
      <w:pPr>
        <w:pStyle w:val="16"/>
        <w:numPr>
          <w:ilvl w:val="0"/>
          <w:numId w:val="1"/>
        </w:numPr>
        <w:spacing w:after="120" w:line="276" w:lineRule="auto"/>
      </w:pPr>
      <w:r>
        <w:rPr>
          <w:rFonts w:ascii="Arial" w:hAnsi="Arial" w:eastAsia="Arial" w:cs="Arial"/>
          <w:sz w:val="22"/>
          <w:szCs w:val="22"/>
        </w:rPr>
        <w:t>Select the single highest-probability array for the current delivery leg or stand aside.</w:t>
      </w:r>
    </w:p>
    <w:p w14:paraId="333FC1C4">
      <w:pPr>
        <w:pStyle w:val="16"/>
        <w:numPr>
          <w:ilvl w:val="0"/>
          <w:numId w:val="1"/>
        </w:numPr>
        <w:spacing w:after="120" w:line="276" w:lineRule="auto"/>
      </w:pPr>
      <w:r>
        <w:rPr>
          <w:rFonts w:ascii="Arial" w:hAnsi="Arial" w:eastAsia="Arial" w:cs="Arial"/>
          <w:sz w:val="22"/>
          <w:szCs w:val="22"/>
        </w:rPr>
        <w:t>Recognise array failure and update the narrative and model eligibility accordingly.</w:t>
      </w:r>
    </w:p>
    <w:p w14:paraId="39E0F0D3">
      <w:pPr>
        <w:pStyle w:val="16"/>
        <w:numPr>
          <w:ilvl w:val="0"/>
          <w:numId w:val="1"/>
        </w:numPr>
        <w:spacing w:after="120" w:line="276" w:lineRule="auto"/>
      </w:pPr>
      <w:r>
        <w:rPr>
          <w:rFonts w:ascii="Arial" w:hAnsi="Arial" w:eastAsia="Arial" w:cs="Arial"/>
          <w:sz w:val="22"/>
          <w:szCs w:val="22"/>
        </w:rPr>
        <w:t>Keep every array subordinate to the Draw on Liquidity, controlling range and structural confirmation.</w:t>
      </w:r>
    </w:p>
    <w:p w14:paraId="5E2AE9A8">
      <w:pPr>
        <w:pStyle w:val="2"/>
        <w:spacing w:before="360" w:after="240"/>
      </w:pPr>
      <w:r>
        <w:rPr>
          <w:rFonts w:ascii="Arial" w:hAnsi="Arial" w:eastAsia="Arial" w:cs="Arial"/>
          <w:b/>
          <w:bCs/>
          <w:sz w:val="32"/>
          <w:szCs w:val="32"/>
        </w:rPr>
        <w:t>Module Review</w:t>
      </w:r>
    </w:p>
    <w:p w14:paraId="00D89C87">
      <w:pPr>
        <w:pStyle w:val="3"/>
        <w:spacing w:before="280" w:after="180"/>
      </w:pPr>
      <w:r>
        <w:rPr>
          <w:rFonts w:ascii="Arial" w:hAnsi="Arial" w:eastAsia="Arial" w:cs="Arial"/>
          <w:b/>
          <w:bCs/>
          <w:sz w:val="26"/>
          <w:szCs w:val="26"/>
        </w:rPr>
        <w:t>Key Terms</w:t>
      </w:r>
    </w:p>
    <w:p w14:paraId="7F2E6F1C">
      <w:pPr>
        <w:pStyle w:val="16"/>
        <w:numPr>
          <w:ilvl w:val="0"/>
          <w:numId w:val="1"/>
        </w:numPr>
        <w:spacing w:after="120" w:line="276" w:lineRule="auto"/>
      </w:pPr>
      <w:r>
        <w:rPr>
          <w:rFonts w:ascii="Arial" w:hAnsi="Arial" w:eastAsia="Arial" w:cs="Arial"/>
          <w:sz w:val="22"/>
          <w:szCs w:val="22"/>
        </w:rPr>
        <w:t>PD Array — any ICT price reference conditioned by premium/discount location inside the dealing range.</w:t>
      </w:r>
    </w:p>
    <w:p w14:paraId="4FA7E324">
      <w:pPr>
        <w:pStyle w:val="16"/>
        <w:numPr>
          <w:ilvl w:val="0"/>
          <w:numId w:val="1"/>
        </w:numPr>
        <w:spacing w:after="120" w:line="276" w:lineRule="auto"/>
      </w:pPr>
      <w:r>
        <w:rPr>
          <w:rFonts w:ascii="Arial" w:hAnsi="Arial" w:eastAsia="Arial" w:cs="Arial"/>
          <w:sz w:val="22"/>
          <w:szCs w:val="22"/>
        </w:rPr>
        <w:t>Fair Value Gap (FVG) / BISI / SIBI — three-candle imbalance left by displacement.</w:t>
      </w:r>
    </w:p>
    <w:p w14:paraId="371F041C">
      <w:pPr>
        <w:pStyle w:val="16"/>
        <w:numPr>
          <w:ilvl w:val="0"/>
          <w:numId w:val="1"/>
        </w:numPr>
        <w:spacing w:after="120" w:line="276" w:lineRule="auto"/>
      </w:pPr>
      <w:r>
        <w:rPr>
          <w:rFonts w:ascii="Arial" w:hAnsi="Arial" w:eastAsia="Arial" w:cs="Arial"/>
          <w:sz w:val="22"/>
          <w:szCs w:val="22"/>
        </w:rPr>
        <w:t>Order Block — last opposing candle before displacement.</w:t>
      </w:r>
    </w:p>
    <w:p w14:paraId="4E9AEEBA">
      <w:pPr>
        <w:pStyle w:val="16"/>
        <w:numPr>
          <w:ilvl w:val="0"/>
          <w:numId w:val="1"/>
        </w:numPr>
        <w:spacing w:after="120" w:line="276" w:lineRule="auto"/>
      </w:pPr>
      <w:r>
        <w:rPr>
          <w:rFonts w:ascii="Arial" w:hAnsi="Arial" w:eastAsia="Arial" w:cs="Arial"/>
          <w:sz w:val="22"/>
          <w:szCs w:val="22"/>
        </w:rPr>
        <w:t>Breaker — violated Order Block with inverted polarity.</w:t>
      </w:r>
    </w:p>
    <w:p w14:paraId="30A3F928">
      <w:pPr>
        <w:pStyle w:val="16"/>
        <w:numPr>
          <w:ilvl w:val="0"/>
          <w:numId w:val="1"/>
        </w:numPr>
        <w:spacing w:after="120" w:line="276" w:lineRule="auto"/>
      </w:pPr>
      <w:r>
        <w:rPr>
          <w:rFonts w:ascii="Arial" w:hAnsi="Arial" w:eastAsia="Arial" w:cs="Arial"/>
          <w:sz w:val="22"/>
          <w:szCs w:val="22"/>
        </w:rPr>
        <w:t>Mitigation Block — retested OB that holds and continues original direction.</w:t>
      </w:r>
    </w:p>
    <w:p w14:paraId="504C7A65">
      <w:pPr>
        <w:pStyle w:val="16"/>
        <w:numPr>
          <w:ilvl w:val="0"/>
          <w:numId w:val="1"/>
        </w:numPr>
        <w:spacing w:after="120" w:line="276" w:lineRule="auto"/>
      </w:pPr>
      <w:r>
        <w:rPr>
          <w:rFonts w:ascii="Arial" w:hAnsi="Arial" w:eastAsia="Arial" w:cs="Arial"/>
          <w:sz w:val="22"/>
          <w:szCs w:val="22"/>
        </w:rPr>
        <w:t>IFVG — Fair Value Gap that has inverted polarity after being traded through.</w:t>
      </w:r>
    </w:p>
    <w:p w14:paraId="647F5DAC">
      <w:pPr>
        <w:pStyle w:val="16"/>
        <w:numPr>
          <w:ilvl w:val="0"/>
          <w:numId w:val="1"/>
        </w:numPr>
        <w:spacing w:after="120" w:line="276" w:lineRule="auto"/>
      </w:pPr>
      <w:r>
        <w:rPr>
          <w:rFonts w:ascii="Arial" w:hAnsi="Arial" w:eastAsia="Arial" w:cs="Arial"/>
          <w:sz w:val="22"/>
          <w:szCs w:val="22"/>
        </w:rPr>
        <w:t>Consequent Encroachment — midpoint of an FVG; refined reaction reference.</w:t>
      </w:r>
    </w:p>
    <w:p w14:paraId="6D08A7B7">
      <w:pPr>
        <w:pStyle w:val="16"/>
        <w:numPr>
          <w:ilvl w:val="0"/>
          <w:numId w:val="1"/>
        </w:numPr>
        <w:spacing w:after="120" w:line="276" w:lineRule="auto"/>
      </w:pPr>
      <w:r>
        <w:rPr>
          <w:rFonts w:ascii="Arial" w:hAnsi="Arial" w:eastAsia="Arial" w:cs="Arial"/>
          <w:sz w:val="22"/>
          <w:szCs w:val="22"/>
        </w:rPr>
        <w:t>PD-array confluence — overlap or adjacency of two or more arrays.</w:t>
      </w:r>
    </w:p>
    <w:p w14:paraId="6F809EB8">
      <w:pPr>
        <w:pStyle w:val="16"/>
        <w:numPr>
          <w:ilvl w:val="0"/>
          <w:numId w:val="1"/>
        </w:numPr>
        <w:spacing w:after="120" w:line="276" w:lineRule="auto"/>
      </w:pPr>
      <w:r>
        <w:rPr>
          <w:rFonts w:ascii="Arial" w:hAnsi="Arial" w:eastAsia="Arial" w:cs="Arial"/>
          <w:sz w:val="22"/>
          <w:szCs w:val="22"/>
        </w:rPr>
        <w:t>PD-array failure — decisive trade-through that negates expected polarity.</w:t>
      </w:r>
    </w:p>
    <w:p w14:paraId="77EDB2DC">
      <w:pPr>
        <w:pStyle w:val="3"/>
        <w:spacing w:before="280" w:after="180"/>
      </w:pPr>
      <w:r>
        <w:rPr>
          <w:rFonts w:ascii="Arial" w:hAnsi="Arial" w:eastAsia="Arial" w:cs="Arial"/>
          <w:b/>
          <w:bCs/>
          <w:sz w:val="26"/>
          <w:szCs w:val="26"/>
        </w:rPr>
        <w:t>Self-Test</w:t>
      </w:r>
    </w:p>
    <w:p w14:paraId="46AF7AB7">
      <w:pPr>
        <w:pStyle w:val="16"/>
        <w:numPr>
          <w:ilvl w:val="0"/>
          <w:numId w:val="2"/>
        </w:numPr>
        <w:spacing w:after="120" w:line="276" w:lineRule="auto"/>
      </w:pPr>
      <w:r>
        <w:rPr>
          <w:rFonts w:ascii="Arial" w:hAnsi="Arial" w:eastAsia="Arial" w:cs="Arial"/>
          <w:sz w:val="22"/>
          <w:szCs w:val="22"/>
        </w:rPr>
        <w:t>What three filters must a PD array satisfy before it is eligible for entry?</w:t>
      </w:r>
    </w:p>
    <w:p w14:paraId="433F7125">
      <w:pPr>
        <w:pStyle w:val="16"/>
        <w:numPr>
          <w:ilvl w:val="0"/>
          <w:numId w:val="2"/>
        </w:numPr>
        <w:spacing w:after="120" w:line="276" w:lineRule="auto"/>
      </w:pPr>
      <w:r>
        <w:rPr>
          <w:rFonts w:ascii="Arial" w:hAnsi="Arial" w:eastAsia="Arial" w:cs="Arial"/>
          <w:sz w:val="22"/>
          <w:szCs w:val="22"/>
        </w:rPr>
        <w:t>How does a Breaker differ from a Mitigation Block on the body-close test?</w:t>
      </w:r>
    </w:p>
    <w:p w14:paraId="1BB54E89">
      <w:pPr>
        <w:pStyle w:val="16"/>
        <w:numPr>
          <w:ilvl w:val="0"/>
          <w:numId w:val="2"/>
        </w:numPr>
        <w:spacing w:after="120" w:line="276" w:lineRule="auto"/>
      </w:pPr>
      <w:r>
        <w:rPr>
          <w:rFonts w:ascii="Arial" w:hAnsi="Arial" w:eastAsia="Arial" w:cs="Arial"/>
          <w:sz w:val="22"/>
          <w:szCs w:val="22"/>
        </w:rPr>
        <w:t>When is Consequent Encroachment preferred over the full FVG?</w:t>
      </w:r>
    </w:p>
    <w:p w14:paraId="1FEC4503">
      <w:pPr>
        <w:pStyle w:val="16"/>
        <w:numPr>
          <w:ilvl w:val="0"/>
          <w:numId w:val="2"/>
        </w:numPr>
        <w:spacing w:after="120" w:line="276" w:lineRule="auto"/>
      </w:pPr>
      <w:r>
        <w:rPr>
          <w:rFonts w:ascii="Arial" w:hAnsi="Arial" w:eastAsia="Arial" w:cs="Arial"/>
          <w:sz w:val="22"/>
          <w:szCs w:val="22"/>
        </w:rPr>
        <w:t>What is the narrative implication of failure of the array that was expected to hold the delivery leg?</w:t>
      </w:r>
    </w:p>
    <w:p w14:paraId="745E6FCC">
      <w:pPr>
        <w:pStyle w:val="16"/>
        <w:numPr>
          <w:ilvl w:val="0"/>
          <w:numId w:val="2"/>
        </w:numPr>
        <w:spacing w:after="120" w:line="276" w:lineRule="auto"/>
      </w:pPr>
      <w:r>
        <w:rPr>
          <w:rFonts w:ascii="Arial" w:hAnsi="Arial" w:eastAsia="Arial" w:cs="Arial"/>
          <w:sz w:val="22"/>
          <w:szCs w:val="22"/>
        </w:rPr>
        <w:t>How should Rejection Block be classified relative to core ICT arrays?</w:t>
      </w:r>
    </w:p>
    <w:p w14:paraId="44A0DADF">
      <w:pPr>
        <w:pStyle w:val="3"/>
        <w:spacing w:before="280" w:after="180"/>
      </w:pPr>
      <w:r>
        <w:rPr>
          <w:rFonts w:ascii="Arial" w:hAnsi="Arial" w:eastAsia="Arial" w:cs="Arial"/>
          <w:b/>
          <w:bCs/>
          <w:sz w:val="26"/>
          <w:szCs w:val="26"/>
        </w:rPr>
        <w:t>Transition to Module 6</w:t>
      </w:r>
    </w:p>
    <w:p w14:paraId="03B9CCBC">
      <w:pPr>
        <w:spacing w:after="200" w:line="276" w:lineRule="auto"/>
      </w:pPr>
      <w:r>
        <w:rPr>
          <w:rFonts w:ascii="Arial" w:hAnsi="Arial" w:eastAsia="Arial" w:cs="Arial"/>
          <w:sz w:val="22"/>
          <w:szCs w:val="22"/>
        </w:rPr>
        <w:t>Module 5 has organised the PD arrays that form along the delivery path. Module 6 (Advanced Imbalance &amp; Repricing) will deepen the imbalance side of the family — FVG variations, inversion, multiple imbalance relationships, repricing vs rebalancing, and the conditions under which an imbalance is left unfilled as the delivery continues.</w:t>
      </w:r>
    </w:p>
    <w:p w14:paraId="1946FB18">
      <w:pPr>
        <w:spacing w:after="200" w:line="276" w:lineRule="auto"/>
        <w:rPr>
          <w:rFonts w:ascii="Arial" w:hAnsi="Arial" w:eastAsia="Arial" w:cs="Arial"/>
          <w:sz w:val="22"/>
          <w:szCs w:val="22"/>
        </w:rPr>
      </w:pPr>
    </w:p>
    <w:p w14:paraId="558E0288">
      <w:pPr>
        <w:spacing w:after="200" w:line="276" w:lineRule="auto"/>
        <w:rPr>
          <w:rFonts w:ascii="Arial" w:hAnsi="Arial" w:eastAsia="Arial" w:cs="Arial"/>
          <w:sz w:val="22"/>
          <w:szCs w:val="22"/>
        </w:rPr>
      </w:pPr>
    </w:p>
    <w:p w14:paraId="11C35982">
      <w:pPr>
        <w:spacing w:after="200" w:line="276" w:lineRule="auto"/>
        <w:rPr>
          <w:rFonts w:ascii="Arial" w:hAnsi="Arial" w:eastAsia="Arial" w:cs="Arial"/>
          <w:sz w:val="22"/>
          <w:szCs w:val="22"/>
        </w:rPr>
      </w:pPr>
    </w:p>
    <w:p w14:paraId="6DAAFCDA">
      <w:pPr>
        <w:spacing w:after="200" w:line="276" w:lineRule="auto"/>
        <w:rPr>
          <w:rFonts w:ascii="Arial" w:hAnsi="Arial" w:eastAsia="Arial" w:cs="Arial"/>
          <w:sz w:val="22"/>
          <w:szCs w:val="22"/>
        </w:rPr>
      </w:pPr>
    </w:p>
    <w:p w14:paraId="22551394">
      <w:pPr>
        <w:spacing w:after="200" w:line="276" w:lineRule="auto"/>
        <w:rPr>
          <w:rFonts w:ascii="Arial" w:hAnsi="Arial" w:eastAsia="Arial" w:cs="Arial"/>
          <w:sz w:val="22"/>
          <w:szCs w:val="22"/>
        </w:rPr>
      </w:pPr>
    </w:p>
    <w:p w14:paraId="27D8D3D5">
      <w:pPr>
        <w:spacing w:after="200" w:line="276" w:lineRule="auto"/>
        <w:rPr>
          <w:rFonts w:ascii="Arial" w:hAnsi="Arial" w:eastAsia="Arial" w:cs="Arial"/>
          <w:sz w:val="22"/>
          <w:szCs w:val="22"/>
        </w:rPr>
      </w:pPr>
    </w:p>
    <w:p w14:paraId="781AE346">
      <w:pPr>
        <w:spacing w:after="200" w:line="276" w:lineRule="auto"/>
        <w:rPr>
          <w:rFonts w:ascii="Arial" w:hAnsi="Arial" w:eastAsia="Arial" w:cs="Arial"/>
          <w:sz w:val="22"/>
          <w:szCs w:val="22"/>
        </w:rPr>
      </w:pPr>
    </w:p>
    <w:p w14:paraId="4F8ABD8D">
      <w:pPr>
        <w:spacing w:after="200" w:line="276" w:lineRule="auto"/>
        <w:rPr>
          <w:rFonts w:ascii="Arial" w:hAnsi="Arial" w:eastAsia="Arial" w:cs="Arial"/>
          <w:sz w:val="22"/>
          <w:szCs w:val="22"/>
        </w:rPr>
      </w:pPr>
    </w:p>
    <w:p w14:paraId="2DD03C09">
      <w:pPr>
        <w:spacing w:after="200" w:line="276" w:lineRule="auto"/>
        <w:rPr>
          <w:rFonts w:ascii="Arial" w:hAnsi="Arial" w:eastAsia="Arial" w:cs="Arial"/>
          <w:sz w:val="22"/>
          <w:szCs w:val="22"/>
        </w:rPr>
      </w:pPr>
    </w:p>
    <w:p w14:paraId="541356C2">
      <w:pPr>
        <w:spacing w:after="200" w:line="276" w:lineRule="auto"/>
        <w:rPr>
          <w:rFonts w:ascii="Arial" w:hAnsi="Arial" w:eastAsia="Arial" w:cs="Arial"/>
          <w:sz w:val="22"/>
          <w:szCs w:val="22"/>
        </w:rPr>
      </w:pPr>
    </w:p>
    <w:p w14:paraId="0B534AB4">
      <w:pPr>
        <w:spacing w:after="200" w:line="276" w:lineRule="auto"/>
        <w:rPr>
          <w:rFonts w:ascii="Arial" w:hAnsi="Arial" w:eastAsia="Arial" w:cs="Arial"/>
          <w:sz w:val="22"/>
          <w:szCs w:val="22"/>
        </w:rPr>
      </w:pPr>
    </w:p>
    <w:p w14:paraId="41BC9918">
      <w:pPr>
        <w:spacing w:after="200" w:line="276" w:lineRule="auto"/>
        <w:rPr>
          <w:rFonts w:ascii="Arial" w:hAnsi="Arial" w:eastAsia="Arial" w:cs="Arial"/>
          <w:sz w:val="22"/>
          <w:szCs w:val="22"/>
        </w:rPr>
      </w:pPr>
    </w:p>
    <w:p w14:paraId="22305C38">
      <w:pPr>
        <w:spacing w:after="200" w:line="276" w:lineRule="auto"/>
        <w:rPr>
          <w:rFonts w:ascii="Arial" w:hAnsi="Arial" w:eastAsia="Arial" w:cs="Arial"/>
          <w:sz w:val="22"/>
          <w:szCs w:val="22"/>
        </w:rPr>
      </w:pPr>
    </w:p>
    <w:p w14:paraId="3A60AD80">
      <w:pPr>
        <w:spacing w:after="200" w:line="276" w:lineRule="auto"/>
        <w:rPr>
          <w:rFonts w:ascii="Arial" w:hAnsi="Arial" w:eastAsia="Arial" w:cs="Arial"/>
          <w:sz w:val="22"/>
          <w:szCs w:val="22"/>
        </w:rPr>
      </w:pPr>
    </w:p>
    <w:p w14:paraId="14467356">
      <w:pPr>
        <w:spacing w:after="200" w:line="276" w:lineRule="auto"/>
        <w:rPr>
          <w:rFonts w:ascii="Arial" w:hAnsi="Arial" w:eastAsia="Arial" w:cs="Arial"/>
          <w:sz w:val="22"/>
          <w:szCs w:val="22"/>
        </w:rPr>
      </w:pPr>
    </w:p>
    <w:p w14:paraId="09191EB9">
      <w:pPr>
        <w:spacing w:after="200" w:line="276" w:lineRule="auto"/>
        <w:rPr>
          <w:rFonts w:ascii="Arial" w:hAnsi="Arial" w:eastAsia="Arial" w:cs="Arial"/>
          <w:sz w:val="22"/>
          <w:szCs w:val="22"/>
        </w:rPr>
      </w:pPr>
    </w:p>
    <w:p w14:paraId="653934C4">
      <w:pPr>
        <w:spacing w:after="200" w:line="276" w:lineRule="auto"/>
        <w:rPr>
          <w:rFonts w:ascii="Arial" w:hAnsi="Arial" w:eastAsia="Arial" w:cs="Arial"/>
          <w:sz w:val="22"/>
          <w:szCs w:val="22"/>
        </w:rPr>
      </w:pPr>
    </w:p>
    <w:p w14:paraId="340E934E">
      <w:pPr>
        <w:spacing w:after="200" w:line="276" w:lineRule="auto"/>
        <w:rPr>
          <w:rFonts w:ascii="Arial" w:hAnsi="Arial" w:eastAsia="Arial" w:cs="Arial"/>
          <w:sz w:val="22"/>
          <w:szCs w:val="22"/>
        </w:rPr>
      </w:pPr>
    </w:p>
    <w:p w14:paraId="7C53EECC">
      <w:pPr>
        <w:spacing w:after="400"/>
        <w:jc w:val="center"/>
      </w:pPr>
      <w:r>
        <w:rPr>
          <w:rFonts w:ascii="Arial" w:hAnsi="Arial" w:eastAsia="Arial" w:cs="Arial"/>
          <w:b/>
          <w:bCs/>
          <w:sz w:val="36"/>
          <w:szCs w:val="36"/>
        </w:rPr>
        <w:t>MODULE 6</w:t>
      </w:r>
    </w:p>
    <w:p w14:paraId="6BA2B0D3">
      <w:pPr>
        <w:spacing w:after="200"/>
        <w:jc w:val="center"/>
      </w:pPr>
      <w:r>
        <w:rPr>
          <w:rFonts w:ascii="Arial" w:hAnsi="Arial" w:eastAsia="Arial" w:cs="Arial"/>
          <w:b/>
          <w:bCs/>
          <w:sz w:val="28"/>
          <w:szCs w:val="28"/>
        </w:rPr>
        <w:t>Advanced Imbalance &amp; Repricing</w:t>
      </w:r>
    </w:p>
    <w:p w14:paraId="2F911DCA">
      <w:pPr>
        <w:spacing w:after="400"/>
        <w:jc w:val="center"/>
      </w:pPr>
      <w:r>
        <w:rPr>
          <w:rFonts w:ascii="Arial" w:hAnsi="Arial" w:eastAsia="Arial" w:cs="Arial"/>
          <w:i/>
          <w:iCs/>
          <w:sz w:val="20"/>
          <w:szCs w:val="20"/>
        </w:rPr>
        <w:t>FVG / BISI / SIBI / IFVG, Consequent Encroachment, Voids, Repricing vs Rebalancing, Multiple Imbalance Relationships, Failure</w:t>
      </w:r>
    </w:p>
    <w:p w14:paraId="045F487B">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Modules 1–5. This module deepens the imbalance side of the PD-array family and trains the student to read every imbalance as either a retracement opportunity inside an ongoing delivery leg or as evidence that delivery has changed.</w:t>
      </w:r>
    </w:p>
    <w:p w14:paraId="1A7DB448">
      <w:pPr>
        <w:pStyle w:val="2"/>
        <w:spacing w:before="360" w:after="240"/>
      </w:pPr>
      <w:r>
        <w:rPr>
          <w:rFonts w:ascii="Arial" w:hAnsi="Arial" w:eastAsia="Arial" w:cs="Arial"/>
          <w:b/>
          <w:bCs/>
          <w:sz w:val="32"/>
          <w:szCs w:val="32"/>
        </w:rPr>
        <w:t>Module Objectives</w:t>
      </w:r>
    </w:p>
    <w:p w14:paraId="10D09835">
      <w:pPr>
        <w:spacing w:after="200" w:line="276" w:lineRule="auto"/>
      </w:pPr>
      <w:r>
        <w:rPr>
          <w:rFonts w:ascii="Arial" w:hAnsi="Arial" w:eastAsia="Arial" w:cs="Arial"/>
          <w:sz w:val="22"/>
          <w:szCs w:val="22"/>
        </w:rPr>
        <w:t>By the end of this module the advanced student should be able to:</w:t>
      </w:r>
    </w:p>
    <w:p w14:paraId="16824A0C">
      <w:pPr>
        <w:pStyle w:val="16"/>
        <w:numPr>
          <w:ilvl w:val="0"/>
          <w:numId w:val="1"/>
        </w:numPr>
        <w:spacing w:after="120" w:line="276" w:lineRule="auto"/>
      </w:pPr>
      <w:r>
        <w:rPr>
          <w:rFonts w:ascii="Arial" w:hAnsi="Arial" w:eastAsia="Arial" w:cs="Arial"/>
          <w:sz w:val="22"/>
          <w:szCs w:val="22"/>
        </w:rPr>
        <w:t>Identify and classify every significant imbalance (FVG, void) inside the controlling range and along the current delivery path.</w:t>
      </w:r>
    </w:p>
    <w:p w14:paraId="520C0969">
      <w:pPr>
        <w:pStyle w:val="16"/>
        <w:numPr>
          <w:ilvl w:val="0"/>
          <w:numId w:val="1"/>
        </w:numPr>
        <w:spacing w:after="120" w:line="276" w:lineRule="auto"/>
      </w:pPr>
      <w:r>
        <w:rPr>
          <w:rFonts w:ascii="Arial" w:hAnsi="Arial" w:eastAsia="Arial" w:cs="Arial"/>
          <w:sz w:val="22"/>
          <w:szCs w:val="22"/>
        </w:rPr>
        <w:t>Distinguish repricing (return to inefficiency inside an ongoing narrative) from rebalancing that precedes a change in delivery objective.</w:t>
      </w:r>
    </w:p>
    <w:p w14:paraId="69C0C8A2">
      <w:pPr>
        <w:pStyle w:val="16"/>
        <w:numPr>
          <w:ilvl w:val="0"/>
          <w:numId w:val="1"/>
        </w:numPr>
        <w:spacing w:after="120" w:line="276" w:lineRule="auto"/>
      </w:pPr>
      <w:r>
        <w:rPr>
          <w:rFonts w:ascii="Arial" w:hAnsi="Arial" w:eastAsia="Arial" w:cs="Arial"/>
          <w:sz w:val="22"/>
          <w:szCs w:val="22"/>
        </w:rPr>
        <w:t>Apply Consequent Encroachment as a precision refinement without losing the larger FVG context.</w:t>
      </w:r>
    </w:p>
    <w:p w14:paraId="261D5046">
      <w:pPr>
        <w:pStyle w:val="16"/>
        <w:numPr>
          <w:ilvl w:val="0"/>
          <w:numId w:val="1"/>
        </w:numPr>
        <w:spacing w:after="120" w:line="276" w:lineRule="auto"/>
      </w:pPr>
      <w:r>
        <w:rPr>
          <w:rFonts w:ascii="Arial" w:hAnsi="Arial" w:eastAsia="Arial" w:cs="Arial"/>
          <w:sz w:val="22"/>
          <w:szCs w:val="22"/>
        </w:rPr>
        <w:t>Recognise FVG failure and inversion (IFVG) and state the polarity and narrative implications.</w:t>
      </w:r>
    </w:p>
    <w:p w14:paraId="553609FC">
      <w:pPr>
        <w:pStyle w:val="16"/>
        <w:numPr>
          <w:ilvl w:val="0"/>
          <w:numId w:val="1"/>
        </w:numPr>
        <w:spacing w:after="120" w:line="276" w:lineRule="auto"/>
      </w:pPr>
      <w:r>
        <w:rPr>
          <w:rFonts w:ascii="Arial" w:hAnsi="Arial" w:eastAsia="Arial" w:cs="Arial"/>
          <w:sz w:val="22"/>
          <w:szCs w:val="22"/>
        </w:rPr>
        <w:t>Read multiple overlapping or sequential imbalances as a single delivery story rather than as competing signals.</w:t>
      </w:r>
    </w:p>
    <w:p w14:paraId="0CD4C676">
      <w:pPr>
        <w:pStyle w:val="16"/>
        <w:numPr>
          <w:ilvl w:val="0"/>
          <w:numId w:val="1"/>
        </w:numPr>
        <w:spacing w:after="120" w:line="276" w:lineRule="auto"/>
      </w:pPr>
      <w:r>
        <w:rPr>
          <w:rFonts w:ascii="Arial" w:hAnsi="Arial" w:eastAsia="Arial" w:cs="Arial"/>
          <w:sz w:val="22"/>
          <w:szCs w:val="22"/>
        </w:rPr>
        <w:t>Decide when an imbalance is likely to be left unfilled because higher-timeframe delivery has higher priority.</w:t>
      </w:r>
    </w:p>
    <w:p w14:paraId="08F5C06F">
      <w:pPr>
        <w:pStyle w:val="16"/>
        <w:numPr>
          <w:ilvl w:val="0"/>
          <w:numId w:val="1"/>
        </w:numPr>
        <w:spacing w:after="120" w:line="276" w:lineRule="auto"/>
      </w:pPr>
      <w:r>
        <w:rPr>
          <w:rFonts w:ascii="Arial" w:hAnsi="Arial" w:eastAsia="Arial" w:cs="Arial"/>
          <w:sz w:val="22"/>
          <w:szCs w:val="22"/>
        </w:rPr>
        <w:t>Integrate imbalance behaviour into model selection and invalidation.</w:t>
      </w:r>
    </w:p>
    <w:p w14:paraId="22EB372A">
      <w:pPr>
        <w:pStyle w:val="2"/>
        <w:spacing w:before="360" w:after="240"/>
      </w:pPr>
      <w:r>
        <w:rPr>
          <w:rFonts w:ascii="Arial" w:hAnsi="Arial" w:eastAsia="Arial" w:cs="Arial"/>
          <w:b/>
          <w:bCs/>
          <w:sz w:val="32"/>
          <w:szCs w:val="32"/>
        </w:rPr>
        <w:t>1. Imbalance as the Signature of Displacement</w:t>
      </w:r>
    </w:p>
    <w:p w14:paraId="71B087AC">
      <w:pPr>
        <w:pStyle w:val="3"/>
        <w:spacing w:before="280" w:after="180"/>
      </w:pPr>
      <w:r>
        <w:rPr>
          <w:rFonts w:ascii="Arial" w:hAnsi="Arial" w:eastAsia="Arial" w:cs="Arial"/>
          <w:b/>
          <w:bCs/>
          <w:sz w:val="26"/>
          <w:szCs w:val="26"/>
        </w:rPr>
        <w:t>1.1 Advanced Premise</w:t>
      </w:r>
    </w:p>
    <w:p w14:paraId="4703864B">
      <w:pPr>
        <w:spacing w:after="200" w:line="276" w:lineRule="auto"/>
      </w:pPr>
      <w:r>
        <w:rPr>
          <w:rFonts w:ascii="Arial" w:hAnsi="Arial" w:eastAsia="Arial" w:cs="Arial"/>
          <w:sz w:val="22"/>
          <w:szCs w:val="22"/>
        </w:rPr>
        <w:t>Every energetic delivery leg (Module 1) leaves imbalance. The Fair Value Gap is the most commonly traded expression of that imbalance; the liquidity void is its more extreme form. Advanced practice does not hunt imbalances in isolation. It asks: which delivery leg created this imbalance, is that leg still active, and is a return to the imbalance a retracement within the leg or a sign that the leg has failed?</w:t>
      </w:r>
    </w:p>
    <w:p w14:paraId="29366850">
      <w:pPr>
        <w:pStyle w:val="3"/>
        <w:spacing w:before="280" w:after="180"/>
      </w:pPr>
      <w:r>
        <w:rPr>
          <w:rFonts w:ascii="Arial" w:hAnsi="Arial" w:eastAsia="Arial" w:cs="Arial"/>
          <w:b/>
          <w:bCs/>
          <w:sz w:val="26"/>
          <w:szCs w:val="26"/>
        </w:rPr>
        <w:t>1.2 Relationship to PD Arrays</w:t>
      </w:r>
    </w:p>
    <w:p w14:paraId="5D15E0DC">
      <w:pPr>
        <w:spacing w:after="200" w:line="276" w:lineRule="auto"/>
      </w:pPr>
      <w:r>
        <w:rPr>
          <w:rFonts w:ascii="Arial" w:hAnsi="Arial" w:eastAsia="Arial" w:cs="Arial"/>
          <w:sz w:val="22"/>
          <w:szCs w:val="22"/>
        </w:rPr>
        <w:t>Imbalances are members of the PD-array family (Module 5). They are graded by the same filters: alignment with the Draw on Liquidity, location in the correct premium/discount half of the controlling range, and structural confirmation.</w:t>
      </w:r>
    </w:p>
    <w:p w14:paraId="0D5E7021">
      <w:pPr>
        <w:pStyle w:val="2"/>
        <w:spacing w:before="360" w:after="240"/>
      </w:pPr>
      <w:r>
        <w:rPr>
          <w:rFonts w:ascii="Arial" w:hAnsi="Arial" w:eastAsia="Arial" w:cs="Arial"/>
          <w:b/>
          <w:bCs/>
          <w:sz w:val="32"/>
          <w:szCs w:val="32"/>
        </w:rPr>
        <w:t>2. Fair Value Gap — BISI and SIBI</w:t>
      </w:r>
    </w:p>
    <w:p w14:paraId="3E65ED7D">
      <w:pPr>
        <w:pStyle w:val="3"/>
        <w:spacing w:before="280" w:after="180"/>
      </w:pPr>
      <w:r>
        <w:rPr>
          <w:rFonts w:ascii="Arial" w:hAnsi="Arial" w:eastAsia="Arial" w:cs="Arial"/>
          <w:b/>
          <w:bCs/>
          <w:sz w:val="26"/>
          <w:szCs w:val="26"/>
        </w:rPr>
        <w:t>2.1 Formation</w:t>
      </w:r>
    </w:p>
    <w:p w14:paraId="22A591F5">
      <w:pPr>
        <w:spacing w:after="200" w:line="276" w:lineRule="auto"/>
      </w:pPr>
      <w:r>
        <w:rPr>
          <w:rFonts w:ascii="Arial" w:hAnsi="Arial" w:eastAsia="Arial" w:cs="Arial"/>
          <w:sz w:val="22"/>
          <w:szCs w:val="22"/>
        </w:rPr>
        <w:t>A Fair Value Gap is a three-candle structure in which the wick of candle 1 and the wick of candle 3 do not fully overlap, leaving a range of price that was not traded. A bullish FVG (sometimes called BISI — Buy-side Imbalance, Sell-side Inefficiency) forms in upward displacement. A bearish FVG (SIBI) forms in downward displacement.</w:t>
      </w:r>
    </w:p>
    <w:p w14:paraId="11B72A38">
      <w:pPr>
        <w:pStyle w:val="3"/>
        <w:spacing w:before="280" w:after="180"/>
      </w:pPr>
      <w:r>
        <w:rPr>
          <w:rFonts w:ascii="Arial" w:hAnsi="Arial" w:eastAsia="Arial" w:cs="Arial"/>
          <w:b/>
          <w:bCs/>
          <w:sz w:val="26"/>
          <w:szCs w:val="26"/>
        </w:rPr>
        <w:t>2.2 Delivery Role</w:t>
      </w:r>
    </w:p>
    <w:p w14:paraId="5C23060E">
      <w:pPr>
        <w:spacing w:after="200" w:line="276" w:lineRule="auto"/>
      </w:pPr>
      <w:r>
        <w:rPr>
          <w:rFonts w:ascii="Arial" w:hAnsi="Arial" w:eastAsia="Arial" w:cs="Arial"/>
          <w:sz w:val="22"/>
          <w:szCs w:val="22"/>
        </w:rPr>
        <w:t>The FVG records that delivery moved too quickly to balance price. The algorithm may later return to reprice or rebalance that inefficiency. Whether the return is a continuation entry or a reversal signal depends entirely on the higher-timeframe delivery narrative and structure.</w:t>
      </w:r>
    </w:p>
    <w:p w14:paraId="2B4AF7CC">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 — FVG is core ICT. BISI/SIBI labels appear in ICT teaching and later refinements.</w:t>
      </w:r>
    </w:p>
    <w:p w14:paraId="19144ED3">
      <w:pPr>
        <w:pStyle w:val="2"/>
        <w:spacing w:before="360" w:after="240"/>
      </w:pPr>
      <w:r>
        <w:rPr>
          <w:rFonts w:ascii="Arial" w:hAnsi="Arial" w:eastAsia="Arial" w:cs="Arial"/>
          <w:b/>
          <w:bCs/>
          <w:sz w:val="32"/>
          <w:szCs w:val="32"/>
        </w:rPr>
        <w:t>3. Consequent Encroachment</w:t>
      </w:r>
    </w:p>
    <w:p w14:paraId="76AA4A3A">
      <w:pPr>
        <w:spacing w:after="200" w:line="276" w:lineRule="auto"/>
      </w:pPr>
      <w:r>
        <w:rPr>
          <w:rFonts w:ascii="Arial" w:hAnsi="Arial" w:eastAsia="Arial" w:cs="Arial"/>
          <w:sz w:val="22"/>
          <w:szCs w:val="22"/>
        </w:rPr>
        <w:t>Consequent Encroachment is the 50 % midpoint of the FVG. ICT frequently treats CE as a refined reaction level inside a wide gap. Advanced use: when the full FVG offers too much open risk, CE can tighten the entry and invalidation while the student still respects the outer boundary of the gap as the structural context of the imbalance.</w:t>
      </w:r>
    </w:p>
    <w:p w14:paraId="1C85F835">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 — Explicit ICT terminology.</w:t>
      </w:r>
    </w:p>
    <w:p w14:paraId="3A8D0023">
      <w:pPr>
        <w:pStyle w:val="2"/>
        <w:spacing w:before="360" w:after="240"/>
      </w:pPr>
      <w:r>
        <w:rPr>
          <w:rFonts w:ascii="Arial" w:hAnsi="Arial" w:eastAsia="Arial" w:cs="Arial"/>
          <w:b/>
          <w:bCs/>
          <w:sz w:val="32"/>
          <w:szCs w:val="32"/>
        </w:rPr>
        <w:t>4. Liquidity Void</w:t>
      </w:r>
    </w:p>
    <w:p w14:paraId="3D3FA70D">
      <w:pPr>
        <w:spacing w:after="200" w:line="276" w:lineRule="auto"/>
      </w:pPr>
      <w:r>
        <w:rPr>
          <w:rFonts w:ascii="Arial" w:hAnsi="Arial" w:eastAsia="Arial" w:cs="Arial"/>
          <w:sz w:val="22"/>
          <w:szCs w:val="22"/>
        </w:rPr>
        <w:t>A liquidity void is an area of especially rapid movement with minimal trading activity — imbalance in its extreme form. In practice it is read similarly to a large FVG: a candidate for later repricing unless higher-timeframe delivery has already committed to leaving it behind. Voids that sit in the correct half of the controlling range and that were created by the current delivery displacement rank higher than incidental voids.</w:t>
      </w:r>
    </w:p>
    <w:p w14:paraId="2A68F547">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B/C — Used in ICT material in connection with rapid delivery and imbalance; boundary with FVG is sometimes fluid.</w:t>
      </w:r>
    </w:p>
    <w:p w14:paraId="6B165CCF">
      <w:pPr>
        <w:pStyle w:val="2"/>
        <w:spacing w:before="360" w:after="240"/>
      </w:pPr>
      <w:r>
        <w:rPr>
          <w:rFonts w:ascii="Arial" w:hAnsi="Arial" w:eastAsia="Arial" w:cs="Arial"/>
          <w:b/>
          <w:bCs/>
          <w:sz w:val="32"/>
          <w:szCs w:val="32"/>
        </w:rPr>
        <w:t>5. Balanced Price Range</w:t>
      </w:r>
    </w:p>
    <w:p w14:paraId="3FA2A099">
      <w:pPr>
        <w:spacing w:after="200" w:line="276" w:lineRule="auto"/>
      </w:pPr>
      <w:r>
        <w:rPr>
          <w:rFonts w:ascii="Arial" w:hAnsi="Arial" w:eastAsia="Arial" w:cs="Arial"/>
          <w:sz w:val="22"/>
          <w:szCs w:val="22"/>
        </w:rPr>
        <w:t>A Balanced Price Range is an area in which opposing imbalances have been filled or in which price has spent enough time to leave the region relatively efficient. Fresh, unmitigated imbalances are preferred over balanced ranges for immediate retracement entries. A previously imbalanced area that has become balanced loses priority as a magnet.</w:t>
      </w:r>
    </w:p>
    <w:p w14:paraId="2488B71F">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B/C — Appears in ICT discussions of efficiency and imbalance.</w:t>
      </w:r>
    </w:p>
    <w:p w14:paraId="70FEC465">
      <w:pPr>
        <w:pStyle w:val="2"/>
        <w:spacing w:before="360" w:after="240"/>
      </w:pPr>
      <w:r>
        <w:rPr>
          <w:rFonts w:ascii="Arial" w:hAnsi="Arial" w:eastAsia="Arial" w:cs="Arial"/>
          <w:b/>
          <w:bCs/>
          <w:sz w:val="32"/>
          <w:szCs w:val="32"/>
        </w:rPr>
        <w:t>6. Repricing vs Rebalancing</w:t>
      </w:r>
    </w:p>
    <w:p w14:paraId="51461783">
      <w:pPr>
        <w:pStyle w:val="3"/>
        <w:spacing w:before="280" w:after="180"/>
      </w:pPr>
      <w:r>
        <w:rPr>
          <w:rFonts w:ascii="Arial" w:hAnsi="Arial" w:eastAsia="Arial" w:cs="Arial"/>
          <w:b/>
          <w:bCs/>
          <w:sz w:val="26"/>
          <w:szCs w:val="26"/>
        </w:rPr>
        <w:t>6.1 Repricing</w:t>
      </w:r>
    </w:p>
    <w:p w14:paraId="37C474F8">
      <w:pPr>
        <w:spacing w:after="200" w:line="276" w:lineRule="auto"/>
      </w:pPr>
      <w:r>
        <w:rPr>
          <w:rFonts w:ascii="Arial" w:hAnsi="Arial" w:eastAsia="Arial" w:cs="Arial"/>
          <w:sz w:val="22"/>
          <w:szCs w:val="22"/>
        </w:rPr>
        <w:t>Repricing is the return of price into an inefficiency (FVG or void) so that the inefficiency is reduced or closed, while the higher-timeframe delivery objective remains intact. The return is a retracement inside the ongoing delivery leg. This is the classic environment for FVG or CE entries in the direction of the Draw on Liquidity.</w:t>
      </w:r>
    </w:p>
    <w:p w14:paraId="3A77CE56">
      <w:pPr>
        <w:pStyle w:val="3"/>
        <w:spacing w:before="280" w:after="180"/>
      </w:pPr>
      <w:r>
        <w:rPr>
          <w:rFonts w:ascii="Arial" w:hAnsi="Arial" w:eastAsia="Arial" w:cs="Arial"/>
          <w:b/>
          <w:bCs/>
          <w:sz w:val="26"/>
          <w:szCs w:val="26"/>
        </w:rPr>
        <w:t>6.2 Rebalancing that Signals Change</w:t>
      </w:r>
    </w:p>
    <w:p w14:paraId="4D9987FD">
      <w:pPr>
        <w:spacing w:after="200" w:line="276" w:lineRule="auto"/>
      </w:pPr>
      <w:r>
        <w:rPr>
          <w:rFonts w:ascii="Arial" w:hAnsi="Arial" w:eastAsia="Arial" w:cs="Arial"/>
          <w:sz w:val="22"/>
          <w:szCs w:val="22"/>
        </w:rPr>
        <w:t>Sometimes the return to imbalance is accompanied by opposing displacement and an external MSS. In that case the “rebalancing” is part of a larger reversal: the prior delivery leg has failed and a new opposing leg is beginning. The distinction is not in the imbalance itself; it is in the structural and liquidity context that surrounds the return.</w:t>
      </w:r>
    </w:p>
    <w:p w14:paraId="76E95DD5">
      <w:pPr>
        <w:pStyle w:val="3"/>
        <w:spacing w:before="280" w:after="180"/>
      </w:pPr>
      <w:r>
        <w:rPr>
          <w:rFonts w:ascii="Arial" w:hAnsi="Arial" w:eastAsia="Arial" w:cs="Arial"/>
          <w:b/>
          <w:bCs/>
          <w:sz w:val="26"/>
          <w:szCs w:val="26"/>
        </w:rPr>
        <w:t>6.3 Practical Test</w:t>
      </w:r>
    </w:p>
    <w:p w14:paraId="2C42CB07">
      <w:pPr>
        <w:spacing w:after="200" w:line="276" w:lineRule="auto"/>
      </w:pPr>
      <w:r>
        <w:rPr>
          <w:rFonts w:ascii="Arial" w:hAnsi="Arial" w:eastAsia="Arial" w:cs="Arial"/>
          <w:sz w:val="22"/>
          <w:szCs w:val="22"/>
        </w:rPr>
        <w:t>When price returns to an FVG, ask: Does structure and the higher-timeframe DOL still support continuation after the return, or has opposing structure and opposing liquidity taken control? The answer determines whether the student treats the event as a continuation entry or as a narrative rewrite.</w:t>
      </w:r>
    </w:p>
    <w:p w14:paraId="12B6405C">
      <w:pPr>
        <w:pStyle w:val="2"/>
        <w:spacing w:before="360" w:after="240"/>
      </w:pPr>
      <w:r>
        <w:rPr>
          <w:rFonts w:ascii="Arial" w:hAnsi="Arial" w:eastAsia="Arial" w:cs="Arial"/>
          <w:b/>
          <w:bCs/>
          <w:sz w:val="32"/>
          <w:szCs w:val="32"/>
        </w:rPr>
        <w:t>7. FVG Failure and Inversion (IFVG)</w:t>
      </w:r>
    </w:p>
    <w:p w14:paraId="45238067">
      <w:pPr>
        <w:pStyle w:val="3"/>
        <w:spacing w:before="280" w:after="180"/>
      </w:pPr>
      <w:r>
        <w:rPr>
          <w:rFonts w:ascii="Arial" w:hAnsi="Arial" w:eastAsia="Arial" w:cs="Arial"/>
          <w:b/>
          <w:bCs/>
          <w:sz w:val="26"/>
          <w:szCs w:val="26"/>
        </w:rPr>
        <w:t>7.1 Failure</w:t>
      </w:r>
    </w:p>
    <w:p w14:paraId="31672FDC">
      <w:pPr>
        <w:spacing w:after="200" w:line="276" w:lineRule="auto"/>
      </w:pPr>
      <w:r>
        <w:rPr>
          <w:rFonts w:ascii="Arial" w:hAnsi="Arial" w:eastAsia="Arial" w:cs="Arial"/>
          <w:sz w:val="22"/>
          <w:szCs w:val="22"/>
        </w:rPr>
        <w:t>An FVG fails when price trades through the entire gap with decisive displacement and closes beyond the far side in a manner that negates its expected supportive or resistive role. Failure does not automatically invert polarity; inversion is a subsequent behaviour.</w:t>
      </w:r>
    </w:p>
    <w:p w14:paraId="2F85C2EE">
      <w:pPr>
        <w:pStyle w:val="3"/>
        <w:spacing w:before="280" w:after="180"/>
      </w:pPr>
      <w:r>
        <w:rPr>
          <w:rFonts w:ascii="Arial" w:hAnsi="Arial" w:eastAsia="Arial" w:cs="Arial"/>
          <w:b/>
          <w:bCs/>
          <w:sz w:val="26"/>
          <w:szCs w:val="26"/>
        </w:rPr>
        <w:t>7.2 Inversion Fair Value Gap</w:t>
      </w:r>
    </w:p>
    <w:p w14:paraId="4C5D9F6F">
      <w:pPr>
        <w:spacing w:after="200" w:line="276" w:lineRule="auto"/>
      </w:pPr>
      <w:r>
        <w:rPr>
          <w:rFonts w:ascii="Arial" w:hAnsi="Arial" w:eastAsia="Arial" w:cs="Arial"/>
          <w:sz w:val="22"/>
          <w:szCs w:val="22"/>
        </w:rPr>
        <w:t>After an FVG has been traded through, the same price range may later act with inverted polarity — a former bullish FVG acting as resistance, or a former bearish FVG acting as support. This is the Inversion FVG (IFVG). IFVG is a candidate array only after the failure and the new polarity have been demonstrated; it is not assumed at the moment of the first trade-through.</w:t>
      </w:r>
    </w:p>
    <w:p w14:paraId="1A9011D0">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IFVG appears in ICT teaching as the inverted behaviour of a previously traded FVG.</w:t>
      </w:r>
    </w:p>
    <w:p w14:paraId="0D8A35DD">
      <w:pPr>
        <w:pStyle w:val="2"/>
        <w:spacing w:before="360" w:after="240"/>
      </w:pPr>
      <w:r>
        <w:rPr>
          <w:rFonts w:ascii="Arial" w:hAnsi="Arial" w:eastAsia="Arial" w:cs="Arial"/>
          <w:b/>
          <w:bCs/>
          <w:sz w:val="32"/>
          <w:szCs w:val="32"/>
        </w:rPr>
        <w:t>8. Multiple Imbalance Relationships</w:t>
      </w:r>
    </w:p>
    <w:p w14:paraId="4E16F069">
      <w:pPr>
        <w:pStyle w:val="3"/>
        <w:spacing w:before="280" w:after="180"/>
      </w:pPr>
      <w:r>
        <w:rPr>
          <w:rFonts w:ascii="Arial" w:hAnsi="Arial" w:eastAsia="Arial" w:cs="Arial"/>
          <w:b/>
          <w:bCs/>
          <w:sz w:val="26"/>
          <w:szCs w:val="26"/>
        </w:rPr>
        <w:t>8.1 Nested and Sequential Gaps</w:t>
      </w:r>
    </w:p>
    <w:p w14:paraId="0B0E664F">
      <w:pPr>
        <w:spacing w:after="200" w:line="276" w:lineRule="auto"/>
      </w:pPr>
      <w:r>
        <w:rPr>
          <w:rFonts w:ascii="Arial" w:hAnsi="Arial" w:eastAsia="Arial" w:cs="Arial"/>
          <w:sz w:val="22"/>
          <w:szCs w:val="22"/>
        </w:rPr>
        <w:t>A single delivery leg often leaves multiple FVGs at different scales. A weekly displacement leaves a weekly FVG; inside it, daily and session displacements leave smaller gaps. Advanced practice reads these as a nested set belonging to one narrative, not as competing independent signals.</w:t>
      </w:r>
    </w:p>
    <w:p w14:paraId="5AB1274D">
      <w:pPr>
        <w:pStyle w:val="3"/>
        <w:spacing w:before="280" w:after="180"/>
      </w:pPr>
      <w:r>
        <w:rPr>
          <w:rFonts w:ascii="Arial" w:hAnsi="Arial" w:eastAsia="Arial" w:cs="Arial"/>
          <w:b/>
          <w:bCs/>
          <w:sz w:val="26"/>
          <w:szCs w:val="26"/>
        </w:rPr>
        <w:t>8.2 Overlapping Imbalances</w:t>
      </w:r>
    </w:p>
    <w:p w14:paraId="344263D4">
      <w:pPr>
        <w:spacing w:after="200" w:line="276" w:lineRule="auto"/>
      </w:pPr>
      <w:r>
        <w:rPr>
          <w:rFonts w:ascii="Arial" w:hAnsi="Arial" w:eastAsia="Arial" w:cs="Arial"/>
          <w:sz w:val="22"/>
          <w:szCs w:val="22"/>
        </w:rPr>
        <w:t>When an Order Block and an FVG overlap, or when CE of one FVG sits inside another array, confluence rises (Module 5). The student still selects only the arrays that satisfy the location filter and the delivery direction.</w:t>
      </w:r>
    </w:p>
    <w:p w14:paraId="33C4773E">
      <w:pPr>
        <w:pStyle w:val="3"/>
        <w:spacing w:before="280" w:after="180"/>
      </w:pPr>
      <w:r>
        <w:rPr>
          <w:rFonts w:ascii="Arial" w:hAnsi="Arial" w:eastAsia="Arial" w:cs="Arial"/>
          <w:b/>
          <w:bCs/>
          <w:sz w:val="26"/>
          <w:szCs w:val="26"/>
        </w:rPr>
        <w:t>8.3 Imbalances Left Behind</w:t>
      </w:r>
    </w:p>
    <w:p w14:paraId="760A1E20">
      <w:pPr>
        <w:spacing w:after="200" w:line="276" w:lineRule="auto"/>
      </w:pPr>
      <w:r>
        <w:rPr>
          <w:rFonts w:ascii="Arial" w:hAnsi="Arial" w:eastAsia="Arial" w:cs="Arial"/>
          <w:sz w:val="22"/>
          <w:szCs w:val="22"/>
        </w:rPr>
        <w:t>Not every imbalance is filled. When higher-timeframe delivery is strong and the Draw on Liquidity is distant, intermediate imbalances may be left unfilled or only partially filled. Forcing a return to every gap is a common intermediate error that advanced practice avoids.</w:t>
      </w:r>
    </w:p>
    <w:p w14:paraId="77E09E19">
      <w:pPr>
        <w:pStyle w:val="2"/>
        <w:spacing w:before="360" w:after="240"/>
      </w:pPr>
      <w:r>
        <w:rPr>
          <w:rFonts w:ascii="Arial" w:hAnsi="Arial" w:eastAsia="Arial" w:cs="Arial"/>
          <w:b/>
          <w:bCs/>
          <w:sz w:val="32"/>
          <w:szCs w:val="32"/>
        </w:rPr>
        <w:t>9. Imbalance in the Delivery Sequence</w:t>
      </w:r>
    </w:p>
    <w:p w14:paraId="1E2725D4">
      <w:pPr>
        <w:spacing w:after="200" w:line="276" w:lineRule="auto"/>
      </w:pPr>
      <w:r>
        <w:rPr>
          <w:rFonts w:ascii="Arial" w:hAnsi="Arial" w:eastAsia="Arial" w:cs="Arial"/>
          <w:sz w:val="22"/>
          <w:szCs w:val="22"/>
        </w:rPr>
        <w:t>Canonical relationship:</w:t>
      </w:r>
    </w:p>
    <w:p w14:paraId="46633E4B">
      <w:pPr>
        <w:pStyle w:val="16"/>
        <w:numPr>
          <w:ilvl w:val="0"/>
          <w:numId w:val="1"/>
        </w:numPr>
        <w:spacing w:after="120" w:line="276" w:lineRule="auto"/>
      </w:pPr>
      <w:r>
        <w:rPr>
          <w:rFonts w:ascii="Arial" w:hAnsi="Arial" w:eastAsia="Arial" w:cs="Arial"/>
          <w:sz w:val="22"/>
          <w:szCs w:val="22"/>
        </w:rPr>
        <w:t>Liquidity raid (origin pool) →</w:t>
      </w:r>
    </w:p>
    <w:p w14:paraId="5DFC34D0">
      <w:pPr>
        <w:pStyle w:val="16"/>
        <w:numPr>
          <w:ilvl w:val="0"/>
          <w:numId w:val="1"/>
        </w:numPr>
        <w:spacing w:after="120" w:line="276" w:lineRule="auto"/>
      </w:pPr>
      <w:r>
        <w:rPr>
          <w:rFonts w:ascii="Arial" w:hAnsi="Arial" w:eastAsia="Arial" w:cs="Arial"/>
          <w:sz w:val="22"/>
          <w:szCs w:val="22"/>
        </w:rPr>
        <w:t>Displacement (creates FVG / void) →</w:t>
      </w:r>
    </w:p>
    <w:p w14:paraId="140C438F">
      <w:pPr>
        <w:pStyle w:val="16"/>
        <w:numPr>
          <w:ilvl w:val="0"/>
          <w:numId w:val="1"/>
        </w:numPr>
        <w:spacing w:after="120" w:line="276" w:lineRule="auto"/>
      </w:pPr>
      <w:r>
        <w:rPr>
          <w:rFonts w:ascii="Arial" w:hAnsi="Arial" w:eastAsia="Arial" w:cs="Arial"/>
          <w:sz w:val="22"/>
          <w:szCs w:val="22"/>
        </w:rPr>
        <w:t>Structural confirmation (MSS) →</w:t>
      </w:r>
    </w:p>
    <w:p w14:paraId="65129546">
      <w:pPr>
        <w:pStyle w:val="16"/>
        <w:numPr>
          <w:ilvl w:val="0"/>
          <w:numId w:val="1"/>
        </w:numPr>
        <w:spacing w:after="120" w:line="276" w:lineRule="auto"/>
      </w:pPr>
      <w:r>
        <w:rPr>
          <w:rFonts w:ascii="Arial" w:hAnsi="Arial" w:eastAsia="Arial" w:cs="Arial"/>
          <w:sz w:val="22"/>
          <w:szCs w:val="22"/>
        </w:rPr>
        <w:t>Retracement into the imbalance (repricing) →</w:t>
      </w:r>
    </w:p>
    <w:p w14:paraId="64A92D46">
      <w:pPr>
        <w:pStyle w:val="16"/>
        <w:numPr>
          <w:ilvl w:val="0"/>
          <w:numId w:val="1"/>
        </w:numPr>
        <w:spacing w:after="120" w:line="276" w:lineRule="auto"/>
      </w:pPr>
      <w:r>
        <w:rPr>
          <w:rFonts w:ascii="Arial" w:hAnsi="Arial" w:eastAsia="Arial" w:cs="Arial"/>
          <w:sz w:val="22"/>
          <w:szCs w:val="22"/>
        </w:rPr>
        <w:t>Continuation toward the Draw on Liquidity.</w:t>
      </w:r>
    </w:p>
    <w:p w14:paraId="33A13C38">
      <w:pPr>
        <w:spacing w:after="200" w:line="276" w:lineRule="auto"/>
      </w:pPr>
      <w:r>
        <w:rPr>
          <w:rFonts w:ascii="Arial" w:hAnsi="Arial" w:eastAsia="Arial" w:cs="Arial"/>
          <w:sz w:val="22"/>
          <w:szCs w:val="22"/>
        </w:rPr>
        <w:t>If the retracement into the imbalance instead produces opposing displacement and external MSS, the sequence is rewritten: the imbalance return becomes part of the new opposing delivery leg.</w:t>
      </w:r>
    </w:p>
    <w:p w14:paraId="027CDF27">
      <w:pPr>
        <w:pStyle w:val="2"/>
        <w:spacing w:before="360" w:after="240"/>
      </w:pPr>
      <w:r>
        <w:rPr>
          <w:rFonts w:ascii="Arial" w:hAnsi="Arial" w:eastAsia="Arial" w:cs="Arial"/>
          <w:b/>
          <w:bCs/>
          <w:sz w:val="32"/>
          <w:szCs w:val="32"/>
        </w:rPr>
        <w:t>10. Worked Narrative — Repricing Inside Ongoing Delivery</w:t>
      </w:r>
    </w:p>
    <w:p w14:paraId="4C8BD31A">
      <w:pPr>
        <w:spacing w:after="200" w:line="276" w:lineRule="auto"/>
      </w:pPr>
      <w:r>
        <w:rPr>
          <w:rFonts w:ascii="Arial" w:hAnsi="Arial" w:eastAsia="Arial" w:cs="Arial"/>
          <w:sz w:val="22"/>
          <w:szCs w:val="22"/>
        </w:rPr>
        <w:t>Weekly DOL remains buy-side above 1.1200. Daily displacement from a sell-side raid left a daily bullish FVG at 1.0640–1.0680 (discount). Price returns in New York to the CE of that FVG, finds support, and continues higher. Structure remains higher highs / higher lows. No opposing external MSS appears.</w:t>
      </w:r>
    </w:p>
    <w:p w14:paraId="0793F57D">
      <w:pPr>
        <w:spacing w:after="200" w:line="276" w:lineRule="auto"/>
      </w:pPr>
      <w:r>
        <w:rPr>
          <w:rFonts w:ascii="Arial" w:hAnsi="Arial" w:eastAsia="Arial" w:cs="Arial"/>
          <w:sz w:val="22"/>
          <w:szCs w:val="22"/>
        </w:rPr>
        <w:t>Reading: This is repricing inside the ongoing bullish delivery leg. The FVG (and its CE) supplied the entry. The imbalance was not a reversal signal.</w:t>
      </w:r>
    </w:p>
    <w:p w14:paraId="2A394D2C">
      <w:pPr>
        <w:spacing w:after="200" w:line="276" w:lineRule="auto"/>
      </w:pPr>
      <w:r>
        <w:rPr>
          <w:rFonts w:ascii="Arial" w:hAnsi="Arial" w:eastAsia="Arial" w:cs="Arial"/>
          <w:sz w:val="22"/>
          <w:szCs w:val="22"/>
        </w:rPr>
        <w:t>Counter-reading: Had the return to the FVG been accompanied by a decisive daily close below the displacement origin and a new daily bearish MSS, the same imbalance return would have been re-read as part of a failed daily delivery and a potential new bearish leg.</w:t>
      </w:r>
    </w:p>
    <w:p w14:paraId="5C093A45">
      <w:pPr>
        <w:pStyle w:val="2"/>
        <w:spacing w:before="360" w:after="240"/>
      </w:pPr>
      <w:r>
        <w:rPr>
          <w:rFonts w:ascii="Arial" w:hAnsi="Arial" w:eastAsia="Arial" w:cs="Arial"/>
          <w:b/>
          <w:bCs/>
          <w:sz w:val="32"/>
          <w:szCs w:val="32"/>
        </w:rPr>
        <w:t>Visual Reference — Repricing vs Narrative Failure</w:t>
      </w:r>
    </w:p>
    <w:p w14:paraId="76FEEFFC">
      <w:pPr>
        <w:spacing w:after="0" w:line="240" w:lineRule="auto"/>
      </w:pPr>
      <w:r>
        <w:rPr>
          <w:rFonts w:ascii="Courier New" w:hAnsi="Courier New" w:eastAsia="Courier New" w:cs="Courier New"/>
          <w:sz w:val="18"/>
          <w:szCs w:val="18"/>
        </w:rPr>
        <w:t>DOL still active</w:t>
      </w:r>
    </w:p>
    <w:p w14:paraId="6A1E583E">
      <w:pPr>
        <w:spacing w:after="0" w:line="240" w:lineRule="auto"/>
      </w:pPr>
      <w:r>
        <w:rPr>
          <w:rFonts w:ascii="Courier New" w:hAnsi="Courier New" w:eastAsia="Courier New" w:cs="Courier New"/>
          <w:sz w:val="18"/>
          <w:szCs w:val="18"/>
        </w:rPr>
        <w:t xml:space="preserve">        ▲ continuation</w:t>
      </w:r>
    </w:p>
    <w:p w14:paraId="637653E6">
      <w:pPr>
        <w:spacing w:after="0" w:line="240" w:lineRule="auto"/>
      </w:pPr>
      <w:r>
        <w:rPr>
          <w:rFonts w:ascii="Courier New" w:hAnsi="Courier New" w:eastAsia="Courier New" w:cs="Courier New"/>
          <w:sz w:val="18"/>
          <w:szCs w:val="18"/>
        </w:rPr>
        <w:t xml:space="preserve">   Return to FVG / CE     ← REPRICING (entry)</w:t>
      </w:r>
    </w:p>
    <w:p w14:paraId="38D73DDE">
      <w:pPr>
        <w:spacing w:after="0" w:line="240" w:lineRule="auto"/>
      </w:pPr>
      <w:r>
        <w:rPr>
          <w:rFonts w:ascii="Courier New" w:hAnsi="Courier New" w:eastAsia="Courier New" w:cs="Courier New"/>
          <w:sz w:val="18"/>
          <w:szCs w:val="18"/>
        </w:rPr>
        <w:t xml:space="preserve">        │</w:t>
      </w:r>
    </w:p>
    <w:p w14:paraId="2554AE91">
      <w:pPr>
        <w:spacing w:after="0" w:line="240" w:lineRule="auto"/>
      </w:pPr>
      <w:r>
        <w:rPr>
          <w:rFonts w:ascii="Courier New" w:hAnsi="Courier New" w:eastAsia="Courier New" w:cs="Courier New"/>
          <w:sz w:val="18"/>
          <w:szCs w:val="18"/>
        </w:rPr>
        <w:t xml:space="preserve">   Displacement + MSS</w:t>
      </w:r>
    </w:p>
    <w:p w14:paraId="64AC405B">
      <w:pPr>
        <w:spacing w:after="0" w:line="240" w:lineRule="auto"/>
      </w:pPr>
      <w:r>
        <w:rPr>
          <w:rFonts w:ascii="Courier New" w:hAnsi="Courier New" w:eastAsia="Courier New" w:cs="Courier New"/>
          <w:sz w:val="18"/>
          <w:szCs w:val="18"/>
        </w:rPr>
        <w:t xml:space="preserve">        │</w:t>
      </w:r>
    </w:p>
    <w:p w14:paraId="492DB7FD">
      <w:pPr>
        <w:spacing w:after="0" w:line="240" w:lineRule="auto"/>
      </w:pPr>
      <w:r>
        <w:rPr>
          <w:rFonts w:ascii="Courier New" w:hAnsi="Courier New" w:eastAsia="Courier New" w:cs="Courier New"/>
          <w:sz w:val="18"/>
          <w:szCs w:val="18"/>
        </w:rPr>
        <w:t xml:space="preserve">   Origin liquidity raid</w:t>
      </w:r>
    </w:p>
    <w:p w14:paraId="3861465E">
      <w:pPr>
        <w:spacing w:after="0" w:line="240" w:lineRule="auto"/>
      </w:pPr>
    </w:p>
    <w:p w14:paraId="626713CC">
      <w:pPr>
        <w:spacing w:after="0" w:line="240" w:lineRule="auto"/>
      </w:pPr>
      <w:r>
        <w:rPr>
          <w:rFonts w:ascii="Courier New" w:hAnsi="Courier New" w:eastAsia="Courier New" w:cs="Courier New"/>
          <w:sz w:val="18"/>
          <w:szCs w:val="18"/>
        </w:rPr>
        <w:t>vs.</w:t>
      </w:r>
    </w:p>
    <w:p w14:paraId="50B26B36">
      <w:pPr>
        <w:spacing w:after="0" w:line="240" w:lineRule="auto"/>
      </w:pPr>
    </w:p>
    <w:p w14:paraId="5A5D2EA5">
      <w:pPr>
        <w:spacing w:after="0" w:line="240" w:lineRule="auto"/>
      </w:pPr>
      <w:r>
        <w:rPr>
          <w:rFonts w:ascii="Courier New" w:hAnsi="Courier New" w:eastAsia="Courier New" w:cs="Courier New"/>
          <w:sz w:val="18"/>
          <w:szCs w:val="18"/>
        </w:rPr>
        <w:t xml:space="preserve">   Opposing DOL promoted</w:t>
      </w:r>
    </w:p>
    <w:p w14:paraId="20C54E9F">
      <w:pPr>
        <w:spacing w:after="0" w:line="240" w:lineRule="auto"/>
      </w:pPr>
      <w:r>
        <w:rPr>
          <w:rFonts w:ascii="Courier New" w:hAnsi="Courier New" w:eastAsia="Courier New" w:cs="Courier New"/>
          <w:sz w:val="18"/>
          <w:szCs w:val="18"/>
        </w:rPr>
        <w:t xml:space="preserve">        ▲</w:t>
      </w:r>
    </w:p>
    <w:p w14:paraId="269BAC19">
      <w:pPr>
        <w:spacing w:after="0" w:line="240" w:lineRule="auto"/>
      </w:pPr>
      <w:r>
        <w:rPr>
          <w:rFonts w:ascii="Courier New" w:hAnsi="Courier New" w:eastAsia="Courier New" w:cs="Courier New"/>
          <w:sz w:val="18"/>
          <w:szCs w:val="18"/>
        </w:rPr>
        <w:t xml:space="preserve">   Opposing displacement + external MSS</w:t>
      </w:r>
    </w:p>
    <w:p w14:paraId="764050BE">
      <w:pPr>
        <w:spacing w:after="0" w:line="240" w:lineRule="auto"/>
      </w:pPr>
      <w:r>
        <w:rPr>
          <w:rFonts w:ascii="Courier New" w:hAnsi="Courier New" w:eastAsia="Courier New" w:cs="Courier New"/>
          <w:sz w:val="18"/>
          <w:szCs w:val="18"/>
        </w:rPr>
        <w:t xml:space="preserve">        │</w:t>
      </w:r>
    </w:p>
    <w:p w14:paraId="193D5908">
      <w:pPr>
        <w:spacing w:after="0" w:line="240" w:lineRule="auto"/>
      </w:pPr>
      <w:r>
        <w:rPr>
          <w:rFonts w:ascii="Courier New" w:hAnsi="Courier New" w:eastAsia="Courier New" w:cs="Courier New"/>
          <w:sz w:val="18"/>
          <w:szCs w:val="18"/>
        </w:rPr>
        <w:t xml:space="preserve">   Return to FVG that FAILS  ← narrative rewrite</w:t>
      </w:r>
    </w:p>
    <w:p w14:paraId="2983DAE7">
      <w:pPr>
        <w:pStyle w:val="2"/>
        <w:spacing w:before="360" w:after="240"/>
      </w:pPr>
      <w:r>
        <w:rPr>
          <w:rFonts w:ascii="Arial" w:hAnsi="Arial" w:eastAsia="Arial" w:cs="Arial"/>
          <w:b/>
          <w:bCs/>
          <w:sz w:val="32"/>
          <w:szCs w:val="32"/>
        </w:rPr>
        <w:t>11. Failure Conditions and Model Implications</w:t>
      </w:r>
    </w:p>
    <w:p w14:paraId="01607569">
      <w:pPr>
        <w:spacing w:after="200" w:line="276" w:lineRule="auto"/>
      </w:pPr>
      <w:r>
        <w:rPr>
          <w:rFonts w:ascii="Arial" w:hAnsi="Arial" w:eastAsia="Arial" w:cs="Arial"/>
          <w:sz w:val="22"/>
          <w:szCs w:val="22"/>
        </w:rPr>
        <w:t>When the imbalance that was expected to hold is traded through with opposing displacement and external MSS:</w:t>
      </w:r>
    </w:p>
    <w:p w14:paraId="78CE69EC">
      <w:pPr>
        <w:pStyle w:val="16"/>
        <w:numPr>
          <w:ilvl w:val="0"/>
          <w:numId w:val="1"/>
        </w:numPr>
        <w:spacing w:after="120" w:line="276" w:lineRule="auto"/>
      </w:pPr>
      <w:r>
        <w:rPr>
          <w:rFonts w:ascii="Arial" w:hAnsi="Arial" w:eastAsia="Arial" w:cs="Arial"/>
          <w:sz w:val="22"/>
          <w:szCs w:val="22"/>
        </w:rPr>
        <w:t>Continuation models that relied on that imbalance are invalidated.</w:t>
      </w:r>
    </w:p>
    <w:p w14:paraId="66EB4666">
      <w:pPr>
        <w:pStyle w:val="16"/>
        <w:numPr>
          <w:ilvl w:val="0"/>
          <w:numId w:val="1"/>
        </w:numPr>
        <w:spacing w:after="120" w:line="276" w:lineRule="auto"/>
      </w:pPr>
      <w:r>
        <w:rPr>
          <w:rFonts w:ascii="Arial" w:hAnsi="Arial" w:eastAsia="Arial" w:cs="Arial"/>
          <w:sz w:val="22"/>
          <w:szCs w:val="22"/>
        </w:rPr>
        <w:t>IFVG behaviour may later offer entries in the new direction.</w:t>
      </w:r>
    </w:p>
    <w:p w14:paraId="336277BD">
      <w:pPr>
        <w:pStyle w:val="16"/>
        <w:numPr>
          <w:ilvl w:val="0"/>
          <w:numId w:val="1"/>
        </w:numPr>
        <w:spacing w:after="120" w:line="276" w:lineRule="auto"/>
      </w:pPr>
      <w:r>
        <w:rPr>
          <w:rFonts w:ascii="Arial" w:hAnsi="Arial" w:eastAsia="Arial" w:cs="Arial"/>
          <w:sz w:val="22"/>
          <w:szCs w:val="22"/>
        </w:rPr>
        <w:t>The Draw on Liquidity and structural narrative must be updated before any new model is selected.</w:t>
      </w:r>
    </w:p>
    <w:p w14:paraId="79E62071">
      <w:pPr>
        <w:spacing w:after="200" w:line="276" w:lineRule="auto"/>
      </w:pPr>
      <w:r>
        <w:rPr>
          <w:rFonts w:ascii="Arial" w:hAnsi="Arial" w:eastAsia="Arial" w:cs="Arial"/>
          <w:sz w:val="22"/>
          <w:szCs w:val="22"/>
        </w:rPr>
        <w:t>Leaving an imbalance unfilled while delivery continues toward a higher-timeframe DOL is not failure; it is prioritisation.</w:t>
      </w:r>
    </w:p>
    <w:p w14:paraId="4FA0519E">
      <w:pPr>
        <w:pStyle w:val="2"/>
        <w:spacing w:before="360" w:after="240"/>
      </w:pPr>
      <w:r>
        <w:rPr>
          <w:rFonts w:ascii="Arial" w:hAnsi="Arial" w:eastAsia="Arial" w:cs="Arial"/>
          <w:b/>
          <w:bCs/>
          <w:sz w:val="32"/>
          <w:szCs w:val="32"/>
        </w:rPr>
        <w:t>12. Common Misinterpretations</w:t>
      </w:r>
    </w:p>
    <w:p w14:paraId="6D7EB044">
      <w:pPr>
        <w:pStyle w:val="16"/>
        <w:numPr>
          <w:ilvl w:val="0"/>
          <w:numId w:val="1"/>
        </w:numPr>
        <w:spacing w:after="120" w:line="276" w:lineRule="auto"/>
      </w:pPr>
      <w:r>
        <w:rPr>
          <w:rFonts w:ascii="Arial" w:hAnsi="Arial" w:eastAsia="Arial" w:cs="Arial"/>
          <w:sz w:val="22"/>
          <w:szCs w:val="22"/>
        </w:rPr>
        <w:t>Treating every return to an FVG as a reversal.</w:t>
      </w:r>
    </w:p>
    <w:p w14:paraId="534BE046">
      <w:pPr>
        <w:pStyle w:val="16"/>
        <w:numPr>
          <w:ilvl w:val="0"/>
          <w:numId w:val="1"/>
        </w:numPr>
        <w:spacing w:after="120" w:line="276" w:lineRule="auto"/>
      </w:pPr>
      <w:r>
        <w:rPr>
          <w:rFonts w:ascii="Arial" w:hAnsi="Arial" w:eastAsia="Arial" w:cs="Arial"/>
          <w:sz w:val="22"/>
          <w:szCs w:val="22"/>
        </w:rPr>
        <w:t>Requiring every imbalance to be filled before delivery can continue.</w:t>
      </w:r>
    </w:p>
    <w:p w14:paraId="43178DBF">
      <w:pPr>
        <w:pStyle w:val="16"/>
        <w:numPr>
          <w:ilvl w:val="0"/>
          <w:numId w:val="1"/>
        </w:numPr>
        <w:spacing w:after="120" w:line="276" w:lineRule="auto"/>
      </w:pPr>
      <w:r>
        <w:rPr>
          <w:rFonts w:ascii="Arial" w:hAnsi="Arial" w:eastAsia="Arial" w:cs="Arial"/>
          <w:sz w:val="22"/>
          <w:szCs w:val="22"/>
        </w:rPr>
        <w:t>Ignoring CE and always using the full width of a wide FVG for risk.</w:t>
      </w:r>
    </w:p>
    <w:p w14:paraId="5C9684F2">
      <w:pPr>
        <w:pStyle w:val="16"/>
        <w:numPr>
          <w:ilvl w:val="0"/>
          <w:numId w:val="1"/>
        </w:numPr>
        <w:spacing w:after="120" w:line="276" w:lineRule="auto"/>
      </w:pPr>
      <w:r>
        <w:rPr>
          <w:rFonts w:ascii="Arial" w:hAnsi="Arial" w:eastAsia="Arial" w:cs="Arial"/>
          <w:sz w:val="22"/>
          <w:szCs w:val="22"/>
        </w:rPr>
        <w:t>Assuming inversion at the moment of first trade-through rather than after demonstrated opposing polarity.</w:t>
      </w:r>
    </w:p>
    <w:p w14:paraId="4CBD9F85">
      <w:pPr>
        <w:pStyle w:val="16"/>
        <w:numPr>
          <w:ilvl w:val="0"/>
          <w:numId w:val="1"/>
        </w:numPr>
        <w:spacing w:after="120" w:line="276" w:lineRule="auto"/>
      </w:pPr>
      <w:r>
        <w:rPr>
          <w:rFonts w:ascii="Arial" w:hAnsi="Arial" w:eastAsia="Arial" w:cs="Arial"/>
          <w:sz w:val="22"/>
          <w:szCs w:val="22"/>
        </w:rPr>
        <w:t>Trading a lower-timeframe imbalance that sits in the wrong half of the controlling range.</w:t>
      </w:r>
    </w:p>
    <w:p w14:paraId="43F1A1C2">
      <w:pPr>
        <w:pStyle w:val="16"/>
        <w:numPr>
          <w:ilvl w:val="0"/>
          <w:numId w:val="1"/>
        </w:numPr>
        <w:spacing w:after="120" w:line="276" w:lineRule="auto"/>
      </w:pPr>
      <w:r>
        <w:rPr>
          <w:rFonts w:ascii="Arial" w:hAnsi="Arial" w:eastAsia="Arial" w:cs="Arial"/>
          <w:sz w:val="22"/>
          <w:szCs w:val="22"/>
        </w:rPr>
        <w:t>Reading multiple nested gaps as conflicting signals instead of as one delivery story.</w:t>
      </w:r>
    </w:p>
    <w:p w14:paraId="13DAF3FC">
      <w:pPr>
        <w:pStyle w:val="2"/>
        <w:spacing w:before="360" w:after="240"/>
      </w:pPr>
      <w:r>
        <w:rPr>
          <w:rFonts w:ascii="Arial" w:hAnsi="Arial" w:eastAsia="Arial" w:cs="Arial"/>
          <w:b/>
          <w:bCs/>
          <w:sz w:val="32"/>
          <w:szCs w:val="32"/>
        </w:rPr>
        <w:t>13. Evidence Summary</w:t>
      </w:r>
    </w:p>
    <w:p w14:paraId="5788869C">
      <w:pPr>
        <w:spacing w:after="200" w:line="276" w:lineRule="auto"/>
      </w:pPr>
      <w:r>
        <w:rPr>
          <w:rFonts w:ascii="Arial" w:hAnsi="Arial" w:eastAsia="Arial" w:cs="Arial"/>
          <w:sz w:val="22"/>
          <w:szCs w:val="22"/>
        </w:rPr>
        <w:t>Fair Value Gap, Consequent Encroachment, and the return to imbalance for rebalancing/repricing are primary ICT. BISI/SIBI and IFVG appear in ICT teaching. Liquidity void and balanced price range are used in connection with efficiency and extreme imbalance. The operational distinction between repricing inside an ongoing leg and rebalancing that accompanies narrative failure is the advanced synthesis required for correct model selection.</w:t>
      </w:r>
    </w:p>
    <w:p w14:paraId="5253CB62">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Primary orientation: ICT teaching on Fair Value Gaps, Consequent Encroachment, inversion behaviour, and the algorithmic return to inefficiency. Secondary elaborations of void and balanced-range terminology are used only where consistent with primary imbalance logic.</w:t>
      </w:r>
    </w:p>
    <w:p w14:paraId="0450DA42">
      <w:pPr>
        <w:pStyle w:val="2"/>
        <w:spacing w:before="360" w:after="240"/>
      </w:pPr>
      <w:r>
        <w:rPr>
          <w:rFonts w:ascii="Arial" w:hAnsi="Arial" w:eastAsia="Arial" w:cs="Arial"/>
          <w:b/>
          <w:bCs/>
          <w:sz w:val="32"/>
          <w:szCs w:val="32"/>
        </w:rPr>
        <w:t>What You Should Now Be Able to Do</w:t>
      </w:r>
    </w:p>
    <w:p w14:paraId="1ECB417E">
      <w:pPr>
        <w:pStyle w:val="16"/>
        <w:numPr>
          <w:ilvl w:val="0"/>
          <w:numId w:val="1"/>
        </w:numPr>
        <w:spacing w:after="120" w:line="276" w:lineRule="auto"/>
      </w:pPr>
      <w:r>
        <w:rPr>
          <w:rFonts w:ascii="Arial" w:hAnsi="Arial" w:eastAsia="Arial" w:cs="Arial"/>
          <w:sz w:val="22"/>
          <w:szCs w:val="22"/>
        </w:rPr>
        <w:t>Classify every significant imbalance along the delivery path as potential repricing location or as candidate failure point.</w:t>
      </w:r>
    </w:p>
    <w:p w14:paraId="6DDF1C19">
      <w:pPr>
        <w:pStyle w:val="16"/>
        <w:numPr>
          <w:ilvl w:val="0"/>
          <w:numId w:val="1"/>
        </w:numPr>
        <w:spacing w:after="120" w:line="276" w:lineRule="auto"/>
      </w:pPr>
      <w:r>
        <w:rPr>
          <w:rFonts w:ascii="Arial" w:hAnsi="Arial" w:eastAsia="Arial" w:cs="Arial"/>
          <w:sz w:val="22"/>
          <w:szCs w:val="22"/>
        </w:rPr>
        <w:t>Apply CE as a refinement while retaining the full FVG as context.</w:t>
      </w:r>
    </w:p>
    <w:p w14:paraId="4D0A7B85">
      <w:pPr>
        <w:pStyle w:val="16"/>
        <w:numPr>
          <w:ilvl w:val="0"/>
          <w:numId w:val="1"/>
        </w:numPr>
        <w:spacing w:after="120" w:line="276" w:lineRule="auto"/>
      </w:pPr>
      <w:r>
        <w:rPr>
          <w:rFonts w:ascii="Arial" w:hAnsi="Arial" w:eastAsia="Arial" w:cs="Arial"/>
          <w:sz w:val="22"/>
          <w:szCs w:val="22"/>
        </w:rPr>
        <w:t>Distinguish a continuation return to an FVG from a return that accompanies narrative failure.</w:t>
      </w:r>
    </w:p>
    <w:p w14:paraId="54F8C555">
      <w:pPr>
        <w:pStyle w:val="16"/>
        <w:numPr>
          <w:ilvl w:val="0"/>
          <w:numId w:val="1"/>
        </w:numPr>
        <w:spacing w:after="120" w:line="276" w:lineRule="auto"/>
      </w:pPr>
      <w:r>
        <w:rPr>
          <w:rFonts w:ascii="Arial" w:hAnsi="Arial" w:eastAsia="Arial" w:cs="Arial"/>
          <w:sz w:val="22"/>
          <w:szCs w:val="22"/>
        </w:rPr>
        <w:t>Recognise IFVG only after failure and demonstrated polarity inversion.</w:t>
      </w:r>
    </w:p>
    <w:p w14:paraId="6DB1D880">
      <w:pPr>
        <w:pStyle w:val="16"/>
        <w:numPr>
          <w:ilvl w:val="0"/>
          <w:numId w:val="1"/>
        </w:numPr>
        <w:spacing w:after="120" w:line="276" w:lineRule="auto"/>
      </w:pPr>
      <w:r>
        <w:rPr>
          <w:rFonts w:ascii="Arial" w:hAnsi="Arial" w:eastAsia="Arial" w:cs="Arial"/>
          <w:sz w:val="22"/>
          <w:szCs w:val="22"/>
        </w:rPr>
        <w:t>Read nested and sequential imbalances as a single delivery story.</w:t>
      </w:r>
    </w:p>
    <w:p w14:paraId="1332DEEC">
      <w:pPr>
        <w:pStyle w:val="16"/>
        <w:numPr>
          <w:ilvl w:val="0"/>
          <w:numId w:val="1"/>
        </w:numPr>
        <w:spacing w:after="120" w:line="276" w:lineRule="auto"/>
      </w:pPr>
      <w:r>
        <w:rPr>
          <w:rFonts w:ascii="Arial" w:hAnsi="Arial" w:eastAsia="Arial" w:cs="Arial"/>
          <w:sz w:val="22"/>
          <w:szCs w:val="22"/>
        </w:rPr>
        <w:t>Accept that some imbalances will be left unfilled when higher-timeframe delivery takes priority.</w:t>
      </w:r>
    </w:p>
    <w:p w14:paraId="2A749398">
      <w:pPr>
        <w:pStyle w:val="2"/>
        <w:spacing w:before="360" w:after="240"/>
      </w:pPr>
      <w:r>
        <w:rPr>
          <w:rFonts w:ascii="Arial" w:hAnsi="Arial" w:eastAsia="Arial" w:cs="Arial"/>
          <w:b/>
          <w:bCs/>
          <w:sz w:val="32"/>
          <w:szCs w:val="32"/>
        </w:rPr>
        <w:t>Module Review</w:t>
      </w:r>
    </w:p>
    <w:p w14:paraId="72A0AE76">
      <w:pPr>
        <w:pStyle w:val="3"/>
        <w:spacing w:before="280" w:after="180"/>
      </w:pPr>
      <w:r>
        <w:rPr>
          <w:rFonts w:ascii="Arial" w:hAnsi="Arial" w:eastAsia="Arial" w:cs="Arial"/>
          <w:b/>
          <w:bCs/>
          <w:sz w:val="26"/>
          <w:szCs w:val="26"/>
        </w:rPr>
        <w:t>Key Terms</w:t>
      </w:r>
    </w:p>
    <w:p w14:paraId="75E7A4A1">
      <w:pPr>
        <w:pStyle w:val="16"/>
        <w:numPr>
          <w:ilvl w:val="0"/>
          <w:numId w:val="1"/>
        </w:numPr>
        <w:spacing w:after="120" w:line="276" w:lineRule="auto"/>
      </w:pPr>
      <w:r>
        <w:rPr>
          <w:rFonts w:ascii="Arial" w:hAnsi="Arial" w:eastAsia="Arial" w:cs="Arial"/>
          <w:sz w:val="22"/>
          <w:szCs w:val="22"/>
        </w:rPr>
        <w:t>Imbalance / FVG — price range left untraded by displacement.</w:t>
      </w:r>
    </w:p>
    <w:p w14:paraId="3461C891">
      <w:pPr>
        <w:pStyle w:val="16"/>
        <w:numPr>
          <w:ilvl w:val="0"/>
          <w:numId w:val="1"/>
        </w:numPr>
        <w:spacing w:after="120" w:line="276" w:lineRule="auto"/>
      </w:pPr>
      <w:r>
        <w:rPr>
          <w:rFonts w:ascii="Arial" w:hAnsi="Arial" w:eastAsia="Arial" w:cs="Arial"/>
          <w:sz w:val="22"/>
          <w:szCs w:val="22"/>
        </w:rPr>
        <w:t>BISI / SIBI — bullish / bearish imbalance labels used in ICT.</w:t>
      </w:r>
    </w:p>
    <w:p w14:paraId="1960DF39">
      <w:pPr>
        <w:pStyle w:val="16"/>
        <w:numPr>
          <w:ilvl w:val="0"/>
          <w:numId w:val="1"/>
        </w:numPr>
        <w:spacing w:after="120" w:line="276" w:lineRule="auto"/>
      </w:pPr>
      <w:r>
        <w:rPr>
          <w:rFonts w:ascii="Arial" w:hAnsi="Arial" w:eastAsia="Arial" w:cs="Arial"/>
          <w:sz w:val="22"/>
          <w:szCs w:val="22"/>
        </w:rPr>
        <w:t>Consequent Encroachment — 50 % of the FVG; refined reaction reference.</w:t>
      </w:r>
    </w:p>
    <w:p w14:paraId="45E4DAF4">
      <w:pPr>
        <w:pStyle w:val="16"/>
        <w:numPr>
          <w:ilvl w:val="0"/>
          <w:numId w:val="1"/>
        </w:numPr>
        <w:spacing w:after="120" w:line="276" w:lineRule="auto"/>
      </w:pPr>
      <w:r>
        <w:rPr>
          <w:rFonts w:ascii="Arial" w:hAnsi="Arial" w:eastAsia="Arial" w:cs="Arial"/>
          <w:sz w:val="22"/>
          <w:szCs w:val="22"/>
        </w:rPr>
        <w:t>Liquidity void — extreme imbalance with minimal activity.</w:t>
      </w:r>
    </w:p>
    <w:p w14:paraId="4D2470B4">
      <w:pPr>
        <w:pStyle w:val="16"/>
        <w:numPr>
          <w:ilvl w:val="0"/>
          <w:numId w:val="1"/>
        </w:numPr>
        <w:spacing w:after="120" w:line="276" w:lineRule="auto"/>
      </w:pPr>
      <w:r>
        <w:rPr>
          <w:rFonts w:ascii="Arial" w:hAnsi="Arial" w:eastAsia="Arial" w:cs="Arial"/>
          <w:sz w:val="22"/>
          <w:szCs w:val="22"/>
        </w:rPr>
        <w:t>Balanced Price Range — area that has become relatively efficient.</w:t>
      </w:r>
    </w:p>
    <w:p w14:paraId="7CABC1BF">
      <w:pPr>
        <w:pStyle w:val="16"/>
        <w:numPr>
          <w:ilvl w:val="0"/>
          <w:numId w:val="1"/>
        </w:numPr>
        <w:spacing w:after="120" w:line="276" w:lineRule="auto"/>
      </w:pPr>
      <w:r>
        <w:rPr>
          <w:rFonts w:ascii="Arial" w:hAnsi="Arial" w:eastAsia="Arial" w:cs="Arial"/>
          <w:sz w:val="22"/>
          <w:szCs w:val="22"/>
        </w:rPr>
        <w:t>Repricing — return to inefficiency inside an ongoing delivery leg.</w:t>
      </w:r>
    </w:p>
    <w:p w14:paraId="0D9028C1">
      <w:pPr>
        <w:pStyle w:val="16"/>
        <w:numPr>
          <w:ilvl w:val="0"/>
          <w:numId w:val="1"/>
        </w:numPr>
        <w:spacing w:after="120" w:line="276" w:lineRule="auto"/>
      </w:pPr>
      <w:r>
        <w:rPr>
          <w:rFonts w:ascii="Arial" w:hAnsi="Arial" w:eastAsia="Arial" w:cs="Arial"/>
          <w:sz w:val="22"/>
          <w:szCs w:val="22"/>
        </w:rPr>
        <w:t>IFVG — FVG that has inverted polarity after being traded through.</w:t>
      </w:r>
    </w:p>
    <w:p w14:paraId="29CDE461">
      <w:pPr>
        <w:pStyle w:val="16"/>
        <w:numPr>
          <w:ilvl w:val="0"/>
          <w:numId w:val="1"/>
        </w:numPr>
        <w:spacing w:after="120" w:line="276" w:lineRule="auto"/>
      </w:pPr>
      <w:r>
        <w:rPr>
          <w:rFonts w:ascii="Arial" w:hAnsi="Arial" w:eastAsia="Arial" w:cs="Arial"/>
          <w:sz w:val="22"/>
          <w:szCs w:val="22"/>
        </w:rPr>
        <w:t>FVG failure — decisive trade-through that negates expected polarity.</w:t>
      </w:r>
    </w:p>
    <w:p w14:paraId="475A3999">
      <w:pPr>
        <w:pStyle w:val="3"/>
        <w:spacing w:before="280" w:after="180"/>
      </w:pPr>
      <w:r>
        <w:rPr>
          <w:rFonts w:ascii="Arial" w:hAnsi="Arial" w:eastAsia="Arial" w:cs="Arial"/>
          <w:b/>
          <w:bCs/>
          <w:sz w:val="26"/>
          <w:szCs w:val="26"/>
        </w:rPr>
        <w:t>Self-Test</w:t>
      </w:r>
    </w:p>
    <w:p w14:paraId="4F61AA07">
      <w:pPr>
        <w:pStyle w:val="16"/>
        <w:numPr>
          <w:ilvl w:val="0"/>
          <w:numId w:val="2"/>
        </w:numPr>
        <w:spacing w:after="120" w:line="276" w:lineRule="auto"/>
      </w:pPr>
      <w:r>
        <w:rPr>
          <w:rFonts w:ascii="Arial" w:hAnsi="Arial" w:eastAsia="Arial" w:cs="Arial"/>
          <w:sz w:val="22"/>
          <w:szCs w:val="22"/>
        </w:rPr>
        <w:t>What is the practical test that distinguishes repricing from a narrative-changing return to an FVG?</w:t>
      </w:r>
    </w:p>
    <w:p w14:paraId="6A1EF545">
      <w:pPr>
        <w:pStyle w:val="16"/>
        <w:numPr>
          <w:ilvl w:val="0"/>
          <w:numId w:val="2"/>
        </w:numPr>
        <w:spacing w:after="120" w:line="276" w:lineRule="auto"/>
      </w:pPr>
      <w:r>
        <w:rPr>
          <w:rFonts w:ascii="Arial" w:hAnsi="Arial" w:eastAsia="Arial" w:cs="Arial"/>
          <w:sz w:val="22"/>
          <w:szCs w:val="22"/>
        </w:rPr>
        <w:t>When is Consequent Encroachment preferred?</w:t>
      </w:r>
    </w:p>
    <w:p w14:paraId="7F6DFCF8">
      <w:pPr>
        <w:pStyle w:val="16"/>
        <w:numPr>
          <w:ilvl w:val="0"/>
          <w:numId w:val="2"/>
        </w:numPr>
        <w:spacing w:after="120" w:line="276" w:lineRule="auto"/>
      </w:pPr>
      <w:r>
        <w:rPr>
          <w:rFonts w:ascii="Arial" w:hAnsi="Arial" w:eastAsia="Arial" w:cs="Arial"/>
          <w:sz w:val="22"/>
          <w:szCs w:val="22"/>
        </w:rPr>
        <w:t>At what point does an FVG become an IFVG candidate?</w:t>
      </w:r>
    </w:p>
    <w:p w14:paraId="4D08AC04">
      <w:pPr>
        <w:pStyle w:val="16"/>
        <w:numPr>
          <w:ilvl w:val="0"/>
          <w:numId w:val="2"/>
        </w:numPr>
        <w:spacing w:after="120" w:line="276" w:lineRule="auto"/>
      </w:pPr>
      <w:r>
        <w:rPr>
          <w:rFonts w:ascii="Arial" w:hAnsi="Arial" w:eastAsia="Arial" w:cs="Arial"/>
          <w:sz w:val="22"/>
          <w:szCs w:val="22"/>
        </w:rPr>
        <w:t>Why might a higher-timeframe delivery leave an intermediate FVG unfilled?</w:t>
      </w:r>
    </w:p>
    <w:p w14:paraId="39DCF994">
      <w:pPr>
        <w:pStyle w:val="16"/>
        <w:numPr>
          <w:ilvl w:val="0"/>
          <w:numId w:val="2"/>
        </w:numPr>
        <w:spacing w:after="120" w:line="276" w:lineRule="auto"/>
      </w:pPr>
      <w:r>
        <w:rPr>
          <w:rFonts w:ascii="Arial" w:hAnsi="Arial" w:eastAsia="Arial" w:cs="Arial"/>
          <w:sz w:val="22"/>
          <w:szCs w:val="22"/>
        </w:rPr>
        <w:t>How should multiple nested FVGs created by one delivery leg be read?</w:t>
      </w:r>
    </w:p>
    <w:p w14:paraId="2F54D2C3">
      <w:pPr>
        <w:pStyle w:val="3"/>
        <w:spacing w:before="280" w:after="180"/>
      </w:pPr>
      <w:r>
        <w:rPr>
          <w:rFonts w:ascii="Arial" w:hAnsi="Arial" w:eastAsia="Arial" w:cs="Arial"/>
          <w:b/>
          <w:bCs/>
          <w:sz w:val="26"/>
          <w:szCs w:val="26"/>
        </w:rPr>
        <w:t>Transition to Module 7</w:t>
      </w:r>
    </w:p>
    <w:p w14:paraId="308D43A5">
      <w:pPr>
        <w:spacing w:after="200" w:line="276" w:lineRule="auto"/>
      </w:pPr>
      <w:r>
        <w:rPr>
          <w:rFonts w:ascii="Arial" w:hAnsi="Arial" w:eastAsia="Arial" w:cs="Arial"/>
          <w:sz w:val="22"/>
          <w:szCs w:val="22"/>
        </w:rPr>
        <w:t>Module 6 has completed the imbalance and PD-array layer of the narrative. Module 7 (Advanced Market Timing) will add the time dimension — daily, weekly and session ranges, opening price, kill-zone relationships, and time-based liquidity events — so that the student can state not only where delivery is aimed and which array may react, but when the algorithm is most likely to perform the next phase of that delivery.</w:t>
      </w:r>
    </w:p>
    <w:p w14:paraId="0E908C5E">
      <w:pPr>
        <w:spacing w:after="200" w:line="276" w:lineRule="auto"/>
        <w:rPr>
          <w:rFonts w:ascii="Arial" w:hAnsi="Arial" w:eastAsia="Arial" w:cs="Arial"/>
          <w:sz w:val="22"/>
          <w:szCs w:val="22"/>
        </w:rPr>
      </w:pPr>
    </w:p>
    <w:p w14:paraId="5C7174FA">
      <w:pPr>
        <w:spacing w:after="200" w:line="276" w:lineRule="auto"/>
        <w:rPr>
          <w:rFonts w:ascii="Arial" w:hAnsi="Arial" w:eastAsia="Arial" w:cs="Arial"/>
          <w:sz w:val="22"/>
          <w:szCs w:val="22"/>
        </w:rPr>
      </w:pPr>
    </w:p>
    <w:p w14:paraId="2B270BCF">
      <w:pPr>
        <w:spacing w:after="200" w:line="276" w:lineRule="auto"/>
        <w:rPr>
          <w:rFonts w:ascii="Arial" w:hAnsi="Arial" w:eastAsia="Arial" w:cs="Arial"/>
          <w:sz w:val="22"/>
          <w:szCs w:val="22"/>
        </w:rPr>
      </w:pPr>
    </w:p>
    <w:p w14:paraId="3B26EED3">
      <w:pPr>
        <w:spacing w:after="200" w:line="276" w:lineRule="auto"/>
        <w:rPr>
          <w:rFonts w:ascii="Arial" w:hAnsi="Arial" w:eastAsia="Arial" w:cs="Arial"/>
          <w:sz w:val="22"/>
          <w:szCs w:val="22"/>
        </w:rPr>
      </w:pPr>
    </w:p>
    <w:p w14:paraId="4CD62F4A">
      <w:pPr>
        <w:spacing w:after="200" w:line="276" w:lineRule="auto"/>
        <w:rPr>
          <w:rFonts w:ascii="Arial" w:hAnsi="Arial" w:eastAsia="Arial" w:cs="Arial"/>
          <w:sz w:val="22"/>
          <w:szCs w:val="22"/>
        </w:rPr>
      </w:pPr>
    </w:p>
    <w:p w14:paraId="2403ECD5">
      <w:pPr>
        <w:spacing w:after="200" w:line="276" w:lineRule="auto"/>
        <w:rPr>
          <w:rFonts w:ascii="Arial" w:hAnsi="Arial" w:eastAsia="Arial" w:cs="Arial"/>
          <w:sz w:val="22"/>
          <w:szCs w:val="22"/>
        </w:rPr>
      </w:pPr>
    </w:p>
    <w:p w14:paraId="729CDB05">
      <w:pPr>
        <w:spacing w:after="200" w:line="276" w:lineRule="auto"/>
        <w:rPr>
          <w:rFonts w:ascii="Arial" w:hAnsi="Arial" w:eastAsia="Arial" w:cs="Arial"/>
          <w:sz w:val="22"/>
          <w:szCs w:val="22"/>
        </w:rPr>
      </w:pPr>
    </w:p>
    <w:p w14:paraId="1FA400F1">
      <w:pPr>
        <w:spacing w:after="200" w:line="276" w:lineRule="auto"/>
        <w:rPr>
          <w:rFonts w:ascii="Arial" w:hAnsi="Arial" w:eastAsia="Arial" w:cs="Arial"/>
          <w:sz w:val="22"/>
          <w:szCs w:val="22"/>
        </w:rPr>
      </w:pPr>
    </w:p>
    <w:p w14:paraId="0C65663B">
      <w:pPr>
        <w:spacing w:after="200" w:line="276" w:lineRule="auto"/>
        <w:rPr>
          <w:rFonts w:ascii="Arial" w:hAnsi="Arial" w:eastAsia="Arial" w:cs="Arial"/>
          <w:sz w:val="22"/>
          <w:szCs w:val="22"/>
        </w:rPr>
      </w:pPr>
    </w:p>
    <w:p w14:paraId="41814874">
      <w:pPr>
        <w:spacing w:after="200" w:line="276" w:lineRule="auto"/>
        <w:rPr>
          <w:rFonts w:ascii="Arial" w:hAnsi="Arial" w:eastAsia="Arial" w:cs="Arial"/>
          <w:sz w:val="22"/>
          <w:szCs w:val="22"/>
        </w:rPr>
      </w:pPr>
    </w:p>
    <w:p w14:paraId="2DE26D54">
      <w:pPr>
        <w:spacing w:after="200" w:line="276" w:lineRule="auto"/>
        <w:rPr>
          <w:rFonts w:ascii="Arial" w:hAnsi="Arial" w:eastAsia="Arial" w:cs="Arial"/>
          <w:sz w:val="22"/>
          <w:szCs w:val="22"/>
        </w:rPr>
      </w:pPr>
    </w:p>
    <w:p w14:paraId="4C79B04A">
      <w:pPr>
        <w:spacing w:after="200" w:line="276" w:lineRule="auto"/>
        <w:rPr>
          <w:rFonts w:ascii="Arial" w:hAnsi="Arial" w:eastAsia="Arial" w:cs="Arial"/>
          <w:sz w:val="22"/>
          <w:szCs w:val="22"/>
        </w:rPr>
      </w:pPr>
    </w:p>
    <w:p w14:paraId="20920581">
      <w:pPr>
        <w:spacing w:after="200" w:line="276" w:lineRule="auto"/>
        <w:rPr>
          <w:rFonts w:ascii="Arial" w:hAnsi="Arial" w:eastAsia="Arial" w:cs="Arial"/>
          <w:sz w:val="22"/>
          <w:szCs w:val="22"/>
        </w:rPr>
      </w:pPr>
    </w:p>
    <w:p w14:paraId="2F11A4CF">
      <w:pPr>
        <w:spacing w:after="200" w:line="276" w:lineRule="auto"/>
        <w:rPr>
          <w:rFonts w:ascii="Arial" w:hAnsi="Arial" w:eastAsia="Arial" w:cs="Arial"/>
          <w:sz w:val="22"/>
          <w:szCs w:val="22"/>
        </w:rPr>
      </w:pPr>
    </w:p>
    <w:p w14:paraId="25547417">
      <w:pPr>
        <w:spacing w:after="200" w:line="276" w:lineRule="auto"/>
        <w:rPr>
          <w:rFonts w:ascii="Arial" w:hAnsi="Arial" w:eastAsia="Arial" w:cs="Arial"/>
          <w:sz w:val="22"/>
          <w:szCs w:val="22"/>
        </w:rPr>
      </w:pPr>
    </w:p>
    <w:p w14:paraId="42C6D1F6">
      <w:pPr>
        <w:spacing w:after="200" w:line="276" w:lineRule="auto"/>
        <w:rPr>
          <w:rFonts w:ascii="Arial" w:hAnsi="Arial" w:eastAsia="Arial" w:cs="Arial"/>
          <w:sz w:val="22"/>
          <w:szCs w:val="22"/>
        </w:rPr>
      </w:pPr>
    </w:p>
    <w:p w14:paraId="5E9CD018">
      <w:pPr>
        <w:spacing w:after="200" w:line="276" w:lineRule="auto"/>
        <w:rPr>
          <w:rFonts w:ascii="Arial" w:hAnsi="Arial" w:eastAsia="Arial" w:cs="Arial"/>
          <w:sz w:val="22"/>
          <w:szCs w:val="22"/>
        </w:rPr>
      </w:pPr>
    </w:p>
    <w:p w14:paraId="7B2C177B">
      <w:pPr>
        <w:spacing w:after="400"/>
        <w:jc w:val="center"/>
      </w:pPr>
      <w:r>
        <w:rPr>
          <w:rFonts w:ascii="Arial" w:hAnsi="Arial" w:eastAsia="Arial" w:cs="Arial"/>
          <w:b/>
          <w:bCs/>
          <w:sz w:val="36"/>
          <w:szCs w:val="36"/>
        </w:rPr>
        <w:t>MODULE 7</w:t>
      </w:r>
    </w:p>
    <w:p w14:paraId="60AF8B10">
      <w:pPr>
        <w:spacing w:after="200"/>
        <w:jc w:val="center"/>
      </w:pPr>
      <w:r>
        <w:rPr>
          <w:rFonts w:ascii="Arial" w:hAnsi="Arial" w:eastAsia="Arial" w:cs="Arial"/>
          <w:b/>
          <w:bCs/>
          <w:sz w:val="28"/>
          <w:szCs w:val="28"/>
        </w:rPr>
        <w:t>Advanced Market Timing</w:t>
      </w:r>
    </w:p>
    <w:p w14:paraId="5F0E6560">
      <w:pPr>
        <w:spacing w:after="400"/>
        <w:jc w:val="center"/>
      </w:pPr>
      <w:r>
        <w:rPr>
          <w:rFonts w:ascii="Arial" w:hAnsi="Arial" w:eastAsia="Arial" w:cs="Arial"/>
          <w:i/>
          <w:iCs/>
          <w:sz w:val="20"/>
          <w:szCs w:val="20"/>
        </w:rPr>
        <w:t>Time &amp; Price Theory, Opening Price, Kill Zones, Session Relationships, Time-Based Liquidity &amp; Expansion</w:t>
      </w:r>
    </w:p>
    <w:p w14:paraId="64A196D8">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Modules 1–6. Time is no longer a secondary filter applied after a setup appears; it is a primary constraint on when the delivery narrative is most likely to advance from one phase to the next.</w:t>
      </w:r>
    </w:p>
    <w:p w14:paraId="491C2B5A">
      <w:pPr>
        <w:pStyle w:val="2"/>
        <w:spacing w:before="360" w:after="240"/>
      </w:pPr>
      <w:r>
        <w:rPr>
          <w:rFonts w:ascii="Arial" w:hAnsi="Arial" w:eastAsia="Arial" w:cs="Arial"/>
          <w:b/>
          <w:bCs/>
          <w:sz w:val="32"/>
          <w:szCs w:val="32"/>
        </w:rPr>
        <w:t>Module Objectives</w:t>
      </w:r>
    </w:p>
    <w:p w14:paraId="29D92FFC">
      <w:pPr>
        <w:spacing w:after="200" w:line="276" w:lineRule="auto"/>
      </w:pPr>
      <w:r>
        <w:rPr>
          <w:rFonts w:ascii="Arial" w:hAnsi="Arial" w:eastAsia="Arial" w:cs="Arial"/>
          <w:sz w:val="22"/>
          <w:szCs w:val="22"/>
        </w:rPr>
        <w:t>By the end of this module the advanced student should be able to:</w:t>
      </w:r>
    </w:p>
    <w:p w14:paraId="76AD9453">
      <w:pPr>
        <w:pStyle w:val="16"/>
        <w:numPr>
          <w:ilvl w:val="0"/>
          <w:numId w:val="1"/>
        </w:numPr>
        <w:spacing w:after="120" w:line="276" w:lineRule="auto"/>
      </w:pPr>
      <w:r>
        <w:rPr>
          <w:rFonts w:ascii="Arial" w:hAnsi="Arial" w:eastAsia="Arial" w:cs="Arial"/>
          <w:sz w:val="22"/>
          <w:szCs w:val="22"/>
        </w:rPr>
        <w:t>State the relationship between time and price delivery as taught by ICT.</w:t>
      </w:r>
    </w:p>
    <w:p w14:paraId="2B4C8849">
      <w:pPr>
        <w:pStyle w:val="16"/>
        <w:numPr>
          <w:ilvl w:val="0"/>
          <w:numId w:val="1"/>
        </w:numPr>
        <w:spacing w:after="120" w:line="276" w:lineRule="auto"/>
      </w:pPr>
      <w:r>
        <w:rPr>
          <w:rFonts w:ascii="Arial" w:hAnsi="Arial" w:eastAsia="Arial" w:cs="Arial"/>
          <w:sz w:val="22"/>
          <w:szCs w:val="22"/>
        </w:rPr>
        <w:t>Use daily, weekly and session opening prices as reference points for manipulation and expansion.</w:t>
      </w:r>
    </w:p>
    <w:p w14:paraId="3263892F">
      <w:pPr>
        <w:pStyle w:val="16"/>
        <w:numPr>
          <w:ilvl w:val="0"/>
          <w:numId w:val="1"/>
        </w:numPr>
        <w:spacing w:after="120" w:line="276" w:lineRule="auto"/>
      </w:pPr>
      <w:r>
        <w:rPr>
          <w:rFonts w:ascii="Arial" w:hAnsi="Arial" w:eastAsia="Arial" w:cs="Arial"/>
          <w:sz w:val="22"/>
          <w:szCs w:val="22"/>
        </w:rPr>
        <w:t>Map the major kill zones (London Open, New York Open, and related windows) onto the expected phase of the daily delivery narrative.</w:t>
      </w:r>
    </w:p>
    <w:p w14:paraId="4991F09B">
      <w:pPr>
        <w:pStyle w:val="16"/>
        <w:numPr>
          <w:ilvl w:val="0"/>
          <w:numId w:val="1"/>
        </w:numPr>
        <w:spacing w:after="120" w:line="276" w:lineRule="auto"/>
      </w:pPr>
      <w:r>
        <w:rPr>
          <w:rFonts w:ascii="Arial" w:hAnsi="Arial" w:eastAsia="Arial" w:cs="Arial"/>
          <w:sz w:val="22"/>
          <w:szCs w:val="22"/>
        </w:rPr>
        <w:t>Anticipate time-based liquidity events and time-based expansion windows.</w:t>
      </w:r>
    </w:p>
    <w:p w14:paraId="247E1FE4">
      <w:pPr>
        <w:pStyle w:val="16"/>
        <w:numPr>
          <w:ilvl w:val="0"/>
          <w:numId w:val="1"/>
        </w:numPr>
        <w:spacing w:after="120" w:line="276" w:lineRule="auto"/>
      </w:pPr>
      <w:r>
        <w:rPr>
          <w:rFonts w:ascii="Arial" w:hAnsi="Arial" w:eastAsia="Arial" w:cs="Arial"/>
          <w:sz w:val="22"/>
          <w:szCs w:val="22"/>
        </w:rPr>
        <w:t>Recognise session transitions and the typical change in delivery behaviour that accompanies them.</w:t>
      </w:r>
    </w:p>
    <w:p w14:paraId="3A299A09">
      <w:pPr>
        <w:pStyle w:val="16"/>
        <w:numPr>
          <w:ilvl w:val="0"/>
          <w:numId w:val="1"/>
        </w:numPr>
        <w:spacing w:after="120" w:line="276" w:lineRule="auto"/>
      </w:pPr>
      <w:r>
        <w:rPr>
          <w:rFonts w:ascii="Arial" w:hAnsi="Arial" w:eastAsia="Arial" w:cs="Arial"/>
          <w:sz w:val="22"/>
          <w:szCs w:val="22"/>
        </w:rPr>
        <w:t>Subordinate lower-timeframe timing to the higher-timeframe delivery objective and controlling range.</w:t>
      </w:r>
    </w:p>
    <w:p w14:paraId="147E2CD8">
      <w:pPr>
        <w:pStyle w:val="16"/>
        <w:numPr>
          <w:ilvl w:val="0"/>
          <w:numId w:val="1"/>
        </w:numPr>
        <w:spacing w:after="120" w:line="276" w:lineRule="auto"/>
      </w:pPr>
      <w:r>
        <w:rPr>
          <w:rFonts w:ascii="Arial" w:hAnsi="Arial" w:eastAsia="Arial" w:cs="Arial"/>
          <w:sz w:val="22"/>
          <w:szCs w:val="22"/>
        </w:rPr>
        <w:t>Stand aside when time, liquidity and structure do not align, even if a PD array is present.</w:t>
      </w:r>
    </w:p>
    <w:p w14:paraId="66762C4E">
      <w:pPr>
        <w:pStyle w:val="2"/>
        <w:spacing w:before="360" w:after="240"/>
      </w:pPr>
      <w:r>
        <w:rPr>
          <w:rFonts w:ascii="Arial" w:hAnsi="Arial" w:eastAsia="Arial" w:cs="Arial"/>
          <w:b/>
          <w:bCs/>
          <w:sz w:val="32"/>
          <w:szCs w:val="32"/>
        </w:rPr>
        <w:t>1. Time &amp; Price Theory — Advanced Premise</w:t>
      </w:r>
    </w:p>
    <w:p w14:paraId="76DB0E09">
      <w:pPr>
        <w:pStyle w:val="3"/>
        <w:spacing w:before="280" w:after="180"/>
      </w:pPr>
      <w:r>
        <w:rPr>
          <w:rFonts w:ascii="Arial" w:hAnsi="Arial" w:eastAsia="Arial" w:cs="Arial"/>
          <w:b/>
          <w:bCs/>
          <w:sz w:val="26"/>
          <w:szCs w:val="26"/>
        </w:rPr>
        <w:t>1.1 Core ICT Claim</w:t>
      </w:r>
    </w:p>
    <w:p w14:paraId="1A4F5417">
      <w:pPr>
        <w:spacing w:after="200" w:line="276" w:lineRule="auto"/>
      </w:pPr>
      <w:r>
        <w:rPr>
          <w:rFonts w:ascii="Arial" w:hAnsi="Arial" w:eastAsia="Arial" w:cs="Arial"/>
          <w:sz w:val="22"/>
          <w:szCs w:val="22"/>
        </w:rPr>
        <w:t>ICT teaches that algorithmic price delivery is conditioned by time. Specific windows of the day and week concentrate institutional participation; outside those windows the same price levels often produce lower-quality or incomplete delivery. Time does not replace liquidity, structure or PD arrays; it decides when those elements are most likely to be activated.</w:t>
      </w:r>
    </w:p>
    <w:p w14:paraId="77188C5C">
      <w:pPr>
        <w:pStyle w:val="3"/>
        <w:spacing w:before="280" w:after="180"/>
      </w:pPr>
      <w:r>
        <w:rPr>
          <w:rFonts w:ascii="Arial" w:hAnsi="Arial" w:eastAsia="Arial" w:cs="Arial"/>
          <w:b/>
          <w:bCs/>
          <w:sz w:val="26"/>
          <w:szCs w:val="26"/>
        </w:rPr>
        <w:t>1.2 Operational Consequence</w:t>
      </w:r>
    </w:p>
    <w:p w14:paraId="68B6D623">
      <w:pPr>
        <w:spacing w:after="200" w:line="276" w:lineRule="auto"/>
      </w:pPr>
      <w:r>
        <w:rPr>
          <w:rFonts w:ascii="Arial" w:hAnsi="Arial" w:eastAsia="Arial" w:cs="Arial"/>
          <w:sz w:val="22"/>
          <w:szCs w:val="22"/>
        </w:rPr>
        <w:t>An advanced narrative always includes a time component: “Delivery from pool A toward pool B is expected to advance during [kill zone / session], conditioned by the opening price and the current dealing-range location.”</w:t>
      </w:r>
    </w:p>
    <w:p w14:paraId="79B4C06F">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Time conditioning of delivery, kill zones and session behaviour are core ICT. Exact minute boundaries vary slightly across presentations and must be adjusted for DST and broker server time.</w:t>
      </w:r>
    </w:p>
    <w:p w14:paraId="26E6269F">
      <w:pPr>
        <w:pStyle w:val="2"/>
        <w:spacing w:before="360" w:after="240"/>
      </w:pPr>
      <w:r>
        <w:rPr>
          <w:rFonts w:ascii="Arial" w:hAnsi="Arial" w:eastAsia="Arial" w:cs="Arial"/>
          <w:b/>
          <w:bCs/>
          <w:sz w:val="32"/>
          <w:szCs w:val="32"/>
        </w:rPr>
        <w:t>2. Higher-Timeframe Ranges as Time Containers</w:t>
      </w:r>
    </w:p>
    <w:p w14:paraId="72CC013A">
      <w:pPr>
        <w:pStyle w:val="3"/>
        <w:spacing w:before="280" w:after="180"/>
      </w:pPr>
      <w:r>
        <w:rPr>
          <w:rFonts w:ascii="Arial" w:hAnsi="Arial" w:eastAsia="Arial" w:cs="Arial"/>
          <w:b/>
          <w:bCs/>
          <w:sz w:val="26"/>
          <w:szCs w:val="26"/>
        </w:rPr>
        <w:t>2.1 Monthly and Weekly Ranges</w:t>
      </w:r>
    </w:p>
    <w:p w14:paraId="2D0DD8FC">
      <w:pPr>
        <w:spacing w:after="200" w:line="276" w:lineRule="auto"/>
      </w:pPr>
      <w:r>
        <w:rPr>
          <w:rFonts w:ascii="Arial" w:hAnsi="Arial" w:eastAsia="Arial" w:cs="Arial"/>
          <w:sz w:val="22"/>
          <w:szCs w:val="22"/>
        </w:rPr>
        <w:t>The monthly and weekly ranges set the macro time horizon for delivery. A weekly Draw on Liquidity that has not been reached by late week may still be active, but the probability of completion inside the current week declines if expansion has not begun by the middle of the week. Weekly opening behaviour often frames the first manipulation of the week.</w:t>
      </w:r>
    </w:p>
    <w:p w14:paraId="23E2FDE1">
      <w:pPr>
        <w:pStyle w:val="3"/>
        <w:spacing w:before="280" w:after="180"/>
      </w:pPr>
      <w:r>
        <w:rPr>
          <w:rFonts w:ascii="Arial" w:hAnsi="Arial" w:eastAsia="Arial" w:cs="Arial"/>
          <w:b/>
          <w:bCs/>
          <w:sz w:val="26"/>
          <w:szCs w:val="26"/>
        </w:rPr>
        <w:t>2.2 Daily Range</w:t>
      </w:r>
    </w:p>
    <w:p w14:paraId="11A5046C">
      <w:pPr>
        <w:spacing w:after="200" w:line="276" w:lineRule="auto"/>
      </w:pPr>
      <w:r>
        <w:rPr>
          <w:rFonts w:ascii="Arial" w:hAnsi="Arial" w:eastAsia="Arial" w:cs="Arial"/>
          <w:sz w:val="22"/>
          <w:szCs w:val="22"/>
        </w:rPr>
        <w:t>The daily range is the primary intraday time container. Its opening price is a central reference for the daily Power of 3 profile (Module 8 will deepen this). Expansion away from the daily open, after a manipulation that raids liquidity, is a classic signature of daily delivery.</w:t>
      </w:r>
    </w:p>
    <w:p w14:paraId="2F31DBC0">
      <w:pPr>
        <w:pStyle w:val="3"/>
        <w:spacing w:before="280" w:after="180"/>
      </w:pPr>
      <w:r>
        <w:rPr>
          <w:rFonts w:ascii="Arial" w:hAnsi="Arial" w:eastAsia="Arial" w:cs="Arial"/>
          <w:b/>
          <w:bCs/>
          <w:sz w:val="26"/>
          <w:szCs w:val="26"/>
        </w:rPr>
        <w:t>2.3 Session Range</w:t>
      </w:r>
    </w:p>
    <w:p w14:paraId="58E21415">
      <w:pPr>
        <w:spacing w:after="200" w:line="276" w:lineRule="auto"/>
      </w:pPr>
      <w:r>
        <w:rPr>
          <w:rFonts w:ascii="Arial" w:hAnsi="Arial" w:eastAsia="Arial" w:cs="Arial"/>
          <w:sz w:val="22"/>
          <w:szCs w:val="22"/>
        </w:rPr>
        <w:t>Each session (Asian, London, New York) prints its own high and low. These session extremes become short-term liquidity and the boundaries of session-scale dealing ranges. Session ranges nest inside the daily range exactly as lower-timeframe price ranges nest inside higher-timeframe ones.</w:t>
      </w:r>
    </w:p>
    <w:p w14:paraId="65190388">
      <w:pPr>
        <w:pStyle w:val="2"/>
        <w:spacing w:before="360" w:after="240"/>
      </w:pPr>
      <w:r>
        <w:rPr>
          <w:rFonts w:ascii="Arial" w:hAnsi="Arial" w:eastAsia="Arial" w:cs="Arial"/>
          <w:b/>
          <w:bCs/>
          <w:sz w:val="32"/>
          <w:szCs w:val="32"/>
        </w:rPr>
        <w:t>3. Opening Price</w:t>
      </w:r>
    </w:p>
    <w:p w14:paraId="6968666C">
      <w:pPr>
        <w:pStyle w:val="3"/>
        <w:spacing w:before="280" w:after="180"/>
      </w:pPr>
      <w:r>
        <w:rPr>
          <w:rFonts w:ascii="Arial" w:hAnsi="Arial" w:eastAsia="Arial" w:cs="Arial"/>
          <w:b/>
          <w:bCs/>
          <w:sz w:val="26"/>
          <w:szCs w:val="26"/>
        </w:rPr>
        <w:t>3.1 Daily Opening Price</w:t>
      </w:r>
    </w:p>
    <w:p w14:paraId="4842CD5E">
      <w:pPr>
        <w:spacing w:after="200" w:line="276" w:lineRule="auto"/>
      </w:pPr>
      <w:r>
        <w:rPr>
          <w:rFonts w:ascii="Arial" w:hAnsi="Arial" w:eastAsia="Arial" w:cs="Arial"/>
          <w:sz w:val="22"/>
          <w:szCs w:val="22"/>
        </w:rPr>
        <w:t>The daily open is a repeated ICT reference. On many classic bullish PO3 days, manipulation occurs below the open (sell-side raid) and distribution carries price above the open toward buy-side objectives. The mirror image appears on classic bearish days. The open is not a magic level; it is a reference that helps classify the day’s profile.</w:t>
      </w:r>
    </w:p>
    <w:p w14:paraId="01974AD7">
      <w:pPr>
        <w:pStyle w:val="3"/>
        <w:spacing w:before="280" w:after="180"/>
      </w:pPr>
      <w:r>
        <w:rPr>
          <w:rFonts w:ascii="Arial" w:hAnsi="Arial" w:eastAsia="Arial" w:cs="Arial"/>
          <w:b/>
          <w:bCs/>
          <w:sz w:val="26"/>
          <w:szCs w:val="26"/>
        </w:rPr>
        <w:t>3.2 Midnight / New York Midnight</w:t>
      </w:r>
    </w:p>
    <w:p w14:paraId="5FB99E4F">
      <w:pPr>
        <w:spacing w:after="200" w:line="276" w:lineRule="auto"/>
      </w:pPr>
      <w:r>
        <w:rPr>
          <w:rFonts w:ascii="Arial" w:hAnsi="Arial" w:eastAsia="Arial" w:cs="Arial"/>
          <w:sz w:val="22"/>
          <w:szCs w:val="22"/>
        </w:rPr>
        <w:t>ICT has referenced New York midnight and related overnight opens as timing anchors for certain algorithmic behaviours and for the start of the daily cycle in some instruments. Where primary support exists, the advanced student notes the midnight open as an additional reference; where support is thin, the daily open and session opens remain the primary anchors.</w:t>
      </w:r>
    </w:p>
    <w:p w14:paraId="7A4CECE7">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Daily open is heavily used. Midnight / New York midnight references appear in ICT material; weight them according to the specific instrument and the clarity of primary examples.</w:t>
      </w:r>
    </w:p>
    <w:p w14:paraId="4C167F2F">
      <w:pPr>
        <w:pStyle w:val="2"/>
        <w:spacing w:before="360" w:after="240"/>
      </w:pPr>
      <w:r>
        <w:rPr>
          <w:rFonts w:ascii="Arial" w:hAnsi="Arial" w:eastAsia="Arial" w:cs="Arial"/>
          <w:b/>
          <w:bCs/>
          <w:sz w:val="32"/>
          <w:szCs w:val="32"/>
        </w:rPr>
        <w:t>4. Kill Zones and Session Timing</w:t>
      </w:r>
    </w:p>
    <w:p w14:paraId="462AF9BB">
      <w:pPr>
        <w:pStyle w:val="3"/>
        <w:spacing w:before="280" w:after="180"/>
      </w:pPr>
      <w:r>
        <w:rPr>
          <w:rFonts w:ascii="Arial" w:hAnsi="Arial" w:eastAsia="Arial" w:cs="Arial"/>
          <w:b/>
          <w:bCs/>
          <w:sz w:val="26"/>
          <w:szCs w:val="26"/>
        </w:rPr>
        <w:t>4.1 London Open Kill Zone</w:t>
      </w:r>
    </w:p>
    <w:p w14:paraId="37BBA8F5">
      <w:pPr>
        <w:spacing w:after="200" w:line="276" w:lineRule="auto"/>
      </w:pPr>
      <w:r>
        <w:rPr>
          <w:rFonts w:ascii="Arial" w:hAnsi="Arial" w:eastAsia="Arial" w:cs="Arial"/>
          <w:sz w:val="22"/>
          <w:szCs w:val="22"/>
        </w:rPr>
        <w:t>Approximately 02:00–05:00 New York time (adjust for DST). Frequently the first major liquidity event of the FX day: sweep of Asian-range liquidity (manipulation), followed by displacement and the first clear daily directional expansion. High-probability window for the transition from accumulation/manipulation into distribution.</w:t>
      </w:r>
    </w:p>
    <w:p w14:paraId="55EDE023">
      <w:pPr>
        <w:pStyle w:val="3"/>
        <w:spacing w:before="280" w:after="180"/>
      </w:pPr>
      <w:r>
        <w:rPr>
          <w:rFonts w:ascii="Arial" w:hAnsi="Arial" w:eastAsia="Arial" w:cs="Arial"/>
          <w:b/>
          <w:bCs/>
          <w:sz w:val="26"/>
          <w:szCs w:val="26"/>
        </w:rPr>
        <w:t>4.2 New York Open Kill Zone</w:t>
      </w:r>
    </w:p>
    <w:p w14:paraId="66C75ED1">
      <w:pPr>
        <w:spacing w:after="200" w:line="276" w:lineRule="auto"/>
      </w:pPr>
      <w:r>
        <w:rPr>
          <w:rFonts w:ascii="Arial" w:hAnsi="Arial" w:eastAsia="Arial" w:cs="Arial"/>
          <w:sz w:val="22"/>
          <w:szCs w:val="22"/>
        </w:rPr>
        <w:t>Approximately 07:00–10:00 New York time (windows vary slightly by source; many focus on 07:00–09:00 or the 08:30–11:00 equity-linked period). Often continues or expands the London direction, or delivers a second liquidity event and displacement if London was only the manipulation phase. The London–New York overlap is typically the highest-volume period.</w:t>
      </w:r>
    </w:p>
    <w:p w14:paraId="0708FBFA">
      <w:pPr>
        <w:pStyle w:val="3"/>
        <w:spacing w:before="280" w:after="180"/>
      </w:pPr>
      <w:r>
        <w:rPr>
          <w:rFonts w:ascii="Arial" w:hAnsi="Arial" w:eastAsia="Arial" w:cs="Arial"/>
          <w:b/>
          <w:bCs/>
          <w:sz w:val="26"/>
          <w:szCs w:val="26"/>
        </w:rPr>
        <w:t>4.3 Asian Range</w:t>
      </w:r>
    </w:p>
    <w:p w14:paraId="788ED81F">
      <w:pPr>
        <w:spacing w:after="200" w:line="276" w:lineRule="auto"/>
      </w:pPr>
      <w:r>
        <w:rPr>
          <w:rFonts w:ascii="Arial" w:hAnsi="Arial" w:eastAsia="Arial" w:cs="Arial"/>
          <w:sz w:val="22"/>
          <w:szCs w:val="22"/>
        </w:rPr>
        <w:t>Primarily a range-building / accumulation window. Its high and low are the most important intraday liquidity references for London. Aggressive directional trading during Asia is lower probability for most pairs.</w:t>
      </w:r>
    </w:p>
    <w:p w14:paraId="58FC62AB">
      <w:pPr>
        <w:pStyle w:val="3"/>
        <w:spacing w:before="280" w:after="180"/>
      </w:pPr>
      <w:r>
        <w:rPr>
          <w:rFonts w:ascii="Arial" w:hAnsi="Arial" w:eastAsia="Arial" w:cs="Arial"/>
          <w:b/>
          <w:bCs/>
          <w:sz w:val="26"/>
          <w:szCs w:val="26"/>
        </w:rPr>
        <w:t>4.4 Other Windows</w:t>
      </w:r>
    </w:p>
    <w:p w14:paraId="4954F5ED">
      <w:pPr>
        <w:spacing w:after="200" w:line="276" w:lineRule="auto"/>
      </w:pPr>
      <w:r>
        <w:rPr>
          <w:rFonts w:ascii="Arial" w:hAnsi="Arial" w:eastAsia="Arial" w:cs="Arial"/>
          <w:sz w:val="22"/>
          <w:szCs w:val="22"/>
        </w:rPr>
        <w:t>London Close and New York PM windows can produce reversals, continuations or profit-taking depending on the day’s profile. They are secondary to the Open kill zones for most advanced models. Midday dead zones are stand-aside periods unless a higher-timeframe narrative is already in active expansion.</w:t>
      </w:r>
    </w:p>
    <w:p w14:paraId="2A3DB496">
      <w:pPr>
        <w:pStyle w:val="2"/>
        <w:spacing w:before="360" w:after="240"/>
      </w:pPr>
      <w:r>
        <w:rPr>
          <w:rFonts w:ascii="Arial" w:hAnsi="Arial" w:eastAsia="Arial" w:cs="Arial"/>
          <w:b/>
          <w:bCs/>
          <w:sz w:val="32"/>
          <w:szCs w:val="32"/>
        </w:rPr>
        <w:t>5. Kill-Zone Relationships and Session Transitions</w:t>
      </w:r>
    </w:p>
    <w:p w14:paraId="2DAD3124">
      <w:pPr>
        <w:pStyle w:val="3"/>
        <w:spacing w:before="280" w:after="180"/>
      </w:pPr>
      <w:r>
        <w:rPr>
          <w:rFonts w:ascii="Arial" w:hAnsi="Arial" w:eastAsia="Arial" w:cs="Arial"/>
          <w:b/>
          <w:bCs/>
          <w:sz w:val="26"/>
          <w:szCs w:val="26"/>
        </w:rPr>
        <w:t>5.1 Classic Sequence</w:t>
      </w:r>
    </w:p>
    <w:p w14:paraId="2B285BFF">
      <w:pPr>
        <w:spacing w:after="200" w:line="276" w:lineRule="auto"/>
      </w:pPr>
      <w:r>
        <w:rPr>
          <w:rFonts w:ascii="Arial" w:hAnsi="Arial" w:eastAsia="Arial" w:cs="Arial"/>
          <w:sz w:val="22"/>
          <w:szCs w:val="22"/>
        </w:rPr>
        <w:t>Asian consolidation → London manipulation (sweep of Asian extreme) + initial displacement → New York continuation or secondary expansion toward the daily / higher-timeframe Draw on Liquidity. This sequence is the time-map of many daily delivery legs.</w:t>
      </w:r>
    </w:p>
    <w:p w14:paraId="33FEF59B">
      <w:pPr>
        <w:pStyle w:val="3"/>
        <w:spacing w:before="280" w:after="180"/>
      </w:pPr>
      <w:r>
        <w:rPr>
          <w:rFonts w:ascii="Arial" w:hAnsi="Arial" w:eastAsia="Arial" w:cs="Arial"/>
          <w:b/>
          <w:bCs/>
          <w:sz w:val="26"/>
          <w:szCs w:val="26"/>
        </w:rPr>
        <w:t>5.2 Transition Behaviour</w:t>
      </w:r>
    </w:p>
    <w:p w14:paraId="2AB13043">
      <w:pPr>
        <w:spacing w:after="200" w:line="276" w:lineRule="auto"/>
      </w:pPr>
      <w:r>
        <w:rPr>
          <w:rFonts w:ascii="Arial" w:hAnsi="Arial" w:eastAsia="Arial" w:cs="Arial"/>
          <w:sz w:val="22"/>
          <w:szCs w:val="22"/>
        </w:rPr>
        <w:t>At session transitions, liquidity and volatility often increase. The advanced student expects the possibility of a final raid of the outgoing session’s extreme and the start of the incoming session’s delivery phase. Narratives that ignore the transition frequently mis-time entries.</w:t>
      </w:r>
    </w:p>
    <w:p w14:paraId="79FC223F">
      <w:pPr>
        <w:pStyle w:val="3"/>
        <w:spacing w:before="280" w:after="180"/>
      </w:pPr>
      <w:r>
        <w:rPr>
          <w:rFonts w:ascii="Arial" w:hAnsi="Arial" w:eastAsia="Arial" w:cs="Arial"/>
          <w:b/>
          <w:bCs/>
          <w:sz w:val="26"/>
          <w:szCs w:val="26"/>
        </w:rPr>
        <w:t>5.3 Relationship to Delivery Conditions</w:t>
      </w:r>
    </w:p>
    <w:p w14:paraId="6E6588B8">
      <w:pPr>
        <w:spacing w:after="200" w:line="276" w:lineRule="auto"/>
      </w:pPr>
      <w:r>
        <w:rPr>
          <w:rFonts w:ascii="Arial" w:hAnsi="Arial" w:eastAsia="Arial" w:cs="Arial"/>
          <w:sz w:val="22"/>
          <w:szCs w:val="22"/>
        </w:rPr>
        <w:t>Consolidation is common in Asia. Expansion is common in London and New York kill zones. Retracement often occurs after the first expansion, still inside the kill zone or in the early continuation window. Reversal that ends a daily leg is more likely to print with external MSS and opposing displacement, often near session extremes or during the opposing kill zone.</w:t>
      </w:r>
    </w:p>
    <w:p w14:paraId="492863AB">
      <w:pPr>
        <w:pStyle w:val="2"/>
        <w:spacing w:before="360" w:after="240"/>
      </w:pPr>
      <w:r>
        <w:rPr>
          <w:rFonts w:ascii="Arial" w:hAnsi="Arial" w:eastAsia="Arial" w:cs="Arial"/>
          <w:b/>
          <w:bCs/>
          <w:sz w:val="32"/>
          <w:szCs w:val="32"/>
        </w:rPr>
        <w:t>6. Time-Based Liquidity Events and Expansion</w:t>
      </w:r>
    </w:p>
    <w:p w14:paraId="60BA5538">
      <w:pPr>
        <w:pStyle w:val="3"/>
        <w:spacing w:before="280" w:after="180"/>
      </w:pPr>
      <w:r>
        <w:rPr>
          <w:rFonts w:ascii="Arial" w:hAnsi="Arial" w:eastAsia="Arial" w:cs="Arial"/>
          <w:b/>
          <w:bCs/>
          <w:sz w:val="26"/>
          <w:szCs w:val="26"/>
        </w:rPr>
        <w:t>6.1 Time-Based Liquidity</w:t>
      </w:r>
    </w:p>
    <w:p w14:paraId="64208BA9">
      <w:pPr>
        <w:spacing w:after="200" w:line="276" w:lineRule="auto"/>
      </w:pPr>
      <w:r>
        <w:rPr>
          <w:rFonts w:ascii="Arial" w:hAnsi="Arial" w:eastAsia="Arial" w:cs="Arial"/>
          <w:sz w:val="22"/>
          <w:szCs w:val="22"/>
        </w:rPr>
        <w:t>Certain liquidity pools are more likely to be raided at specific times: Asian high/low at London Open, prior day high/low around New York Open, weekly extremes mid-week, etc. Linking the Draw on Liquidity to the kill zone that is most likely to attack it raises narrative precision.</w:t>
      </w:r>
    </w:p>
    <w:p w14:paraId="5CB8FD6C">
      <w:pPr>
        <w:pStyle w:val="3"/>
        <w:spacing w:before="280" w:after="180"/>
      </w:pPr>
      <w:r>
        <w:rPr>
          <w:rFonts w:ascii="Arial" w:hAnsi="Arial" w:eastAsia="Arial" w:cs="Arial"/>
          <w:b/>
          <w:bCs/>
          <w:sz w:val="26"/>
          <w:szCs w:val="26"/>
        </w:rPr>
        <w:t>6.2 Time-Based Expansion</w:t>
      </w:r>
    </w:p>
    <w:p w14:paraId="53337AB5">
      <w:pPr>
        <w:spacing w:after="200" w:line="276" w:lineRule="auto"/>
      </w:pPr>
      <w:r>
        <w:rPr>
          <w:rFonts w:ascii="Arial" w:hAnsi="Arial" w:eastAsia="Arial" w:cs="Arial"/>
          <w:sz w:val="22"/>
          <w:szCs w:val="22"/>
        </w:rPr>
        <w:t>Expansion that begins inside a kill zone and is supported by displacement and MSS is higher quality than expansion that begins in a dead zone. Time does not create the expansion; it conditions the probability that an expansion will be sustained.</w:t>
      </w:r>
    </w:p>
    <w:p w14:paraId="7FD4D3C0">
      <w:pPr>
        <w:pStyle w:val="2"/>
        <w:spacing w:before="360" w:after="240"/>
      </w:pPr>
      <w:r>
        <w:rPr>
          <w:rFonts w:ascii="Arial" w:hAnsi="Arial" w:eastAsia="Arial" w:cs="Arial"/>
          <w:b/>
          <w:bCs/>
          <w:sz w:val="32"/>
          <w:szCs w:val="32"/>
        </w:rPr>
        <w:t>7. Integrating Time into the Full Narrative</w:t>
      </w:r>
    </w:p>
    <w:p w14:paraId="68A96709">
      <w:pPr>
        <w:spacing w:after="200" w:line="276" w:lineRule="auto"/>
      </w:pPr>
      <w:r>
        <w:rPr>
          <w:rFonts w:ascii="Arial" w:hAnsi="Arial" w:eastAsia="Arial" w:cs="Arial"/>
          <w:sz w:val="22"/>
          <w:szCs w:val="22"/>
        </w:rPr>
        <w:t>A complete advanced narrative now contains:</w:t>
      </w:r>
    </w:p>
    <w:p w14:paraId="390C6DDF">
      <w:pPr>
        <w:pStyle w:val="16"/>
        <w:numPr>
          <w:ilvl w:val="0"/>
          <w:numId w:val="1"/>
        </w:numPr>
        <w:spacing w:after="120" w:line="276" w:lineRule="auto"/>
      </w:pPr>
      <w:r>
        <w:rPr>
          <w:rFonts w:ascii="Arial" w:hAnsi="Arial" w:eastAsia="Arial" w:cs="Arial"/>
          <w:sz w:val="22"/>
          <w:szCs w:val="22"/>
        </w:rPr>
        <w:t>Delivery objective (Draw on Liquidity) — Modules 1 &amp; 3</w:t>
      </w:r>
    </w:p>
    <w:p w14:paraId="3D2E96A1">
      <w:pPr>
        <w:pStyle w:val="16"/>
        <w:numPr>
          <w:ilvl w:val="0"/>
          <w:numId w:val="1"/>
        </w:numPr>
        <w:spacing w:after="120" w:line="276" w:lineRule="auto"/>
      </w:pPr>
      <w:r>
        <w:rPr>
          <w:rFonts w:ascii="Arial" w:hAnsi="Arial" w:eastAsia="Arial" w:cs="Arial"/>
          <w:sz w:val="22"/>
          <w:szCs w:val="22"/>
        </w:rPr>
        <w:t>Controlling dealing range and premium/discount — Module 2</w:t>
      </w:r>
    </w:p>
    <w:p w14:paraId="5C5232F2">
      <w:pPr>
        <w:pStyle w:val="16"/>
        <w:numPr>
          <w:ilvl w:val="0"/>
          <w:numId w:val="1"/>
        </w:numPr>
        <w:spacing w:after="120" w:line="276" w:lineRule="auto"/>
      </w:pPr>
      <w:r>
        <w:rPr>
          <w:rFonts w:ascii="Arial" w:hAnsi="Arial" w:eastAsia="Arial" w:cs="Arial"/>
          <w:sz w:val="22"/>
          <w:szCs w:val="22"/>
        </w:rPr>
        <w:t>Structural confirmation status — Module 4</w:t>
      </w:r>
    </w:p>
    <w:p w14:paraId="7EA044EA">
      <w:pPr>
        <w:pStyle w:val="16"/>
        <w:numPr>
          <w:ilvl w:val="0"/>
          <w:numId w:val="1"/>
        </w:numPr>
        <w:spacing w:after="120" w:line="276" w:lineRule="auto"/>
      </w:pPr>
      <w:r>
        <w:rPr>
          <w:rFonts w:ascii="Arial" w:hAnsi="Arial" w:eastAsia="Arial" w:cs="Arial"/>
          <w:sz w:val="22"/>
          <w:szCs w:val="22"/>
        </w:rPr>
        <w:t>PD-array / imbalance location for entry — Modules 5 &amp; 6</w:t>
      </w:r>
    </w:p>
    <w:p w14:paraId="338A4FA0">
      <w:pPr>
        <w:pStyle w:val="16"/>
        <w:numPr>
          <w:ilvl w:val="0"/>
          <w:numId w:val="1"/>
        </w:numPr>
        <w:spacing w:after="120" w:line="276" w:lineRule="auto"/>
      </w:pPr>
      <w:r>
        <w:rPr>
          <w:rFonts w:ascii="Arial" w:hAnsi="Arial" w:eastAsia="Arial" w:cs="Arial"/>
          <w:sz w:val="22"/>
          <w:szCs w:val="22"/>
        </w:rPr>
        <w:t>Time window in which the next phase of delivery is expected — this module</w:t>
      </w:r>
    </w:p>
    <w:p w14:paraId="2CED3092">
      <w:pPr>
        <w:spacing w:after="200" w:line="276" w:lineRule="auto"/>
      </w:pPr>
      <w:r>
        <w:rPr>
          <w:rFonts w:ascii="Arial" w:hAnsi="Arial" w:eastAsia="Arial" w:cs="Arial"/>
          <w:sz w:val="22"/>
          <w:szCs w:val="22"/>
        </w:rPr>
        <w:t>Missing the time component produces correct levels traded at the wrong moment.</w:t>
      </w:r>
    </w:p>
    <w:p w14:paraId="5AED47DF">
      <w:pPr>
        <w:pStyle w:val="2"/>
        <w:spacing w:before="360" w:after="240"/>
      </w:pPr>
      <w:r>
        <w:rPr>
          <w:rFonts w:ascii="Arial" w:hAnsi="Arial" w:eastAsia="Arial" w:cs="Arial"/>
          <w:b/>
          <w:bCs/>
          <w:sz w:val="32"/>
          <w:szCs w:val="32"/>
        </w:rPr>
        <w:t>8. Worked Narrative — Time-Conditioned Delivery</w:t>
      </w:r>
    </w:p>
    <w:p w14:paraId="63C7D096">
      <w:pPr>
        <w:spacing w:after="200" w:line="276" w:lineRule="auto"/>
      </w:pPr>
      <w:r>
        <w:rPr>
          <w:rFonts w:ascii="Arial" w:hAnsi="Arial" w:eastAsia="Arial" w:cs="Arial"/>
          <w:sz w:val="22"/>
          <w:szCs w:val="22"/>
        </w:rPr>
        <w:t>Weekly DOL: buy-side above 1.1200. Daily range in discount. Asian range: 1.0620–1.0680.</w:t>
      </w:r>
    </w:p>
    <w:p w14:paraId="0BFCF8B9">
      <w:pPr>
        <w:spacing w:after="200" w:line="276" w:lineRule="auto"/>
      </w:pPr>
      <w:r>
        <w:rPr>
          <w:rFonts w:ascii="Arial" w:hAnsi="Arial" w:eastAsia="Arial" w:cs="Arial"/>
          <w:sz w:val="22"/>
          <w:szCs w:val="22"/>
        </w:rPr>
        <w:t>Pre-London narrative: Expect London to raid Asian low (sell-side), then displace higher if the weekly bullish delivery is active. Kill zone of interest: London Open.</w:t>
      </w:r>
    </w:p>
    <w:p w14:paraId="5A6C857F">
      <w:pPr>
        <w:spacing w:after="200" w:line="276" w:lineRule="auto"/>
      </w:pPr>
      <w:r>
        <w:rPr>
          <w:rFonts w:ascii="Arial" w:hAnsi="Arial" w:eastAsia="Arial" w:cs="Arial"/>
          <w:sz w:val="22"/>
          <w:szCs w:val="22"/>
        </w:rPr>
        <w:t>London: Asian low swept at 1.0610; bullish displacement and 15-minute MSS; FVG left at 1.0635–1.0660. Entry on retracement into FVG/CE during London or early New York.</w:t>
      </w:r>
    </w:p>
    <w:p w14:paraId="7F02DEE5">
      <w:pPr>
        <w:spacing w:after="200" w:line="276" w:lineRule="auto"/>
      </w:pPr>
      <w:r>
        <w:rPr>
          <w:rFonts w:ascii="Arial" w:hAnsi="Arial" w:eastAsia="Arial" w:cs="Arial"/>
          <w:sz w:val="22"/>
          <w:szCs w:val="22"/>
        </w:rPr>
        <w:t>New York: Continues the expansion toward daily and then weekly buy-side objectives.</w:t>
      </w:r>
    </w:p>
    <w:p w14:paraId="55974F71">
      <w:pPr>
        <w:spacing w:after="200" w:line="276" w:lineRule="auto"/>
      </w:pPr>
      <w:r>
        <w:rPr>
          <w:rFonts w:ascii="Arial" w:hAnsi="Arial" w:eastAsia="Arial" w:cs="Arial"/>
          <w:sz w:val="22"/>
          <w:szCs w:val="22"/>
        </w:rPr>
        <w:t>Time statement: “The liquidity raid and the first displacement were expected in the London Open kill zone; continuation was expected in the New York window. Outside those windows the same levels would have been lower probability.”</w:t>
      </w:r>
    </w:p>
    <w:p w14:paraId="7E64C181">
      <w:pPr>
        <w:pStyle w:val="2"/>
        <w:spacing w:before="360" w:after="240"/>
      </w:pPr>
      <w:r>
        <w:rPr>
          <w:rFonts w:ascii="Arial" w:hAnsi="Arial" w:eastAsia="Arial" w:cs="Arial"/>
          <w:b/>
          <w:bCs/>
          <w:sz w:val="32"/>
          <w:szCs w:val="32"/>
        </w:rPr>
        <w:t>Visual Reference — Daily Time Map of Delivery</w:t>
      </w:r>
    </w:p>
    <w:p w14:paraId="73FDD2D1">
      <w:pPr>
        <w:spacing w:after="0" w:line="240" w:lineRule="auto"/>
      </w:pPr>
      <w:r>
        <w:rPr>
          <w:rFonts w:ascii="Courier New" w:hAnsi="Courier New" w:eastAsia="Courier New" w:cs="Courier New"/>
          <w:sz w:val="18"/>
          <w:szCs w:val="18"/>
        </w:rPr>
        <w:t>Asian          London KZ        NY Open KZ</w:t>
      </w:r>
    </w:p>
    <w:p w14:paraId="63CDBA2D">
      <w:pPr>
        <w:spacing w:after="0" w:line="240" w:lineRule="auto"/>
      </w:pPr>
      <w:r>
        <w:rPr>
          <w:rFonts w:ascii="Courier New" w:hAnsi="Courier New" w:eastAsia="Courier New" w:cs="Courier New"/>
          <w:sz w:val="18"/>
          <w:szCs w:val="18"/>
        </w:rPr>
        <w:t>────────       ──────────       ──────────</w:t>
      </w:r>
    </w:p>
    <w:p w14:paraId="42E86904">
      <w:pPr>
        <w:spacing w:after="0" w:line="240" w:lineRule="auto"/>
      </w:pPr>
      <w:r>
        <w:rPr>
          <w:rFonts w:ascii="Courier New" w:hAnsi="Courier New" w:eastAsia="Courier New" w:cs="Courier New"/>
          <w:sz w:val="18"/>
          <w:szCs w:val="18"/>
        </w:rPr>
        <w:t>Consolidation  Manipulation    Continuation</w:t>
      </w:r>
    </w:p>
    <w:p w14:paraId="146ADF38">
      <w:pPr>
        <w:spacing w:after="0" w:line="240" w:lineRule="auto"/>
      </w:pPr>
      <w:r>
        <w:rPr>
          <w:rFonts w:ascii="Courier New" w:hAnsi="Courier New" w:eastAsia="Courier New" w:cs="Courier New"/>
          <w:sz w:val="18"/>
          <w:szCs w:val="18"/>
        </w:rPr>
        <w:t>Range builds   Sweep + Disp.   / Expansion</w:t>
      </w:r>
    </w:p>
    <w:p w14:paraId="37082B57">
      <w:pPr>
        <w:spacing w:after="0" w:line="240" w:lineRule="auto"/>
      </w:pPr>
      <w:r>
        <w:rPr>
          <w:rFonts w:ascii="Courier New" w:hAnsi="Courier New" w:eastAsia="Courier New" w:cs="Courier New"/>
          <w:sz w:val="18"/>
          <w:szCs w:val="18"/>
        </w:rPr>
        <w:t xml:space="preserve">               + MSS + FVG     toward DOL</w:t>
      </w:r>
    </w:p>
    <w:p w14:paraId="69EFFD94">
      <w:pPr>
        <w:spacing w:after="0" w:line="240" w:lineRule="auto"/>
      </w:pPr>
      <w:r>
        <w:rPr>
          <w:rFonts w:ascii="Courier New" w:hAnsi="Courier New" w:eastAsia="Courier New" w:cs="Courier New"/>
          <w:sz w:val="18"/>
          <w:szCs w:val="18"/>
        </w:rPr>
        <w:t xml:space="preserve">               Retracement</w:t>
      </w:r>
    </w:p>
    <w:p w14:paraId="56AB15FB">
      <w:pPr>
        <w:spacing w:after="0" w:line="240" w:lineRule="auto"/>
      </w:pPr>
      <w:r>
        <w:rPr>
          <w:rFonts w:ascii="Courier New" w:hAnsi="Courier New" w:eastAsia="Courier New" w:cs="Courier New"/>
          <w:sz w:val="18"/>
          <w:szCs w:val="18"/>
        </w:rPr>
        <w:t xml:space="preserve">               entry window</w:t>
      </w:r>
    </w:p>
    <w:p w14:paraId="5DD215AB">
      <w:pPr>
        <w:pStyle w:val="2"/>
        <w:spacing w:before="360" w:after="240"/>
      </w:pPr>
      <w:r>
        <w:rPr>
          <w:rFonts w:ascii="Arial" w:hAnsi="Arial" w:eastAsia="Arial" w:cs="Arial"/>
          <w:b/>
          <w:bCs/>
          <w:sz w:val="32"/>
          <w:szCs w:val="32"/>
        </w:rPr>
        <w:t>9. Failure Conditions</w:t>
      </w:r>
    </w:p>
    <w:p w14:paraId="0623FCF9">
      <w:pPr>
        <w:spacing w:after="200" w:line="276" w:lineRule="auto"/>
      </w:pPr>
      <w:r>
        <w:rPr>
          <w:rFonts w:ascii="Arial" w:hAnsi="Arial" w:eastAsia="Arial" w:cs="Arial"/>
          <w:sz w:val="22"/>
          <w:szCs w:val="22"/>
        </w:rPr>
        <w:t>Time-based expectations fail when:</w:t>
      </w:r>
    </w:p>
    <w:p w14:paraId="4AA3C4AC">
      <w:pPr>
        <w:pStyle w:val="16"/>
        <w:numPr>
          <w:ilvl w:val="0"/>
          <w:numId w:val="1"/>
        </w:numPr>
        <w:spacing w:after="120" w:line="276" w:lineRule="auto"/>
      </w:pPr>
      <w:r>
        <w:rPr>
          <w:rFonts w:ascii="Arial" w:hAnsi="Arial" w:eastAsia="Arial" w:cs="Arial"/>
          <w:sz w:val="22"/>
          <w:szCs w:val="22"/>
        </w:rPr>
        <w:t>The expected kill zone produces no liquidity event and no displacement (narrative may be delayed or incorrect).</w:t>
      </w:r>
    </w:p>
    <w:p w14:paraId="59623B4A">
      <w:pPr>
        <w:pStyle w:val="16"/>
        <w:numPr>
          <w:ilvl w:val="0"/>
          <w:numId w:val="1"/>
        </w:numPr>
        <w:spacing w:after="120" w:line="276" w:lineRule="auto"/>
      </w:pPr>
      <w:r>
        <w:rPr>
          <w:rFonts w:ascii="Arial" w:hAnsi="Arial" w:eastAsia="Arial" w:cs="Arial"/>
          <w:sz w:val="22"/>
          <w:szCs w:val="22"/>
        </w:rPr>
        <w:t>Expansion begins in a dead zone and is immediately reversed (low-quality expansion).</w:t>
      </w:r>
    </w:p>
    <w:p w14:paraId="3C8FBD72">
      <w:pPr>
        <w:pStyle w:val="16"/>
        <w:numPr>
          <w:ilvl w:val="0"/>
          <w:numId w:val="1"/>
        </w:numPr>
        <w:spacing w:after="120" w:line="276" w:lineRule="auto"/>
      </w:pPr>
      <w:r>
        <w:rPr>
          <w:rFonts w:ascii="Arial" w:hAnsi="Arial" w:eastAsia="Arial" w:cs="Arial"/>
          <w:sz w:val="22"/>
          <w:szCs w:val="22"/>
        </w:rPr>
        <w:t>A higher-timeframe opposing force overrides the daily time map.</w:t>
      </w:r>
    </w:p>
    <w:p w14:paraId="64C62212">
      <w:pPr>
        <w:spacing w:after="200" w:line="276" w:lineRule="auto"/>
      </w:pPr>
      <w:r>
        <w:rPr>
          <w:rFonts w:ascii="Arial" w:hAnsi="Arial" w:eastAsia="Arial" w:cs="Arial"/>
          <w:sz w:val="22"/>
          <w:szCs w:val="22"/>
        </w:rPr>
        <w:t>Failure of the time map requires a re-check of the liquidity and structural narrative, not a forced trade in the next window.</w:t>
      </w:r>
    </w:p>
    <w:p w14:paraId="5EEB2E6B">
      <w:pPr>
        <w:pStyle w:val="2"/>
        <w:spacing w:before="360" w:after="240"/>
      </w:pPr>
      <w:r>
        <w:rPr>
          <w:rFonts w:ascii="Arial" w:hAnsi="Arial" w:eastAsia="Arial" w:cs="Arial"/>
          <w:b/>
          <w:bCs/>
          <w:sz w:val="32"/>
          <w:szCs w:val="32"/>
        </w:rPr>
        <w:t>10. Common Misinterpretations</w:t>
      </w:r>
    </w:p>
    <w:p w14:paraId="0A4FF598">
      <w:pPr>
        <w:pStyle w:val="16"/>
        <w:numPr>
          <w:ilvl w:val="0"/>
          <w:numId w:val="1"/>
        </w:numPr>
        <w:spacing w:after="120" w:line="276" w:lineRule="auto"/>
      </w:pPr>
      <w:r>
        <w:rPr>
          <w:rFonts w:ascii="Arial" w:hAnsi="Arial" w:eastAsia="Arial" w:cs="Arial"/>
          <w:sz w:val="22"/>
          <w:szCs w:val="22"/>
        </w:rPr>
        <w:t>Trading every kill zone regardless of whether a delivery narrative is active.</w:t>
      </w:r>
    </w:p>
    <w:p w14:paraId="6CBFE28C">
      <w:pPr>
        <w:pStyle w:val="16"/>
        <w:numPr>
          <w:ilvl w:val="0"/>
          <w:numId w:val="1"/>
        </w:numPr>
        <w:spacing w:after="120" w:line="276" w:lineRule="auto"/>
      </w:pPr>
      <w:r>
        <w:rPr>
          <w:rFonts w:ascii="Arial" w:hAnsi="Arial" w:eastAsia="Arial" w:cs="Arial"/>
          <w:sz w:val="22"/>
          <w:szCs w:val="22"/>
        </w:rPr>
        <w:t>Ignoring the daily or weekly open when classifying the day’s profile.</w:t>
      </w:r>
    </w:p>
    <w:p w14:paraId="54CCC1EA">
      <w:pPr>
        <w:pStyle w:val="16"/>
        <w:numPr>
          <w:ilvl w:val="0"/>
          <w:numId w:val="1"/>
        </w:numPr>
        <w:spacing w:after="120" w:line="276" w:lineRule="auto"/>
      </w:pPr>
      <w:r>
        <w:rPr>
          <w:rFonts w:ascii="Arial" w:hAnsi="Arial" w:eastAsia="Arial" w:cs="Arial"/>
          <w:sz w:val="22"/>
          <w:szCs w:val="22"/>
        </w:rPr>
        <w:t>Treating kill-zone times as exact to the minute on every broker without DST/server adjustment.</w:t>
      </w:r>
    </w:p>
    <w:p w14:paraId="04573338">
      <w:pPr>
        <w:pStyle w:val="16"/>
        <w:numPr>
          <w:ilvl w:val="0"/>
          <w:numId w:val="1"/>
        </w:numPr>
        <w:spacing w:after="120" w:line="276" w:lineRule="auto"/>
      </w:pPr>
      <w:r>
        <w:rPr>
          <w:rFonts w:ascii="Arial" w:hAnsi="Arial" w:eastAsia="Arial" w:cs="Arial"/>
          <w:sz w:val="22"/>
          <w:szCs w:val="22"/>
        </w:rPr>
        <w:t>Elevating a lower-timeframe signal that appears outside any relevant kill zone to the same quality as an in-window signal.</w:t>
      </w:r>
    </w:p>
    <w:p w14:paraId="3BBED1D9">
      <w:pPr>
        <w:pStyle w:val="16"/>
        <w:numPr>
          <w:ilvl w:val="0"/>
          <w:numId w:val="1"/>
        </w:numPr>
        <w:spacing w:after="120" w:line="276" w:lineRule="auto"/>
      </w:pPr>
      <w:r>
        <w:rPr>
          <w:rFonts w:ascii="Arial" w:hAnsi="Arial" w:eastAsia="Arial" w:cs="Arial"/>
          <w:sz w:val="22"/>
          <w:szCs w:val="22"/>
        </w:rPr>
        <w:t>Assuming that if London did nothing, New York must reverse (the higher-timeframe narrative still governs).</w:t>
      </w:r>
    </w:p>
    <w:p w14:paraId="3A416DB7">
      <w:pPr>
        <w:pStyle w:val="2"/>
        <w:spacing w:before="360" w:after="240"/>
      </w:pPr>
      <w:r>
        <w:rPr>
          <w:rFonts w:ascii="Arial" w:hAnsi="Arial" w:eastAsia="Arial" w:cs="Arial"/>
          <w:b/>
          <w:bCs/>
          <w:sz w:val="32"/>
          <w:szCs w:val="32"/>
        </w:rPr>
        <w:t>11. Evidence Summary</w:t>
      </w:r>
    </w:p>
    <w:p w14:paraId="1C5A2307">
      <w:pPr>
        <w:spacing w:after="200" w:line="276" w:lineRule="auto"/>
      </w:pPr>
      <w:r>
        <w:rPr>
          <w:rFonts w:ascii="Arial" w:hAnsi="Arial" w:eastAsia="Arial" w:cs="Arial"/>
          <w:sz w:val="22"/>
          <w:szCs w:val="22"/>
        </w:rPr>
        <w:t>Kill zones, session behaviour, the role of the Asian range, the daily open as a PO3 reference, and the conditioning of delivery by time are core ICT. Exact minute boundaries show minor variation; New York local time is the usual reference. Midnight-open emphasis appears in specific ICT contexts. Community timing tables are useful only when they remain faithful to primary kill-zone and session logic.</w:t>
      </w:r>
    </w:p>
    <w:p w14:paraId="20C51B2A">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Primary orientation: ICT mentorship and public material on kill zones, session profiles, daily open, and time-conditioned algorithmic delivery. Secondary timing tables used only for cross-reference and always subordinated to primary teaching and broker-specific time.</w:t>
      </w:r>
    </w:p>
    <w:p w14:paraId="134AB49E">
      <w:pPr>
        <w:pStyle w:val="2"/>
        <w:spacing w:before="360" w:after="240"/>
      </w:pPr>
      <w:r>
        <w:rPr>
          <w:rFonts w:ascii="Arial" w:hAnsi="Arial" w:eastAsia="Arial" w:cs="Arial"/>
          <w:b/>
          <w:bCs/>
          <w:sz w:val="32"/>
          <w:szCs w:val="32"/>
        </w:rPr>
        <w:t>What You Should Now Be Able to Do</w:t>
      </w:r>
    </w:p>
    <w:p w14:paraId="1D73457A">
      <w:pPr>
        <w:pStyle w:val="16"/>
        <w:numPr>
          <w:ilvl w:val="0"/>
          <w:numId w:val="1"/>
        </w:numPr>
        <w:spacing w:after="120" w:line="276" w:lineRule="auto"/>
      </w:pPr>
      <w:r>
        <w:rPr>
          <w:rFonts w:ascii="Arial" w:hAnsi="Arial" w:eastAsia="Arial" w:cs="Arial"/>
          <w:sz w:val="22"/>
          <w:szCs w:val="22"/>
        </w:rPr>
        <w:t>Include a time window in every delivery narrative.</w:t>
      </w:r>
    </w:p>
    <w:p w14:paraId="15C838E4">
      <w:pPr>
        <w:pStyle w:val="16"/>
        <w:numPr>
          <w:ilvl w:val="0"/>
          <w:numId w:val="1"/>
        </w:numPr>
        <w:spacing w:after="120" w:line="276" w:lineRule="auto"/>
      </w:pPr>
      <w:r>
        <w:rPr>
          <w:rFonts w:ascii="Arial" w:hAnsi="Arial" w:eastAsia="Arial" w:cs="Arial"/>
          <w:sz w:val="22"/>
          <w:szCs w:val="22"/>
        </w:rPr>
        <w:t>Link the expected liquidity raid and first displacement to the appropriate kill zone.</w:t>
      </w:r>
    </w:p>
    <w:p w14:paraId="0B648C73">
      <w:pPr>
        <w:pStyle w:val="16"/>
        <w:numPr>
          <w:ilvl w:val="0"/>
          <w:numId w:val="1"/>
        </w:numPr>
        <w:spacing w:after="120" w:line="276" w:lineRule="auto"/>
      </w:pPr>
      <w:r>
        <w:rPr>
          <w:rFonts w:ascii="Arial" w:hAnsi="Arial" w:eastAsia="Arial" w:cs="Arial"/>
          <w:sz w:val="22"/>
          <w:szCs w:val="22"/>
        </w:rPr>
        <w:t>Use the daily (and where relevant weekly) open as a profile reference.</w:t>
      </w:r>
    </w:p>
    <w:p w14:paraId="6F1164A2">
      <w:pPr>
        <w:pStyle w:val="16"/>
        <w:numPr>
          <w:ilvl w:val="0"/>
          <w:numId w:val="1"/>
        </w:numPr>
        <w:spacing w:after="120" w:line="276" w:lineRule="auto"/>
      </w:pPr>
      <w:r>
        <w:rPr>
          <w:rFonts w:ascii="Arial" w:hAnsi="Arial" w:eastAsia="Arial" w:cs="Arial"/>
          <w:sz w:val="22"/>
          <w:szCs w:val="22"/>
        </w:rPr>
        <w:t>Recognise session transitions and the change in delivery behaviour they often bring.</w:t>
      </w:r>
    </w:p>
    <w:p w14:paraId="55D2C88D">
      <w:pPr>
        <w:pStyle w:val="16"/>
        <w:numPr>
          <w:ilvl w:val="0"/>
          <w:numId w:val="1"/>
        </w:numPr>
        <w:spacing w:after="120" w:line="276" w:lineRule="auto"/>
      </w:pPr>
      <w:r>
        <w:rPr>
          <w:rFonts w:ascii="Arial" w:hAnsi="Arial" w:eastAsia="Arial" w:cs="Arial"/>
          <w:sz w:val="22"/>
          <w:szCs w:val="22"/>
        </w:rPr>
        <w:t>Stand aside when time does not align with liquidity and structure, even if a PD array is present.</w:t>
      </w:r>
    </w:p>
    <w:p w14:paraId="3ECED92A">
      <w:pPr>
        <w:pStyle w:val="16"/>
        <w:numPr>
          <w:ilvl w:val="0"/>
          <w:numId w:val="1"/>
        </w:numPr>
        <w:spacing w:after="120" w:line="276" w:lineRule="auto"/>
      </w:pPr>
      <w:r>
        <w:rPr>
          <w:rFonts w:ascii="Arial" w:hAnsi="Arial" w:eastAsia="Arial" w:cs="Arial"/>
          <w:sz w:val="22"/>
          <w:szCs w:val="22"/>
        </w:rPr>
        <w:t>Adjust kill-zone times for DST and broker server time.</w:t>
      </w:r>
    </w:p>
    <w:p w14:paraId="664897D4">
      <w:pPr>
        <w:pStyle w:val="2"/>
        <w:spacing w:before="360" w:after="240"/>
      </w:pPr>
      <w:r>
        <w:rPr>
          <w:rFonts w:ascii="Arial" w:hAnsi="Arial" w:eastAsia="Arial" w:cs="Arial"/>
          <w:b/>
          <w:bCs/>
          <w:sz w:val="32"/>
          <w:szCs w:val="32"/>
        </w:rPr>
        <w:t>Module Review</w:t>
      </w:r>
    </w:p>
    <w:p w14:paraId="4AC7239D">
      <w:pPr>
        <w:pStyle w:val="3"/>
        <w:spacing w:before="280" w:after="180"/>
      </w:pPr>
      <w:r>
        <w:rPr>
          <w:rFonts w:ascii="Arial" w:hAnsi="Arial" w:eastAsia="Arial" w:cs="Arial"/>
          <w:b/>
          <w:bCs/>
          <w:sz w:val="26"/>
          <w:szCs w:val="26"/>
        </w:rPr>
        <w:t>Key Terms</w:t>
      </w:r>
    </w:p>
    <w:p w14:paraId="65B5BAAD">
      <w:pPr>
        <w:pStyle w:val="16"/>
        <w:numPr>
          <w:ilvl w:val="0"/>
          <w:numId w:val="1"/>
        </w:numPr>
        <w:spacing w:after="120" w:line="276" w:lineRule="auto"/>
      </w:pPr>
      <w:r>
        <w:rPr>
          <w:rFonts w:ascii="Arial" w:hAnsi="Arial" w:eastAsia="Arial" w:cs="Arial"/>
          <w:sz w:val="22"/>
          <w:szCs w:val="22"/>
        </w:rPr>
        <w:t>Time &amp; Price Theory — ICT premise that delivery is conditioned by specific time windows.</w:t>
      </w:r>
    </w:p>
    <w:p w14:paraId="566F6838">
      <w:pPr>
        <w:pStyle w:val="16"/>
        <w:numPr>
          <w:ilvl w:val="0"/>
          <w:numId w:val="1"/>
        </w:numPr>
        <w:spacing w:after="120" w:line="276" w:lineRule="auto"/>
      </w:pPr>
      <w:r>
        <w:rPr>
          <w:rFonts w:ascii="Arial" w:hAnsi="Arial" w:eastAsia="Arial" w:cs="Arial"/>
          <w:sz w:val="22"/>
          <w:szCs w:val="22"/>
        </w:rPr>
        <w:t>Daily / Weekly / Session open — reference prices for manipulation and expansion profiles.</w:t>
      </w:r>
    </w:p>
    <w:p w14:paraId="51B660F8">
      <w:pPr>
        <w:pStyle w:val="16"/>
        <w:numPr>
          <w:ilvl w:val="0"/>
          <w:numId w:val="1"/>
        </w:numPr>
        <w:spacing w:after="120" w:line="276" w:lineRule="auto"/>
      </w:pPr>
      <w:r>
        <w:rPr>
          <w:rFonts w:ascii="Arial" w:hAnsi="Arial" w:eastAsia="Arial" w:cs="Arial"/>
          <w:sz w:val="22"/>
          <w:szCs w:val="22"/>
        </w:rPr>
        <w:t>Kill zone — concentrated institutional participation window (London Open, New York Open, etc.).</w:t>
      </w:r>
    </w:p>
    <w:p w14:paraId="419DD1E1">
      <w:pPr>
        <w:pStyle w:val="16"/>
        <w:numPr>
          <w:ilvl w:val="0"/>
          <w:numId w:val="1"/>
        </w:numPr>
        <w:spacing w:after="120" w:line="276" w:lineRule="auto"/>
      </w:pPr>
      <w:r>
        <w:rPr>
          <w:rFonts w:ascii="Arial" w:hAnsi="Arial" w:eastAsia="Arial" w:cs="Arial"/>
          <w:sz w:val="22"/>
          <w:szCs w:val="22"/>
        </w:rPr>
        <w:t>Session transition — changeover between sessions at which liquidity events and phase shifts are common.</w:t>
      </w:r>
    </w:p>
    <w:p w14:paraId="3916A959">
      <w:pPr>
        <w:pStyle w:val="16"/>
        <w:numPr>
          <w:ilvl w:val="0"/>
          <w:numId w:val="1"/>
        </w:numPr>
        <w:spacing w:after="120" w:line="276" w:lineRule="auto"/>
      </w:pPr>
      <w:r>
        <w:rPr>
          <w:rFonts w:ascii="Arial" w:hAnsi="Arial" w:eastAsia="Arial" w:cs="Arial"/>
          <w:sz w:val="22"/>
          <w:szCs w:val="22"/>
        </w:rPr>
        <w:t>Time-based liquidity event — raid of a pool that is statistically more likely at a particular time.</w:t>
      </w:r>
    </w:p>
    <w:p w14:paraId="2D5D0425">
      <w:pPr>
        <w:pStyle w:val="16"/>
        <w:numPr>
          <w:ilvl w:val="0"/>
          <w:numId w:val="1"/>
        </w:numPr>
        <w:spacing w:after="120" w:line="276" w:lineRule="auto"/>
      </w:pPr>
      <w:r>
        <w:rPr>
          <w:rFonts w:ascii="Arial" w:hAnsi="Arial" w:eastAsia="Arial" w:cs="Arial"/>
          <w:sz w:val="22"/>
          <w:szCs w:val="22"/>
        </w:rPr>
        <w:t>Time-based expansion — displacement that begins inside a high-probability time window.</w:t>
      </w:r>
    </w:p>
    <w:p w14:paraId="2C1C34CC">
      <w:pPr>
        <w:pStyle w:val="3"/>
        <w:spacing w:before="280" w:after="180"/>
      </w:pPr>
      <w:r>
        <w:rPr>
          <w:rFonts w:ascii="Arial" w:hAnsi="Arial" w:eastAsia="Arial" w:cs="Arial"/>
          <w:b/>
          <w:bCs/>
          <w:sz w:val="26"/>
          <w:szCs w:val="26"/>
        </w:rPr>
        <w:t>Self-Test</w:t>
      </w:r>
    </w:p>
    <w:p w14:paraId="405346DB">
      <w:pPr>
        <w:pStyle w:val="16"/>
        <w:numPr>
          <w:ilvl w:val="0"/>
          <w:numId w:val="2"/>
        </w:numPr>
        <w:spacing w:after="120" w:line="276" w:lineRule="auto"/>
      </w:pPr>
      <w:r>
        <w:rPr>
          <w:rFonts w:ascii="Arial" w:hAnsi="Arial" w:eastAsia="Arial" w:cs="Arial"/>
          <w:sz w:val="22"/>
          <w:szCs w:val="22"/>
        </w:rPr>
        <w:t>Why must an advanced delivery narrative include a time component?</w:t>
      </w:r>
    </w:p>
    <w:p w14:paraId="429A96EA">
      <w:pPr>
        <w:pStyle w:val="16"/>
        <w:numPr>
          <w:ilvl w:val="0"/>
          <w:numId w:val="2"/>
        </w:numPr>
        <w:spacing w:after="120" w:line="276" w:lineRule="auto"/>
      </w:pPr>
      <w:r>
        <w:rPr>
          <w:rFonts w:ascii="Arial" w:hAnsi="Arial" w:eastAsia="Arial" w:cs="Arial"/>
          <w:sz w:val="22"/>
          <w:szCs w:val="22"/>
        </w:rPr>
        <w:t>What is the classic Asian → London → New York sequence of delivery phases?</w:t>
      </w:r>
    </w:p>
    <w:p w14:paraId="7FE050C2">
      <w:pPr>
        <w:pStyle w:val="16"/>
        <w:numPr>
          <w:ilvl w:val="0"/>
          <w:numId w:val="2"/>
        </w:numPr>
        <w:spacing w:after="120" w:line="276" w:lineRule="auto"/>
      </w:pPr>
      <w:r>
        <w:rPr>
          <w:rFonts w:ascii="Arial" w:hAnsi="Arial" w:eastAsia="Arial" w:cs="Arial"/>
          <w:sz w:val="22"/>
          <w:szCs w:val="22"/>
        </w:rPr>
        <w:t>How does the daily open help classify a PO3-style day?</w:t>
      </w:r>
    </w:p>
    <w:p w14:paraId="3FFD8AE5">
      <w:pPr>
        <w:pStyle w:val="16"/>
        <w:numPr>
          <w:ilvl w:val="0"/>
          <w:numId w:val="2"/>
        </w:numPr>
        <w:spacing w:after="120" w:line="276" w:lineRule="auto"/>
      </w:pPr>
      <w:r>
        <w:rPr>
          <w:rFonts w:ascii="Arial" w:hAnsi="Arial" w:eastAsia="Arial" w:cs="Arial"/>
          <w:sz w:val="22"/>
          <w:szCs w:val="22"/>
        </w:rPr>
        <w:t>What should the student do when a clean PD array forms outside any relevant kill zone?</w:t>
      </w:r>
    </w:p>
    <w:p w14:paraId="4668F767">
      <w:pPr>
        <w:pStyle w:val="16"/>
        <w:numPr>
          <w:ilvl w:val="0"/>
          <w:numId w:val="2"/>
        </w:numPr>
        <w:spacing w:after="120" w:line="276" w:lineRule="auto"/>
      </w:pPr>
      <w:r>
        <w:rPr>
          <w:rFonts w:ascii="Arial" w:hAnsi="Arial" w:eastAsia="Arial" w:cs="Arial"/>
          <w:sz w:val="22"/>
          <w:szCs w:val="22"/>
        </w:rPr>
        <w:t>How are kill-zone times adjusted in practice?</w:t>
      </w:r>
    </w:p>
    <w:p w14:paraId="0EEE1905">
      <w:pPr>
        <w:pStyle w:val="3"/>
        <w:spacing w:before="280" w:after="180"/>
      </w:pPr>
      <w:r>
        <w:rPr>
          <w:rFonts w:ascii="Arial" w:hAnsi="Arial" w:eastAsia="Arial" w:cs="Arial"/>
          <w:b/>
          <w:bCs/>
          <w:sz w:val="26"/>
          <w:szCs w:val="26"/>
        </w:rPr>
        <w:t>Transition to Module 8</w:t>
      </w:r>
    </w:p>
    <w:p w14:paraId="60DB1BFA">
      <w:pPr>
        <w:spacing w:after="200" w:line="276" w:lineRule="auto"/>
      </w:pPr>
      <w:r>
        <w:rPr>
          <w:rFonts w:ascii="Arial" w:hAnsi="Arial" w:eastAsia="Arial" w:cs="Arial"/>
          <w:sz w:val="22"/>
          <w:szCs w:val="22"/>
        </w:rPr>
        <w:t>Module 7 has added the time dimension to the narrative. Module 8 (Advanced Power of 3) will formalise the daily, weekly and monthly Accumulation–Manipulation–Distribution template, showing how opening price, session kill zones and the four delivery conditions combine into the recurring PO3 profile that organises so many ICT delivery legs.</w:t>
      </w:r>
    </w:p>
    <w:p w14:paraId="2F42A56C">
      <w:pPr>
        <w:spacing w:after="200" w:line="276" w:lineRule="auto"/>
        <w:rPr>
          <w:rFonts w:ascii="Arial" w:hAnsi="Arial" w:eastAsia="Arial" w:cs="Arial"/>
          <w:sz w:val="22"/>
          <w:szCs w:val="22"/>
        </w:rPr>
      </w:pPr>
    </w:p>
    <w:p w14:paraId="407BC786">
      <w:pPr>
        <w:spacing w:after="200" w:line="276" w:lineRule="auto"/>
        <w:rPr>
          <w:rFonts w:ascii="Arial" w:hAnsi="Arial" w:eastAsia="Arial" w:cs="Arial"/>
          <w:sz w:val="22"/>
          <w:szCs w:val="22"/>
        </w:rPr>
      </w:pPr>
    </w:p>
    <w:p w14:paraId="43C02F63">
      <w:pPr>
        <w:spacing w:after="200" w:line="276" w:lineRule="auto"/>
        <w:rPr>
          <w:rFonts w:ascii="Arial" w:hAnsi="Arial" w:eastAsia="Arial" w:cs="Arial"/>
          <w:sz w:val="22"/>
          <w:szCs w:val="22"/>
        </w:rPr>
      </w:pPr>
    </w:p>
    <w:p w14:paraId="776D417D">
      <w:pPr>
        <w:spacing w:after="200" w:line="276" w:lineRule="auto"/>
        <w:rPr>
          <w:rFonts w:ascii="Arial" w:hAnsi="Arial" w:eastAsia="Arial" w:cs="Arial"/>
          <w:sz w:val="22"/>
          <w:szCs w:val="22"/>
        </w:rPr>
      </w:pPr>
    </w:p>
    <w:p w14:paraId="7BE37F8B">
      <w:pPr>
        <w:spacing w:after="200" w:line="276" w:lineRule="auto"/>
        <w:rPr>
          <w:rFonts w:ascii="Arial" w:hAnsi="Arial" w:eastAsia="Arial" w:cs="Arial"/>
          <w:sz w:val="22"/>
          <w:szCs w:val="22"/>
        </w:rPr>
      </w:pPr>
    </w:p>
    <w:p w14:paraId="7AFC8278">
      <w:pPr>
        <w:spacing w:after="200" w:line="276" w:lineRule="auto"/>
        <w:rPr>
          <w:rFonts w:ascii="Arial" w:hAnsi="Arial" w:eastAsia="Arial" w:cs="Arial"/>
          <w:sz w:val="22"/>
          <w:szCs w:val="22"/>
        </w:rPr>
      </w:pPr>
    </w:p>
    <w:p w14:paraId="3C8BB2D1">
      <w:pPr>
        <w:spacing w:after="200" w:line="276" w:lineRule="auto"/>
        <w:rPr>
          <w:rFonts w:ascii="Arial" w:hAnsi="Arial" w:eastAsia="Arial" w:cs="Arial"/>
          <w:sz w:val="22"/>
          <w:szCs w:val="22"/>
        </w:rPr>
      </w:pPr>
    </w:p>
    <w:p w14:paraId="2CE79493">
      <w:pPr>
        <w:spacing w:after="200" w:line="276" w:lineRule="auto"/>
        <w:rPr>
          <w:rFonts w:ascii="Arial" w:hAnsi="Arial" w:eastAsia="Arial" w:cs="Arial"/>
          <w:sz w:val="22"/>
          <w:szCs w:val="22"/>
        </w:rPr>
      </w:pPr>
    </w:p>
    <w:p w14:paraId="78A44637">
      <w:pPr>
        <w:spacing w:after="200" w:line="276" w:lineRule="auto"/>
        <w:rPr>
          <w:rFonts w:ascii="Arial" w:hAnsi="Arial" w:eastAsia="Arial" w:cs="Arial"/>
          <w:sz w:val="22"/>
          <w:szCs w:val="22"/>
        </w:rPr>
      </w:pPr>
    </w:p>
    <w:p w14:paraId="2B1CDD23">
      <w:pPr>
        <w:spacing w:after="200" w:line="276" w:lineRule="auto"/>
        <w:rPr>
          <w:rFonts w:ascii="Arial" w:hAnsi="Arial" w:eastAsia="Arial" w:cs="Arial"/>
          <w:sz w:val="22"/>
          <w:szCs w:val="22"/>
        </w:rPr>
      </w:pPr>
    </w:p>
    <w:p w14:paraId="1DC05337">
      <w:pPr>
        <w:spacing w:after="200" w:line="276" w:lineRule="auto"/>
        <w:rPr>
          <w:rFonts w:ascii="Arial" w:hAnsi="Arial" w:eastAsia="Arial" w:cs="Arial"/>
          <w:sz w:val="22"/>
          <w:szCs w:val="22"/>
        </w:rPr>
      </w:pPr>
    </w:p>
    <w:p w14:paraId="79A5D38F">
      <w:pPr>
        <w:spacing w:after="200" w:line="276" w:lineRule="auto"/>
        <w:rPr>
          <w:rFonts w:ascii="Arial" w:hAnsi="Arial" w:eastAsia="Arial" w:cs="Arial"/>
          <w:sz w:val="22"/>
          <w:szCs w:val="22"/>
        </w:rPr>
      </w:pPr>
    </w:p>
    <w:p w14:paraId="19E0A4C3">
      <w:pPr>
        <w:spacing w:after="200" w:line="276" w:lineRule="auto"/>
        <w:rPr>
          <w:rFonts w:ascii="Arial" w:hAnsi="Arial" w:eastAsia="Arial" w:cs="Arial"/>
          <w:sz w:val="22"/>
          <w:szCs w:val="22"/>
        </w:rPr>
      </w:pPr>
    </w:p>
    <w:p w14:paraId="28936022">
      <w:pPr>
        <w:spacing w:after="200" w:line="276" w:lineRule="auto"/>
        <w:rPr>
          <w:rFonts w:ascii="Arial" w:hAnsi="Arial" w:eastAsia="Arial" w:cs="Arial"/>
          <w:sz w:val="22"/>
          <w:szCs w:val="22"/>
        </w:rPr>
      </w:pPr>
    </w:p>
    <w:p w14:paraId="7E88A3BD">
      <w:pPr>
        <w:spacing w:after="200" w:line="276" w:lineRule="auto"/>
        <w:rPr>
          <w:rFonts w:ascii="Arial" w:hAnsi="Arial" w:eastAsia="Arial" w:cs="Arial"/>
          <w:sz w:val="22"/>
          <w:szCs w:val="22"/>
        </w:rPr>
      </w:pPr>
    </w:p>
    <w:p w14:paraId="29A07EFC">
      <w:pPr>
        <w:spacing w:after="200" w:line="276" w:lineRule="auto"/>
        <w:rPr>
          <w:rFonts w:ascii="Arial" w:hAnsi="Arial" w:eastAsia="Arial" w:cs="Arial"/>
          <w:sz w:val="22"/>
          <w:szCs w:val="22"/>
        </w:rPr>
      </w:pPr>
    </w:p>
    <w:p w14:paraId="7D678CB0">
      <w:pPr>
        <w:spacing w:after="200" w:line="276" w:lineRule="auto"/>
        <w:rPr>
          <w:rFonts w:ascii="Arial" w:hAnsi="Arial" w:eastAsia="Arial" w:cs="Arial"/>
          <w:sz w:val="22"/>
          <w:szCs w:val="22"/>
        </w:rPr>
      </w:pPr>
    </w:p>
    <w:p w14:paraId="06AEC288">
      <w:pPr>
        <w:spacing w:after="200" w:line="276" w:lineRule="auto"/>
        <w:rPr>
          <w:rFonts w:ascii="Arial" w:hAnsi="Arial" w:eastAsia="Arial" w:cs="Arial"/>
          <w:sz w:val="22"/>
          <w:szCs w:val="22"/>
        </w:rPr>
      </w:pPr>
    </w:p>
    <w:p w14:paraId="57A46E4A">
      <w:pPr>
        <w:spacing w:after="200" w:line="276" w:lineRule="auto"/>
        <w:rPr>
          <w:rFonts w:ascii="Arial" w:hAnsi="Arial" w:eastAsia="Arial" w:cs="Arial"/>
          <w:sz w:val="22"/>
          <w:szCs w:val="22"/>
        </w:rPr>
      </w:pPr>
    </w:p>
    <w:p w14:paraId="6B6B044A">
      <w:pPr>
        <w:spacing w:after="200" w:line="276" w:lineRule="auto"/>
        <w:rPr>
          <w:rFonts w:ascii="Arial" w:hAnsi="Arial" w:eastAsia="Arial" w:cs="Arial"/>
          <w:sz w:val="22"/>
          <w:szCs w:val="22"/>
        </w:rPr>
      </w:pPr>
    </w:p>
    <w:p w14:paraId="7392C859">
      <w:pPr>
        <w:spacing w:after="200" w:line="276" w:lineRule="auto"/>
        <w:rPr>
          <w:rFonts w:ascii="Arial" w:hAnsi="Arial" w:eastAsia="Arial" w:cs="Arial"/>
          <w:sz w:val="22"/>
          <w:szCs w:val="22"/>
        </w:rPr>
      </w:pPr>
    </w:p>
    <w:p w14:paraId="6893EBF9">
      <w:pPr>
        <w:spacing w:after="200" w:line="276" w:lineRule="auto"/>
        <w:rPr>
          <w:rFonts w:ascii="Arial" w:hAnsi="Arial" w:eastAsia="Arial" w:cs="Arial"/>
          <w:sz w:val="22"/>
          <w:szCs w:val="22"/>
        </w:rPr>
      </w:pPr>
    </w:p>
    <w:p w14:paraId="7EA45B97">
      <w:pPr>
        <w:spacing w:after="200" w:line="276" w:lineRule="auto"/>
        <w:rPr>
          <w:rFonts w:ascii="Arial" w:hAnsi="Arial" w:eastAsia="Arial" w:cs="Arial"/>
          <w:sz w:val="22"/>
          <w:szCs w:val="22"/>
        </w:rPr>
      </w:pPr>
    </w:p>
    <w:p w14:paraId="0DD560C8">
      <w:pPr>
        <w:spacing w:after="200" w:line="276" w:lineRule="auto"/>
        <w:rPr>
          <w:rFonts w:ascii="Arial" w:hAnsi="Arial" w:eastAsia="Arial" w:cs="Arial"/>
          <w:sz w:val="22"/>
          <w:szCs w:val="22"/>
        </w:rPr>
      </w:pPr>
    </w:p>
    <w:p w14:paraId="6EC4A8A5">
      <w:pPr>
        <w:spacing w:after="200" w:line="276" w:lineRule="auto"/>
        <w:rPr>
          <w:rFonts w:ascii="Arial" w:hAnsi="Arial" w:eastAsia="Arial" w:cs="Arial"/>
          <w:sz w:val="22"/>
          <w:szCs w:val="22"/>
        </w:rPr>
      </w:pPr>
    </w:p>
    <w:p w14:paraId="50A4000F">
      <w:pPr>
        <w:spacing w:after="400"/>
        <w:jc w:val="center"/>
      </w:pPr>
      <w:r>
        <w:rPr>
          <w:rFonts w:ascii="Arial" w:hAnsi="Arial" w:eastAsia="Arial" w:cs="Arial"/>
          <w:b/>
          <w:bCs/>
          <w:sz w:val="36"/>
          <w:szCs w:val="36"/>
        </w:rPr>
        <w:t>MODULE 8</w:t>
      </w:r>
    </w:p>
    <w:p w14:paraId="0F4BFC7E">
      <w:pPr>
        <w:spacing w:after="200"/>
        <w:jc w:val="center"/>
      </w:pPr>
      <w:r>
        <w:rPr>
          <w:rFonts w:ascii="Arial" w:hAnsi="Arial" w:eastAsia="Arial" w:cs="Arial"/>
          <w:b/>
          <w:bCs/>
          <w:sz w:val="28"/>
          <w:szCs w:val="28"/>
        </w:rPr>
        <w:t>Advanced Power of 3</w:t>
      </w:r>
    </w:p>
    <w:p w14:paraId="7FC81632">
      <w:pPr>
        <w:spacing w:after="400"/>
        <w:jc w:val="center"/>
      </w:pPr>
      <w:r>
        <w:rPr>
          <w:rFonts w:ascii="Arial" w:hAnsi="Arial" w:eastAsia="Arial" w:cs="Arial"/>
          <w:i/>
          <w:iCs/>
          <w:sz w:val="20"/>
          <w:szCs w:val="20"/>
        </w:rPr>
        <w:t>Daily / Weekly / Monthly AMD, Opening Price, Session-Based PO3, Failure &amp; Alternative Paths, PO3 + Liquidity + HTF Bias</w:t>
      </w:r>
    </w:p>
    <w:p w14:paraId="561A6F11">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Modules 1–7. Power of 3 is not a setup; it is a recurring delivery template that organises accumulation, manipulation and distribution across daily, weekly and monthly time horizons, conditioned by opening price, kill zones and the higher-timeframe Draw on Liquidity.</w:t>
      </w:r>
    </w:p>
    <w:p w14:paraId="492F2B12">
      <w:pPr>
        <w:pStyle w:val="2"/>
        <w:spacing w:before="360" w:after="240"/>
      </w:pPr>
      <w:r>
        <w:rPr>
          <w:rFonts w:ascii="Arial" w:hAnsi="Arial" w:eastAsia="Arial" w:cs="Arial"/>
          <w:b/>
          <w:bCs/>
          <w:sz w:val="32"/>
          <w:szCs w:val="32"/>
        </w:rPr>
        <w:t>Module Objectives</w:t>
      </w:r>
    </w:p>
    <w:p w14:paraId="470F8B0B">
      <w:pPr>
        <w:spacing w:after="200" w:line="276" w:lineRule="auto"/>
      </w:pPr>
      <w:r>
        <w:rPr>
          <w:rFonts w:ascii="Arial" w:hAnsi="Arial" w:eastAsia="Arial" w:cs="Arial"/>
          <w:sz w:val="22"/>
          <w:szCs w:val="22"/>
        </w:rPr>
        <w:t>By the end of this module the advanced student should be able to:</w:t>
      </w:r>
    </w:p>
    <w:p w14:paraId="0CD61839">
      <w:pPr>
        <w:pStyle w:val="16"/>
        <w:numPr>
          <w:ilvl w:val="0"/>
          <w:numId w:val="1"/>
        </w:numPr>
        <w:spacing w:after="120" w:line="276" w:lineRule="auto"/>
      </w:pPr>
      <w:r>
        <w:rPr>
          <w:rFonts w:ascii="Arial" w:hAnsi="Arial" w:eastAsia="Arial" w:cs="Arial"/>
          <w:sz w:val="22"/>
          <w:szCs w:val="22"/>
        </w:rPr>
        <w:t>Map Accumulation–Manipulation–Distribution onto the daily, weekly and monthly candles and onto session sequences.</w:t>
      </w:r>
    </w:p>
    <w:p w14:paraId="21E8C07B">
      <w:pPr>
        <w:pStyle w:val="16"/>
        <w:numPr>
          <w:ilvl w:val="0"/>
          <w:numId w:val="1"/>
        </w:numPr>
        <w:spacing w:after="120" w:line="276" w:lineRule="auto"/>
      </w:pPr>
      <w:r>
        <w:rPr>
          <w:rFonts w:ascii="Arial" w:hAnsi="Arial" w:eastAsia="Arial" w:cs="Arial"/>
          <w:sz w:val="22"/>
          <w:szCs w:val="22"/>
        </w:rPr>
        <w:t>Use the opening price as the central reference for classifying the developing PO3 profile.</w:t>
      </w:r>
    </w:p>
    <w:p w14:paraId="2972A75C">
      <w:pPr>
        <w:pStyle w:val="16"/>
        <w:numPr>
          <w:ilvl w:val="0"/>
          <w:numId w:val="1"/>
        </w:numPr>
        <w:spacing w:after="120" w:line="276" w:lineRule="auto"/>
      </w:pPr>
      <w:r>
        <w:rPr>
          <w:rFonts w:ascii="Arial" w:hAnsi="Arial" w:eastAsia="Arial" w:cs="Arial"/>
          <w:sz w:val="22"/>
          <w:szCs w:val="22"/>
        </w:rPr>
        <w:t>Link each PO3 phase to the corresponding delivery condition (Module 1), liquidity event (Module 3) and kill zone (Module 7).</w:t>
      </w:r>
    </w:p>
    <w:p w14:paraId="665A68EE">
      <w:pPr>
        <w:pStyle w:val="16"/>
        <w:numPr>
          <w:ilvl w:val="0"/>
          <w:numId w:val="1"/>
        </w:numPr>
        <w:spacing w:after="120" w:line="276" w:lineRule="auto"/>
      </w:pPr>
      <w:r>
        <w:rPr>
          <w:rFonts w:ascii="Arial" w:hAnsi="Arial" w:eastAsia="Arial" w:cs="Arial"/>
          <w:sz w:val="22"/>
          <w:szCs w:val="22"/>
        </w:rPr>
        <w:t>Recognise PO3 failure and alternative delivery paths and rewrite the narrative accordingly.</w:t>
      </w:r>
    </w:p>
    <w:p w14:paraId="259F4BBC">
      <w:pPr>
        <w:pStyle w:val="16"/>
        <w:numPr>
          <w:ilvl w:val="0"/>
          <w:numId w:val="1"/>
        </w:numPr>
        <w:spacing w:after="120" w:line="276" w:lineRule="auto"/>
      </w:pPr>
      <w:r>
        <w:rPr>
          <w:rFonts w:ascii="Arial" w:hAnsi="Arial" w:eastAsia="Arial" w:cs="Arial"/>
          <w:sz w:val="22"/>
          <w:szCs w:val="22"/>
        </w:rPr>
        <w:t>Align PO3 expectations with higher-timeframe bias and the controlling dealing range.</w:t>
      </w:r>
    </w:p>
    <w:p w14:paraId="0DCE1710">
      <w:pPr>
        <w:pStyle w:val="16"/>
        <w:numPr>
          <w:ilvl w:val="0"/>
          <w:numId w:val="1"/>
        </w:numPr>
        <w:spacing w:after="120" w:line="276" w:lineRule="auto"/>
      </w:pPr>
      <w:r>
        <w:rPr>
          <w:rFonts w:ascii="Arial" w:hAnsi="Arial" w:eastAsia="Arial" w:cs="Arial"/>
          <w:sz w:val="22"/>
          <w:szCs w:val="22"/>
        </w:rPr>
        <w:t>Select or reject lower-timeframe models according to which PO3 phase is active.</w:t>
      </w:r>
    </w:p>
    <w:p w14:paraId="44080DC8">
      <w:pPr>
        <w:pStyle w:val="16"/>
        <w:numPr>
          <w:ilvl w:val="0"/>
          <w:numId w:val="1"/>
        </w:numPr>
        <w:spacing w:after="120" w:line="276" w:lineRule="auto"/>
      </w:pPr>
      <w:r>
        <w:rPr>
          <w:rFonts w:ascii="Arial" w:hAnsi="Arial" w:eastAsia="Arial" w:cs="Arial"/>
          <w:sz w:val="22"/>
          <w:szCs w:val="22"/>
        </w:rPr>
        <w:t>Avoid forcing every day or week into a textbook PO3 when the profile is alternative.</w:t>
      </w:r>
    </w:p>
    <w:p w14:paraId="437327DF">
      <w:pPr>
        <w:pStyle w:val="2"/>
        <w:spacing w:before="360" w:after="240"/>
      </w:pPr>
      <w:r>
        <w:rPr>
          <w:rFonts w:ascii="Arial" w:hAnsi="Arial" w:eastAsia="Arial" w:cs="Arial"/>
          <w:b/>
          <w:bCs/>
          <w:sz w:val="32"/>
          <w:szCs w:val="32"/>
        </w:rPr>
        <w:t>1. Power of 3 as a Delivery Template</w:t>
      </w:r>
    </w:p>
    <w:p w14:paraId="51D59C27">
      <w:pPr>
        <w:pStyle w:val="3"/>
        <w:spacing w:before="280" w:after="180"/>
      </w:pPr>
      <w:r>
        <w:rPr>
          <w:rFonts w:ascii="Arial" w:hAnsi="Arial" w:eastAsia="Arial" w:cs="Arial"/>
          <w:b/>
          <w:bCs/>
          <w:sz w:val="26"/>
          <w:szCs w:val="26"/>
        </w:rPr>
        <w:t>1.1 Core Definition</w:t>
      </w:r>
    </w:p>
    <w:p w14:paraId="3684179E">
      <w:pPr>
        <w:spacing w:after="200" w:line="276" w:lineRule="auto"/>
      </w:pPr>
      <w:r>
        <w:rPr>
          <w:rFonts w:ascii="Arial" w:hAnsi="Arial" w:eastAsia="Arial" w:cs="Arial"/>
          <w:sz w:val="22"/>
          <w:szCs w:val="22"/>
        </w:rPr>
        <w:t>Power of 3 (PO3), also called AMD — Accumulation, Manipulation, Distribution — is ICT’s description of a recurring three-phase process by which a significant candle or range is often constructed. Institutions accumulate during a quiet phase, manipulate price to engineer liquidity, then distribute in the true intended direction.</w:t>
      </w:r>
    </w:p>
    <w:p w14:paraId="20364026">
      <w:pPr>
        <w:pStyle w:val="3"/>
        <w:spacing w:before="280" w:after="180"/>
      </w:pPr>
      <w:r>
        <w:rPr>
          <w:rFonts w:ascii="Arial" w:hAnsi="Arial" w:eastAsia="Arial" w:cs="Arial"/>
          <w:b/>
          <w:bCs/>
          <w:sz w:val="26"/>
          <w:szCs w:val="26"/>
        </w:rPr>
        <w:t>1.2 Relationship to Module 1</w:t>
      </w:r>
    </w:p>
    <w:p w14:paraId="732DCC59">
      <w:pPr>
        <w:spacing w:after="200" w:line="276" w:lineRule="auto"/>
      </w:pPr>
      <w:r>
        <w:rPr>
          <w:rFonts w:ascii="Arial" w:hAnsi="Arial" w:eastAsia="Arial" w:cs="Arial"/>
          <w:sz w:val="22"/>
          <w:szCs w:val="22"/>
        </w:rPr>
        <w:t>PO3 is a specialised, high-frequency instance of the four delivery conditions. Accumulation corresponds to consolidation; Manipulation is a directed form of liquidity seeking that often looks like a false expansion; Distribution is the true expansion toward the Draw on Liquidity. Retracement and reversal language still apply inside and after the distribution phase.</w:t>
      </w:r>
    </w:p>
    <w:p w14:paraId="32C0B3D5">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 — Power of 3 / AMD is core ICT teaching.</w:t>
      </w:r>
    </w:p>
    <w:p w14:paraId="51AD5BFF">
      <w:pPr>
        <w:pStyle w:val="2"/>
        <w:spacing w:before="360" w:after="240"/>
      </w:pPr>
      <w:r>
        <w:rPr>
          <w:rFonts w:ascii="Arial" w:hAnsi="Arial" w:eastAsia="Arial" w:cs="Arial"/>
          <w:b/>
          <w:bCs/>
          <w:sz w:val="32"/>
          <w:szCs w:val="32"/>
        </w:rPr>
        <w:t>2. Daily Power of 3</w:t>
      </w:r>
    </w:p>
    <w:p w14:paraId="5964770B">
      <w:pPr>
        <w:pStyle w:val="3"/>
        <w:spacing w:before="280" w:after="180"/>
      </w:pPr>
      <w:r>
        <w:rPr>
          <w:rFonts w:ascii="Arial" w:hAnsi="Arial" w:eastAsia="Arial" w:cs="Arial"/>
          <w:b/>
          <w:bCs/>
          <w:sz w:val="26"/>
          <w:szCs w:val="26"/>
        </w:rPr>
        <w:t>2.1 Classic Mapping</w:t>
      </w:r>
    </w:p>
    <w:p w14:paraId="2F11E2BA">
      <w:pPr>
        <w:spacing w:after="200" w:line="276" w:lineRule="auto"/>
      </w:pPr>
      <w:r>
        <w:rPr>
          <w:rFonts w:ascii="Arial" w:hAnsi="Arial" w:eastAsia="Arial" w:cs="Arial"/>
          <w:sz w:val="22"/>
          <w:szCs w:val="22"/>
        </w:rPr>
        <w:t>A common daily mapping (FX and related markets):</w:t>
      </w:r>
    </w:p>
    <w:p w14:paraId="6E47DB76">
      <w:pPr>
        <w:pStyle w:val="16"/>
        <w:numPr>
          <w:ilvl w:val="0"/>
          <w:numId w:val="1"/>
        </w:numPr>
        <w:spacing w:after="120" w:line="276" w:lineRule="auto"/>
      </w:pPr>
      <w:r>
        <w:rPr>
          <w:rFonts w:ascii="Arial" w:hAnsi="Arial" w:eastAsia="Arial" w:cs="Arial"/>
          <w:sz w:val="22"/>
          <w:szCs w:val="22"/>
        </w:rPr>
        <w:t>Accumulation — Asian session range-building around or relative to the daily open.</w:t>
      </w:r>
    </w:p>
    <w:p w14:paraId="0769DC04">
      <w:pPr>
        <w:pStyle w:val="16"/>
        <w:numPr>
          <w:ilvl w:val="0"/>
          <w:numId w:val="1"/>
        </w:numPr>
        <w:spacing w:after="120" w:line="276" w:lineRule="auto"/>
      </w:pPr>
      <w:r>
        <w:rPr>
          <w:rFonts w:ascii="Arial" w:hAnsi="Arial" w:eastAsia="Arial" w:cs="Arial"/>
          <w:sz w:val="22"/>
          <w:szCs w:val="22"/>
        </w:rPr>
        <w:t>Manipulation — London Open sweep of one side of the Asian range (Judas Swing), often taking liquidity beyond the daily open.</w:t>
      </w:r>
    </w:p>
    <w:p w14:paraId="09D6AA38">
      <w:pPr>
        <w:pStyle w:val="16"/>
        <w:numPr>
          <w:ilvl w:val="0"/>
          <w:numId w:val="1"/>
        </w:numPr>
        <w:spacing w:after="120" w:line="276" w:lineRule="auto"/>
      </w:pPr>
      <w:r>
        <w:rPr>
          <w:rFonts w:ascii="Arial" w:hAnsi="Arial" w:eastAsia="Arial" w:cs="Arial"/>
          <w:sz w:val="22"/>
          <w:szCs w:val="22"/>
        </w:rPr>
        <w:t>Distribution — London continuation or New York expansion toward the opposing liquidity / higher-timeframe DOL.</w:t>
      </w:r>
    </w:p>
    <w:p w14:paraId="23AC94D3">
      <w:pPr>
        <w:pStyle w:val="3"/>
        <w:spacing w:before="280" w:after="180"/>
      </w:pPr>
      <w:r>
        <w:rPr>
          <w:rFonts w:ascii="Arial" w:hAnsi="Arial" w:eastAsia="Arial" w:cs="Arial"/>
          <w:b/>
          <w:bCs/>
          <w:sz w:val="26"/>
          <w:szCs w:val="26"/>
        </w:rPr>
        <w:t>2.2 Opening Price Relationship</w:t>
      </w:r>
    </w:p>
    <w:p w14:paraId="5214C74F">
      <w:pPr>
        <w:spacing w:after="200" w:line="276" w:lineRule="auto"/>
      </w:pPr>
      <w:r>
        <w:rPr>
          <w:rFonts w:ascii="Arial" w:hAnsi="Arial" w:eastAsia="Arial" w:cs="Arial"/>
          <w:sz w:val="22"/>
          <w:szCs w:val="22"/>
        </w:rPr>
        <w:t>On many classic bullish daily PO3 profiles the manipulation prints below the daily open and distribution carries price above the open. On classic bearish profiles the manipulation prints above the open and distribution carries price lower. The finished daily candle often shows a long wick on the manipulation side and a close near the opposite extreme.</w:t>
      </w:r>
    </w:p>
    <w:p w14:paraId="0B6E5864">
      <w:pPr>
        <w:pStyle w:val="3"/>
        <w:spacing w:before="280" w:after="180"/>
      </w:pPr>
      <w:r>
        <w:rPr>
          <w:rFonts w:ascii="Arial" w:hAnsi="Arial" w:eastAsia="Arial" w:cs="Arial"/>
          <w:b/>
          <w:bCs/>
          <w:sz w:val="26"/>
          <w:szCs w:val="26"/>
        </w:rPr>
        <w:t>2.3 Expansion from the Open</w:t>
      </w:r>
    </w:p>
    <w:p w14:paraId="4DCAE8E5">
      <w:pPr>
        <w:spacing w:after="200" w:line="276" w:lineRule="auto"/>
      </w:pPr>
      <w:r>
        <w:rPr>
          <w:rFonts w:ascii="Arial" w:hAnsi="Arial" w:eastAsia="Arial" w:cs="Arial"/>
          <w:sz w:val="22"/>
          <w:szCs w:val="22"/>
        </w:rPr>
        <w:t>True distribution is expansion away from the manipulated side and usually away from the open in the direction of the higher-timeframe bias. Expansion that begins without a prior liquidity raid is lower quality.</w:t>
      </w:r>
    </w:p>
    <w:p w14:paraId="04F3FC88">
      <w:pPr>
        <w:pStyle w:val="2"/>
        <w:spacing w:before="360" w:after="240"/>
      </w:pPr>
      <w:r>
        <w:rPr>
          <w:rFonts w:ascii="Arial" w:hAnsi="Arial" w:eastAsia="Arial" w:cs="Arial"/>
          <w:b/>
          <w:bCs/>
          <w:sz w:val="32"/>
          <w:szCs w:val="32"/>
        </w:rPr>
        <w:t>3. Weekly and Monthly Power of 3</w:t>
      </w:r>
    </w:p>
    <w:p w14:paraId="02F5F07B">
      <w:pPr>
        <w:pStyle w:val="3"/>
        <w:spacing w:before="280" w:after="180"/>
      </w:pPr>
      <w:r>
        <w:rPr>
          <w:rFonts w:ascii="Arial" w:hAnsi="Arial" w:eastAsia="Arial" w:cs="Arial"/>
          <w:b/>
          <w:bCs/>
          <w:sz w:val="26"/>
          <w:szCs w:val="26"/>
        </w:rPr>
        <w:t>3.1 Weekly</w:t>
      </w:r>
    </w:p>
    <w:p w14:paraId="2D7EC6F5">
      <w:pPr>
        <w:spacing w:after="200" w:line="276" w:lineRule="auto"/>
      </w:pPr>
      <w:r>
        <w:rPr>
          <w:rFonts w:ascii="Arial" w:hAnsi="Arial" w:eastAsia="Arial" w:cs="Arial"/>
          <w:sz w:val="22"/>
          <w:szCs w:val="22"/>
        </w:rPr>
        <w:t>A frequent (not rigid) weekly profile: early-week accumulation (often Monday), mid-week manipulation that sets the week’s extreme (raid of early-week high or low), later-week distribution toward the weekly Draw on Liquidity. Weekly opening behaviour frames the first days of the profile.</w:t>
      </w:r>
    </w:p>
    <w:p w14:paraId="71676EAB">
      <w:pPr>
        <w:pStyle w:val="3"/>
        <w:spacing w:before="280" w:after="180"/>
      </w:pPr>
      <w:r>
        <w:rPr>
          <w:rFonts w:ascii="Arial" w:hAnsi="Arial" w:eastAsia="Arial" w:cs="Arial"/>
          <w:b/>
          <w:bCs/>
          <w:sz w:val="26"/>
          <w:szCs w:val="26"/>
        </w:rPr>
        <w:t>3.2 Monthly</w:t>
      </w:r>
    </w:p>
    <w:p w14:paraId="00F1BC60">
      <w:pPr>
        <w:spacing w:after="200" w:line="276" w:lineRule="auto"/>
      </w:pPr>
      <w:r>
        <w:rPr>
          <w:rFonts w:ascii="Arial" w:hAnsi="Arial" w:eastAsia="Arial" w:cs="Arial"/>
          <w:sz w:val="22"/>
          <w:szCs w:val="22"/>
        </w:rPr>
        <w:t>Monthly PO3 is slower and less mechanically session-tied. Accumulation may span the first part of the month; manipulation may appear as a raid of a prior month’s extreme or of early-month range boundaries; distribution occupies the balance of the month toward the monthly DOL. Monthly PO3 supplies the highest-timeframe template that daily and weekly profiles nest inside.</w:t>
      </w:r>
    </w:p>
    <w:p w14:paraId="7DAC1D03">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Daily PO3 is heavily demonstrated. Weekly and monthly extensions are consistent with ICT multi-timeframe teaching; exact day-of-week or day-of-month rules are less rigid than the daily session mapping.</w:t>
      </w:r>
    </w:p>
    <w:p w14:paraId="778D9C20">
      <w:pPr>
        <w:pStyle w:val="2"/>
        <w:spacing w:before="360" w:after="240"/>
      </w:pPr>
      <w:r>
        <w:rPr>
          <w:rFonts w:ascii="Arial" w:hAnsi="Arial" w:eastAsia="Arial" w:cs="Arial"/>
          <w:b/>
          <w:bCs/>
          <w:sz w:val="32"/>
          <w:szCs w:val="32"/>
        </w:rPr>
        <w:t>4. Session-Based PO3</w:t>
      </w:r>
    </w:p>
    <w:p w14:paraId="3E0EE499">
      <w:pPr>
        <w:spacing w:after="200" w:line="276" w:lineRule="auto"/>
      </w:pPr>
      <w:r>
        <w:rPr>
          <w:rFonts w:ascii="Arial" w:hAnsi="Arial" w:eastAsia="Arial" w:cs="Arial"/>
          <w:sz w:val="22"/>
          <w:szCs w:val="22"/>
        </w:rPr>
        <w:t>The same three phases can appear inside a single kill zone or session. A New York window may accumulate briefly, manipulate a local high or low, then distribute. Recognising the phase inside the session prevents the trader from entering during manipulation and labelling it distribution. Session-based PO3 is always subordinate to the daily and higher-timeframe PO3 narrative.</w:t>
      </w:r>
    </w:p>
    <w:p w14:paraId="15683B0C">
      <w:pPr>
        <w:pStyle w:val="2"/>
        <w:spacing w:before="360" w:after="240"/>
      </w:pPr>
      <w:r>
        <w:rPr>
          <w:rFonts w:ascii="Arial" w:hAnsi="Arial" w:eastAsia="Arial" w:cs="Arial"/>
          <w:b/>
          <w:bCs/>
          <w:sz w:val="32"/>
          <w:szCs w:val="32"/>
        </w:rPr>
        <w:t>5. PO3 + Liquidity</w:t>
      </w:r>
    </w:p>
    <w:p w14:paraId="766809F9">
      <w:pPr>
        <w:pStyle w:val="3"/>
        <w:spacing w:before="280" w:after="180"/>
      </w:pPr>
      <w:r>
        <w:rPr>
          <w:rFonts w:ascii="Arial" w:hAnsi="Arial" w:eastAsia="Arial" w:cs="Arial"/>
          <w:b/>
          <w:bCs/>
          <w:sz w:val="26"/>
          <w:szCs w:val="26"/>
        </w:rPr>
        <w:t>5.1 Manipulation Targets Liquidity</w:t>
      </w:r>
    </w:p>
    <w:p w14:paraId="4BDE7B99">
      <w:pPr>
        <w:spacing w:after="200" w:line="276" w:lineRule="auto"/>
      </w:pPr>
      <w:r>
        <w:rPr>
          <w:rFonts w:ascii="Arial" w:hAnsi="Arial" w:eastAsia="Arial" w:cs="Arial"/>
          <w:sz w:val="22"/>
          <w:szCs w:val="22"/>
        </w:rPr>
        <w:t>The manipulation phase is directed at resting liquidity — typically the Asian range extreme, relative equal highs/lows, or the opposing side of the daily open. The side that is manipulated frequently reveals the side that was needed to fuel the subsequent distribution.</w:t>
      </w:r>
    </w:p>
    <w:p w14:paraId="5512D140">
      <w:pPr>
        <w:pStyle w:val="3"/>
        <w:spacing w:before="280" w:after="180"/>
      </w:pPr>
      <w:r>
        <w:rPr>
          <w:rFonts w:ascii="Arial" w:hAnsi="Arial" w:eastAsia="Arial" w:cs="Arial"/>
          <w:b/>
          <w:bCs/>
          <w:sz w:val="26"/>
          <w:szCs w:val="26"/>
        </w:rPr>
        <w:t>5.2 Distribution Seeks the DOL</w:t>
      </w:r>
    </w:p>
    <w:p w14:paraId="1412EEFB">
      <w:pPr>
        <w:spacing w:after="200" w:line="276" w:lineRule="auto"/>
      </w:pPr>
      <w:r>
        <w:rPr>
          <w:rFonts w:ascii="Arial" w:hAnsi="Arial" w:eastAsia="Arial" w:cs="Arial"/>
          <w:sz w:val="22"/>
          <w:szCs w:val="22"/>
        </w:rPr>
        <w:t>Distribution is the delivery leg toward the Draw on Liquidity (Module 3). Intermediate IRL may be taken on the way; the terminal objective is often ERL or a higher-timeframe pool.</w:t>
      </w:r>
    </w:p>
    <w:p w14:paraId="7FE5F3C8">
      <w:pPr>
        <w:pStyle w:val="2"/>
        <w:spacing w:before="360" w:after="240"/>
      </w:pPr>
      <w:r>
        <w:rPr>
          <w:rFonts w:ascii="Arial" w:hAnsi="Arial" w:eastAsia="Arial" w:cs="Arial"/>
          <w:b/>
          <w:bCs/>
          <w:sz w:val="32"/>
          <w:szCs w:val="32"/>
        </w:rPr>
        <w:t>6. PO3 + Higher-Timeframe Bias</w:t>
      </w:r>
    </w:p>
    <w:p w14:paraId="00C01423">
      <w:pPr>
        <w:pStyle w:val="3"/>
        <w:spacing w:before="280" w:after="180"/>
      </w:pPr>
      <w:r>
        <w:rPr>
          <w:rFonts w:ascii="Arial" w:hAnsi="Arial" w:eastAsia="Arial" w:cs="Arial"/>
          <w:b/>
          <w:bCs/>
          <w:sz w:val="26"/>
          <w:szCs w:val="26"/>
        </w:rPr>
        <w:t>6.1 Alignment</w:t>
      </w:r>
    </w:p>
    <w:p w14:paraId="56C8B789">
      <w:pPr>
        <w:spacing w:after="200" w:line="276" w:lineRule="auto"/>
      </w:pPr>
      <w:r>
        <w:rPr>
          <w:rFonts w:ascii="Arial" w:hAnsi="Arial" w:eastAsia="Arial" w:cs="Arial"/>
          <w:sz w:val="22"/>
          <w:szCs w:val="22"/>
        </w:rPr>
        <w:t>The highest-quality daily or weekly PO3 profiles are those that align with the higher-timeframe delivery narrative and controlling dealing-range location. A bullish daily PO3 that occurs while weekly structure and DOL are also bullish, and while price is in discount of the controlling range, is high-confluence.</w:t>
      </w:r>
    </w:p>
    <w:p w14:paraId="7320C8DB">
      <w:pPr>
        <w:pStyle w:val="3"/>
        <w:spacing w:before="280" w:after="180"/>
      </w:pPr>
      <w:r>
        <w:rPr>
          <w:rFonts w:ascii="Arial" w:hAnsi="Arial" w:eastAsia="Arial" w:cs="Arial"/>
          <w:b/>
          <w:bCs/>
          <w:sz w:val="26"/>
          <w:szCs w:val="26"/>
        </w:rPr>
        <w:t>6.2 Conflict</w:t>
      </w:r>
    </w:p>
    <w:p w14:paraId="2E729617">
      <w:pPr>
        <w:spacing w:after="200" w:line="276" w:lineRule="auto"/>
      </w:pPr>
      <w:r>
        <w:rPr>
          <w:rFonts w:ascii="Arial" w:hAnsi="Arial" w:eastAsia="Arial" w:cs="Arial"/>
          <w:sz w:val="22"/>
          <w:szCs w:val="22"/>
        </w:rPr>
        <w:t>A daily PO3 that points opposite to the weekly narrative is lower probability or represents a corrective day inside a larger opposing story. Advanced discipline favours the higher-timeframe narrative when the two conflict.</w:t>
      </w:r>
    </w:p>
    <w:p w14:paraId="0E0261EF">
      <w:pPr>
        <w:pStyle w:val="2"/>
        <w:spacing w:before="360" w:after="240"/>
      </w:pPr>
      <w:r>
        <w:rPr>
          <w:rFonts w:ascii="Arial" w:hAnsi="Arial" w:eastAsia="Arial" w:cs="Arial"/>
          <w:b/>
          <w:bCs/>
          <w:sz w:val="32"/>
          <w:szCs w:val="32"/>
        </w:rPr>
        <w:t>7. PO3 Failure and Alternative Delivery Paths</w:t>
      </w:r>
    </w:p>
    <w:p w14:paraId="31D21E5D">
      <w:pPr>
        <w:pStyle w:val="3"/>
        <w:spacing w:before="280" w:after="180"/>
      </w:pPr>
      <w:r>
        <w:rPr>
          <w:rFonts w:ascii="Arial" w:hAnsi="Arial" w:eastAsia="Arial" w:cs="Arial"/>
          <w:b/>
          <w:bCs/>
          <w:sz w:val="26"/>
          <w:szCs w:val="26"/>
        </w:rPr>
        <w:t>7.1 Failure Modes</w:t>
      </w:r>
    </w:p>
    <w:p w14:paraId="00BD2098">
      <w:pPr>
        <w:spacing w:after="200" w:line="276" w:lineRule="auto"/>
      </w:pPr>
      <w:r>
        <w:rPr>
          <w:rFonts w:ascii="Arial" w:hAnsi="Arial" w:eastAsia="Arial" w:cs="Arial"/>
          <w:sz w:val="22"/>
          <w:szCs w:val="22"/>
        </w:rPr>
        <w:t>PO3 fails when:</w:t>
      </w:r>
    </w:p>
    <w:p w14:paraId="705B4CCE">
      <w:pPr>
        <w:pStyle w:val="16"/>
        <w:numPr>
          <w:ilvl w:val="0"/>
          <w:numId w:val="1"/>
        </w:numPr>
        <w:spacing w:after="120" w:line="276" w:lineRule="auto"/>
      </w:pPr>
      <w:r>
        <w:rPr>
          <w:rFonts w:ascii="Arial" w:hAnsi="Arial" w:eastAsia="Arial" w:cs="Arial"/>
          <w:sz w:val="22"/>
          <w:szCs w:val="22"/>
        </w:rPr>
        <w:t>The expected distribution does not materialise after manipulation.</w:t>
      </w:r>
    </w:p>
    <w:p w14:paraId="44D86587">
      <w:pPr>
        <w:pStyle w:val="16"/>
        <w:numPr>
          <w:ilvl w:val="0"/>
          <w:numId w:val="1"/>
        </w:numPr>
        <w:spacing w:after="120" w:line="276" w:lineRule="auto"/>
      </w:pPr>
      <w:r>
        <w:rPr>
          <w:rFonts w:ascii="Arial" w:hAnsi="Arial" w:eastAsia="Arial" w:cs="Arial"/>
          <w:sz w:val="22"/>
          <w:szCs w:val="22"/>
        </w:rPr>
        <w:t>The manipulation is itself continued (sweep and go) rather than reversed.</w:t>
      </w:r>
    </w:p>
    <w:p w14:paraId="76DAEC09">
      <w:pPr>
        <w:pStyle w:val="16"/>
        <w:numPr>
          <w:ilvl w:val="0"/>
          <w:numId w:val="1"/>
        </w:numPr>
        <w:spacing w:after="120" w:line="276" w:lineRule="auto"/>
      </w:pPr>
      <w:r>
        <w:rPr>
          <w:rFonts w:ascii="Arial" w:hAnsi="Arial" w:eastAsia="Arial" w:cs="Arial"/>
          <w:sz w:val="22"/>
          <w:szCs w:val="22"/>
        </w:rPr>
        <w:t>Both sides of the accumulation range are swept and the period closes with no clear distribution.</w:t>
      </w:r>
    </w:p>
    <w:p w14:paraId="62777E56">
      <w:pPr>
        <w:pStyle w:val="16"/>
        <w:numPr>
          <w:ilvl w:val="0"/>
          <w:numId w:val="1"/>
        </w:numPr>
        <w:spacing w:after="120" w:line="276" w:lineRule="auto"/>
      </w:pPr>
      <w:r>
        <w:rPr>
          <w:rFonts w:ascii="Arial" w:hAnsi="Arial" w:eastAsia="Arial" w:cs="Arial"/>
          <w:sz w:val="22"/>
          <w:szCs w:val="22"/>
        </w:rPr>
        <w:t>Higher-timeframe opposing force reverses distribution before the DOL is reached.</w:t>
      </w:r>
    </w:p>
    <w:p w14:paraId="17B76E9B">
      <w:pPr>
        <w:pStyle w:val="3"/>
        <w:spacing w:before="280" w:after="180"/>
      </w:pPr>
      <w:r>
        <w:rPr>
          <w:rFonts w:ascii="Arial" w:hAnsi="Arial" w:eastAsia="Arial" w:cs="Arial"/>
          <w:b/>
          <w:bCs/>
          <w:sz w:val="26"/>
          <w:szCs w:val="26"/>
        </w:rPr>
        <w:t>7.2 Alternative Paths</w:t>
      </w:r>
    </w:p>
    <w:p w14:paraId="69ABE953">
      <w:pPr>
        <w:spacing w:after="200" w:line="276" w:lineRule="auto"/>
      </w:pPr>
      <w:r>
        <w:rPr>
          <w:rFonts w:ascii="Arial" w:hAnsi="Arial" w:eastAsia="Arial" w:cs="Arial"/>
          <w:sz w:val="22"/>
          <w:szCs w:val="22"/>
        </w:rPr>
        <w:t>Not every day or week prints a textbook PO3. Alternative profiles include:</w:t>
      </w:r>
    </w:p>
    <w:p w14:paraId="453ED8AF">
      <w:pPr>
        <w:pStyle w:val="16"/>
        <w:numPr>
          <w:ilvl w:val="0"/>
          <w:numId w:val="1"/>
        </w:numPr>
        <w:spacing w:after="120" w:line="276" w:lineRule="auto"/>
      </w:pPr>
      <w:r>
        <w:rPr>
          <w:rFonts w:ascii="Arial" w:hAnsi="Arial" w:eastAsia="Arial" w:cs="Arial"/>
          <w:sz w:val="22"/>
          <w:szCs w:val="22"/>
        </w:rPr>
        <w:t>Trend days with little or no manipulation wick.</w:t>
      </w:r>
    </w:p>
    <w:p w14:paraId="42338731">
      <w:pPr>
        <w:pStyle w:val="16"/>
        <w:numPr>
          <w:ilvl w:val="0"/>
          <w:numId w:val="1"/>
        </w:numPr>
        <w:spacing w:after="120" w:line="276" w:lineRule="auto"/>
      </w:pPr>
      <w:r>
        <w:rPr>
          <w:rFonts w:ascii="Arial" w:hAnsi="Arial" w:eastAsia="Arial" w:cs="Arial"/>
          <w:sz w:val="22"/>
          <w:szCs w:val="22"/>
        </w:rPr>
        <w:t>Range days with multiple small AMD cycles.</w:t>
      </w:r>
    </w:p>
    <w:p w14:paraId="3CF951F3">
      <w:pPr>
        <w:pStyle w:val="16"/>
        <w:numPr>
          <w:ilvl w:val="0"/>
          <w:numId w:val="1"/>
        </w:numPr>
        <w:spacing w:after="120" w:line="276" w:lineRule="auto"/>
      </w:pPr>
      <w:r>
        <w:rPr>
          <w:rFonts w:ascii="Arial" w:hAnsi="Arial" w:eastAsia="Arial" w:cs="Arial"/>
          <w:sz w:val="22"/>
          <w:szCs w:val="22"/>
        </w:rPr>
        <w:t>News-driven expansions that ignore the usual session sequence.</w:t>
      </w:r>
    </w:p>
    <w:p w14:paraId="2388F169">
      <w:pPr>
        <w:spacing w:after="200" w:line="276" w:lineRule="auto"/>
      </w:pPr>
      <w:r>
        <w:rPr>
          <w:rFonts w:ascii="Arial" w:hAnsi="Arial" w:eastAsia="Arial" w:cs="Arial"/>
          <w:sz w:val="22"/>
          <w:szCs w:val="22"/>
        </w:rPr>
        <w:t>Advanced practice recognises alternatives rather than forcing the three-phase template onto every candle.</w:t>
      </w:r>
    </w:p>
    <w:p w14:paraId="66DDC6AC">
      <w:pPr>
        <w:pStyle w:val="3"/>
        <w:spacing w:before="280" w:after="180"/>
      </w:pPr>
      <w:r>
        <w:rPr>
          <w:rFonts w:ascii="Arial" w:hAnsi="Arial" w:eastAsia="Arial" w:cs="Arial"/>
          <w:b/>
          <w:bCs/>
          <w:sz w:val="26"/>
          <w:szCs w:val="26"/>
        </w:rPr>
        <w:t>7.3 Response</w:t>
      </w:r>
    </w:p>
    <w:p w14:paraId="60BA1087">
      <w:pPr>
        <w:spacing w:after="200" w:line="276" w:lineRule="auto"/>
      </w:pPr>
      <w:r>
        <w:rPr>
          <w:rFonts w:ascii="Arial" w:hAnsi="Arial" w:eastAsia="Arial" w:cs="Arial"/>
          <w:sz w:val="22"/>
          <w:szCs w:val="22"/>
        </w:rPr>
        <w:t>When PO3 fails or an alternative path is active, the student re-checks the higher-timeframe DOL and structure, updates the daily narrative, and selects models consistent with the actual path rather than the hoped-for path.</w:t>
      </w:r>
    </w:p>
    <w:p w14:paraId="33D993E8">
      <w:pPr>
        <w:pStyle w:val="2"/>
        <w:spacing w:before="360" w:after="240"/>
      </w:pPr>
      <w:r>
        <w:rPr>
          <w:rFonts w:ascii="Arial" w:hAnsi="Arial" w:eastAsia="Arial" w:cs="Arial"/>
          <w:b/>
          <w:bCs/>
          <w:sz w:val="32"/>
          <w:szCs w:val="32"/>
        </w:rPr>
        <w:t>8. Phase-Dependent Model Selection</w:t>
      </w:r>
    </w:p>
    <w:p w14:paraId="3211EEC0">
      <w:pPr>
        <w:spacing w:after="200" w:line="276" w:lineRule="auto"/>
      </w:pPr>
      <w:r>
        <w:rPr>
          <w:rFonts w:ascii="Arial" w:hAnsi="Arial" w:eastAsia="Arial" w:cs="Arial"/>
          <w:sz w:val="22"/>
          <w:szCs w:val="22"/>
        </w:rPr>
        <w:t>Which lower-timeframe model is appropriate depends on the active PO3 phase:</w:t>
      </w:r>
    </w:p>
    <w:p w14:paraId="087CFAB1">
      <w:pPr>
        <w:pStyle w:val="16"/>
        <w:numPr>
          <w:ilvl w:val="0"/>
          <w:numId w:val="1"/>
        </w:numPr>
        <w:spacing w:after="120" w:line="276" w:lineRule="auto"/>
      </w:pPr>
      <w:r>
        <w:rPr>
          <w:rFonts w:ascii="Arial" w:hAnsi="Arial" w:eastAsia="Arial" w:cs="Arial"/>
          <w:sz w:val="22"/>
          <w:szCs w:val="22"/>
        </w:rPr>
        <w:t>Accumulation — generally stand aside or prepare; do not force directional entries.</w:t>
      </w:r>
    </w:p>
    <w:p w14:paraId="58D8F424">
      <w:pPr>
        <w:pStyle w:val="16"/>
        <w:numPr>
          <w:ilvl w:val="0"/>
          <w:numId w:val="1"/>
        </w:numPr>
        <w:spacing w:after="120" w:line="276" w:lineRule="auto"/>
      </w:pPr>
      <w:r>
        <w:rPr>
          <w:rFonts w:ascii="Arial" w:hAnsi="Arial" w:eastAsia="Arial" w:cs="Arial"/>
          <w:sz w:val="22"/>
          <w:szCs w:val="22"/>
        </w:rPr>
        <w:t>Manipulation — watch for the liquidity raid and the subsequent displacement; do not trade the manipulation itself as the trend.</w:t>
      </w:r>
    </w:p>
    <w:p w14:paraId="4462ECEA">
      <w:pPr>
        <w:pStyle w:val="16"/>
        <w:numPr>
          <w:ilvl w:val="0"/>
          <w:numId w:val="1"/>
        </w:numPr>
        <w:spacing w:after="120" w:line="276" w:lineRule="auto"/>
      </w:pPr>
      <w:r>
        <w:rPr>
          <w:rFonts w:ascii="Arial" w:hAnsi="Arial" w:eastAsia="Arial" w:cs="Arial"/>
          <w:sz w:val="22"/>
          <w:szCs w:val="22"/>
        </w:rPr>
        <w:t>Distribution — the primary window for continuation entries (FVG/OB/OTE retracement into the displacement arrays) toward the DOL.</w:t>
      </w:r>
    </w:p>
    <w:p w14:paraId="674AD6D5">
      <w:pPr>
        <w:spacing w:after="200" w:line="276" w:lineRule="auto"/>
      </w:pPr>
      <w:r>
        <w:rPr>
          <w:rFonts w:ascii="Arial" w:hAnsi="Arial" w:eastAsia="Arial" w:cs="Arial"/>
          <w:sz w:val="22"/>
          <w:szCs w:val="22"/>
        </w:rPr>
        <w:t>Trading distribution models during accumulation, or treating manipulation as distribution, is a frequent source of error.</w:t>
      </w:r>
    </w:p>
    <w:p w14:paraId="47A2F04F">
      <w:pPr>
        <w:pStyle w:val="2"/>
        <w:spacing w:before="360" w:after="240"/>
      </w:pPr>
      <w:r>
        <w:rPr>
          <w:rFonts w:ascii="Arial" w:hAnsi="Arial" w:eastAsia="Arial" w:cs="Arial"/>
          <w:b/>
          <w:bCs/>
          <w:sz w:val="32"/>
          <w:szCs w:val="32"/>
        </w:rPr>
        <w:t>9. Worked Narrative — Daily PO3 Aligned with Weekly Delivery</w:t>
      </w:r>
    </w:p>
    <w:p w14:paraId="5458B076">
      <w:pPr>
        <w:spacing w:after="200" w:line="276" w:lineRule="auto"/>
      </w:pPr>
      <w:r>
        <w:rPr>
          <w:rFonts w:ascii="Arial" w:hAnsi="Arial" w:eastAsia="Arial" w:cs="Arial"/>
          <w:sz w:val="22"/>
          <w:szCs w:val="22"/>
        </w:rPr>
        <w:t>Weekly: bullish structure, DOL = buy-side above prior weekly high, price in weekly discount.</w:t>
      </w:r>
    </w:p>
    <w:p w14:paraId="11775DFB">
      <w:pPr>
        <w:spacing w:after="200" w:line="276" w:lineRule="auto"/>
      </w:pPr>
      <w:r>
        <w:rPr>
          <w:rFonts w:ascii="Arial" w:hAnsi="Arial" w:eastAsia="Arial" w:cs="Arial"/>
          <w:sz w:val="22"/>
          <w:szCs w:val="22"/>
        </w:rPr>
        <w:t>Daily open: 1.0720. Asian range: 1.0700–1.0740 (accumulation around the open).</w:t>
      </w:r>
    </w:p>
    <w:p w14:paraId="331BA767">
      <w:pPr>
        <w:spacing w:after="200" w:line="276" w:lineRule="auto"/>
      </w:pPr>
      <w:r>
        <w:rPr>
          <w:rFonts w:ascii="Arial" w:hAnsi="Arial" w:eastAsia="Arial" w:cs="Arial"/>
          <w:sz w:val="22"/>
          <w:szCs w:val="22"/>
        </w:rPr>
        <w:t>London: sweeps Asian low to 1.0685 (manipulation below the open), then displaces higher with MSS and FVG. Distribution begins.</w:t>
      </w:r>
    </w:p>
    <w:p w14:paraId="3316EA4D">
      <w:pPr>
        <w:spacing w:after="200" w:line="276" w:lineRule="auto"/>
      </w:pPr>
      <w:r>
        <w:rPr>
          <w:rFonts w:ascii="Arial" w:hAnsi="Arial" w:eastAsia="Arial" w:cs="Arial"/>
          <w:sz w:val="22"/>
          <w:szCs w:val="22"/>
        </w:rPr>
        <w:t>New York: continues distribution toward daily and weekly buy-side objectives. Entry was available on the retracement into the London FVG/CE.</w:t>
      </w:r>
    </w:p>
    <w:p w14:paraId="5726C7AE">
      <w:pPr>
        <w:spacing w:after="200" w:line="276" w:lineRule="auto"/>
      </w:pPr>
      <w:r>
        <w:rPr>
          <w:rFonts w:ascii="Arial" w:hAnsi="Arial" w:eastAsia="Arial" w:cs="Arial"/>
          <w:sz w:val="22"/>
          <w:szCs w:val="22"/>
        </w:rPr>
        <w:t>Daily candle result: lower wick (manipulation), open mid-range, close near high (distribution). The profile is textbook bullish daily PO3 and is aligned with the weekly narrative.</w:t>
      </w:r>
    </w:p>
    <w:p w14:paraId="1C7DBAAD">
      <w:pPr>
        <w:pStyle w:val="2"/>
        <w:spacing w:before="360" w:after="240"/>
      </w:pPr>
      <w:r>
        <w:rPr>
          <w:rFonts w:ascii="Arial" w:hAnsi="Arial" w:eastAsia="Arial" w:cs="Arial"/>
          <w:b/>
          <w:bCs/>
          <w:sz w:val="32"/>
          <w:szCs w:val="32"/>
        </w:rPr>
        <w:t>Visual Reference — Daily PO3 Mapped to Sessions &amp; Open</w:t>
      </w:r>
    </w:p>
    <w:p w14:paraId="1A07BD40">
      <w:pPr>
        <w:spacing w:after="0" w:line="240" w:lineRule="auto"/>
      </w:pPr>
      <w:r>
        <w:rPr>
          <w:rFonts w:ascii="Courier New" w:hAnsi="Courier New" w:eastAsia="Courier New" w:cs="Courier New"/>
          <w:sz w:val="18"/>
          <w:szCs w:val="18"/>
        </w:rPr>
        <w:t>Daily Close (near high)</w:t>
      </w:r>
    </w:p>
    <w:p w14:paraId="74182F26">
      <w:pPr>
        <w:spacing w:after="0" w:line="240" w:lineRule="auto"/>
      </w:pPr>
      <w:r>
        <w:rPr>
          <w:rFonts w:ascii="Courier New" w:hAnsi="Courier New" w:eastAsia="Courier New" w:cs="Courier New"/>
          <w:sz w:val="18"/>
          <w:szCs w:val="18"/>
        </w:rPr>
        <w:t xml:space="preserve">        │ distribution (NY / late London)</w:t>
      </w:r>
    </w:p>
    <w:p w14:paraId="6C1DEDFB">
      <w:pPr>
        <w:spacing w:after="0" w:line="240" w:lineRule="auto"/>
      </w:pPr>
      <w:r>
        <w:rPr>
          <w:rFonts w:ascii="Courier New" w:hAnsi="Courier New" w:eastAsia="Courier New" w:cs="Courier New"/>
          <w:sz w:val="18"/>
          <w:szCs w:val="18"/>
        </w:rPr>
        <w:t xml:space="preserve">        │</w:t>
      </w:r>
    </w:p>
    <w:p w14:paraId="6BF33754">
      <w:pPr>
        <w:spacing w:after="0" w:line="240" w:lineRule="auto"/>
      </w:pPr>
      <w:r>
        <w:rPr>
          <w:rFonts w:ascii="Courier New" w:hAnsi="Courier New" w:eastAsia="Courier New" w:cs="Courier New"/>
          <w:sz w:val="18"/>
          <w:szCs w:val="18"/>
        </w:rPr>
        <w:t>Daily Open ──┤</w:t>
      </w:r>
    </w:p>
    <w:p w14:paraId="46592AE8">
      <w:pPr>
        <w:spacing w:after="0" w:line="240" w:lineRule="auto"/>
      </w:pPr>
      <w:r>
        <w:rPr>
          <w:rFonts w:ascii="Courier New" w:hAnsi="Courier New" w:eastAsia="Courier New" w:cs="Courier New"/>
          <w:sz w:val="18"/>
          <w:szCs w:val="18"/>
        </w:rPr>
        <w:t xml:space="preserve">        │ accumulation (Asian)</w:t>
      </w:r>
    </w:p>
    <w:p w14:paraId="7B2F3B83">
      <w:pPr>
        <w:spacing w:after="0" w:line="240" w:lineRule="auto"/>
      </w:pPr>
      <w:r>
        <w:rPr>
          <w:rFonts w:ascii="Courier New" w:hAnsi="Courier New" w:eastAsia="Courier New" w:cs="Courier New"/>
          <w:sz w:val="18"/>
          <w:szCs w:val="18"/>
        </w:rPr>
        <w:t xml:space="preserve">        │</w:t>
      </w:r>
    </w:p>
    <w:p w14:paraId="02CF3F2E">
      <w:pPr>
        <w:spacing w:after="0" w:line="240" w:lineRule="auto"/>
      </w:pPr>
      <w:r>
        <w:rPr>
          <w:rFonts w:ascii="Courier New" w:hAnsi="Courier New" w:eastAsia="Courier New" w:cs="Courier New"/>
          <w:sz w:val="18"/>
          <w:szCs w:val="18"/>
        </w:rPr>
        <w:t>Daily Low ───┘ manipulation wick (London sweep)</w:t>
      </w:r>
    </w:p>
    <w:p w14:paraId="573415B4">
      <w:pPr>
        <w:pStyle w:val="2"/>
        <w:spacing w:before="360" w:after="240"/>
      </w:pPr>
      <w:r>
        <w:rPr>
          <w:rFonts w:ascii="Arial" w:hAnsi="Arial" w:eastAsia="Arial" w:cs="Arial"/>
          <w:b/>
          <w:bCs/>
          <w:sz w:val="32"/>
          <w:szCs w:val="32"/>
        </w:rPr>
        <w:t>10. Common Misinterpretations</w:t>
      </w:r>
    </w:p>
    <w:p w14:paraId="564FD335">
      <w:pPr>
        <w:pStyle w:val="16"/>
        <w:numPr>
          <w:ilvl w:val="0"/>
          <w:numId w:val="1"/>
        </w:numPr>
        <w:spacing w:after="120" w:line="276" w:lineRule="auto"/>
      </w:pPr>
      <w:r>
        <w:rPr>
          <w:rFonts w:ascii="Arial" w:hAnsi="Arial" w:eastAsia="Arial" w:cs="Arial"/>
          <w:sz w:val="22"/>
          <w:szCs w:val="22"/>
        </w:rPr>
        <w:t>Treating every day as a textbook PO3.</w:t>
      </w:r>
    </w:p>
    <w:p w14:paraId="657195EB">
      <w:pPr>
        <w:pStyle w:val="16"/>
        <w:numPr>
          <w:ilvl w:val="0"/>
          <w:numId w:val="1"/>
        </w:numPr>
        <w:spacing w:after="120" w:line="276" w:lineRule="auto"/>
      </w:pPr>
      <w:r>
        <w:rPr>
          <w:rFonts w:ascii="Arial" w:hAnsi="Arial" w:eastAsia="Arial" w:cs="Arial"/>
          <w:sz w:val="22"/>
          <w:szCs w:val="22"/>
        </w:rPr>
        <w:t>Entering during the manipulation phase and calling it the trend.</w:t>
      </w:r>
    </w:p>
    <w:p w14:paraId="66F385A4">
      <w:pPr>
        <w:pStyle w:val="16"/>
        <w:numPr>
          <w:ilvl w:val="0"/>
          <w:numId w:val="1"/>
        </w:numPr>
        <w:spacing w:after="120" w:line="276" w:lineRule="auto"/>
      </w:pPr>
      <w:r>
        <w:rPr>
          <w:rFonts w:ascii="Arial" w:hAnsi="Arial" w:eastAsia="Arial" w:cs="Arial"/>
          <w:sz w:val="22"/>
          <w:szCs w:val="22"/>
        </w:rPr>
        <w:t>Ignoring the daily open when classifying the profile.</w:t>
      </w:r>
    </w:p>
    <w:p w14:paraId="1639B44C">
      <w:pPr>
        <w:pStyle w:val="16"/>
        <w:numPr>
          <w:ilvl w:val="0"/>
          <w:numId w:val="1"/>
        </w:numPr>
        <w:spacing w:after="120" w:line="276" w:lineRule="auto"/>
      </w:pPr>
      <w:r>
        <w:rPr>
          <w:rFonts w:ascii="Arial" w:hAnsi="Arial" w:eastAsia="Arial" w:cs="Arial"/>
          <w:sz w:val="22"/>
          <w:szCs w:val="22"/>
        </w:rPr>
        <w:t>Forcing a daily PO3 that conflicts with a clear weekly opposing narrative.</w:t>
      </w:r>
    </w:p>
    <w:p w14:paraId="301C39BE">
      <w:pPr>
        <w:pStyle w:val="16"/>
        <w:numPr>
          <w:ilvl w:val="0"/>
          <w:numId w:val="1"/>
        </w:numPr>
        <w:spacing w:after="120" w:line="276" w:lineRule="auto"/>
      </w:pPr>
      <w:r>
        <w:rPr>
          <w:rFonts w:ascii="Arial" w:hAnsi="Arial" w:eastAsia="Arial" w:cs="Arial"/>
          <w:sz w:val="22"/>
          <w:szCs w:val="22"/>
        </w:rPr>
        <w:t>Assuming that once manipulation has occurred, distribution is guaranteed.</w:t>
      </w:r>
    </w:p>
    <w:p w14:paraId="480438BF">
      <w:pPr>
        <w:pStyle w:val="16"/>
        <w:numPr>
          <w:ilvl w:val="0"/>
          <w:numId w:val="1"/>
        </w:numPr>
        <w:spacing w:after="120" w:line="276" w:lineRule="auto"/>
      </w:pPr>
      <w:r>
        <w:rPr>
          <w:rFonts w:ascii="Arial" w:hAnsi="Arial" w:eastAsia="Arial" w:cs="Arial"/>
          <w:sz w:val="22"/>
          <w:szCs w:val="22"/>
        </w:rPr>
        <w:t>Applying rigid day-of-week rules to weekly PO3 without reference to actual liquidity and structure.</w:t>
      </w:r>
    </w:p>
    <w:p w14:paraId="3A5CD851">
      <w:pPr>
        <w:pStyle w:val="2"/>
        <w:spacing w:before="360" w:after="240"/>
      </w:pPr>
      <w:r>
        <w:rPr>
          <w:rFonts w:ascii="Arial" w:hAnsi="Arial" w:eastAsia="Arial" w:cs="Arial"/>
          <w:b/>
          <w:bCs/>
          <w:sz w:val="32"/>
          <w:szCs w:val="32"/>
        </w:rPr>
        <w:t>11. Evidence Summary</w:t>
      </w:r>
    </w:p>
    <w:p w14:paraId="5B4FC433">
      <w:pPr>
        <w:spacing w:after="200" w:line="276" w:lineRule="auto"/>
      </w:pPr>
      <w:r>
        <w:rPr>
          <w:rFonts w:ascii="Arial" w:hAnsi="Arial" w:eastAsia="Arial" w:cs="Arial"/>
          <w:sz w:val="22"/>
          <w:szCs w:val="22"/>
        </w:rPr>
        <w:t>Power of 3 / AMD, the daily mapping onto Asian accumulation, London manipulation and New York distribution, and the role of the daily open are core ICT. Weekly and monthly extensions follow from multi-timeframe application. Failure recognition and alternative-path discipline are the advanced operational requirements. Community day-of-week or fixed-percentage rules beyond ICT’s demonstrations are secondary.</w:t>
      </w:r>
    </w:p>
    <w:p w14:paraId="4E0EF53E">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Primary orientation: ICT teaching on Power of 3, Accumulation–Manipulation–Distribution, daily open, and session-linked daily profiles. Weekly/monthly and failure analysis are the advanced synthesis consistent with primary multi-timeframe logic.</w:t>
      </w:r>
    </w:p>
    <w:p w14:paraId="162F27AE">
      <w:pPr>
        <w:pStyle w:val="2"/>
        <w:spacing w:before="360" w:after="240"/>
      </w:pPr>
      <w:r>
        <w:rPr>
          <w:rFonts w:ascii="Arial" w:hAnsi="Arial" w:eastAsia="Arial" w:cs="Arial"/>
          <w:b/>
          <w:bCs/>
          <w:sz w:val="32"/>
          <w:szCs w:val="32"/>
        </w:rPr>
        <w:t>What You Should Now Be Able to Do</w:t>
      </w:r>
    </w:p>
    <w:p w14:paraId="2EE31680">
      <w:pPr>
        <w:pStyle w:val="16"/>
        <w:numPr>
          <w:ilvl w:val="0"/>
          <w:numId w:val="1"/>
        </w:numPr>
        <w:spacing w:after="120" w:line="276" w:lineRule="auto"/>
      </w:pPr>
      <w:r>
        <w:rPr>
          <w:rFonts w:ascii="Arial" w:hAnsi="Arial" w:eastAsia="Arial" w:cs="Arial"/>
          <w:sz w:val="22"/>
          <w:szCs w:val="22"/>
        </w:rPr>
        <w:t>Classify the developing daily (and weekly) profile as Accumulation, Manipulation, Distribution, or Alternative.</w:t>
      </w:r>
    </w:p>
    <w:p w14:paraId="1A036D0A">
      <w:pPr>
        <w:pStyle w:val="16"/>
        <w:numPr>
          <w:ilvl w:val="0"/>
          <w:numId w:val="1"/>
        </w:numPr>
        <w:spacing w:after="120" w:line="276" w:lineRule="auto"/>
      </w:pPr>
      <w:r>
        <w:rPr>
          <w:rFonts w:ascii="Arial" w:hAnsi="Arial" w:eastAsia="Arial" w:cs="Arial"/>
          <w:sz w:val="22"/>
          <w:szCs w:val="22"/>
        </w:rPr>
        <w:t>Relate each phase to the daily open, the relevant kill zone, and the higher-timeframe DOL.</w:t>
      </w:r>
    </w:p>
    <w:p w14:paraId="7E19EAD4">
      <w:pPr>
        <w:pStyle w:val="16"/>
        <w:numPr>
          <w:ilvl w:val="0"/>
          <w:numId w:val="1"/>
        </w:numPr>
        <w:spacing w:after="120" w:line="276" w:lineRule="auto"/>
      </w:pPr>
      <w:r>
        <w:rPr>
          <w:rFonts w:ascii="Arial" w:hAnsi="Arial" w:eastAsia="Arial" w:cs="Arial"/>
          <w:sz w:val="22"/>
          <w:szCs w:val="22"/>
        </w:rPr>
        <w:t>Select lower-timeframe models that match the active phase.</w:t>
      </w:r>
    </w:p>
    <w:p w14:paraId="3DBDF370">
      <w:pPr>
        <w:pStyle w:val="16"/>
        <w:numPr>
          <w:ilvl w:val="0"/>
          <w:numId w:val="1"/>
        </w:numPr>
        <w:spacing w:after="120" w:line="276" w:lineRule="auto"/>
      </w:pPr>
      <w:r>
        <w:rPr>
          <w:rFonts w:ascii="Arial" w:hAnsi="Arial" w:eastAsia="Arial" w:cs="Arial"/>
          <w:sz w:val="22"/>
          <w:szCs w:val="22"/>
        </w:rPr>
        <w:t>Recognise PO3 failure and alternative paths and rewrite the narrative.</w:t>
      </w:r>
    </w:p>
    <w:p w14:paraId="4EDC0107">
      <w:pPr>
        <w:pStyle w:val="16"/>
        <w:numPr>
          <w:ilvl w:val="0"/>
          <w:numId w:val="1"/>
        </w:numPr>
        <w:spacing w:after="120" w:line="276" w:lineRule="auto"/>
      </w:pPr>
      <w:r>
        <w:rPr>
          <w:rFonts w:ascii="Arial" w:hAnsi="Arial" w:eastAsia="Arial" w:cs="Arial"/>
          <w:sz w:val="22"/>
          <w:szCs w:val="22"/>
        </w:rPr>
        <w:t>Keep daily PO3 subordinate to weekly and monthly delivery narratives.</w:t>
      </w:r>
    </w:p>
    <w:p w14:paraId="72DF9D12">
      <w:pPr>
        <w:pStyle w:val="16"/>
        <w:numPr>
          <w:ilvl w:val="0"/>
          <w:numId w:val="1"/>
        </w:numPr>
        <w:spacing w:after="120" w:line="276" w:lineRule="auto"/>
      </w:pPr>
      <w:r>
        <w:rPr>
          <w:rFonts w:ascii="Arial" w:hAnsi="Arial" w:eastAsia="Arial" w:cs="Arial"/>
          <w:sz w:val="22"/>
          <w:szCs w:val="22"/>
        </w:rPr>
        <w:t>Avoid forcing the template onto days that are not printing it.</w:t>
      </w:r>
    </w:p>
    <w:p w14:paraId="09D197F5">
      <w:pPr>
        <w:pStyle w:val="2"/>
        <w:spacing w:before="360" w:after="240"/>
      </w:pPr>
      <w:r>
        <w:rPr>
          <w:rFonts w:ascii="Arial" w:hAnsi="Arial" w:eastAsia="Arial" w:cs="Arial"/>
          <w:b/>
          <w:bCs/>
          <w:sz w:val="32"/>
          <w:szCs w:val="32"/>
        </w:rPr>
        <w:t>Module Review</w:t>
      </w:r>
    </w:p>
    <w:p w14:paraId="3F17144E">
      <w:pPr>
        <w:pStyle w:val="3"/>
        <w:spacing w:before="280" w:after="180"/>
      </w:pPr>
      <w:r>
        <w:rPr>
          <w:rFonts w:ascii="Arial" w:hAnsi="Arial" w:eastAsia="Arial" w:cs="Arial"/>
          <w:b/>
          <w:bCs/>
          <w:sz w:val="26"/>
          <w:szCs w:val="26"/>
        </w:rPr>
        <w:t>Key Terms</w:t>
      </w:r>
    </w:p>
    <w:p w14:paraId="207E768B">
      <w:pPr>
        <w:pStyle w:val="16"/>
        <w:numPr>
          <w:ilvl w:val="0"/>
          <w:numId w:val="1"/>
        </w:numPr>
        <w:spacing w:after="120" w:line="276" w:lineRule="auto"/>
      </w:pPr>
      <w:r>
        <w:rPr>
          <w:rFonts w:ascii="Arial" w:hAnsi="Arial" w:eastAsia="Arial" w:cs="Arial"/>
          <w:sz w:val="22"/>
          <w:szCs w:val="22"/>
        </w:rPr>
        <w:t>Power of 3 / AMD — Accumulation, Manipulation, Distribution sequence.</w:t>
      </w:r>
    </w:p>
    <w:p w14:paraId="375FED69">
      <w:pPr>
        <w:pStyle w:val="16"/>
        <w:numPr>
          <w:ilvl w:val="0"/>
          <w:numId w:val="1"/>
        </w:numPr>
        <w:spacing w:after="120" w:line="276" w:lineRule="auto"/>
      </w:pPr>
      <w:r>
        <w:rPr>
          <w:rFonts w:ascii="Arial" w:hAnsi="Arial" w:eastAsia="Arial" w:cs="Arial"/>
          <w:sz w:val="22"/>
          <w:szCs w:val="22"/>
        </w:rPr>
        <w:t>Accumulation — quiet range-building phase; liquidity builds.</w:t>
      </w:r>
    </w:p>
    <w:p w14:paraId="1AECEA5B">
      <w:pPr>
        <w:pStyle w:val="16"/>
        <w:numPr>
          <w:ilvl w:val="0"/>
          <w:numId w:val="1"/>
        </w:numPr>
        <w:spacing w:after="120" w:line="276" w:lineRule="auto"/>
      </w:pPr>
      <w:r>
        <w:rPr>
          <w:rFonts w:ascii="Arial" w:hAnsi="Arial" w:eastAsia="Arial" w:cs="Arial"/>
          <w:sz w:val="22"/>
          <w:szCs w:val="22"/>
        </w:rPr>
        <w:t>Manipulation — engineered move that raids liquidity (often beyond the open).</w:t>
      </w:r>
    </w:p>
    <w:p w14:paraId="45370688">
      <w:pPr>
        <w:pStyle w:val="16"/>
        <w:numPr>
          <w:ilvl w:val="0"/>
          <w:numId w:val="1"/>
        </w:numPr>
        <w:spacing w:after="120" w:line="276" w:lineRule="auto"/>
      </w:pPr>
      <w:r>
        <w:rPr>
          <w:rFonts w:ascii="Arial" w:hAnsi="Arial" w:eastAsia="Arial" w:cs="Arial"/>
          <w:sz w:val="22"/>
          <w:szCs w:val="22"/>
        </w:rPr>
        <w:t>Distribution — true directional expansion toward the DOL.</w:t>
      </w:r>
    </w:p>
    <w:p w14:paraId="532E0BE4">
      <w:pPr>
        <w:pStyle w:val="16"/>
        <w:numPr>
          <w:ilvl w:val="0"/>
          <w:numId w:val="1"/>
        </w:numPr>
        <w:spacing w:after="120" w:line="276" w:lineRule="auto"/>
      </w:pPr>
      <w:r>
        <w:rPr>
          <w:rFonts w:ascii="Arial" w:hAnsi="Arial" w:eastAsia="Arial" w:cs="Arial"/>
          <w:sz w:val="22"/>
          <w:szCs w:val="22"/>
        </w:rPr>
        <w:t>Daily / Weekly / Monthly PO3 — the three phases mapped onto those candles.</w:t>
      </w:r>
    </w:p>
    <w:p w14:paraId="36389610">
      <w:pPr>
        <w:pStyle w:val="16"/>
        <w:numPr>
          <w:ilvl w:val="0"/>
          <w:numId w:val="1"/>
        </w:numPr>
        <w:spacing w:after="120" w:line="276" w:lineRule="auto"/>
      </w:pPr>
      <w:r>
        <w:rPr>
          <w:rFonts w:ascii="Arial" w:hAnsi="Arial" w:eastAsia="Arial" w:cs="Arial"/>
          <w:sz w:val="22"/>
          <w:szCs w:val="22"/>
        </w:rPr>
        <w:t>Session-based PO3 — the same phases inside a single session or kill zone.</w:t>
      </w:r>
    </w:p>
    <w:p w14:paraId="5B7B45A3">
      <w:pPr>
        <w:pStyle w:val="16"/>
        <w:numPr>
          <w:ilvl w:val="0"/>
          <w:numId w:val="1"/>
        </w:numPr>
        <w:spacing w:after="120" w:line="276" w:lineRule="auto"/>
      </w:pPr>
      <w:r>
        <w:rPr>
          <w:rFonts w:ascii="Arial" w:hAnsi="Arial" w:eastAsia="Arial" w:cs="Arial"/>
          <w:sz w:val="22"/>
          <w:szCs w:val="22"/>
        </w:rPr>
        <w:t>PO3 failure — expected distribution does not occur or is reversed.</w:t>
      </w:r>
    </w:p>
    <w:p w14:paraId="0E871E93">
      <w:pPr>
        <w:pStyle w:val="16"/>
        <w:numPr>
          <w:ilvl w:val="0"/>
          <w:numId w:val="1"/>
        </w:numPr>
        <w:spacing w:after="120" w:line="276" w:lineRule="auto"/>
      </w:pPr>
      <w:r>
        <w:rPr>
          <w:rFonts w:ascii="Arial" w:hAnsi="Arial" w:eastAsia="Arial" w:cs="Arial"/>
          <w:sz w:val="22"/>
          <w:szCs w:val="22"/>
        </w:rPr>
        <w:t>Alternative delivery path — trend day, range day, news-driven profile, etc.</w:t>
      </w:r>
    </w:p>
    <w:p w14:paraId="4ADCBE63">
      <w:pPr>
        <w:pStyle w:val="3"/>
        <w:spacing w:before="280" w:after="180"/>
      </w:pPr>
      <w:r>
        <w:rPr>
          <w:rFonts w:ascii="Arial" w:hAnsi="Arial" w:eastAsia="Arial" w:cs="Arial"/>
          <w:b/>
          <w:bCs/>
          <w:sz w:val="26"/>
          <w:szCs w:val="26"/>
        </w:rPr>
        <w:t>Self-Test</w:t>
      </w:r>
    </w:p>
    <w:p w14:paraId="006BCD42">
      <w:pPr>
        <w:pStyle w:val="16"/>
        <w:numPr>
          <w:ilvl w:val="0"/>
          <w:numId w:val="2"/>
        </w:numPr>
        <w:spacing w:after="120" w:line="276" w:lineRule="auto"/>
      </w:pPr>
      <w:r>
        <w:rPr>
          <w:rFonts w:ascii="Arial" w:hAnsi="Arial" w:eastAsia="Arial" w:cs="Arial"/>
          <w:sz w:val="22"/>
          <w:szCs w:val="22"/>
        </w:rPr>
        <w:t>How does classic bullish daily PO3 typically relate to the daily open?</w:t>
      </w:r>
    </w:p>
    <w:p w14:paraId="53DEAF7D">
      <w:pPr>
        <w:pStyle w:val="16"/>
        <w:numPr>
          <w:ilvl w:val="0"/>
          <w:numId w:val="2"/>
        </w:numPr>
        <w:spacing w:after="120" w:line="276" w:lineRule="auto"/>
      </w:pPr>
      <w:r>
        <w:rPr>
          <w:rFonts w:ascii="Arial" w:hAnsi="Arial" w:eastAsia="Arial" w:cs="Arial"/>
          <w:sz w:val="22"/>
          <w:szCs w:val="22"/>
        </w:rPr>
        <w:t>What is the usual session mapping of daily Accumulation–Manipulation–Distribution?</w:t>
      </w:r>
    </w:p>
    <w:p w14:paraId="6093CD3E">
      <w:pPr>
        <w:pStyle w:val="16"/>
        <w:numPr>
          <w:ilvl w:val="0"/>
          <w:numId w:val="2"/>
        </w:numPr>
        <w:spacing w:after="120" w:line="276" w:lineRule="auto"/>
      </w:pPr>
      <w:r>
        <w:rPr>
          <w:rFonts w:ascii="Arial" w:hAnsi="Arial" w:eastAsia="Arial" w:cs="Arial"/>
          <w:sz w:val="22"/>
          <w:szCs w:val="22"/>
        </w:rPr>
        <w:t>When should a daily PO3 profile be treated as lower quality?</w:t>
      </w:r>
    </w:p>
    <w:p w14:paraId="6450C719">
      <w:pPr>
        <w:pStyle w:val="16"/>
        <w:numPr>
          <w:ilvl w:val="0"/>
          <w:numId w:val="2"/>
        </w:numPr>
        <w:spacing w:after="120" w:line="276" w:lineRule="auto"/>
      </w:pPr>
      <w:r>
        <w:rPr>
          <w:rFonts w:ascii="Arial" w:hAnsi="Arial" w:eastAsia="Arial" w:cs="Arial"/>
          <w:sz w:val="22"/>
          <w:szCs w:val="22"/>
        </w:rPr>
        <w:t>What models are appropriate during the distribution phase versus the accumulation phase?</w:t>
      </w:r>
    </w:p>
    <w:p w14:paraId="79B9D9BF">
      <w:pPr>
        <w:pStyle w:val="16"/>
        <w:numPr>
          <w:ilvl w:val="0"/>
          <w:numId w:val="2"/>
        </w:numPr>
        <w:spacing w:after="120" w:line="276" w:lineRule="auto"/>
      </w:pPr>
      <w:r>
        <w:rPr>
          <w:rFonts w:ascii="Arial" w:hAnsi="Arial" w:eastAsia="Arial" w:cs="Arial"/>
          <w:sz w:val="22"/>
          <w:szCs w:val="22"/>
        </w:rPr>
        <w:t>Give two examples of alternative delivery paths that are not textbook PO3.</w:t>
      </w:r>
    </w:p>
    <w:p w14:paraId="6BBC59DF">
      <w:pPr>
        <w:pStyle w:val="3"/>
        <w:spacing w:before="280" w:after="180"/>
      </w:pPr>
      <w:r>
        <w:rPr>
          <w:rFonts w:ascii="Arial" w:hAnsi="Arial" w:eastAsia="Arial" w:cs="Arial"/>
          <w:b/>
          <w:bCs/>
          <w:sz w:val="26"/>
          <w:szCs w:val="26"/>
        </w:rPr>
        <w:t>Transition to Module 9</w:t>
      </w:r>
    </w:p>
    <w:p w14:paraId="43138C64">
      <w:pPr>
        <w:spacing w:after="200" w:line="276" w:lineRule="auto"/>
      </w:pPr>
      <w:r>
        <w:rPr>
          <w:rFonts w:ascii="Arial" w:hAnsi="Arial" w:eastAsia="Arial" w:cs="Arial"/>
          <w:sz w:val="22"/>
          <w:szCs w:val="22"/>
        </w:rPr>
        <w:t>Module 8 has formalised the recurring AMD template that organises so many delivery legs across timeframes. Module 9 (Advanced Multi-Timeframe Narrative) will synthesise everything — delivery, range, liquidity, structure, PD arrays, time and PO3 — into a single top-down narrative construction process from monthly context to LTF execution.</w:t>
      </w:r>
    </w:p>
    <w:p w14:paraId="20BC2536">
      <w:pPr>
        <w:spacing w:after="200" w:line="276" w:lineRule="auto"/>
        <w:rPr>
          <w:rFonts w:ascii="Arial" w:hAnsi="Arial" w:eastAsia="Arial" w:cs="Arial"/>
          <w:sz w:val="22"/>
          <w:szCs w:val="22"/>
        </w:rPr>
      </w:pPr>
    </w:p>
    <w:p w14:paraId="0146739E">
      <w:pPr>
        <w:spacing w:after="200" w:line="276" w:lineRule="auto"/>
        <w:rPr>
          <w:rFonts w:ascii="Arial" w:hAnsi="Arial" w:eastAsia="Arial" w:cs="Arial"/>
          <w:sz w:val="22"/>
          <w:szCs w:val="22"/>
        </w:rPr>
      </w:pPr>
    </w:p>
    <w:p w14:paraId="7ADE838B">
      <w:pPr>
        <w:spacing w:after="200" w:line="276" w:lineRule="auto"/>
        <w:rPr>
          <w:rFonts w:ascii="Arial" w:hAnsi="Arial" w:eastAsia="Arial" w:cs="Arial"/>
          <w:sz w:val="22"/>
          <w:szCs w:val="22"/>
        </w:rPr>
      </w:pPr>
    </w:p>
    <w:p w14:paraId="48E356C5">
      <w:pPr>
        <w:spacing w:after="400"/>
        <w:jc w:val="center"/>
      </w:pPr>
      <w:r>
        <w:rPr>
          <w:rFonts w:ascii="Arial" w:hAnsi="Arial" w:eastAsia="Arial" w:cs="Arial"/>
          <w:b/>
          <w:bCs/>
          <w:sz w:val="36"/>
          <w:szCs w:val="36"/>
        </w:rPr>
        <w:t>MODULE 9</w:t>
      </w:r>
    </w:p>
    <w:p w14:paraId="726E84C2">
      <w:pPr>
        <w:spacing w:after="200"/>
        <w:jc w:val="center"/>
      </w:pPr>
      <w:r>
        <w:rPr>
          <w:rFonts w:ascii="Arial" w:hAnsi="Arial" w:eastAsia="Arial" w:cs="Arial"/>
          <w:b/>
          <w:bCs/>
          <w:sz w:val="28"/>
          <w:szCs w:val="28"/>
        </w:rPr>
        <w:t>Advanced Multi-Timeframe Narrative</w:t>
      </w:r>
    </w:p>
    <w:p w14:paraId="778D3109">
      <w:pPr>
        <w:spacing w:after="400"/>
        <w:jc w:val="center"/>
      </w:pPr>
      <w:r>
        <w:rPr>
          <w:rFonts w:ascii="Arial" w:hAnsi="Arial" w:eastAsia="Arial" w:cs="Arial"/>
          <w:i/>
          <w:iCs/>
          <w:sz w:val="20"/>
          <w:szCs w:val="20"/>
        </w:rPr>
        <w:t>Monthly → Weekly → Daily → Intraday, Nested Liquidity &amp; PD Arrays, Conflict vs Synchronization, Top-Down Construction</w:t>
      </w:r>
    </w:p>
    <w:p w14:paraId="064E1A91">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Modules 1–8. This module does not introduce new elementary concepts. It trains the student to assemble every prior element into a single coherent top-down narrative and to keep lower-timeframe activity strictly subordinate to higher-timeframe delivery.</w:t>
      </w:r>
    </w:p>
    <w:p w14:paraId="18E24103">
      <w:pPr>
        <w:pStyle w:val="2"/>
        <w:spacing w:before="360" w:after="240"/>
      </w:pPr>
      <w:r>
        <w:rPr>
          <w:rFonts w:ascii="Arial" w:hAnsi="Arial" w:eastAsia="Arial" w:cs="Arial"/>
          <w:b/>
          <w:bCs/>
          <w:sz w:val="32"/>
          <w:szCs w:val="32"/>
        </w:rPr>
        <w:t>Module Objectives</w:t>
      </w:r>
    </w:p>
    <w:p w14:paraId="622ADB74">
      <w:pPr>
        <w:spacing w:after="200" w:line="276" w:lineRule="auto"/>
      </w:pPr>
      <w:r>
        <w:rPr>
          <w:rFonts w:ascii="Arial" w:hAnsi="Arial" w:eastAsia="Arial" w:cs="Arial"/>
          <w:sz w:val="22"/>
          <w:szCs w:val="22"/>
        </w:rPr>
        <w:t>By the end of this module the advanced student should be able to:</w:t>
      </w:r>
    </w:p>
    <w:p w14:paraId="26ADE432">
      <w:pPr>
        <w:pStyle w:val="16"/>
        <w:numPr>
          <w:ilvl w:val="0"/>
          <w:numId w:val="1"/>
        </w:numPr>
        <w:spacing w:after="120" w:line="276" w:lineRule="auto"/>
      </w:pPr>
      <w:r>
        <w:rPr>
          <w:rFonts w:ascii="Arial" w:hAnsi="Arial" w:eastAsia="Arial" w:cs="Arial"/>
          <w:sz w:val="22"/>
          <w:szCs w:val="22"/>
        </w:rPr>
        <w:t>Construct a monthly narrative that states structure, controlling range, Draw on Liquidity and PO3 phase.</w:t>
      </w:r>
    </w:p>
    <w:p w14:paraId="5EDA3E8E">
      <w:pPr>
        <w:pStyle w:val="16"/>
        <w:numPr>
          <w:ilvl w:val="0"/>
          <w:numId w:val="1"/>
        </w:numPr>
        <w:spacing w:after="120" w:line="276" w:lineRule="auto"/>
      </w:pPr>
      <w:r>
        <w:rPr>
          <w:rFonts w:ascii="Arial" w:hAnsi="Arial" w:eastAsia="Arial" w:cs="Arial"/>
          <w:sz w:val="22"/>
          <w:szCs w:val="22"/>
        </w:rPr>
        <w:t>Nest a weekly narrative inside the monthly narrative without contradiction.</w:t>
      </w:r>
    </w:p>
    <w:p w14:paraId="007A70A6">
      <w:pPr>
        <w:pStyle w:val="16"/>
        <w:numPr>
          <w:ilvl w:val="0"/>
          <w:numId w:val="1"/>
        </w:numPr>
        <w:spacing w:after="120" w:line="276" w:lineRule="auto"/>
      </w:pPr>
      <w:r>
        <w:rPr>
          <w:rFonts w:ascii="Arial" w:hAnsi="Arial" w:eastAsia="Arial" w:cs="Arial"/>
          <w:sz w:val="22"/>
          <w:szCs w:val="22"/>
        </w:rPr>
        <w:t>Nest a daily narrative inside the weekly narrative, including expected session behaviour and kill-zone timing.</w:t>
      </w:r>
    </w:p>
    <w:p w14:paraId="7A914E43">
      <w:pPr>
        <w:pStyle w:val="16"/>
        <w:numPr>
          <w:ilvl w:val="0"/>
          <w:numId w:val="1"/>
        </w:numPr>
        <w:spacing w:after="120" w:line="276" w:lineRule="auto"/>
      </w:pPr>
      <w:r>
        <w:rPr>
          <w:rFonts w:ascii="Arial" w:hAnsi="Arial" w:eastAsia="Arial" w:cs="Arial"/>
          <w:sz w:val="22"/>
          <w:szCs w:val="22"/>
        </w:rPr>
        <w:t>Restrict intraday / LTF analysis to confirmation and precision execution inside the higher-timeframe story.</w:t>
      </w:r>
    </w:p>
    <w:p w14:paraId="071EDC5E">
      <w:pPr>
        <w:pStyle w:val="16"/>
        <w:numPr>
          <w:ilvl w:val="0"/>
          <w:numId w:val="1"/>
        </w:numPr>
        <w:spacing w:after="120" w:line="276" w:lineRule="auto"/>
      </w:pPr>
      <w:r>
        <w:rPr>
          <w:rFonts w:ascii="Arial" w:hAnsi="Arial" w:eastAsia="Arial" w:cs="Arial"/>
          <w:sz w:val="22"/>
          <w:szCs w:val="22"/>
        </w:rPr>
        <w:t>Identify nested liquidity and nested PD arrays and rank them by timeframe authority.</w:t>
      </w:r>
    </w:p>
    <w:p w14:paraId="7BA6403D">
      <w:pPr>
        <w:pStyle w:val="16"/>
        <w:numPr>
          <w:ilvl w:val="0"/>
          <w:numId w:val="1"/>
        </w:numPr>
        <w:spacing w:after="120" w:line="276" w:lineRule="auto"/>
      </w:pPr>
      <w:r>
        <w:rPr>
          <w:rFonts w:ascii="Arial" w:hAnsi="Arial" w:eastAsia="Arial" w:cs="Arial"/>
          <w:sz w:val="22"/>
          <w:szCs w:val="22"/>
        </w:rPr>
        <w:t>Recognise timeframe conflict and resolve it by higher-timeframe priority.</w:t>
      </w:r>
    </w:p>
    <w:p w14:paraId="3BD5BA5C">
      <w:pPr>
        <w:pStyle w:val="16"/>
        <w:numPr>
          <w:ilvl w:val="0"/>
          <w:numId w:val="1"/>
        </w:numPr>
        <w:spacing w:after="120" w:line="276" w:lineRule="auto"/>
      </w:pPr>
      <w:r>
        <w:rPr>
          <w:rFonts w:ascii="Arial" w:hAnsi="Arial" w:eastAsia="Arial" w:cs="Arial"/>
          <w:sz w:val="22"/>
          <w:szCs w:val="22"/>
        </w:rPr>
        <w:t>Produce a complete top-down narrative on an unfamiliar chart without being told which model is present.</w:t>
      </w:r>
    </w:p>
    <w:p w14:paraId="124DB338">
      <w:pPr>
        <w:pStyle w:val="2"/>
        <w:spacing w:before="360" w:after="240"/>
      </w:pPr>
      <w:r>
        <w:rPr>
          <w:rFonts w:ascii="Arial" w:hAnsi="Arial" w:eastAsia="Arial" w:cs="Arial"/>
          <w:b/>
          <w:bCs/>
          <w:sz w:val="32"/>
          <w:szCs w:val="32"/>
        </w:rPr>
        <w:t>1. Narrative Hierarchy — The Governing Principle</w:t>
      </w:r>
    </w:p>
    <w:p w14:paraId="5D7ADDC2">
      <w:pPr>
        <w:pStyle w:val="3"/>
        <w:spacing w:before="280" w:after="180"/>
      </w:pPr>
      <w:r>
        <w:rPr>
          <w:rFonts w:ascii="Arial" w:hAnsi="Arial" w:eastAsia="Arial" w:cs="Arial"/>
          <w:b/>
          <w:bCs/>
          <w:sz w:val="26"/>
          <w:szCs w:val="26"/>
        </w:rPr>
        <w:t>1.1 Authority Order</w:t>
      </w:r>
    </w:p>
    <w:p w14:paraId="22FAAFC2">
      <w:pPr>
        <w:spacing w:after="200" w:line="276" w:lineRule="auto"/>
      </w:pPr>
      <w:r>
        <w:rPr>
          <w:rFonts w:ascii="Arial" w:hAnsi="Arial" w:eastAsia="Arial" w:cs="Arial"/>
          <w:sz w:val="22"/>
          <w:szCs w:val="22"/>
        </w:rPr>
        <w:t>Monthly narrative governs weekly. Weekly governs daily. Daily governs intraday. At every scale the lower timeframe may refine timing and entry; it may not silently overwrite the higher-timeframe Draw on Liquidity or structural invalidation.</w:t>
      </w:r>
    </w:p>
    <w:p w14:paraId="305C02D7">
      <w:pPr>
        <w:pStyle w:val="3"/>
        <w:spacing w:before="280" w:after="180"/>
      </w:pPr>
      <w:r>
        <w:rPr>
          <w:rFonts w:ascii="Arial" w:hAnsi="Arial" w:eastAsia="Arial" w:cs="Arial"/>
          <w:b/>
          <w:bCs/>
          <w:sz w:val="26"/>
          <w:szCs w:val="26"/>
        </w:rPr>
        <w:t>1.2 What Each Layer Must Contain</w:t>
      </w:r>
    </w:p>
    <w:p w14:paraId="6DAFC9C0">
      <w:pPr>
        <w:spacing w:after="200" w:line="276" w:lineRule="auto"/>
      </w:pPr>
      <w:r>
        <w:rPr>
          <w:rFonts w:ascii="Arial" w:hAnsi="Arial" w:eastAsia="Arial" w:cs="Arial"/>
          <w:sz w:val="22"/>
          <w:szCs w:val="22"/>
        </w:rPr>
        <w:t>Every layer of the narrative answers the same questions at its own scale:</w:t>
      </w:r>
    </w:p>
    <w:p w14:paraId="72E7EEF8">
      <w:pPr>
        <w:pStyle w:val="16"/>
        <w:numPr>
          <w:ilvl w:val="0"/>
          <w:numId w:val="1"/>
        </w:numPr>
        <w:spacing w:after="120" w:line="276" w:lineRule="auto"/>
      </w:pPr>
      <w:r>
        <w:rPr>
          <w:rFonts w:ascii="Arial" w:hAnsi="Arial" w:eastAsia="Arial" w:cs="Arial"/>
          <w:sz w:val="22"/>
          <w:szCs w:val="22"/>
        </w:rPr>
        <w:t>What is the structural sequence and is it intact?</w:t>
      </w:r>
    </w:p>
    <w:p w14:paraId="1FE9EDEC">
      <w:pPr>
        <w:pStyle w:val="16"/>
        <w:numPr>
          <w:ilvl w:val="0"/>
          <w:numId w:val="1"/>
        </w:numPr>
        <w:spacing w:after="120" w:line="276" w:lineRule="auto"/>
      </w:pPr>
      <w:r>
        <w:rPr>
          <w:rFonts w:ascii="Arial" w:hAnsi="Arial" w:eastAsia="Arial" w:cs="Arial"/>
          <w:sz w:val="22"/>
          <w:szCs w:val="22"/>
        </w:rPr>
        <w:t>What is the controlling dealing range and where is price relative to equilibrium?</w:t>
      </w:r>
    </w:p>
    <w:p w14:paraId="00B5BC63">
      <w:pPr>
        <w:pStyle w:val="16"/>
        <w:numPr>
          <w:ilvl w:val="0"/>
          <w:numId w:val="1"/>
        </w:numPr>
        <w:spacing w:after="120" w:line="276" w:lineRule="auto"/>
      </w:pPr>
      <w:r>
        <w:rPr>
          <w:rFonts w:ascii="Arial" w:hAnsi="Arial" w:eastAsia="Arial" w:cs="Arial"/>
          <w:sz w:val="22"/>
          <w:szCs w:val="22"/>
        </w:rPr>
        <w:t>What is the Draw on Liquidity?</w:t>
      </w:r>
    </w:p>
    <w:p w14:paraId="4B2F1C9A">
      <w:pPr>
        <w:pStyle w:val="16"/>
        <w:numPr>
          <w:ilvl w:val="0"/>
          <w:numId w:val="1"/>
        </w:numPr>
        <w:spacing w:after="120" w:line="276" w:lineRule="auto"/>
      </w:pPr>
      <w:r>
        <w:rPr>
          <w:rFonts w:ascii="Arial" w:hAnsi="Arial" w:eastAsia="Arial" w:cs="Arial"/>
          <w:sz w:val="22"/>
          <w:szCs w:val="22"/>
        </w:rPr>
        <w:t>What PO3 phase (or alternative path) is active?</w:t>
      </w:r>
    </w:p>
    <w:p w14:paraId="2B3A4C43">
      <w:pPr>
        <w:pStyle w:val="16"/>
        <w:numPr>
          <w:ilvl w:val="0"/>
          <w:numId w:val="1"/>
        </w:numPr>
        <w:spacing w:after="120" w:line="276" w:lineRule="auto"/>
      </w:pPr>
      <w:r>
        <w:rPr>
          <w:rFonts w:ascii="Arial" w:hAnsi="Arial" w:eastAsia="Arial" w:cs="Arial"/>
          <w:sz w:val="22"/>
          <w:szCs w:val="22"/>
        </w:rPr>
        <w:t>What time window is most likely to advance delivery?</w:t>
      </w:r>
    </w:p>
    <w:p w14:paraId="5570F51B">
      <w:pPr>
        <w:pStyle w:val="16"/>
        <w:numPr>
          <w:ilvl w:val="0"/>
          <w:numId w:val="1"/>
        </w:numPr>
        <w:spacing w:after="120" w:line="276" w:lineRule="auto"/>
      </w:pPr>
      <w:r>
        <w:rPr>
          <w:rFonts w:ascii="Arial" w:hAnsi="Arial" w:eastAsia="Arial" w:cs="Arial"/>
          <w:sz w:val="22"/>
          <w:szCs w:val="22"/>
        </w:rPr>
        <w:t>What would invalidate this layer’s narrative?</w:t>
      </w:r>
    </w:p>
    <w:p w14:paraId="2900E218">
      <w:pPr>
        <w:pStyle w:val="2"/>
        <w:spacing w:before="360" w:after="240"/>
      </w:pPr>
      <w:r>
        <w:rPr>
          <w:rFonts w:ascii="Arial" w:hAnsi="Arial" w:eastAsia="Arial" w:cs="Arial"/>
          <w:b/>
          <w:bCs/>
          <w:sz w:val="32"/>
          <w:szCs w:val="32"/>
        </w:rPr>
        <w:t>2. Monthly Narrative</w:t>
      </w:r>
    </w:p>
    <w:p w14:paraId="3592AA1F">
      <w:pPr>
        <w:spacing w:after="200" w:line="276" w:lineRule="auto"/>
      </w:pPr>
      <w:r>
        <w:rPr>
          <w:rFonts w:ascii="Arial" w:hAnsi="Arial" w:eastAsia="Arial" w:cs="Arial"/>
          <w:sz w:val="22"/>
          <w:szCs w:val="22"/>
        </w:rPr>
        <w:t>The monthly narrative is the slowest and highest-authority frame. It states:</w:t>
      </w:r>
    </w:p>
    <w:p w14:paraId="46112953">
      <w:pPr>
        <w:pStyle w:val="16"/>
        <w:numPr>
          <w:ilvl w:val="0"/>
          <w:numId w:val="1"/>
        </w:numPr>
        <w:spacing w:after="120" w:line="276" w:lineRule="auto"/>
      </w:pPr>
      <w:r>
        <w:rPr>
          <w:rFonts w:ascii="Arial" w:hAnsi="Arial" w:eastAsia="Arial" w:cs="Arial"/>
          <w:sz w:val="22"/>
          <w:szCs w:val="22"/>
        </w:rPr>
        <w:t>Monthly structure (sequence of monthly highs and lows).</w:t>
      </w:r>
    </w:p>
    <w:p w14:paraId="03ABD7C5">
      <w:pPr>
        <w:pStyle w:val="16"/>
        <w:numPr>
          <w:ilvl w:val="0"/>
          <w:numId w:val="1"/>
        </w:numPr>
        <w:spacing w:after="120" w:line="276" w:lineRule="auto"/>
      </w:pPr>
      <w:r>
        <w:rPr>
          <w:rFonts w:ascii="Arial" w:hAnsi="Arial" w:eastAsia="Arial" w:cs="Arial"/>
          <w:sz w:val="22"/>
          <w:szCs w:val="22"/>
        </w:rPr>
        <w:t>Monthly dealing range (or the relevant multi-month range) and premium/discount location.</w:t>
      </w:r>
    </w:p>
    <w:p w14:paraId="5C86EA1C">
      <w:pPr>
        <w:pStyle w:val="16"/>
        <w:numPr>
          <w:ilvl w:val="0"/>
          <w:numId w:val="1"/>
        </w:numPr>
        <w:spacing w:after="120" w:line="276" w:lineRule="auto"/>
      </w:pPr>
      <w:r>
        <w:rPr>
          <w:rFonts w:ascii="Arial" w:hAnsi="Arial" w:eastAsia="Arial" w:cs="Arial"/>
          <w:sz w:val="22"/>
          <w:szCs w:val="22"/>
        </w:rPr>
        <w:t>Long-term Draw on Liquidity (untested monthly or multi-month external pools).</w:t>
      </w:r>
    </w:p>
    <w:p w14:paraId="17D6A678">
      <w:pPr>
        <w:pStyle w:val="16"/>
        <w:numPr>
          <w:ilvl w:val="0"/>
          <w:numId w:val="1"/>
        </w:numPr>
        <w:spacing w:after="120" w:line="276" w:lineRule="auto"/>
      </w:pPr>
      <w:r>
        <w:rPr>
          <w:rFonts w:ascii="Arial" w:hAnsi="Arial" w:eastAsia="Arial" w:cs="Arial"/>
          <w:sz w:val="22"/>
          <w:szCs w:val="22"/>
        </w:rPr>
        <w:t>Monthly PO3 phase if discernible.</w:t>
      </w:r>
    </w:p>
    <w:p w14:paraId="6C6707D2">
      <w:pPr>
        <w:pStyle w:val="16"/>
        <w:numPr>
          <w:ilvl w:val="0"/>
          <w:numId w:val="1"/>
        </w:numPr>
        <w:spacing w:after="120" w:line="276" w:lineRule="auto"/>
      </w:pPr>
      <w:r>
        <w:rPr>
          <w:rFonts w:ascii="Arial" w:hAnsi="Arial" w:eastAsia="Arial" w:cs="Arial"/>
          <w:sz w:val="22"/>
          <w:szCs w:val="22"/>
        </w:rPr>
        <w:t>Monthly invalidation level.</w:t>
      </w:r>
    </w:p>
    <w:p w14:paraId="0FA35C8B">
      <w:pPr>
        <w:spacing w:after="200" w:line="276" w:lineRule="auto"/>
      </w:pPr>
      <w:r>
        <w:rPr>
          <w:rFonts w:ascii="Arial" w:hAnsi="Arial" w:eastAsia="Arial" w:cs="Arial"/>
          <w:sz w:val="22"/>
          <w:szCs w:val="22"/>
        </w:rPr>
        <w:t>Most intraday and even daily decisions will never touch monthly invalidation. The monthly narrative exists to constrain the weekly and daily stories and to prevent the student from treating a strong daily move as a change in macro delivery when the monthly objective remains intact.</w:t>
      </w:r>
    </w:p>
    <w:p w14:paraId="6EAFEB12">
      <w:pPr>
        <w:pStyle w:val="2"/>
        <w:spacing w:before="360" w:after="240"/>
      </w:pPr>
      <w:r>
        <w:rPr>
          <w:rFonts w:ascii="Arial" w:hAnsi="Arial" w:eastAsia="Arial" w:cs="Arial"/>
          <w:b/>
          <w:bCs/>
          <w:sz w:val="32"/>
          <w:szCs w:val="32"/>
        </w:rPr>
        <w:t>3. Weekly Narrative</w:t>
      </w:r>
    </w:p>
    <w:p w14:paraId="751F475A">
      <w:pPr>
        <w:spacing w:after="200" w:line="276" w:lineRule="auto"/>
      </w:pPr>
      <w:r>
        <w:rPr>
          <w:rFonts w:ascii="Arial" w:hAnsi="Arial" w:eastAsia="Arial" w:cs="Arial"/>
          <w:sz w:val="22"/>
          <w:szCs w:val="22"/>
        </w:rPr>
        <w:t>The weekly narrative sits inside the monthly frame and is the primary swing-trading and higher-timeframe day-trading reference. It states:</w:t>
      </w:r>
    </w:p>
    <w:p w14:paraId="5898E2A0">
      <w:pPr>
        <w:pStyle w:val="16"/>
        <w:numPr>
          <w:ilvl w:val="0"/>
          <w:numId w:val="1"/>
        </w:numPr>
        <w:spacing w:after="120" w:line="276" w:lineRule="auto"/>
      </w:pPr>
      <w:r>
        <w:rPr>
          <w:rFonts w:ascii="Arial" w:hAnsi="Arial" w:eastAsia="Arial" w:cs="Arial"/>
          <w:sz w:val="22"/>
          <w:szCs w:val="22"/>
        </w:rPr>
        <w:t>Weekly structure and its alignment with monthly structure.</w:t>
      </w:r>
    </w:p>
    <w:p w14:paraId="658EADFA">
      <w:pPr>
        <w:pStyle w:val="16"/>
        <w:numPr>
          <w:ilvl w:val="0"/>
          <w:numId w:val="1"/>
        </w:numPr>
        <w:spacing w:after="120" w:line="276" w:lineRule="auto"/>
      </w:pPr>
      <w:r>
        <w:rPr>
          <w:rFonts w:ascii="Arial" w:hAnsi="Arial" w:eastAsia="Arial" w:cs="Arial"/>
          <w:sz w:val="22"/>
          <w:szCs w:val="22"/>
        </w:rPr>
        <w:t>Weekly dealing range and location.</w:t>
      </w:r>
    </w:p>
    <w:p w14:paraId="206803F4">
      <w:pPr>
        <w:pStyle w:val="16"/>
        <w:numPr>
          <w:ilvl w:val="0"/>
          <w:numId w:val="1"/>
        </w:numPr>
        <w:spacing w:after="120" w:line="276" w:lineRule="auto"/>
      </w:pPr>
      <w:r>
        <w:rPr>
          <w:rFonts w:ascii="Arial" w:hAnsi="Arial" w:eastAsia="Arial" w:cs="Arial"/>
          <w:sz w:val="22"/>
          <w:szCs w:val="22"/>
        </w:rPr>
        <w:t>Weekly Draw on Liquidity (often a prior weekly high/low or equal highs/lows).</w:t>
      </w:r>
    </w:p>
    <w:p w14:paraId="65EC73B1">
      <w:pPr>
        <w:pStyle w:val="16"/>
        <w:numPr>
          <w:ilvl w:val="0"/>
          <w:numId w:val="1"/>
        </w:numPr>
        <w:spacing w:after="120" w:line="276" w:lineRule="auto"/>
      </w:pPr>
      <w:r>
        <w:rPr>
          <w:rFonts w:ascii="Arial" w:hAnsi="Arial" w:eastAsia="Arial" w:cs="Arial"/>
          <w:sz w:val="22"/>
          <w:szCs w:val="22"/>
        </w:rPr>
        <w:t>Weekly PO3 phase (early-week accumulation, mid-week manipulation, later-week distribution, or alternative).</w:t>
      </w:r>
    </w:p>
    <w:p w14:paraId="1030D338">
      <w:pPr>
        <w:pStyle w:val="16"/>
        <w:numPr>
          <w:ilvl w:val="0"/>
          <w:numId w:val="1"/>
        </w:numPr>
        <w:spacing w:after="120" w:line="276" w:lineRule="auto"/>
      </w:pPr>
      <w:r>
        <w:rPr>
          <w:rFonts w:ascii="Arial" w:hAnsi="Arial" w:eastAsia="Arial" w:cs="Arial"/>
          <w:sz w:val="22"/>
          <w:szCs w:val="22"/>
        </w:rPr>
        <w:t>Weekly invalidation.</w:t>
      </w:r>
    </w:p>
    <w:p w14:paraId="2B77E194">
      <w:pPr>
        <w:spacing w:after="200" w:line="276" w:lineRule="auto"/>
      </w:pPr>
      <w:r>
        <w:rPr>
          <w:rFonts w:ascii="Arial" w:hAnsi="Arial" w:eastAsia="Arial" w:cs="Arial"/>
          <w:sz w:val="22"/>
          <w:szCs w:val="22"/>
        </w:rPr>
        <w:t>When weekly and monthly agree, confluence is high. When they conflict, the monthly narrative retains priority for macro bias; the weekly may be treated as a corrective phase inside the monthly story.</w:t>
      </w:r>
    </w:p>
    <w:p w14:paraId="7277827A">
      <w:pPr>
        <w:pStyle w:val="2"/>
        <w:spacing w:before="360" w:after="240"/>
      </w:pPr>
      <w:r>
        <w:rPr>
          <w:rFonts w:ascii="Arial" w:hAnsi="Arial" w:eastAsia="Arial" w:cs="Arial"/>
          <w:b/>
          <w:bCs/>
          <w:sz w:val="32"/>
          <w:szCs w:val="32"/>
        </w:rPr>
        <w:t>4. Daily Narrative</w:t>
      </w:r>
    </w:p>
    <w:p w14:paraId="241E28CC">
      <w:pPr>
        <w:spacing w:after="200" w:line="276" w:lineRule="auto"/>
      </w:pPr>
      <w:r>
        <w:rPr>
          <w:rFonts w:ascii="Arial" w:hAnsi="Arial" w:eastAsia="Arial" w:cs="Arial"/>
          <w:sz w:val="22"/>
          <w:szCs w:val="22"/>
        </w:rPr>
        <w:t>The daily narrative is the working frame for most execution decisions. It states:</w:t>
      </w:r>
    </w:p>
    <w:p w14:paraId="4040ACFA">
      <w:pPr>
        <w:pStyle w:val="16"/>
        <w:numPr>
          <w:ilvl w:val="0"/>
          <w:numId w:val="1"/>
        </w:numPr>
        <w:spacing w:after="120" w:line="276" w:lineRule="auto"/>
      </w:pPr>
      <w:r>
        <w:rPr>
          <w:rFonts w:ascii="Arial" w:hAnsi="Arial" w:eastAsia="Arial" w:cs="Arial"/>
          <w:sz w:val="22"/>
          <w:szCs w:val="22"/>
        </w:rPr>
        <w:t>Daily structure and alignment with weekly.</w:t>
      </w:r>
    </w:p>
    <w:p w14:paraId="57A8E8F7">
      <w:pPr>
        <w:pStyle w:val="16"/>
        <w:numPr>
          <w:ilvl w:val="0"/>
          <w:numId w:val="1"/>
        </w:numPr>
        <w:spacing w:after="120" w:line="276" w:lineRule="auto"/>
      </w:pPr>
      <w:r>
        <w:rPr>
          <w:rFonts w:ascii="Arial" w:hAnsi="Arial" w:eastAsia="Arial" w:cs="Arial"/>
          <w:sz w:val="22"/>
          <w:szCs w:val="22"/>
        </w:rPr>
        <w:t>Daily dealing range (nested inside weekly) and premium/discount.</w:t>
      </w:r>
    </w:p>
    <w:p w14:paraId="2C124153">
      <w:pPr>
        <w:pStyle w:val="16"/>
        <w:numPr>
          <w:ilvl w:val="0"/>
          <w:numId w:val="1"/>
        </w:numPr>
        <w:spacing w:after="120" w:line="276" w:lineRule="auto"/>
      </w:pPr>
      <w:r>
        <w:rPr>
          <w:rFonts w:ascii="Arial" w:hAnsi="Arial" w:eastAsia="Arial" w:cs="Arial"/>
          <w:sz w:val="22"/>
          <w:szCs w:val="22"/>
        </w:rPr>
        <w:t>Daily Draw on Liquidity (intermediate pool on the path to the weekly DOL, or the weekly DOL itself if proximate).</w:t>
      </w:r>
    </w:p>
    <w:p w14:paraId="13408B55">
      <w:pPr>
        <w:pStyle w:val="16"/>
        <w:numPr>
          <w:ilvl w:val="0"/>
          <w:numId w:val="1"/>
        </w:numPr>
        <w:spacing w:after="120" w:line="276" w:lineRule="auto"/>
      </w:pPr>
      <w:r>
        <w:rPr>
          <w:rFonts w:ascii="Arial" w:hAnsi="Arial" w:eastAsia="Arial" w:cs="Arial"/>
          <w:sz w:val="22"/>
          <w:szCs w:val="22"/>
        </w:rPr>
        <w:t>Expected daily PO3 profile and the kill zones that should advance it.</w:t>
      </w:r>
    </w:p>
    <w:p w14:paraId="3643F47F">
      <w:pPr>
        <w:pStyle w:val="16"/>
        <w:numPr>
          <w:ilvl w:val="0"/>
          <w:numId w:val="1"/>
        </w:numPr>
        <w:spacing w:after="120" w:line="276" w:lineRule="auto"/>
      </w:pPr>
      <w:r>
        <w:rPr>
          <w:rFonts w:ascii="Arial" w:hAnsi="Arial" w:eastAsia="Arial" w:cs="Arial"/>
          <w:sz w:val="22"/>
          <w:szCs w:val="22"/>
        </w:rPr>
        <w:t>Daily invalidation.</w:t>
      </w:r>
    </w:p>
    <w:p w14:paraId="483A9EBA">
      <w:pPr>
        <w:spacing w:after="200" w:line="276" w:lineRule="auto"/>
      </w:pPr>
      <w:r>
        <w:rPr>
          <w:rFonts w:ascii="Arial" w:hAnsi="Arial" w:eastAsia="Arial" w:cs="Arial"/>
          <w:sz w:val="22"/>
          <w:szCs w:val="22"/>
        </w:rPr>
        <w:t>The daily narrative must be writable before London Open. If it cannot be written clearly, the advanced response is to stand aside or to trade only with reduced size and tighter higher-timeframe alignment requirements.</w:t>
      </w:r>
    </w:p>
    <w:p w14:paraId="308BC6FD">
      <w:pPr>
        <w:pStyle w:val="2"/>
        <w:spacing w:before="360" w:after="240"/>
      </w:pPr>
      <w:r>
        <w:rPr>
          <w:rFonts w:ascii="Arial" w:hAnsi="Arial" w:eastAsia="Arial" w:cs="Arial"/>
          <w:b/>
          <w:bCs/>
          <w:sz w:val="32"/>
          <w:szCs w:val="32"/>
        </w:rPr>
        <w:t>5. Intraday / LTF Narrative</w:t>
      </w:r>
    </w:p>
    <w:p w14:paraId="36F848CF">
      <w:pPr>
        <w:spacing w:after="200" w:line="276" w:lineRule="auto"/>
      </w:pPr>
      <w:r>
        <w:rPr>
          <w:rFonts w:ascii="Arial" w:hAnsi="Arial" w:eastAsia="Arial" w:cs="Arial"/>
          <w:sz w:val="22"/>
          <w:szCs w:val="22"/>
        </w:rPr>
        <w:t>The intraday narrative has one job: confirm and time. It does not generate independent bias. It answers:</w:t>
      </w:r>
    </w:p>
    <w:p w14:paraId="55BF72FF">
      <w:pPr>
        <w:pStyle w:val="16"/>
        <w:numPr>
          <w:ilvl w:val="0"/>
          <w:numId w:val="1"/>
        </w:numPr>
        <w:spacing w:after="120" w:line="276" w:lineRule="auto"/>
      </w:pPr>
      <w:r>
        <w:rPr>
          <w:rFonts w:ascii="Arial" w:hAnsi="Arial" w:eastAsia="Arial" w:cs="Arial"/>
          <w:sz w:val="22"/>
          <w:szCs w:val="22"/>
        </w:rPr>
        <w:t>Has the expected liquidity event (raid of the pool named in the daily narrative) occurred?</w:t>
      </w:r>
    </w:p>
    <w:p w14:paraId="1FB80E70">
      <w:pPr>
        <w:pStyle w:val="16"/>
        <w:numPr>
          <w:ilvl w:val="0"/>
          <w:numId w:val="1"/>
        </w:numPr>
        <w:spacing w:after="120" w:line="276" w:lineRule="auto"/>
      </w:pPr>
      <w:r>
        <w:rPr>
          <w:rFonts w:ascii="Arial" w:hAnsi="Arial" w:eastAsia="Arial" w:cs="Arial"/>
          <w:sz w:val="22"/>
          <w:szCs w:val="22"/>
        </w:rPr>
        <w:t>Has displacement and internal MSS confirmed the daily direction?</w:t>
      </w:r>
    </w:p>
    <w:p w14:paraId="073FF959">
      <w:pPr>
        <w:pStyle w:val="16"/>
        <w:numPr>
          <w:ilvl w:val="0"/>
          <w:numId w:val="1"/>
        </w:numPr>
        <w:spacing w:after="120" w:line="276" w:lineRule="auto"/>
      </w:pPr>
      <w:r>
        <w:rPr>
          <w:rFonts w:ascii="Arial" w:hAnsi="Arial" w:eastAsia="Arial" w:cs="Arial"/>
          <w:sz w:val="22"/>
          <w:szCs w:val="22"/>
        </w:rPr>
        <w:t>Which PD array / imbalance inside the correct half of the range is the precise entry?</w:t>
      </w:r>
    </w:p>
    <w:p w14:paraId="67837C00">
      <w:pPr>
        <w:pStyle w:val="16"/>
        <w:numPr>
          <w:ilvl w:val="0"/>
          <w:numId w:val="1"/>
        </w:numPr>
        <w:spacing w:after="120" w:line="276" w:lineRule="auto"/>
      </w:pPr>
      <w:r>
        <w:rPr>
          <w:rFonts w:ascii="Arial" w:hAnsi="Arial" w:eastAsia="Arial" w:cs="Arial"/>
          <w:sz w:val="22"/>
          <w:szCs w:val="22"/>
        </w:rPr>
        <w:t>What is the trade-level invalidation (distinct from daily or weekly invalidation)?</w:t>
      </w:r>
    </w:p>
    <w:p w14:paraId="2527133E">
      <w:pPr>
        <w:spacing w:after="200" w:line="276" w:lineRule="auto"/>
      </w:pPr>
      <w:r>
        <w:rPr>
          <w:rFonts w:ascii="Arial" w:hAnsi="Arial" w:eastAsia="Arial" w:cs="Arial"/>
          <w:sz w:val="22"/>
          <w:szCs w:val="22"/>
        </w:rPr>
        <w:t>Any intraday signal that conflicts with the daily narrative is either a trap, a deep retracement, or evidence that the daily narrative itself is failing — and only the last of those permits a rewrite of daily bias.</w:t>
      </w:r>
    </w:p>
    <w:p w14:paraId="568574A9">
      <w:pPr>
        <w:pStyle w:val="2"/>
        <w:spacing w:before="360" w:after="240"/>
      </w:pPr>
      <w:r>
        <w:rPr>
          <w:rFonts w:ascii="Arial" w:hAnsi="Arial" w:eastAsia="Arial" w:cs="Arial"/>
          <w:b/>
          <w:bCs/>
          <w:sz w:val="32"/>
          <w:szCs w:val="32"/>
        </w:rPr>
        <w:t>6. Nested Liquidity and Nested PD Arrays</w:t>
      </w:r>
    </w:p>
    <w:p w14:paraId="20A03FC4">
      <w:pPr>
        <w:pStyle w:val="3"/>
        <w:spacing w:before="280" w:after="180"/>
      </w:pPr>
      <w:r>
        <w:rPr>
          <w:rFonts w:ascii="Arial" w:hAnsi="Arial" w:eastAsia="Arial" w:cs="Arial"/>
          <w:b/>
          <w:bCs/>
          <w:sz w:val="26"/>
          <w:szCs w:val="26"/>
        </w:rPr>
        <w:t>6.1 Nested Liquidity</w:t>
      </w:r>
    </w:p>
    <w:p w14:paraId="7D0C3EAE">
      <w:pPr>
        <w:spacing w:after="200" w:line="276" w:lineRule="auto"/>
      </w:pPr>
      <w:r>
        <w:rPr>
          <w:rFonts w:ascii="Arial" w:hAnsi="Arial" w:eastAsia="Arial" w:cs="Arial"/>
          <w:sz w:val="22"/>
          <w:szCs w:val="22"/>
        </w:rPr>
        <w:t>A weekly buy-side DOL contains intermediate daily buy-side pools and short-term session pools. The student always knows which pool is the current intermediate objective and which is the terminal objective. Reaching a daily pool does not end the weekly narrative.</w:t>
      </w:r>
    </w:p>
    <w:p w14:paraId="7BFD04AC">
      <w:pPr>
        <w:pStyle w:val="3"/>
        <w:spacing w:before="280" w:after="180"/>
      </w:pPr>
      <w:r>
        <w:rPr>
          <w:rFonts w:ascii="Arial" w:hAnsi="Arial" w:eastAsia="Arial" w:cs="Arial"/>
          <w:b/>
          <w:bCs/>
          <w:sz w:val="26"/>
          <w:szCs w:val="26"/>
        </w:rPr>
        <w:t>6.2 Nested PD Arrays</w:t>
      </w:r>
    </w:p>
    <w:p w14:paraId="704A15AD">
      <w:pPr>
        <w:spacing w:after="200" w:line="276" w:lineRule="auto"/>
      </w:pPr>
      <w:r>
        <w:rPr>
          <w:rFonts w:ascii="Arial" w:hAnsi="Arial" w:eastAsia="Arial" w:cs="Arial"/>
          <w:sz w:val="22"/>
          <w:szCs w:val="22"/>
        </w:rPr>
        <w:t>A weekly FVG or Order Block may contain daily and session arrays. The highest-timeframe array that still aligns with the delivery direction and the controlling range location carries the greatest narrative weight. Lower-timeframe arrays refine entry inside it.</w:t>
      </w:r>
    </w:p>
    <w:p w14:paraId="4328EFC7">
      <w:pPr>
        <w:pStyle w:val="2"/>
        <w:spacing w:before="360" w:after="240"/>
      </w:pPr>
      <w:r>
        <w:rPr>
          <w:rFonts w:ascii="Arial" w:hAnsi="Arial" w:eastAsia="Arial" w:cs="Arial"/>
          <w:b/>
          <w:bCs/>
          <w:sz w:val="32"/>
          <w:szCs w:val="32"/>
        </w:rPr>
        <w:t>7. Timeframe Conflict vs Synchronization</w:t>
      </w:r>
    </w:p>
    <w:p w14:paraId="42B2C07A">
      <w:pPr>
        <w:pStyle w:val="3"/>
        <w:spacing w:before="280" w:after="180"/>
      </w:pPr>
      <w:r>
        <w:rPr>
          <w:rFonts w:ascii="Arial" w:hAnsi="Arial" w:eastAsia="Arial" w:cs="Arial"/>
          <w:b/>
          <w:bCs/>
          <w:sz w:val="26"/>
          <w:szCs w:val="26"/>
        </w:rPr>
        <w:t>7.1 Synchronization</w:t>
      </w:r>
    </w:p>
    <w:p w14:paraId="4D589080">
      <w:pPr>
        <w:spacing w:after="200" w:line="276" w:lineRule="auto"/>
      </w:pPr>
      <w:r>
        <w:rPr>
          <w:rFonts w:ascii="Arial" w:hAnsi="Arial" w:eastAsia="Arial" w:cs="Arial"/>
          <w:sz w:val="22"/>
          <w:szCs w:val="22"/>
        </w:rPr>
        <w:t>Synchronization exists when monthly, weekly and daily narratives agree on direction, the controlling ranges show aligned premium/discount location for that direction, and the expected kill zone is producing the expected liquidity event and displacement. Synchronized narratives are the highest-quality environment for execution.</w:t>
      </w:r>
    </w:p>
    <w:p w14:paraId="55CC96B9">
      <w:pPr>
        <w:pStyle w:val="3"/>
        <w:spacing w:before="280" w:after="180"/>
      </w:pPr>
      <w:r>
        <w:rPr>
          <w:rFonts w:ascii="Arial" w:hAnsi="Arial" w:eastAsia="Arial" w:cs="Arial"/>
          <w:b/>
          <w:bCs/>
          <w:sz w:val="26"/>
          <w:szCs w:val="26"/>
        </w:rPr>
        <w:t>7.2 Conflict</w:t>
      </w:r>
    </w:p>
    <w:p w14:paraId="474DE678">
      <w:pPr>
        <w:spacing w:after="200" w:line="276" w:lineRule="auto"/>
      </w:pPr>
      <w:r>
        <w:rPr>
          <w:rFonts w:ascii="Arial" w:hAnsi="Arial" w:eastAsia="Arial" w:cs="Arial"/>
          <w:sz w:val="22"/>
          <w:szCs w:val="22"/>
        </w:rPr>
        <w:t>Conflict exists when a lower timeframe prints structure, displacement or a PD-array signal opposite to the higher-timeframe narrative. Resolution rule: higher timeframe governs bias and DOL; lower timeframe may be used for counter-narrative scalps only with explicit acknowledgment of reduced probability and tight invalidation. Most advanced practitioners simply stand aside during unresolved conflict.</w:t>
      </w:r>
    </w:p>
    <w:p w14:paraId="4E8C100C">
      <w:pPr>
        <w:pStyle w:val="3"/>
        <w:spacing w:before="280" w:after="180"/>
      </w:pPr>
      <w:r>
        <w:rPr>
          <w:rFonts w:ascii="Arial" w:hAnsi="Arial" w:eastAsia="Arial" w:cs="Arial"/>
          <w:b/>
          <w:bCs/>
          <w:sz w:val="26"/>
          <w:szCs w:val="26"/>
        </w:rPr>
        <w:t>7.3 False Conflict</w:t>
      </w:r>
    </w:p>
    <w:p w14:paraId="2B55A84B">
      <w:pPr>
        <w:spacing w:after="200" w:line="276" w:lineRule="auto"/>
      </w:pPr>
      <w:r>
        <w:rPr>
          <w:rFonts w:ascii="Arial" w:hAnsi="Arial" w:eastAsia="Arial" w:cs="Arial"/>
          <w:sz w:val="22"/>
          <w:szCs w:val="22"/>
        </w:rPr>
        <w:t>A deep intraday retracement that undercuts a prior low but remains inside the daily and weekly bullish narrative (and is followed by displacement back in the narrative direction) is not true conflict; it is often the manipulation phase of the daily PO3.</w:t>
      </w:r>
    </w:p>
    <w:p w14:paraId="6654FA8B">
      <w:pPr>
        <w:pStyle w:val="2"/>
        <w:spacing w:before="360" w:after="240"/>
      </w:pPr>
      <w:r>
        <w:rPr>
          <w:rFonts w:ascii="Arial" w:hAnsi="Arial" w:eastAsia="Arial" w:cs="Arial"/>
          <w:b/>
          <w:bCs/>
          <w:sz w:val="32"/>
          <w:szCs w:val="32"/>
        </w:rPr>
        <w:t>8. Top-Down Narrative Construction — Procedure</w:t>
      </w:r>
    </w:p>
    <w:p w14:paraId="57B4E77A">
      <w:pPr>
        <w:pStyle w:val="16"/>
        <w:numPr>
          <w:ilvl w:val="0"/>
          <w:numId w:val="2"/>
        </w:numPr>
        <w:spacing w:after="120" w:line="276" w:lineRule="auto"/>
      </w:pPr>
      <w:r>
        <w:rPr>
          <w:rFonts w:ascii="Arial" w:hAnsi="Arial" w:eastAsia="Arial" w:cs="Arial"/>
          <w:sz w:val="22"/>
          <w:szCs w:val="22"/>
        </w:rPr>
        <w:t>Monthly: structure, range, long-term DOL, invalidation. One or two sentences.</w:t>
      </w:r>
    </w:p>
    <w:p w14:paraId="6F4C140F">
      <w:pPr>
        <w:pStyle w:val="16"/>
        <w:numPr>
          <w:ilvl w:val="0"/>
          <w:numId w:val="2"/>
        </w:numPr>
        <w:spacing w:after="120" w:line="276" w:lineRule="auto"/>
      </w:pPr>
      <w:r>
        <w:rPr>
          <w:rFonts w:ascii="Arial" w:hAnsi="Arial" w:eastAsia="Arial" w:cs="Arial"/>
          <w:sz w:val="22"/>
          <w:szCs w:val="22"/>
        </w:rPr>
        <w:t>Weekly: structure, range, weekly DOL, PO3 phase, alignment with monthly, invalidation.</w:t>
      </w:r>
    </w:p>
    <w:p w14:paraId="6733271A">
      <w:pPr>
        <w:pStyle w:val="16"/>
        <w:numPr>
          <w:ilvl w:val="0"/>
          <w:numId w:val="2"/>
        </w:numPr>
        <w:spacing w:after="120" w:line="276" w:lineRule="auto"/>
      </w:pPr>
      <w:r>
        <w:rPr>
          <w:rFonts w:ascii="Arial" w:hAnsi="Arial" w:eastAsia="Arial" w:cs="Arial"/>
          <w:sz w:val="22"/>
          <w:szCs w:val="22"/>
        </w:rPr>
        <w:t>Daily: structure, range, daily DOL (or intermediate pool), expected PO3 and kill zone, alignment with weekly, invalidation. Written before the primary session.</w:t>
      </w:r>
    </w:p>
    <w:p w14:paraId="48850B3C">
      <w:pPr>
        <w:pStyle w:val="16"/>
        <w:numPr>
          <w:ilvl w:val="0"/>
          <w:numId w:val="2"/>
        </w:numPr>
        <w:spacing w:after="120" w:line="276" w:lineRule="auto"/>
      </w:pPr>
      <w:r>
        <w:rPr>
          <w:rFonts w:ascii="Arial" w:hAnsi="Arial" w:eastAsia="Arial" w:cs="Arial"/>
          <w:sz w:val="22"/>
          <w:szCs w:val="22"/>
        </w:rPr>
        <w:t>Intraday: wait for the liquidity event named in the daily narrative; require displacement + internal MSS; select PD array in the correct half of the range; define trade-level invalidation and targets (intermediate then terminal).</w:t>
      </w:r>
    </w:p>
    <w:p w14:paraId="0CEF93C0">
      <w:pPr>
        <w:pStyle w:val="16"/>
        <w:numPr>
          <w:ilvl w:val="0"/>
          <w:numId w:val="2"/>
        </w:numPr>
        <w:spacing w:after="120" w:line="276" w:lineRule="auto"/>
      </w:pPr>
      <w:r>
        <w:rPr>
          <w:rFonts w:ascii="Arial" w:hAnsi="Arial" w:eastAsia="Arial" w:cs="Arial"/>
          <w:sz w:val="22"/>
          <w:szCs w:val="22"/>
        </w:rPr>
        <w:t>Execution only when the above layers are synchronized or when a deliberate, sized counter-narrative decision has been made.</w:t>
      </w:r>
    </w:p>
    <w:p w14:paraId="7B65E744">
      <w:pPr>
        <w:pStyle w:val="16"/>
        <w:numPr>
          <w:ilvl w:val="0"/>
          <w:numId w:val="2"/>
        </w:numPr>
        <w:spacing w:after="120" w:line="276" w:lineRule="auto"/>
      </w:pPr>
      <w:r>
        <w:rPr>
          <w:rFonts w:ascii="Arial" w:hAnsi="Arial" w:eastAsia="Arial" w:cs="Arial"/>
          <w:sz w:val="22"/>
          <w:szCs w:val="22"/>
        </w:rPr>
        <w:t>Post-session: update each layer that has changed; retire invalid narratives; prepare the next day’s daily narrative.</w:t>
      </w:r>
    </w:p>
    <w:p w14:paraId="1C0440B6">
      <w:pPr>
        <w:pStyle w:val="2"/>
        <w:spacing w:before="360" w:after="240"/>
      </w:pPr>
      <w:r>
        <w:rPr>
          <w:rFonts w:ascii="Arial" w:hAnsi="Arial" w:eastAsia="Arial" w:cs="Arial"/>
          <w:b/>
          <w:bCs/>
          <w:sz w:val="32"/>
          <w:szCs w:val="32"/>
        </w:rPr>
        <w:t>9. Worked Complete Narrative</w:t>
      </w:r>
    </w:p>
    <w:p w14:paraId="78FB8C1D">
      <w:pPr>
        <w:spacing w:after="200" w:line="276" w:lineRule="auto"/>
      </w:pPr>
      <w:r>
        <w:rPr>
          <w:rFonts w:ascii="Arial" w:hAnsi="Arial" w:eastAsia="Arial" w:cs="Arial"/>
          <w:sz w:val="22"/>
          <w:szCs w:val="22"/>
        </w:rPr>
        <w:t>Monthly: Bullish sequence intact. Monthly range in discount. Long-term DOL = buy-side above multi-month high. Invalidation = monthly close below origin of last monthly bullish displacement.</w:t>
      </w:r>
    </w:p>
    <w:p w14:paraId="1653E8D1">
      <w:pPr>
        <w:spacing w:after="200" w:line="276" w:lineRule="auto"/>
      </w:pPr>
      <w:r>
        <w:rPr>
          <w:rFonts w:ascii="Arial" w:hAnsi="Arial" w:eastAsia="Arial" w:cs="Arial"/>
          <w:sz w:val="22"/>
          <w:szCs w:val="22"/>
        </w:rPr>
        <w:t>Weekly: Aligned bullish. Weekly range 1.0500–1.1200, equilibrium 1.0850, price in discount. Weekly DOL = buy-side above 1.1200. Early-week accumulation complete; mid-week manipulation of weekly SSL has printed; distribution phase active. Invalidation = weekly close below manipulation extreme.</w:t>
      </w:r>
    </w:p>
    <w:p w14:paraId="315357F0">
      <w:pPr>
        <w:spacing w:after="200" w:line="276" w:lineRule="auto"/>
      </w:pPr>
      <w:r>
        <w:rPr>
          <w:rFonts w:ascii="Arial" w:hAnsi="Arial" w:eastAsia="Arial" w:cs="Arial"/>
          <w:sz w:val="22"/>
          <w:szCs w:val="22"/>
        </w:rPr>
        <w:t>Daily: Aligned. Daily range nested in weekly discount. Daily SSL swept in London; daily bullish MSS and FVG in discount. Expected New York continuation toward daily intermediate buy-side then weekly DOL. Daily invalidation = close below daily displacement origin.</w:t>
      </w:r>
    </w:p>
    <w:p w14:paraId="616CA8CA">
      <w:pPr>
        <w:spacing w:after="200" w:line="276" w:lineRule="auto"/>
      </w:pPr>
      <w:r>
        <w:rPr>
          <w:rFonts w:ascii="Arial" w:hAnsi="Arial" w:eastAsia="Arial" w:cs="Arial"/>
          <w:sz w:val="22"/>
          <w:szCs w:val="22"/>
        </w:rPr>
        <w:t>Intraday: New York retracement into daily FVG / CE holds; 5-minute MSS confirms; entry taken. Targets: daily internal buy-side first, weekly ERL as terminal. Trade invalidation below the 5-minute displacement origin (tighter than daily invalidation).</w:t>
      </w:r>
    </w:p>
    <w:p w14:paraId="2E010E69">
      <w:pPr>
        <w:spacing w:after="200" w:line="276" w:lineRule="auto"/>
      </w:pPr>
      <w:r>
        <w:rPr>
          <w:rFonts w:ascii="Arial" w:hAnsi="Arial" w:eastAsia="Arial" w:cs="Arial"/>
          <w:sz w:val="22"/>
          <w:szCs w:val="22"/>
        </w:rPr>
        <w:t>This is a fully synchronized multi-timeframe narrative. Every lower layer refines; none contradicts.</w:t>
      </w:r>
    </w:p>
    <w:p w14:paraId="33D10D2A">
      <w:pPr>
        <w:pStyle w:val="2"/>
        <w:spacing w:before="360" w:after="240"/>
      </w:pPr>
      <w:r>
        <w:rPr>
          <w:rFonts w:ascii="Arial" w:hAnsi="Arial" w:eastAsia="Arial" w:cs="Arial"/>
          <w:b/>
          <w:bCs/>
          <w:sz w:val="32"/>
          <w:szCs w:val="32"/>
        </w:rPr>
        <w:t>Visual Reference — Narrative Stack</w:t>
      </w:r>
    </w:p>
    <w:p w14:paraId="78B3F437">
      <w:pPr>
        <w:spacing w:after="0" w:line="240" w:lineRule="auto"/>
      </w:pPr>
      <w:r>
        <w:rPr>
          <w:rFonts w:ascii="Courier New" w:hAnsi="Courier New" w:eastAsia="Courier New" w:cs="Courier New"/>
          <w:sz w:val="18"/>
          <w:szCs w:val="18"/>
        </w:rPr>
        <w:t>MONTHLY  Structure + Range + Long-term DOL + Invalidation</w:t>
      </w:r>
    </w:p>
    <w:p w14:paraId="74D56D68">
      <w:pPr>
        <w:spacing w:after="0" w:line="240" w:lineRule="auto"/>
      </w:pPr>
      <w:r>
        <w:rPr>
          <w:rFonts w:ascii="Courier New" w:hAnsi="Courier New" w:eastAsia="Courier New" w:cs="Courier New"/>
          <w:sz w:val="18"/>
          <w:szCs w:val="18"/>
        </w:rPr>
        <w:t xml:space="preserve">    │</w:t>
      </w:r>
    </w:p>
    <w:p w14:paraId="2A3F3EB4">
      <w:pPr>
        <w:spacing w:after="0" w:line="240" w:lineRule="auto"/>
      </w:pPr>
      <w:r>
        <w:rPr>
          <w:rFonts w:ascii="Courier New" w:hAnsi="Courier New" w:eastAsia="Courier New" w:cs="Courier New"/>
          <w:sz w:val="18"/>
          <w:szCs w:val="18"/>
        </w:rPr>
        <w:t xml:space="preserve">    ▼</w:t>
      </w:r>
    </w:p>
    <w:p w14:paraId="69F07B97">
      <w:pPr>
        <w:spacing w:after="0" w:line="240" w:lineRule="auto"/>
      </w:pPr>
      <w:r>
        <w:rPr>
          <w:rFonts w:ascii="Courier New" w:hAnsi="Courier New" w:eastAsia="Courier New" w:cs="Courier New"/>
          <w:sz w:val="18"/>
          <w:szCs w:val="18"/>
        </w:rPr>
        <w:t>WEEKLY   Structure + Range + Weekly DOL + PO3 + Invalidation</w:t>
      </w:r>
    </w:p>
    <w:p w14:paraId="481FAC07">
      <w:pPr>
        <w:spacing w:after="0" w:line="240" w:lineRule="auto"/>
      </w:pPr>
      <w:r>
        <w:rPr>
          <w:rFonts w:ascii="Courier New" w:hAnsi="Courier New" w:eastAsia="Courier New" w:cs="Courier New"/>
          <w:sz w:val="18"/>
          <w:szCs w:val="18"/>
        </w:rPr>
        <w:t xml:space="preserve">    │</w:t>
      </w:r>
    </w:p>
    <w:p w14:paraId="5FB1C96A">
      <w:pPr>
        <w:spacing w:after="0" w:line="240" w:lineRule="auto"/>
      </w:pPr>
      <w:r>
        <w:rPr>
          <w:rFonts w:ascii="Courier New" w:hAnsi="Courier New" w:eastAsia="Courier New" w:cs="Courier New"/>
          <w:sz w:val="18"/>
          <w:szCs w:val="18"/>
        </w:rPr>
        <w:t xml:space="preserve">    ▼</w:t>
      </w:r>
    </w:p>
    <w:p w14:paraId="4F09C0C8">
      <w:pPr>
        <w:spacing w:after="0" w:line="240" w:lineRule="auto"/>
      </w:pPr>
      <w:r>
        <w:rPr>
          <w:rFonts w:ascii="Courier New" w:hAnsi="Courier New" w:eastAsia="Courier New" w:cs="Courier New"/>
          <w:sz w:val="18"/>
          <w:szCs w:val="18"/>
        </w:rPr>
        <w:t>DAILY    Structure + Range + Daily DOL + PO3/Kill zone + Invalidation</w:t>
      </w:r>
    </w:p>
    <w:p w14:paraId="642AE55E">
      <w:pPr>
        <w:spacing w:after="0" w:line="240" w:lineRule="auto"/>
      </w:pPr>
      <w:r>
        <w:rPr>
          <w:rFonts w:ascii="Courier New" w:hAnsi="Courier New" w:eastAsia="Courier New" w:cs="Courier New"/>
          <w:sz w:val="18"/>
          <w:szCs w:val="18"/>
        </w:rPr>
        <w:t xml:space="preserve">    │</w:t>
      </w:r>
    </w:p>
    <w:p w14:paraId="646FCA16">
      <w:pPr>
        <w:spacing w:after="0" w:line="240" w:lineRule="auto"/>
      </w:pPr>
      <w:r>
        <w:rPr>
          <w:rFonts w:ascii="Courier New" w:hAnsi="Courier New" w:eastAsia="Courier New" w:cs="Courier New"/>
          <w:sz w:val="18"/>
          <w:szCs w:val="18"/>
        </w:rPr>
        <w:t xml:space="preserve">    ▼</w:t>
      </w:r>
    </w:p>
    <w:p w14:paraId="51886B7D">
      <w:pPr>
        <w:spacing w:after="0" w:line="240" w:lineRule="auto"/>
      </w:pPr>
      <w:r>
        <w:rPr>
          <w:rFonts w:ascii="Courier New" w:hAnsi="Courier New" w:eastAsia="Courier New" w:cs="Courier New"/>
          <w:sz w:val="18"/>
          <w:szCs w:val="18"/>
        </w:rPr>
        <w:t>INTRADAY Liquidity event → Displacement → MSS → PD-array entry</w:t>
      </w:r>
    </w:p>
    <w:p w14:paraId="2F5647F8">
      <w:pPr>
        <w:spacing w:after="0" w:line="240" w:lineRule="auto"/>
      </w:pPr>
      <w:r>
        <w:rPr>
          <w:rFonts w:ascii="Courier New" w:hAnsi="Courier New" w:eastAsia="Courier New" w:cs="Courier New"/>
          <w:sz w:val="18"/>
          <w:szCs w:val="18"/>
        </w:rPr>
        <w:t xml:space="preserve">         Trade invalidation + intermediate / terminal targets</w:t>
      </w:r>
    </w:p>
    <w:p w14:paraId="39884C05">
      <w:pPr>
        <w:pStyle w:val="2"/>
        <w:spacing w:before="360" w:after="240"/>
      </w:pPr>
      <w:r>
        <w:rPr>
          <w:rFonts w:ascii="Arial" w:hAnsi="Arial" w:eastAsia="Arial" w:cs="Arial"/>
          <w:b/>
          <w:bCs/>
          <w:sz w:val="32"/>
          <w:szCs w:val="32"/>
        </w:rPr>
        <w:t>10. Common Misinterpretations</w:t>
      </w:r>
    </w:p>
    <w:p w14:paraId="1A8E6719">
      <w:pPr>
        <w:pStyle w:val="16"/>
        <w:numPr>
          <w:ilvl w:val="0"/>
          <w:numId w:val="1"/>
        </w:numPr>
        <w:spacing w:after="120" w:line="276" w:lineRule="auto"/>
      </w:pPr>
      <w:r>
        <w:rPr>
          <w:rFonts w:ascii="Arial" w:hAnsi="Arial" w:eastAsia="Arial" w:cs="Arial"/>
          <w:sz w:val="22"/>
          <w:szCs w:val="22"/>
        </w:rPr>
        <w:t>Allowing a clean LTF setup to overwrite a clear weekly opposing narrative.</w:t>
      </w:r>
    </w:p>
    <w:p w14:paraId="5161658F">
      <w:pPr>
        <w:pStyle w:val="16"/>
        <w:numPr>
          <w:ilvl w:val="0"/>
          <w:numId w:val="1"/>
        </w:numPr>
        <w:spacing w:after="120" w:line="276" w:lineRule="auto"/>
      </w:pPr>
      <w:r>
        <w:rPr>
          <w:rFonts w:ascii="Arial" w:hAnsi="Arial" w:eastAsia="Arial" w:cs="Arial"/>
          <w:sz w:val="22"/>
          <w:szCs w:val="22"/>
        </w:rPr>
        <w:t>Treating arrival at a daily pool as completion of the weekly DOL.</w:t>
      </w:r>
    </w:p>
    <w:p w14:paraId="604FC680">
      <w:pPr>
        <w:pStyle w:val="16"/>
        <w:numPr>
          <w:ilvl w:val="0"/>
          <w:numId w:val="1"/>
        </w:numPr>
        <w:spacing w:after="120" w:line="276" w:lineRule="auto"/>
      </w:pPr>
      <w:r>
        <w:rPr>
          <w:rFonts w:ascii="Arial" w:hAnsi="Arial" w:eastAsia="Arial" w:cs="Arial"/>
          <w:sz w:val="22"/>
          <w:szCs w:val="22"/>
        </w:rPr>
        <w:t>Writing only a daily narrative and ignoring weekly/monthly constraints.</w:t>
      </w:r>
    </w:p>
    <w:p w14:paraId="467FFE22">
      <w:pPr>
        <w:pStyle w:val="16"/>
        <w:numPr>
          <w:ilvl w:val="0"/>
          <w:numId w:val="1"/>
        </w:numPr>
        <w:spacing w:after="120" w:line="276" w:lineRule="auto"/>
      </w:pPr>
      <w:r>
        <w:rPr>
          <w:rFonts w:ascii="Arial" w:hAnsi="Arial" w:eastAsia="Arial" w:cs="Arial"/>
          <w:sz w:val="22"/>
          <w:szCs w:val="22"/>
        </w:rPr>
        <w:t>Confusing a PO3 manipulation undercut with a higher-timeframe structural failure.</w:t>
      </w:r>
    </w:p>
    <w:p w14:paraId="6C18EF64">
      <w:pPr>
        <w:pStyle w:val="16"/>
        <w:numPr>
          <w:ilvl w:val="0"/>
          <w:numId w:val="1"/>
        </w:numPr>
        <w:spacing w:after="120" w:line="276" w:lineRule="auto"/>
      </w:pPr>
      <w:r>
        <w:rPr>
          <w:rFonts w:ascii="Arial" w:hAnsi="Arial" w:eastAsia="Arial" w:cs="Arial"/>
          <w:sz w:val="22"/>
          <w:szCs w:val="22"/>
        </w:rPr>
        <w:t>Executing in timeframe conflict without acknowledging reduced probability.</w:t>
      </w:r>
    </w:p>
    <w:p w14:paraId="48B4C2CB">
      <w:pPr>
        <w:pStyle w:val="16"/>
        <w:numPr>
          <w:ilvl w:val="0"/>
          <w:numId w:val="1"/>
        </w:numPr>
        <w:spacing w:after="120" w:line="276" w:lineRule="auto"/>
      </w:pPr>
      <w:r>
        <w:rPr>
          <w:rFonts w:ascii="Arial" w:hAnsi="Arial" w:eastAsia="Arial" w:cs="Arial"/>
          <w:sz w:val="22"/>
          <w:szCs w:val="22"/>
        </w:rPr>
        <w:t>Failing to update the narrative stack when a higher-timeframe invalidation prints.</w:t>
      </w:r>
    </w:p>
    <w:p w14:paraId="0730F83F">
      <w:pPr>
        <w:pStyle w:val="2"/>
        <w:spacing w:before="360" w:after="240"/>
      </w:pPr>
      <w:r>
        <w:rPr>
          <w:rFonts w:ascii="Arial" w:hAnsi="Arial" w:eastAsia="Arial" w:cs="Arial"/>
          <w:b/>
          <w:bCs/>
          <w:sz w:val="32"/>
          <w:szCs w:val="32"/>
        </w:rPr>
        <w:t>11. Evidence Summary</w:t>
      </w:r>
    </w:p>
    <w:p w14:paraId="5167E509">
      <w:pPr>
        <w:spacing w:after="200" w:line="276" w:lineRule="auto"/>
      </w:pPr>
      <w:r>
        <w:rPr>
          <w:rFonts w:ascii="Arial" w:hAnsi="Arial" w:eastAsia="Arial" w:cs="Arial"/>
          <w:sz w:val="22"/>
          <w:szCs w:val="22"/>
        </w:rPr>
        <w:t>Top-down, multi-timeframe analysis is foundational ICT. The explicit stacking of monthly → weekly → daily → intraday narratives, the subordination of LTF execution to HTF DOL, and the resolution of conflict by higher-timeframe priority are the advanced operational synthesis of that foundation. Nested liquidity and nested PD arrays follow directly from the fractal character of ICT structure and dealing ranges.</w:t>
      </w:r>
    </w:p>
    <w:p w14:paraId="15AC5612">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Primary orientation: ICT multi-timeframe teaching, higher-timeframe bias and Draw on Liquidity priority, and repeated chart examples in which lower-timeframe activity is interpreted only inside the higher-timeframe story. The formal narrative-stack procedure is the advanced synthesis required for consistent model selection and execution.</w:t>
      </w:r>
    </w:p>
    <w:p w14:paraId="57CD092E">
      <w:pPr>
        <w:pStyle w:val="2"/>
        <w:spacing w:before="360" w:after="240"/>
      </w:pPr>
      <w:r>
        <w:rPr>
          <w:rFonts w:ascii="Arial" w:hAnsi="Arial" w:eastAsia="Arial" w:cs="Arial"/>
          <w:b/>
          <w:bCs/>
          <w:sz w:val="32"/>
          <w:szCs w:val="32"/>
        </w:rPr>
        <w:t>What You Should Now Be Able to Do</w:t>
      </w:r>
    </w:p>
    <w:p w14:paraId="1ED917B2">
      <w:pPr>
        <w:pStyle w:val="16"/>
        <w:numPr>
          <w:ilvl w:val="0"/>
          <w:numId w:val="1"/>
        </w:numPr>
        <w:spacing w:after="120" w:line="276" w:lineRule="auto"/>
      </w:pPr>
      <w:r>
        <w:rPr>
          <w:rFonts w:ascii="Arial" w:hAnsi="Arial" w:eastAsia="Arial" w:cs="Arial"/>
          <w:sz w:val="22"/>
          <w:szCs w:val="22"/>
        </w:rPr>
        <w:t>Write a complete narrative stack (monthly through intraday) for any liquid instrument before the primary session.</w:t>
      </w:r>
    </w:p>
    <w:p w14:paraId="527BAD9C">
      <w:pPr>
        <w:pStyle w:val="16"/>
        <w:numPr>
          <w:ilvl w:val="0"/>
          <w:numId w:val="1"/>
        </w:numPr>
        <w:spacing w:after="120" w:line="276" w:lineRule="auto"/>
      </w:pPr>
      <w:r>
        <w:rPr>
          <w:rFonts w:ascii="Arial" w:hAnsi="Arial" w:eastAsia="Arial" w:cs="Arial"/>
          <w:sz w:val="22"/>
          <w:szCs w:val="22"/>
        </w:rPr>
        <w:t>Identify nested liquidity and nested PD arrays and rank them by authority.</w:t>
      </w:r>
    </w:p>
    <w:p w14:paraId="1C06EA45">
      <w:pPr>
        <w:pStyle w:val="16"/>
        <w:numPr>
          <w:ilvl w:val="0"/>
          <w:numId w:val="1"/>
        </w:numPr>
        <w:spacing w:after="120" w:line="276" w:lineRule="auto"/>
      </w:pPr>
      <w:r>
        <w:rPr>
          <w:rFonts w:ascii="Arial" w:hAnsi="Arial" w:eastAsia="Arial" w:cs="Arial"/>
          <w:sz w:val="22"/>
          <w:szCs w:val="22"/>
        </w:rPr>
        <w:t>Detect timeframe conflict and state the correct resolution.</w:t>
      </w:r>
    </w:p>
    <w:p w14:paraId="5AE72A3D">
      <w:pPr>
        <w:pStyle w:val="16"/>
        <w:numPr>
          <w:ilvl w:val="0"/>
          <w:numId w:val="1"/>
        </w:numPr>
        <w:spacing w:after="120" w:line="276" w:lineRule="auto"/>
      </w:pPr>
      <w:r>
        <w:rPr>
          <w:rFonts w:ascii="Arial" w:hAnsi="Arial" w:eastAsia="Arial" w:cs="Arial"/>
          <w:sz w:val="22"/>
          <w:szCs w:val="22"/>
        </w:rPr>
        <w:t>Restrict LTF analysis to confirmation and precision entry inside the higher-timeframe story.</w:t>
      </w:r>
    </w:p>
    <w:p w14:paraId="10991F8B">
      <w:pPr>
        <w:pStyle w:val="16"/>
        <w:numPr>
          <w:ilvl w:val="0"/>
          <w:numId w:val="1"/>
        </w:numPr>
        <w:spacing w:after="120" w:line="276" w:lineRule="auto"/>
      </w:pPr>
      <w:r>
        <w:rPr>
          <w:rFonts w:ascii="Arial" w:hAnsi="Arial" w:eastAsia="Arial" w:cs="Arial"/>
          <w:sz w:val="22"/>
          <w:szCs w:val="22"/>
        </w:rPr>
        <w:t>Update the stack when any layer’s invalidation is triggered.</w:t>
      </w:r>
    </w:p>
    <w:p w14:paraId="2B113504">
      <w:pPr>
        <w:pStyle w:val="16"/>
        <w:numPr>
          <w:ilvl w:val="0"/>
          <w:numId w:val="1"/>
        </w:numPr>
        <w:spacing w:after="120" w:line="276" w:lineRule="auto"/>
      </w:pPr>
      <w:r>
        <w:rPr>
          <w:rFonts w:ascii="Arial" w:hAnsi="Arial" w:eastAsia="Arial" w:cs="Arial"/>
          <w:sz w:val="22"/>
          <w:szCs w:val="22"/>
        </w:rPr>
        <w:t>Produce the narrative on an unfamiliar chart without being told which ICT model is present.</w:t>
      </w:r>
    </w:p>
    <w:p w14:paraId="29A55E05">
      <w:pPr>
        <w:pStyle w:val="2"/>
        <w:spacing w:before="360" w:after="240"/>
      </w:pPr>
      <w:r>
        <w:rPr>
          <w:rFonts w:ascii="Arial" w:hAnsi="Arial" w:eastAsia="Arial" w:cs="Arial"/>
          <w:b/>
          <w:bCs/>
          <w:sz w:val="32"/>
          <w:szCs w:val="32"/>
        </w:rPr>
        <w:t>Module Review</w:t>
      </w:r>
    </w:p>
    <w:p w14:paraId="55A51CF6">
      <w:pPr>
        <w:pStyle w:val="3"/>
        <w:spacing w:before="280" w:after="180"/>
      </w:pPr>
      <w:r>
        <w:rPr>
          <w:rFonts w:ascii="Arial" w:hAnsi="Arial" w:eastAsia="Arial" w:cs="Arial"/>
          <w:b/>
          <w:bCs/>
          <w:sz w:val="26"/>
          <w:szCs w:val="26"/>
        </w:rPr>
        <w:t>Key Terms</w:t>
      </w:r>
    </w:p>
    <w:p w14:paraId="4091E195">
      <w:pPr>
        <w:pStyle w:val="16"/>
        <w:numPr>
          <w:ilvl w:val="0"/>
          <w:numId w:val="1"/>
        </w:numPr>
        <w:spacing w:after="120" w:line="276" w:lineRule="auto"/>
      </w:pPr>
      <w:r>
        <w:rPr>
          <w:rFonts w:ascii="Arial" w:hAnsi="Arial" w:eastAsia="Arial" w:cs="Arial"/>
          <w:sz w:val="22"/>
          <w:szCs w:val="22"/>
        </w:rPr>
        <w:t>Narrative hierarchy — monthly &gt; weekly &gt; daily &gt; intraday authority.</w:t>
      </w:r>
    </w:p>
    <w:p w14:paraId="3AC03C4E">
      <w:pPr>
        <w:pStyle w:val="16"/>
        <w:numPr>
          <w:ilvl w:val="0"/>
          <w:numId w:val="1"/>
        </w:numPr>
        <w:spacing w:after="120" w:line="276" w:lineRule="auto"/>
      </w:pPr>
      <w:r>
        <w:rPr>
          <w:rFonts w:ascii="Arial" w:hAnsi="Arial" w:eastAsia="Arial" w:cs="Arial"/>
          <w:sz w:val="22"/>
          <w:szCs w:val="22"/>
        </w:rPr>
        <w:t>Nested liquidity — lower-timeframe pools that sit on the path to higher-timeframe DOL.</w:t>
      </w:r>
    </w:p>
    <w:p w14:paraId="7E2E3AF0">
      <w:pPr>
        <w:pStyle w:val="16"/>
        <w:numPr>
          <w:ilvl w:val="0"/>
          <w:numId w:val="1"/>
        </w:numPr>
        <w:spacing w:after="120" w:line="276" w:lineRule="auto"/>
      </w:pPr>
      <w:r>
        <w:rPr>
          <w:rFonts w:ascii="Arial" w:hAnsi="Arial" w:eastAsia="Arial" w:cs="Arial"/>
          <w:sz w:val="22"/>
          <w:szCs w:val="22"/>
        </w:rPr>
        <w:t>Nested PD arrays — lower-timeframe arrays that refine entry inside higher-timeframe arrays.</w:t>
      </w:r>
    </w:p>
    <w:p w14:paraId="1B982745">
      <w:pPr>
        <w:pStyle w:val="16"/>
        <w:numPr>
          <w:ilvl w:val="0"/>
          <w:numId w:val="1"/>
        </w:numPr>
        <w:spacing w:after="120" w:line="276" w:lineRule="auto"/>
      </w:pPr>
      <w:r>
        <w:rPr>
          <w:rFonts w:ascii="Arial" w:hAnsi="Arial" w:eastAsia="Arial" w:cs="Arial"/>
          <w:sz w:val="22"/>
          <w:szCs w:val="22"/>
        </w:rPr>
        <w:t>Timeframe synchronization — agreement of direction, range location and expected time window across layers.</w:t>
      </w:r>
    </w:p>
    <w:p w14:paraId="79A6EE9F">
      <w:pPr>
        <w:pStyle w:val="16"/>
        <w:numPr>
          <w:ilvl w:val="0"/>
          <w:numId w:val="1"/>
        </w:numPr>
        <w:spacing w:after="120" w:line="276" w:lineRule="auto"/>
      </w:pPr>
      <w:r>
        <w:rPr>
          <w:rFonts w:ascii="Arial" w:hAnsi="Arial" w:eastAsia="Arial" w:cs="Arial"/>
          <w:sz w:val="22"/>
          <w:szCs w:val="22"/>
        </w:rPr>
        <w:t>Timeframe conflict — lower-timeframe signal opposite to higher-timeframe narrative.</w:t>
      </w:r>
    </w:p>
    <w:p w14:paraId="5A053F87">
      <w:pPr>
        <w:pStyle w:val="16"/>
        <w:numPr>
          <w:ilvl w:val="0"/>
          <w:numId w:val="1"/>
        </w:numPr>
        <w:spacing w:after="120" w:line="276" w:lineRule="auto"/>
      </w:pPr>
      <w:r>
        <w:rPr>
          <w:rFonts w:ascii="Arial" w:hAnsi="Arial" w:eastAsia="Arial" w:cs="Arial"/>
          <w:sz w:val="22"/>
          <w:szCs w:val="22"/>
        </w:rPr>
        <w:t>Top-down narrative construction — the ordered process of building the stack before execution.</w:t>
      </w:r>
    </w:p>
    <w:p w14:paraId="6DD3E17E">
      <w:pPr>
        <w:pStyle w:val="3"/>
        <w:spacing w:before="280" w:after="180"/>
      </w:pPr>
      <w:r>
        <w:rPr>
          <w:rFonts w:ascii="Arial" w:hAnsi="Arial" w:eastAsia="Arial" w:cs="Arial"/>
          <w:b/>
          <w:bCs/>
          <w:sz w:val="26"/>
          <w:szCs w:val="26"/>
        </w:rPr>
        <w:t>Self-Test</w:t>
      </w:r>
    </w:p>
    <w:p w14:paraId="52A19A3D">
      <w:pPr>
        <w:pStyle w:val="16"/>
        <w:numPr>
          <w:ilvl w:val="0"/>
          <w:numId w:val="2"/>
        </w:numPr>
        <w:spacing w:after="120" w:line="276" w:lineRule="auto"/>
      </w:pPr>
      <w:r>
        <w:rPr>
          <w:rFonts w:ascii="Arial" w:hAnsi="Arial" w:eastAsia="Arial" w:cs="Arial"/>
          <w:sz w:val="22"/>
          <w:szCs w:val="22"/>
        </w:rPr>
        <w:t>What six questions must every narrative layer answer?</w:t>
      </w:r>
    </w:p>
    <w:p w14:paraId="0A53B9B0">
      <w:pPr>
        <w:pStyle w:val="16"/>
        <w:numPr>
          <w:ilvl w:val="0"/>
          <w:numId w:val="2"/>
        </w:numPr>
        <w:spacing w:after="120" w:line="276" w:lineRule="auto"/>
      </w:pPr>
      <w:r>
        <w:rPr>
          <w:rFonts w:ascii="Arial" w:hAnsi="Arial" w:eastAsia="Arial" w:cs="Arial"/>
          <w:sz w:val="22"/>
          <w:szCs w:val="22"/>
        </w:rPr>
        <w:t>How should a daily bullish narrative be treated when the weekly narrative is clearly bearish?</w:t>
      </w:r>
    </w:p>
    <w:p w14:paraId="09991514">
      <w:pPr>
        <w:pStyle w:val="16"/>
        <w:numPr>
          <w:ilvl w:val="0"/>
          <w:numId w:val="2"/>
        </w:numPr>
        <w:spacing w:after="120" w:line="276" w:lineRule="auto"/>
      </w:pPr>
      <w:r>
        <w:rPr>
          <w:rFonts w:ascii="Arial" w:hAnsi="Arial" w:eastAsia="Arial" w:cs="Arial"/>
          <w:sz w:val="22"/>
          <w:szCs w:val="22"/>
        </w:rPr>
        <w:t>What is the sole job of the intraday narrative?</w:t>
      </w:r>
    </w:p>
    <w:p w14:paraId="2E22868C">
      <w:pPr>
        <w:pStyle w:val="16"/>
        <w:numPr>
          <w:ilvl w:val="0"/>
          <w:numId w:val="2"/>
        </w:numPr>
        <w:spacing w:after="120" w:line="276" w:lineRule="auto"/>
      </w:pPr>
      <w:r>
        <w:rPr>
          <w:rFonts w:ascii="Arial" w:hAnsi="Arial" w:eastAsia="Arial" w:cs="Arial"/>
          <w:sz w:val="22"/>
          <w:szCs w:val="22"/>
        </w:rPr>
        <w:t>When is a deep intraday undercut not true timeframe conflict?</w:t>
      </w:r>
    </w:p>
    <w:p w14:paraId="3DDA1C55">
      <w:pPr>
        <w:pStyle w:val="16"/>
        <w:numPr>
          <w:ilvl w:val="0"/>
          <w:numId w:val="2"/>
        </w:numPr>
        <w:spacing w:after="120" w:line="276" w:lineRule="auto"/>
      </w:pPr>
      <w:r>
        <w:rPr>
          <w:rFonts w:ascii="Arial" w:hAnsi="Arial" w:eastAsia="Arial" w:cs="Arial"/>
          <w:sz w:val="22"/>
          <w:szCs w:val="22"/>
        </w:rPr>
        <w:t>Outline the six-step top-down construction procedure.</w:t>
      </w:r>
    </w:p>
    <w:p w14:paraId="6B317F64">
      <w:pPr>
        <w:pStyle w:val="3"/>
        <w:spacing w:before="280" w:after="180"/>
      </w:pPr>
      <w:r>
        <w:rPr>
          <w:rFonts w:ascii="Arial" w:hAnsi="Arial" w:eastAsia="Arial" w:cs="Arial"/>
          <w:b/>
          <w:bCs/>
          <w:sz w:val="26"/>
          <w:szCs w:val="26"/>
        </w:rPr>
        <w:t>Transition to Module 10</w:t>
      </w:r>
    </w:p>
    <w:p w14:paraId="2F0B9339">
      <w:pPr>
        <w:spacing w:after="200" w:line="276" w:lineRule="auto"/>
      </w:pPr>
      <w:r>
        <w:rPr>
          <w:rFonts w:ascii="Arial" w:hAnsi="Arial" w:eastAsia="Arial" w:cs="Arial"/>
          <w:sz w:val="22"/>
          <w:szCs w:val="22"/>
        </w:rPr>
        <w:t>Module 9 has synthesised the full multi-timeframe narrative stack. Module 10 (Advanced Bias &amp; Narrative Construction) will formalise bias itself — macro, weekly, daily and conditional bias, invalidation rules, and the conversion of the narrative stack into a single, testable directional hypothesis that authorises or forbids model selection and execution.</w:t>
      </w:r>
    </w:p>
    <w:p w14:paraId="195041EC">
      <w:pPr>
        <w:spacing w:after="200" w:line="276" w:lineRule="auto"/>
        <w:rPr>
          <w:rFonts w:ascii="Arial" w:hAnsi="Arial" w:eastAsia="Arial" w:cs="Arial"/>
          <w:sz w:val="22"/>
          <w:szCs w:val="22"/>
        </w:rPr>
      </w:pPr>
    </w:p>
    <w:p w14:paraId="49016D18">
      <w:pPr>
        <w:spacing w:after="200" w:line="276" w:lineRule="auto"/>
        <w:rPr>
          <w:rFonts w:ascii="Arial" w:hAnsi="Arial" w:eastAsia="Arial" w:cs="Arial"/>
          <w:sz w:val="22"/>
          <w:szCs w:val="22"/>
        </w:rPr>
      </w:pPr>
    </w:p>
    <w:p w14:paraId="24672887">
      <w:pPr>
        <w:spacing w:after="200" w:line="276" w:lineRule="auto"/>
        <w:rPr>
          <w:rFonts w:ascii="Arial" w:hAnsi="Arial" w:eastAsia="Arial" w:cs="Arial"/>
          <w:sz w:val="22"/>
          <w:szCs w:val="22"/>
        </w:rPr>
      </w:pPr>
    </w:p>
    <w:p w14:paraId="0750878C">
      <w:pPr>
        <w:spacing w:after="200" w:line="276" w:lineRule="auto"/>
        <w:rPr>
          <w:rFonts w:ascii="Arial" w:hAnsi="Arial" w:eastAsia="Arial" w:cs="Arial"/>
          <w:sz w:val="22"/>
          <w:szCs w:val="22"/>
        </w:rPr>
      </w:pPr>
    </w:p>
    <w:p w14:paraId="6C011134">
      <w:pPr>
        <w:spacing w:after="200" w:line="276" w:lineRule="auto"/>
        <w:rPr>
          <w:rFonts w:ascii="Arial" w:hAnsi="Arial" w:eastAsia="Arial" w:cs="Arial"/>
          <w:sz w:val="22"/>
          <w:szCs w:val="22"/>
        </w:rPr>
      </w:pPr>
    </w:p>
    <w:p w14:paraId="37F7526F">
      <w:pPr>
        <w:spacing w:after="200" w:line="276" w:lineRule="auto"/>
        <w:rPr>
          <w:rFonts w:ascii="Arial" w:hAnsi="Arial" w:eastAsia="Arial" w:cs="Arial"/>
          <w:sz w:val="22"/>
          <w:szCs w:val="22"/>
        </w:rPr>
      </w:pPr>
    </w:p>
    <w:p w14:paraId="043AC117">
      <w:pPr>
        <w:spacing w:after="200" w:line="276" w:lineRule="auto"/>
        <w:rPr>
          <w:rFonts w:ascii="Arial" w:hAnsi="Arial" w:eastAsia="Arial" w:cs="Arial"/>
          <w:sz w:val="22"/>
          <w:szCs w:val="22"/>
        </w:rPr>
      </w:pPr>
    </w:p>
    <w:p w14:paraId="50275909">
      <w:pPr>
        <w:spacing w:after="200" w:line="276" w:lineRule="auto"/>
        <w:rPr>
          <w:rFonts w:ascii="Arial" w:hAnsi="Arial" w:eastAsia="Arial" w:cs="Arial"/>
          <w:sz w:val="22"/>
          <w:szCs w:val="22"/>
        </w:rPr>
      </w:pPr>
    </w:p>
    <w:p w14:paraId="31091D8A">
      <w:pPr>
        <w:spacing w:after="200" w:line="276" w:lineRule="auto"/>
        <w:rPr>
          <w:rFonts w:ascii="Arial" w:hAnsi="Arial" w:eastAsia="Arial" w:cs="Arial"/>
          <w:sz w:val="22"/>
          <w:szCs w:val="22"/>
        </w:rPr>
      </w:pPr>
    </w:p>
    <w:p w14:paraId="64C49630">
      <w:pPr>
        <w:spacing w:after="200" w:line="276" w:lineRule="auto"/>
        <w:rPr>
          <w:rFonts w:ascii="Arial" w:hAnsi="Arial" w:eastAsia="Arial" w:cs="Arial"/>
          <w:sz w:val="22"/>
          <w:szCs w:val="22"/>
        </w:rPr>
      </w:pPr>
    </w:p>
    <w:p w14:paraId="1B16DABA">
      <w:pPr>
        <w:spacing w:after="200" w:line="276" w:lineRule="auto"/>
        <w:rPr>
          <w:rFonts w:ascii="Arial" w:hAnsi="Arial" w:eastAsia="Arial" w:cs="Arial"/>
          <w:sz w:val="22"/>
          <w:szCs w:val="22"/>
        </w:rPr>
      </w:pPr>
    </w:p>
    <w:p w14:paraId="6132E6D2">
      <w:pPr>
        <w:spacing w:after="200" w:line="276" w:lineRule="auto"/>
        <w:rPr>
          <w:rFonts w:ascii="Arial" w:hAnsi="Arial" w:eastAsia="Arial" w:cs="Arial"/>
          <w:sz w:val="22"/>
          <w:szCs w:val="22"/>
        </w:rPr>
      </w:pPr>
    </w:p>
    <w:p w14:paraId="149D5230">
      <w:pPr>
        <w:spacing w:after="200" w:line="276" w:lineRule="auto"/>
        <w:rPr>
          <w:rFonts w:ascii="Arial" w:hAnsi="Arial" w:eastAsia="Arial" w:cs="Arial"/>
          <w:sz w:val="22"/>
          <w:szCs w:val="22"/>
        </w:rPr>
      </w:pPr>
    </w:p>
    <w:p w14:paraId="59F19CB8">
      <w:pPr>
        <w:spacing w:after="200" w:line="276" w:lineRule="auto"/>
        <w:rPr>
          <w:rFonts w:ascii="Arial" w:hAnsi="Arial" w:eastAsia="Arial" w:cs="Arial"/>
          <w:sz w:val="22"/>
          <w:szCs w:val="22"/>
        </w:rPr>
      </w:pPr>
    </w:p>
    <w:p w14:paraId="3BB17A58">
      <w:pPr>
        <w:spacing w:after="200" w:line="276" w:lineRule="auto"/>
        <w:rPr>
          <w:rFonts w:ascii="Arial" w:hAnsi="Arial" w:eastAsia="Arial" w:cs="Arial"/>
          <w:sz w:val="22"/>
          <w:szCs w:val="22"/>
        </w:rPr>
      </w:pPr>
    </w:p>
    <w:p w14:paraId="4B7766D1">
      <w:pPr>
        <w:spacing w:after="200" w:line="276" w:lineRule="auto"/>
        <w:rPr>
          <w:rFonts w:ascii="Arial" w:hAnsi="Arial" w:eastAsia="Arial" w:cs="Arial"/>
          <w:sz w:val="22"/>
          <w:szCs w:val="22"/>
        </w:rPr>
      </w:pPr>
    </w:p>
    <w:p w14:paraId="57F30E5A">
      <w:pPr>
        <w:spacing w:after="200" w:line="276" w:lineRule="auto"/>
        <w:rPr>
          <w:rFonts w:ascii="Arial" w:hAnsi="Arial" w:eastAsia="Arial" w:cs="Arial"/>
          <w:sz w:val="22"/>
          <w:szCs w:val="22"/>
        </w:rPr>
      </w:pPr>
    </w:p>
    <w:p w14:paraId="318250FF">
      <w:pPr>
        <w:spacing w:after="200" w:line="276" w:lineRule="auto"/>
        <w:rPr>
          <w:rFonts w:ascii="Arial" w:hAnsi="Arial" w:eastAsia="Arial" w:cs="Arial"/>
          <w:sz w:val="22"/>
          <w:szCs w:val="22"/>
        </w:rPr>
      </w:pPr>
    </w:p>
    <w:p w14:paraId="07467C61">
      <w:pPr>
        <w:spacing w:after="200" w:line="276" w:lineRule="auto"/>
        <w:rPr>
          <w:rFonts w:ascii="Arial" w:hAnsi="Arial" w:eastAsia="Arial" w:cs="Arial"/>
          <w:sz w:val="22"/>
          <w:szCs w:val="22"/>
        </w:rPr>
      </w:pPr>
    </w:p>
    <w:p w14:paraId="46A8DD18">
      <w:pPr>
        <w:spacing w:after="200" w:line="276" w:lineRule="auto"/>
        <w:rPr>
          <w:rFonts w:ascii="Arial" w:hAnsi="Arial" w:eastAsia="Arial" w:cs="Arial"/>
          <w:sz w:val="22"/>
          <w:szCs w:val="22"/>
        </w:rPr>
      </w:pPr>
    </w:p>
    <w:p w14:paraId="685276AF">
      <w:pPr>
        <w:spacing w:after="200" w:line="276" w:lineRule="auto"/>
        <w:rPr>
          <w:rFonts w:ascii="Arial" w:hAnsi="Arial" w:eastAsia="Arial" w:cs="Arial"/>
          <w:sz w:val="22"/>
          <w:szCs w:val="22"/>
        </w:rPr>
      </w:pPr>
    </w:p>
    <w:p w14:paraId="742BA62B">
      <w:pPr>
        <w:spacing w:after="200" w:line="276" w:lineRule="auto"/>
        <w:rPr>
          <w:rFonts w:ascii="Arial" w:hAnsi="Arial" w:eastAsia="Arial" w:cs="Arial"/>
          <w:sz w:val="22"/>
          <w:szCs w:val="22"/>
        </w:rPr>
      </w:pPr>
    </w:p>
    <w:p w14:paraId="7D84A0F3">
      <w:pPr>
        <w:spacing w:after="200" w:line="276" w:lineRule="auto"/>
        <w:rPr>
          <w:rFonts w:ascii="Arial" w:hAnsi="Arial" w:eastAsia="Arial" w:cs="Arial"/>
          <w:sz w:val="22"/>
          <w:szCs w:val="22"/>
        </w:rPr>
      </w:pPr>
    </w:p>
    <w:p w14:paraId="42C8EA50">
      <w:pPr>
        <w:spacing w:after="200" w:line="276" w:lineRule="auto"/>
        <w:rPr>
          <w:rFonts w:ascii="Arial" w:hAnsi="Arial" w:eastAsia="Arial" w:cs="Arial"/>
          <w:sz w:val="22"/>
          <w:szCs w:val="22"/>
        </w:rPr>
      </w:pPr>
    </w:p>
    <w:p w14:paraId="2CFA51B4">
      <w:pPr>
        <w:spacing w:after="200" w:line="276" w:lineRule="auto"/>
        <w:rPr>
          <w:rFonts w:ascii="Arial" w:hAnsi="Arial" w:eastAsia="Arial" w:cs="Arial"/>
          <w:sz w:val="22"/>
          <w:szCs w:val="22"/>
        </w:rPr>
      </w:pPr>
    </w:p>
    <w:p w14:paraId="1865BDDC">
      <w:pPr>
        <w:spacing w:after="400"/>
        <w:jc w:val="center"/>
      </w:pPr>
      <w:r>
        <w:rPr>
          <w:rFonts w:ascii="Arial" w:hAnsi="Arial" w:eastAsia="Arial" w:cs="Arial"/>
          <w:b/>
          <w:bCs/>
          <w:sz w:val="36"/>
          <w:szCs w:val="36"/>
        </w:rPr>
        <w:t>MODULE 10</w:t>
      </w:r>
    </w:p>
    <w:p w14:paraId="26FA2113">
      <w:pPr>
        <w:spacing w:after="200"/>
        <w:jc w:val="center"/>
      </w:pPr>
      <w:r>
        <w:rPr>
          <w:rFonts w:ascii="Arial" w:hAnsi="Arial" w:eastAsia="Arial" w:cs="Arial"/>
          <w:b/>
          <w:bCs/>
          <w:sz w:val="28"/>
          <w:szCs w:val="28"/>
        </w:rPr>
        <w:t>Advanced Bias &amp; Narrative Construction</w:t>
      </w:r>
    </w:p>
    <w:p w14:paraId="56A87652">
      <w:pPr>
        <w:spacing w:after="400"/>
        <w:jc w:val="center"/>
      </w:pPr>
      <w:r>
        <w:rPr>
          <w:rFonts w:ascii="Arial" w:hAnsi="Arial" w:eastAsia="Arial" w:cs="Arial"/>
          <w:i/>
          <w:iCs/>
          <w:sz w:val="20"/>
          <w:szCs w:val="20"/>
        </w:rPr>
        <w:t>Macro / Weekly / Daily / Conditional Bias, Invalidation, Narrative Confirmation &amp; Failure, Multi-Source Narrative Integration</w:t>
      </w:r>
    </w:p>
    <w:p w14:paraId="064FA3B7">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Modules 1–9. Bias is the testable, directional hypothesis extracted from the multi-timeframe narrative stack. It authorises model selection and execution; it is not a vague leaning.</w:t>
      </w:r>
    </w:p>
    <w:p w14:paraId="48BA3D4D">
      <w:pPr>
        <w:pStyle w:val="2"/>
        <w:spacing w:before="360" w:after="240"/>
      </w:pPr>
      <w:r>
        <w:rPr>
          <w:rFonts w:ascii="Arial" w:hAnsi="Arial" w:eastAsia="Arial" w:cs="Arial"/>
          <w:b/>
          <w:bCs/>
          <w:sz w:val="32"/>
          <w:szCs w:val="32"/>
        </w:rPr>
        <w:t>Module Objectives</w:t>
      </w:r>
    </w:p>
    <w:p w14:paraId="799D0CD1">
      <w:pPr>
        <w:spacing w:after="200" w:line="276" w:lineRule="auto"/>
      </w:pPr>
      <w:r>
        <w:rPr>
          <w:rFonts w:ascii="Arial" w:hAnsi="Arial" w:eastAsia="Arial" w:cs="Arial"/>
          <w:sz w:val="22"/>
          <w:szCs w:val="22"/>
        </w:rPr>
        <w:t>By the end of this module the advanced student should be able to:</w:t>
      </w:r>
    </w:p>
    <w:p w14:paraId="7BB64F9C">
      <w:pPr>
        <w:pStyle w:val="16"/>
        <w:numPr>
          <w:ilvl w:val="0"/>
          <w:numId w:val="1"/>
        </w:numPr>
        <w:spacing w:after="120" w:line="276" w:lineRule="auto"/>
      </w:pPr>
      <w:r>
        <w:rPr>
          <w:rFonts w:ascii="Arial" w:hAnsi="Arial" w:eastAsia="Arial" w:cs="Arial"/>
          <w:sz w:val="22"/>
          <w:szCs w:val="22"/>
        </w:rPr>
        <w:t>Extract a clear macro, weekly and daily bias from the narrative stack (Module 9).</w:t>
      </w:r>
    </w:p>
    <w:p w14:paraId="3C3291B6">
      <w:pPr>
        <w:pStyle w:val="16"/>
        <w:numPr>
          <w:ilvl w:val="0"/>
          <w:numId w:val="1"/>
        </w:numPr>
        <w:spacing w:after="120" w:line="276" w:lineRule="auto"/>
      </w:pPr>
      <w:r>
        <w:rPr>
          <w:rFonts w:ascii="Arial" w:hAnsi="Arial" w:eastAsia="Arial" w:cs="Arial"/>
          <w:sz w:val="22"/>
          <w:szCs w:val="22"/>
        </w:rPr>
        <w:t>State bias as a complete hypothesis: direction + Draw on Liquidity + invalidation.</w:t>
      </w:r>
    </w:p>
    <w:p w14:paraId="70697640">
      <w:pPr>
        <w:pStyle w:val="16"/>
        <w:numPr>
          <w:ilvl w:val="0"/>
          <w:numId w:val="1"/>
        </w:numPr>
        <w:spacing w:after="120" w:line="276" w:lineRule="auto"/>
      </w:pPr>
      <w:r>
        <w:rPr>
          <w:rFonts w:ascii="Arial" w:hAnsi="Arial" w:eastAsia="Arial" w:cs="Arial"/>
          <w:sz w:val="22"/>
          <w:szCs w:val="22"/>
        </w:rPr>
        <w:t>Apply conditional bias (bias that is active only after a specified liquidity or structural event).</w:t>
      </w:r>
    </w:p>
    <w:p w14:paraId="115BEC2C">
      <w:pPr>
        <w:pStyle w:val="16"/>
        <w:numPr>
          <w:ilvl w:val="0"/>
          <w:numId w:val="1"/>
        </w:numPr>
        <w:spacing w:after="120" w:line="276" w:lineRule="auto"/>
      </w:pPr>
      <w:r>
        <w:rPr>
          <w:rFonts w:ascii="Arial" w:hAnsi="Arial" w:eastAsia="Arial" w:cs="Arial"/>
          <w:sz w:val="22"/>
          <w:szCs w:val="22"/>
        </w:rPr>
        <w:t>Distinguish narrative confirmation from narrative failure and update bias accordingly.</w:t>
      </w:r>
    </w:p>
    <w:p w14:paraId="2AB31339">
      <w:pPr>
        <w:pStyle w:val="16"/>
        <w:numPr>
          <w:ilvl w:val="0"/>
          <w:numId w:val="1"/>
        </w:numPr>
        <w:spacing w:after="120" w:line="276" w:lineRule="auto"/>
      </w:pPr>
      <w:r>
        <w:rPr>
          <w:rFonts w:ascii="Arial" w:hAnsi="Arial" w:eastAsia="Arial" w:cs="Arial"/>
          <w:sz w:val="22"/>
          <w:szCs w:val="22"/>
        </w:rPr>
        <w:t>Integrate liquidity-based, time-based, structure-based and PD-array-based elements into one coherent bias statement.</w:t>
      </w:r>
    </w:p>
    <w:p w14:paraId="4A0B6B26">
      <w:pPr>
        <w:pStyle w:val="16"/>
        <w:numPr>
          <w:ilvl w:val="0"/>
          <w:numId w:val="1"/>
        </w:numPr>
        <w:spacing w:after="120" w:line="276" w:lineRule="auto"/>
      </w:pPr>
      <w:r>
        <w:rPr>
          <w:rFonts w:ascii="Arial" w:hAnsi="Arial" w:eastAsia="Arial" w:cs="Arial"/>
          <w:sz w:val="22"/>
          <w:szCs w:val="22"/>
        </w:rPr>
        <w:t>Recognise when bias is unclear and stand aside.</w:t>
      </w:r>
    </w:p>
    <w:p w14:paraId="4131526D">
      <w:pPr>
        <w:pStyle w:val="16"/>
        <w:numPr>
          <w:ilvl w:val="0"/>
          <w:numId w:val="1"/>
        </w:numPr>
        <w:spacing w:after="120" w:line="276" w:lineRule="auto"/>
      </w:pPr>
      <w:r>
        <w:rPr>
          <w:rFonts w:ascii="Arial" w:hAnsi="Arial" w:eastAsia="Arial" w:cs="Arial"/>
          <w:sz w:val="22"/>
          <w:szCs w:val="22"/>
        </w:rPr>
        <w:t>Convert the bias statement into permission or prohibition for specific ICT models (Modules 11–15).</w:t>
      </w:r>
    </w:p>
    <w:p w14:paraId="0A825D33">
      <w:pPr>
        <w:pStyle w:val="2"/>
        <w:spacing w:before="360" w:after="240"/>
      </w:pPr>
      <w:r>
        <w:rPr>
          <w:rFonts w:ascii="Arial" w:hAnsi="Arial" w:eastAsia="Arial" w:cs="Arial"/>
          <w:b/>
          <w:bCs/>
          <w:sz w:val="32"/>
          <w:szCs w:val="32"/>
        </w:rPr>
        <w:t>1. Bias as Testable Hypothesis</w:t>
      </w:r>
    </w:p>
    <w:p w14:paraId="08F19D4B">
      <w:pPr>
        <w:pStyle w:val="3"/>
        <w:spacing w:before="280" w:after="180"/>
      </w:pPr>
      <w:r>
        <w:rPr>
          <w:rFonts w:ascii="Arial" w:hAnsi="Arial" w:eastAsia="Arial" w:cs="Arial"/>
          <w:b/>
          <w:bCs/>
          <w:sz w:val="26"/>
          <w:szCs w:val="26"/>
        </w:rPr>
        <w:t>1.1 Definition</w:t>
      </w:r>
    </w:p>
    <w:p w14:paraId="05FA254C">
      <w:pPr>
        <w:spacing w:after="200" w:line="276" w:lineRule="auto"/>
      </w:pPr>
      <w:r>
        <w:rPr>
          <w:rFonts w:ascii="Arial" w:hAnsi="Arial" w:eastAsia="Arial" w:cs="Arial"/>
          <w:sz w:val="22"/>
          <w:szCs w:val="22"/>
        </w:rPr>
        <w:t>Advanced bias is not “I feel bullish.” It is a structured claim of the form: “Price is expected to deliver from [origin context] toward [named Draw on Liquidity], while [controlling range location] and [structural sequence] remain intact; the claim is invalidated by [explicit level or condition].”</w:t>
      </w:r>
    </w:p>
    <w:p w14:paraId="1A8AA905">
      <w:pPr>
        <w:pStyle w:val="3"/>
        <w:spacing w:before="280" w:after="180"/>
      </w:pPr>
      <w:r>
        <w:rPr>
          <w:rFonts w:ascii="Arial" w:hAnsi="Arial" w:eastAsia="Arial" w:cs="Arial"/>
          <w:b/>
          <w:bCs/>
          <w:sz w:val="26"/>
          <w:szCs w:val="26"/>
        </w:rPr>
        <w:t>1.2 Purpose</w:t>
      </w:r>
    </w:p>
    <w:p w14:paraId="6603A279">
      <w:pPr>
        <w:spacing w:after="200" w:line="276" w:lineRule="auto"/>
      </w:pPr>
      <w:r>
        <w:rPr>
          <w:rFonts w:ascii="Arial" w:hAnsi="Arial" w:eastAsia="Arial" w:cs="Arial"/>
          <w:sz w:val="22"/>
          <w:szCs w:val="22"/>
        </w:rPr>
        <w:t>Bias exists to constrain model selection and risk. Only models that assume delivery in the bias direction, toward the named DOL, and that respect the invalidation, are eligible. Everything else is either stand-aside or a deliberate, reduced-probability counter-narrative decision.</w:t>
      </w:r>
    </w:p>
    <w:p w14:paraId="7DFE201E">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Draw-on-liquidity-centred bias and explicit invalidation are consistent with ICT higher-timeframe teaching; the formal hypothesis framing is the advanced operational synthesis.</w:t>
      </w:r>
    </w:p>
    <w:p w14:paraId="06C88C7F">
      <w:pPr>
        <w:pStyle w:val="2"/>
        <w:spacing w:before="360" w:after="240"/>
      </w:pPr>
      <w:r>
        <w:rPr>
          <w:rFonts w:ascii="Arial" w:hAnsi="Arial" w:eastAsia="Arial" w:cs="Arial"/>
          <w:b/>
          <w:bCs/>
          <w:sz w:val="32"/>
          <w:szCs w:val="32"/>
        </w:rPr>
        <w:t>2. Layers of Bias</w:t>
      </w:r>
    </w:p>
    <w:p w14:paraId="4A7DD99E">
      <w:pPr>
        <w:pStyle w:val="3"/>
        <w:spacing w:before="280" w:after="180"/>
      </w:pPr>
      <w:r>
        <w:rPr>
          <w:rFonts w:ascii="Arial" w:hAnsi="Arial" w:eastAsia="Arial" w:cs="Arial"/>
          <w:b/>
          <w:bCs/>
          <w:sz w:val="26"/>
          <w:szCs w:val="26"/>
        </w:rPr>
        <w:t>2.1 Macro Bias</w:t>
      </w:r>
    </w:p>
    <w:p w14:paraId="28B5ED67">
      <w:pPr>
        <w:spacing w:after="200" w:line="276" w:lineRule="auto"/>
      </w:pPr>
      <w:r>
        <w:rPr>
          <w:rFonts w:ascii="Arial" w:hAnsi="Arial" w:eastAsia="Arial" w:cs="Arial"/>
          <w:sz w:val="22"/>
          <w:szCs w:val="22"/>
        </w:rPr>
        <w:t>Derived from monthly (and if relevant multi-month) narrative. States the highest-authority directional expectation and the long-term DOL. Changes infrequently. Most daily trades never challenge macro invalidation.</w:t>
      </w:r>
    </w:p>
    <w:p w14:paraId="64372AA2">
      <w:pPr>
        <w:pStyle w:val="3"/>
        <w:spacing w:before="280" w:after="180"/>
      </w:pPr>
      <w:r>
        <w:rPr>
          <w:rFonts w:ascii="Arial" w:hAnsi="Arial" w:eastAsia="Arial" w:cs="Arial"/>
          <w:b/>
          <w:bCs/>
          <w:sz w:val="26"/>
          <w:szCs w:val="26"/>
        </w:rPr>
        <w:t>2.2 Weekly Bias</w:t>
      </w:r>
    </w:p>
    <w:p w14:paraId="0392D307">
      <w:pPr>
        <w:spacing w:after="200" w:line="276" w:lineRule="auto"/>
      </w:pPr>
      <w:r>
        <w:rPr>
          <w:rFonts w:ascii="Arial" w:hAnsi="Arial" w:eastAsia="Arial" w:cs="Arial"/>
          <w:sz w:val="22"/>
          <w:szCs w:val="22"/>
        </w:rPr>
        <w:t>Derived from the weekly narrative inside the macro frame. Primary reference for swing and higher-timeframe day trades. Must be checked for alignment with macro bias.</w:t>
      </w:r>
    </w:p>
    <w:p w14:paraId="7F5FF401">
      <w:pPr>
        <w:pStyle w:val="3"/>
        <w:spacing w:before="280" w:after="180"/>
      </w:pPr>
      <w:r>
        <w:rPr>
          <w:rFonts w:ascii="Arial" w:hAnsi="Arial" w:eastAsia="Arial" w:cs="Arial"/>
          <w:b/>
          <w:bCs/>
          <w:sz w:val="26"/>
          <w:szCs w:val="26"/>
        </w:rPr>
        <w:t>2.3 Daily Bias</w:t>
      </w:r>
    </w:p>
    <w:p w14:paraId="03E03C97">
      <w:pPr>
        <w:spacing w:after="200" w:line="276" w:lineRule="auto"/>
      </w:pPr>
      <w:r>
        <w:rPr>
          <w:rFonts w:ascii="Arial" w:hAnsi="Arial" w:eastAsia="Arial" w:cs="Arial"/>
          <w:sz w:val="22"/>
          <w:szCs w:val="22"/>
        </w:rPr>
        <w:t>Derived from the daily narrative inside the weekly frame. Written before the primary kill zone. Authorises or forbids the day’s model selection. Must align with weekly bias or be explicitly labelled corrective/counter.</w:t>
      </w:r>
    </w:p>
    <w:p w14:paraId="4BF3573C">
      <w:pPr>
        <w:pStyle w:val="3"/>
        <w:spacing w:before="280" w:after="180"/>
      </w:pPr>
      <w:r>
        <w:rPr>
          <w:rFonts w:ascii="Arial" w:hAnsi="Arial" w:eastAsia="Arial" w:cs="Arial"/>
          <w:b/>
          <w:bCs/>
          <w:sz w:val="26"/>
          <w:szCs w:val="26"/>
        </w:rPr>
        <w:t>2.4 Intraday Bias</w:t>
      </w:r>
    </w:p>
    <w:p w14:paraId="63CDC733">
      <w:pPr>
        <w:spacing w:after="200" w:line="276" w:lineRule="auto"/>
      </w:pPr>
      <w:r>
        <w:rPr>
          <w:rFonts w:ascii="Arial" w:hAnsi="Arial" w:eastAsia="Arial" w:cs="Arial"/>
          <w:sz w:val="22"/>
          <w:szCs w:val="22"/>
        </w:rPr>
        <w:t>Not an independent directional call. It is the short-term expression of daily bias used only for timing: which side of the Asian range is likely to be raided, which direction the subsequent distribution should take. Intraday bias that contradicts daily bias is noise or a warning of daily failure.</w:t>
      </w:r>
    </w:p>
    <w:p w14:paraId="09C0B12E">
      <w:pPr>
        <w:pStyle w:val="2"/>
        <w:spacing w:before="360" w:after="240"/>
      </w:pPr>
      <w:r>
        <w:rPr>
          <w:rFonts w:ascii="Arial" w:hAnsi="Arial" w:eastAsia="Arial" w:cs="Arial"/>
          <w:b/>
          <w:bCs/>
          <w:sz w:val="32"/>
          <w:szCs w:val="32"/>
        </w:rPr>
        <w:t>3. Conditional Bias</w:t>
      </w:r>
    </w:p>
    <w:p w14:paraId="15024BF3">
      <w:pPr>
        <w:pStyle w:val="3"/>
        <w:spacing w:before="280" w:after="180"/>
      </w:pPr>
      <w:r>
        <w:rPr>
          <w:rFonts w:ascii="Arial" w:hAnsi="Arial" w:eastAsia="Arial" w:cs="Arial"/>
          <w:b/>
          <w:bCs/>
          <w:sz w:val="26"/>
          <w:szCs w:val="26"/>
        </w:rPr>
        <w:t>3.1 Definition</w:t>
      </w:r>
    </w:p>
    <w:p w14:paraId="324BC0D9">
      <w:pPr>
        <w:spacing w:after="200" w:line="276" w:lineRule="auto"/>
      </w:pPr>
      <w:r>
        <w:rPr>
          <w:rFonts w:ascii="Arial" w:hAnsi="Arial" w:eastAsia="Arial" w:cs="Arial"/>
          <w:sz w:val="22"/>
          <w:szCs w:val="22"/>
        </w:rPr>
        <w:t>Conditional bias is a directional hypothesis that becomes active only after a specified event. Example: “Daily bias is bullish toward 1.1200 only after London sweeps the Asian low and prints displacement + MSS higher; until that event, no long models are authorised.”</w:t>
      </w:r>
    </w:p>
    <w:p w14:paraId="6B6BA7F9">
      <w:pPr>
        <w:pStyle w:val="3"/>
        <w:spacing w:before="280" w:after="180"/>
      </w:pPr>
      <w:r>
        <w:rPr>
          <w:rFonts w:ascii="Arial" w:hAnsi="Arial" w:eastAsia="Arial" w:cs="Arial"/>
          <w:b/>
          <w:bCs/>
          <w:sz w:val="26"/>
          <w:szCs w:val="26"/>
        </w:rPr>
        <w:t>3.2 Value</w:t>
      </w:r>
    </w:p>
    <w:p w14:paraId="27A60510">
      <w:pPr>
        <w:spacing w:after="200" w:line="276" w:lineRule="auto"/>
      </w:pPr>
      <w:r>
        <w:rPr>
          <w:rFonts w:ascii="Arial" w:hAnsi="Arial" w:eastAsia="Arial" w:cs="Arial"/>
          <w:sz w:val="22"/>
          <w:szCs w:val="22"/>
        </w:rPr>
        <w:t>Conditional bias prevents premature entry during accumulation or before the manipulation phase has completed. It links bias directly to the PO3 and kill-zone expectations of Modules 7–8.</w:t>
      </w:r>
    </w:p>
    <w:p w14:paraId="6E5C9D3A">
      <w:pPr>
        <w:pStyle w:val="2"/>
        <w:spacing w:before="360" w:after="240"/>
      </w:pPr>
      <w:r>
        <w:rPr>
          <w:rFonts w:ascii="Arial" w:hAnsi="Arial" w:eastAsia="Arial" w:cs="Arial"/>
          <w:b/>
          <w:bCs/>
          <w:sz w:val="32"/>
          <w:szCs w:val="32"/>
        </w:rPr>
        <w:t>4. Constructing the Bias Statement</w:t>
      </w:r>
    </w:p>
    <w:p w14:paraId="3C8335AB">
      <w:pPr>
        <w:spacing w:after="200" w:line="276" w:lineRule="auto"/>
      </w:pPr>
      <w:r>
        <w:rPr>
          <w:rFonts w:ascii="Arial" w:hAnsi="Arial" w:eastAsia="Arial" w:cs="Arial"/>
          <w:sz w:val="22"/>
          <w:szCs w:val="22"/>
        </w:rPr>
        <w:t>A complete advanced bias statement contains:</w:t>
      </w:r>
    </w:p>
    <w:p w14:paraId="216072A0">
      <w:pPr>
        <w:pStyle w:val="16"/>
        <w:numPr>
          <w:ilvl w:val="0"/>
          <w:numId w:val="2"/>
        </w:numPr>
        <w:spacing w:after="120" w:line="276" w:lineRule="auto"/>
      </w:pPr>
      <w:r>
        <w:rPr>
          <w:rFonts w:ascii="Arial" w:hAnsi="Arial" w:eastAsia="Arial" w:cs="Arial"/>
          <w:sz w:val="22"/>
          <w:szCs w:val="22"/>
        </w:rPr>
        <w:t>Direction (bullish / bearish / neutral-unclear).</w:t>
      </w:r>
    </w:p>
    <w:p w14:paraId="08F4AC51">
      <w:pPr>
        <w:pStyle w:val="16"/>
        <w:numPr>
          <w:ilvl w:val="0"/>
          <w:numId w:val="2"/>
        </w:numPr>
        <w:spacing w:after="120" w:line="276" w:lineRule="auto"/>
      </w:pPr>
      <w:r>
        <w:rPr>
          <w:rFonts w:ascii="Arial" w:hAnsi="Arial" w:eastAsia="Arial" w:cs="Arial"/>
          <w:sz w:val="22"/>
          <w:szCs w:val="22"/>
        </w:rPr>
        <w:t>Named Draw on Liquidity (price or structural reference + timeframe).</w:t>
      </w:r>
    </w:p>
    <w:p w14:paraId="5386859D">
      <w:pPr>
        <w:pStyle w:val="16"/>
        <w:numPr>
          <w:ilvl w:val="0"/>
          <w:numId w:val="2"/>
        </w:numPr>
        <w:spacing w:after="120" w:line="276" w:lineRule="auto"/>
      </w:pPr>
      <w:r>
        <w:rPr>
          <w:rFonts w:ascii="Arial" w:hAnsi="Arial" w:eastAsia="Arial" w:cs="Arial"/>
          <w:sz w:val="22"/>
          <w:szCs w:val="22"/>
        </w:rPr>
        <w:t>Controlling range and premium/discount location.</w:t>
      </w:r>
    </w:p>
    <w:p w14:paraId="7A6B39D7">
      <w:pPr>
        <w:pStyle w:val="16"/>
        <w:numPr>
          <w:ilvl w:val="0"/>
          <w:numId w:val="2"/>
        </w:numPr>
        <w:spacing w:after="120" w:line="276" w:lineRule="auto"/>
      </w:pPr>
      <w:r>
        <w:rPr>
          <w:rFonts w:ascii="Arial" w:hAnsi="Arial" w:eastAsia="Arial" w:cs="Arial"/>
          <w:sz w:val="22"/>
          <w:szCs w:val="22"/>
        </w:rPr>
        <w:t>Structural status (sequence intact / under pressure / failed).</w:t>
      </w:r>
    </w:p>
    <w:p w14:paraId="2B360993">
      <w:pPr>
        <w:pStyle w:val="16"/>
        <w:numPr>
          <w:ilvl w:val="0"/>
          <w:numId w:val="2"/>
        </w:numPr>
        <w:spacing w:after="120" w:line="276" w:lineRule="auto"/>
      </w:pPr>
      <w:r>
        <w:rPr>
          <w:rFonts w:ascii="Arial" w:hAnsi="Arial" w:eastAsia="Arial" w:cs="Arial"/>
          <w:sz w:val="22"/>
          <w:szCs w:val="22"/>
        </w:rPr>
        <w:t>Active PO3 phase or alternative path.</w:t>
      </w:r>
    </w:p>
    <w:p w14:paraId="054ABBEE">
      <w:pPr>
        <w:pStyle w:val="16"/>
        <w:numPr>
          <w:ilvl w:val="0"/>
          <w:numId w:val="2"/>
        </w:numPr>
        <w:spacing w:after="120" w:line="276" w:lineRule="auto"/>
      </w:pPr>
      <w:r>
        <w:rPr>
          <w:rFonts w:ascii="Arial" w:hAnsi="Arial" w:eastAsia="Arial" w:cs="Arial"/>
          <w:sz w:val="22"/>
          <w:szCs w:val="22"/>
        </w:rPr>
        <w:t>Time window in which advancement is expected.</w:t>
      </w:r>
    </w:p>
    <w:p w14:paraId="4DEB97C7">
      <w:pPr>
        <w:pStyle w:val="16"/>
        <w:numPr>
          <w:ilvl w:val="0"/>
          <w:numId w:val="2"/>
        </w:numPr>
        <w:spacing w:after="120" w:line="276" w:lineRule="auto"/>
      </w:pPr>
      <w:r>
        <w:rPr>
          <w:rFonts w:ascii="Arial" w:hAnsi="Arial" w:eastAsia="Arial" w:cs="Arial"/>
          <w:sz w:val="22"/>
          <w:szCs w:val="22"/>
        </w:rPr>
        <w:t>Explicit invalidation level or condition.</w:t>
      </w:r>
    </w:p>
    <w:p w14:paraId="5BF80BAD">
      <w:pPr>
        <w:pStyle w:val="16"/>
        <w:numPr>
          <w:ilvl w:val="0"/>
          <w:numId w:val="2"/>
        </w:numPr>
        <w:spacing w:after="120" w:line="276" w:lineRule="auto"/>
      </w:pPr>
      <w:r>
        <w:rPr>
          <w:rFonts w:ascii="Arial" w:hAnsi="Arial" w:eastAsia="Arial" w:cs="Arial"/>
          <w:sz w:val="22"/>
          <w:szCs w:val="22"/>
        </w:rPr>
        <w:t>Conditioning event required before models are authorised (if any).</w:t>
      </w:r>
    </w:p>
    <w:p w14:paraId="572D013F">
      <w:pPr>
        <w:spacing w:after="200" w:line="276" w:lineRule="auto"/>
      </w:pPr>
      <w:r>
        <w:rPr>
          <w:rFonts w:ascii="Arial" w:hAnsi="Arial" w:eastAsia="Arial" w:cs="Arial"/>
          <w:sz w:val="22"/>
          <w:szCs w:val="22"/>
        </w:rPr>
        <w:t>If any of these elements cannot be stated, bias is incomplete or unclear.</w:t>
      </w:r>
    </w:p>
    <w:p w14:paraId="44A50F57">
      <w:pPr>
        <w:pStyle w:val="2"/>
        <w:spacing w:before="360" w:after="240"/>
      </w:pPr>
      <w:r>
        <w:rPr>
          <w:rFonts w:ascii="Arial" w:hAnsi="Arial" w:eastAsia="Arial" w:cs="Arial"/>
          <w:b/>
          <w:bCs/>
          <w:sz w:val="32"/>
          <w:szCs w:val="32"/>
        </w:rPr>
        <w:t>5. Narrative Confirmation</w:t>
      </w:r>
    </w:p>
    <w:p w14:paraId="19923664">
      <w:pPr>
        <w:spacing w:after="200" w:line="276" w:lineRule="auto"/>
      </w:pPr>
      <w:r>
        <w:rPr>
          <w:rFonts w:ascii="Arial" w:hAnsi="Arial" w:eastAsia="Arial" w:cs="Arial"/>
          <w:sz w:val="22"/>
          <w:szCs w:val="22"/>
        </w:rPr>
        <w:t>The bias hypothesis is confirmed when:</w:t>
      </w:r>
    </w:p>
    <w:p w14:paraId="78C68E9C">
      <w:pPr>
        <w:pStyle w:val="16"/>
        <w:numPr>
          <w:ilvl w:val="0"/>
          <w:numId w:val="1"/>
        </w:numPr>
        <w:spacing w:after="120" w:line="276" w:lineRule="auto"/>
      </w:pPr>
      <w:r>
        <w:rPr>
          <w:rFonts w:ascii="Arial" w:hAnsi="Arial" w:eastAsia="Arial" w:cs="Arial"/>
          <w:sz w:val="22"/>
          <w:szCs w:val="22"/>
        </w:rPr>
        <w:t>The expected liquidity event occurs,</w:t>
      </w:r>
    </w:p>
    <w:p w14:paraId="0A322AF8">
      <w:pPr>
        <w:pStyle w:val="16"/>
        <w:numPr>
          <w:ilvl w:val="0"/>
          <w:numId w:val="1"/>
        </w:numPr>
        <w:spacing w:after="120" w:line="276" w:lineRule="auto"/>
      </w:pPr>
      <w:r>
        <w:rPr>
          <w:rFonts w:ascii="Arial" w:hAnsi="Arial" w:eastAsia="Arial" w:cs="Arial"/>
          <w:sz w:val="22"/>
          <w:szCs w:val="22"/>
        </w:rPr>
        <w:t>Displacement and MSS align with the bias direction,</w:t>
      </w:r>
    </w:p>
    <w:p w14:paraId="12A5B596">
      <w:pPr>
        <w:pStyle w:val="16"/>
        <w:numPr>
          <w:ilvl w:val="0"/>
          <w:numId w:val="1"/>
        </w:numPr>
        <w:spacing w:after="120" w:line="276" w:lineRule="auto"/>
      </w:pPr>
      <w:r>
        <w:rPr>
          <w:rFonts w:ascii="Arial" w:hAnsi="Arial" w:eastAsia="Arial" w:cs="Arial"/>
          <w:sz w:val="22"/>
          <w:szCs w:val="22"/>
        </w:rPr>
        <w:t>Price interacts with PD arrays in the correct half of the range in the expected way,</w:t>
      </w:r>
    </w:p>
    <w:p w14:paraId="1B7ABB19">
      <w:pPr>
        <w:pStyle w:val="16"/>
        <w:numPr>
          <w:ilvl w:val="0"/>
          <w:numId w:val="1"/>
        </w:numPr>
        <w:spacing w:after="120" w:line="276" w:lineRule="auto"/>
      </w:pPr>
      <w:r>
        <w:rPr>
          <w:rFonts w:ascii="Arial" w:hAnsi="Arial" w:eastAsia="Arial" w:cs="Arial"/>
          <w:sz w:val="22"/>
          <w:szCs w:val="22"/>
        </w:rPr>
        <w:t>Delivery advances toward the named DOL inside the expected time window.</w:t>
      </w:r>
    </w:p>
    <w:p w14:paraId="58D3BCA8">
      <w:pPr>
        <w:spacing w:after="200" w:line="276" w:lineRule="auto"/>
      </w:pPr>
      <w:r>
        <w:rPr>
          <w:rFonts w:ascii="Arial" w:hAnsi="Arial" w:eastAsia="Arial" w:cs="Arial"/>
          <w:sz w:val="22"/>
          <w:szCs w:val="22"/>
        </w:rPr>
        <w:t>Confirmation does not guarantee the target will be reached; it authorises continued management of models that assume the bias.</w:t>
      </w:r>
    </w:p>
    <w:p w14:paraId="4533501E">
      <w:pPr>
        <w:pStyle w:val="2"/>
        <w:spacing w:before="360" w:after="240"/>
      </w:pPr>
      <w:r>
        <w:rPr>
          <w:rFonts w:ascii="Arial" w:hAnsi="Arial" w:eastAsia="Arial" w:cs="Arial"/>
          <w:b/>
          <w:bCs/>
          <w:sz w:val="32"/>
          <w:szCs w:val="32"/>
        </w:rPr>
        <w:t>6. Narrative Failure and Bias Invalidation</w:t>
      </w:r>
    </w:p>
    <w:p w14:paraId="78E42A33">
      <w:pPr>
        <w:pStyle w:val="3"/>
        <w:spacing w:before="280" w:after="180"/>
      </w:pPr>
      <w:r>
        <w:rPr>
          <w:rFonts w:ascii="Arial" w:hAnsi="Arial" w:eastAsia="Arial" w:cs="Arial"/>
          <w:b/>
          <w:bCs/>
          <w:sz w:val="26"/>
          <w:szCs w:val="26"/>
        </w:rPr>
        <w:t>6.1 Failure</w:t>
      </w:r>
    </w:p>
    <w:p w14:paraId="0F5D996A">
      <w:pPr>
        <w:spacing w:after="200" w:line="276" w:lineRule="auto"/>
      </w:pPr>
      <w:r>
        <w:rPr>
          <w:rFonts w:ascii="Arial" w:hAnsi="Arial" w:eastAsia="Arial" w:cs="Arial"/>
          <w:sz w:val="22"/>
          <w:szCs w:val="22"/>
        </w:rPr>
        <w:t>Narrative failure occurs when opposing displacement and external MSS appear, the named DOL is abandoned, or the explicit invalidation level is breached with decisive close. Failure retires the bias.</w:t>
      </w:r>
    </w:p>
    <w:p w14:paraId="0E732DDD">
      <w:pPr>
        <w:pStyle w:val="3"/>
        <w:spacing w:before="280" w:after="180"/>
      </w:pPr>
      <w:r>
        <w:rPr>
          <w:rFonts w:ascii="Arial" w:hAnsi="Arial" w:eastAsia="Arial" w:cs="Arial"/>
          <w:b/>
          <w:bCs/>
          <w:sz w:val="26"/>
          <w:szCs w:val="26"/>
        </w:rPr>
        <w:t>6.2 Invalidation Discipline</w:t>
      </w:r>
    </w:p>
    <w:p w14:paraId="6AE57F64">
      <w:pPr>
        <w:spacing w:after="200" w:line="276" w:lineRule="auto"/>
      </w:pPr>
      <w:r>
        <w:rPr>
          <w:rFonts w:ascii="Arial" w:hAnsi="Arial" w:eastAsia="Arial" w:cs="Arial"/>
          <w:sz w:val="22"/>
          <w:szCs w:val="22"/>
        </w:rPr>
        <w:t>When invalidation is met, the bias is rewritten or set to unclear. The student does not “hope” the original bias recovers. New model selection is permitted only under the new bias (or under explicit counter-narrative rules).</w:t>
      </w:r>
    </w:p>
    <w:p w14:paraId="5F49E296">
      <w:pPr>
        <w:pStyle w:val="3"/>
        <w:spacing w:before="280" w:after="180"/>
      </w:pPr>
      <w:r>
        <w:rPr>
          <w:rFonts w:ascii="Arial" w:hAnsi="Arial" w:eastAsia="Arial" w:cs="Arial"/>
          <w:b/>
          <w:bCs/>
          <w:sz w:val="26"/>
          <w:szCs w:val="26"/>
        </w:rPr>
        <w:t>6.3 Partial Failure</w:t>
      </w:r>
    </w:p>
    <w:p w14:paraId="564FD8D2">
      <w:pPr>
        <w:spacing w:after="200" w:line="276" w:lineRule="auto"/>
      </w:pPr>
      <w:r>
        <w:rPr>
          <w:rFonts w:ascii="Arial" w:hAnsi="Arial" w:eastAsia="Arial" w:cs="Arial"/>
          <w:sz w:val="22"/>
          <w:szCs w:val="22"/>
        </w:rPr>
        <w:t>A daily bias may fail while the weekly bias remains intact. In that case daily models are retired; weekly-aligned models may still be eligible on subsequent days once a new daily narrative is constructed inside the surviving weekly bias.</w:t>
      </w:r>
    </w:p>
    <w:p w14:paraId="603DA4FF">
      <w:pPr>
        <w:pStyle w:val="2"/>
        <w:spacing w:before="360" w:after="240"/>
      </w:pPr>
      <w:r>
        <w:rPr>
          <w:rFonts w:ascii="Arial" w:hAnsi="Arial" w:eastAsia="Arial" w:cs="Arial"/>
          <w:b/>
          <w:bCs/>
          <w:sz w:val="32"/>
          <w:szCs w:val="32"/>
        </w:rPr>
        <w:t>7. Multi-Source Integration</w:t>
      </w:r>
    </w:p>
    <w:p w14:paraId="52A86FA4">
      <w:pPr>
        <w:spacing w:after="200" w:line="276" w:lineRule="auto"/>
      </w:pPr>
      <w:r>
        <w:rPr>
          <w:rFonts w:ascii="Arial" w:hAnsi="Arial" w:eastAsia="Arial" w:cs="Arial"/>
          <w:sz w:val="22"/>
          <w:szCs w:val="22"/>
        </w:rPr>
        <w:t>Advanced bias is never built from a single source:</w:t>
      </w:r>
    </w:p>
    <w:p w14:paraId="4E099FCB">
      <w:pPr>
        <w:pStyle w:val="16"/>
        <w:numPr>
          <w:ilvl w:val="0"/>
          <w:numId w:val="1"/>
        </w:numPr>
        <w:spacing w:after="120" w:line="276" w:lineRule="auto"/>
      </w:pPr>
      <w:r>
        <w:rPr>
          <w:rFonts w:ascii="Arial" w:hAnsi="Arial" w:eastAsia="Arial" w:cs="Arial"/>
          <w:sz w:val="22"/>
          <w:szCs w:val="22"/>
        </w:rPr>
        <w:t>Liquidity-based — which pool is the DOL and which pool has been taken.</w:t>
      </w:r>
    </w:p>
    <w:p w14:paraId="08BF903C">
      <w:pPr>
        <w:pStyle w:val="16"/>
        <w:numPr>
          <w:ilvl w:val="0"/>
          <w:numId w:val="1"/>
        </w:numPr>
        <w:spacing w:after="120" w:line="276" w:lineRule="auto"/>
      </w:pPr>
      <w:r>
        <w:rPr>
          <w:rFonts w:ascii="Arial" w:hAnsi="Arial" w:eastAsia="Arial" w:cs="Arial"/>
          <w:sz w:val="22"/>
          <w:szCs w:val="22"/>
        </w:rPr>
        <w:t>Structure-based — is the sequence confirming or denying delivery toward that pool.</w:t>
      </w:r>
    </w:p>
    <w:p w14:paraId="29793B37">
      <w:pPr>
        <w:pStyle w:val="16"/>
        <w:numPr>
          <w:ilvl w:val="0"/>
          <w:numId w:val="1"/>
        </w:numPr>
        <w:spacing w:after="120" w:line="276" w:lineRule="auto"/>
      </w:pPr>
      <w:r>
        <w:rPr>
          <w:rFonts w:ascii="Arial" w:hAnsi="Arial" w:eastAsia="Arial" w:cs="Arial"/>
          <w:sz w:val="22"/>
          <w:szCs w:val="22"/>
        </w:rPr>
        <w:t>Range-based — is price in the correct half of the controlling range for the intended direction.</w:t>
      </w:r>
    </w:p>
    <w:p w14:paraId="49D6093B">
      <w:pPr>
        <w:pStyle w:val="16"/>
        <w:numPr>
          <w:ilvl w:val="0"/>
          <w:numId w:val="1"/>
        </w:numPr>
        <w:spacing w:after="120" w:line="276" w:lineRule="auto"/>
      </w:pPr>
      <w:r>
        <w:rPr>
          <w:rFonts w:ascii="Arial" w:hAnsi="Arial" w:eastAsia="Arial" w:cs="Arial"/>
          <w:sz w:val="22"/>
          <w:szCs w:val="22"/>
        </w:rPr>
        <w:t>Time-based — is the expected kill zone producing the expected phase.</w:t>
      </w:r>
    </w:p>
    <w:p w14:paraId="0F6C83F6">
      <w:pPr>
        <w:pStyle w:val="16"/>
        <w:numPr>
          <w:ilvl w:val="0"/>
          <w:numId w:val="1"/>
        </w:numPr>
        <w:spacing w:after="120" w:line="276" w:lineRule="auto"/>
      </w:pPr>
      <w:r>
        <w:rPr>
          <w:rFonts w:ascii="Arial" w:hAnsi="Arial" w:eastAsia="Arial" w:cs="Arial"/>
          <w:sz w:val="22"/>
          <w:szCs w:val="22"/>
        </w:rPr>
        <w:t>PD-array-based — are the arrays that form along the path aligned and unmitigated.</w:t>
      </w:r>
    </w:p>
    <w:p w14:paraId="72381B00">
      <w:pPr>
        <w:spacing w:after="200" w:line="276" w:lineRule="auto"/>
      </w:pPr>
      <w:r>
        <w:rPr>
          <w:rFonts w:ascii="Arial" w:hAnsi="Arial" w:eastAsia="Arial" w:cs="Arial"/>
          <w:sz w:val="22"/>
          <w:szCs w:val="22"/>
        </w:rPr>
        <w:t>A bias that rests on only one of these sources is fragile. Convergence across sources raises quality; divergence across sources lowers quality or produces unclear bias.</w:t>
      </w:r>
    </w:p>
    <w:p w14:paraId="6D50660F">
      <w:pPr>
        <w:pStyle w:val="2"/>
        <w:spacing w:before="360" w:after="240"/>
      </w:pPr>
      <w:r>
        <w:rPr>
          <w:rFonts w:ascii="Arial" w:hAnsi="Arial" w:eastAsia="Arial" w:cs="Arial"/>
          <w:b/>
          <w:bCs/>
          <w:sz w:val="32"/>
          <w:szCs w:val="32"/>
        </w:rPr>
        <w:t>8. Unclear Bias</w:t>
      </w:r>
    </w:p>
    <w:p w14:paraId="0DB0BD28">
      <w:pPr>
        <w:spacing w:after="200" w:line="276" w:lineRule="auto"/>
      </w:pPr>
      <w:r>
        <w:rPr>
          <w:rFonts w:ascii="Arial" w:hAnsi="Arial" w:eastAsia="Arial" w:cs="Arial"/>
          <w:sz w:val="22"/>
          <w:szCs w:val="22"/>
        </w:rPr>
        <w:t>Bias is unclear when:</w:t>
      </w:r>
    </w:p>
    <w:p w14:paraId="54A9413F">
      <w:pPr>
        <w:pStyle w:val="16"/>
        <w:numPr>
          <w:ilvl w:val="0"/>
          <w:numId w:val="1"/>
        </w:numPr>
        <w:spacing w:after="120" w:line="276" w:lineRule="auto"/>
      </w:pPr>
      <w:r>
        <w:rPr>
          <w:rFonts w:ascii="Arial" w:hAnsi="Arial" w:eastAsia="Arial" w:cs="Arial"/>
          <w:sz w:val="22"/>
          <w:szCs w:val="22"/>
        </w:rPr>
        <w:t>Higher-timeframe and intermediate narratives conflict without a clear corrective interpretation,</w:t>
      </w:r>
    </w:p>
    <w:p w14:paraId="53565EE3">
      <w:pPr>
        <w:pStyle w:val="16"/>
        <w:numPr>
          <w:ilvl w:val="0"/>
          <w:numId w:val="1"/>
        </w:numPr>
        <w:spacing w:after="120" w:line="276" w:lineRule="auto"/>
      </w:pPr>
      <w:r>
        <w:rPr>
          <w:rFonts w:ascii="Arial" w:hAnsi="Arial" w:eastAsia="Arial" w:cs="Arial"/>
          <w:sz w:val="22"/>
          <w:szCs w:val="22"/>
        </w:rPr>
        <w:t>No obvious DOL stands out,</w:t>
      </w:r>
    </w:p>
    <w:p w14:paraId="45CD8BBD">
      <w:pPr>
        <w:pStyle w:val="16"/>
        <w:numPr>
          <w:ilvl w:val="0"/>
          <w:numId w:val="1"/>
        </w:numPr>
        <w:spacing w:after="120" w:line="276" w:lineRule="auto"/>
      </w:pPr>
      <w:r>
        <w:rPr>
          <w:rFonts w:ascii="Arial" w:hAnsi="Arial" w:eastAsia="Arial" w:cs="Arial"/>
          <w:sz w:val="22"/>
          <w:szCs w:val="22"/>
        </w:rPr>
        <w:t>Structure is transitional and no MSS has resolved the ambiguity,</w:t>
      </w:r>
    </w:p>
    <w:p w14:paraId="53403E55">
      <w:pPr>
        <w:pStyle w:val="16"/>
        <w:numPr>
          <w:ilvl w:val="0"/>
          <w:numId w:val="1"/>
        </w:numPr>
        <w:spacing w:after="120" w:line="276" w:lineRule="auto"/>
      </w:pPr>
      <w:r>
        <w:rPr>
          <w:rFonts w:ascii="Arial" w:hAnsi="Arial" w:eastAsia="Arial" w:cs="Arial"/>
          <w:sz w:val="22"/>
          <w:szCs w:val="22"/>
        </w:rPr>
        <w:t>Price sits at equilibrium of the controlling range with no displacement,</w:t>
      </w:r>
    </w:p>
    <w:p w14:paraId="3DB8AFDA">
      <w:pPr>
        <w:pStyle w:val="16"/>
        <w:numPr>
          <w:ilvl w:val="0"/>
          <w:numId w:val="1"/>
        </w:numPr>
        <w:spacing w:after="120" w:line="276" w:lineRule="auto"/>
      </w:pPr>
      <w:r>
        <w:rPr>
          <w:rFonts w:ascii="Arial" w:hAnsi="Arial" w:eastAsia="Arial" w:cs="Arial"/>
          <w:sz w:val="22"/>
          <w:szCs w:val="22"/>
        </w:rPr>
        <w:t>A major scheduled event suspends the narrative.</w:t>
      </w:r>
    </w:p>
    <w:p w14:paraId="54A19C26">
      <w:pPr>
        <w:spacing w:after="200" w:line="276" w:lineRule="auto"/>
      </w:pPr>
      <w:r>
        <w:rPr>
          <w:rFonts w:ascii="Arial" w:hAnsi="Arial" w:eastAsia="Arial" w:cs="Arial"/>
          <w:sz w:val="22"/>
          <w:szCs w:val="22"/>
        </w:rPr>
        <w:t>Response: stand aside. Unclear bias is not a licence to invent a direction.</w:t>
      </w:r>
    </w:p>
    <w:p w14:paraId="5C073079">
      <w:pPr>
        <w:pStyle w:val="2"/>
        <w:spacing w:before="360" w:after="240"/>
      </w:pPr>
      <w:r>
        <w:rPr>
          <w:rFonts w:ascii="Arial" w:hAnsi="Arial" w:eastAsia="Arial" w:cs="Arial"/>
          <w:b/>
          <w:bCs/>
          <w:sz w:val="32"/>
          <w:szCs w:val="32"/>
        </w:rPr>
        <w:t>9. From Bias to Model Permission</w:t>
      </w:r>
    </w:p>
    <w:p w14:paraId="2D874CD7">
      <w:pPr>
        <w:spacing w:after="200" w:line="276" w:lineRule="auto"/>
      </w:pPr>
      <w:r>
        <w:rPr>
          <w:rFonts w:ascii="Arial" w:hAnsi="Arial" w:eastAsia="Arial" w:cs="Arial"/>
          <w:sz w:val="22"/>
          <w:szCs w:val="22"/>
        </w:rPr>
        <w:t>Once bias is stated:</w:t>
      </w:r>
    </w:p>
    <w:p w14:paraId="3AB17C8C">
      <w:pPr>
        <w:pStyle w:val="16"/>
        <w:numPr>
          <w:ilvl w:val="0"/>
          <w:numId w:val="1"/>
        </w:numPr>
        <w:spacing w:after="120" w:line="276" w:lineRule="auto"/>
      </w:pPr>
      <w:r>
        <w:rPr>
          <w:rFonts w:ascii="Arial" w:hAnsi="Arial" w:eastAsia="Arial" w:cs="Arial"/>
          <w:sz w:val="22"/>
          <w:szCs w:val="22"/>
        </w:rPr>
        <w:t>Only models that assume delivery in the bias direction toward the named DOL are eligible (Modules 11–12, 15).</w:t>
      </w:r>
    </w:p>
    <w:p w14:paraId="4B1FC181">
      <w:pPr>
        <w:pStyle w:val="16"/>
        <w:numPr>
          <w:ilvl w:val="0"/>
          <w:numId w:val="1"/>
        </w:numPr>
        <w:spacing w:after="120" w:line="276" w:lineRule="auto"/>
      </w:pPr>
      <w:r>
        <w:rPr>
          <w:rFonts w:ascii="Arial" w:hAnsi="Arial" w:eastAsia="Arial" w:cs="Arial"/>
          <w:sz w:val="22"/>
          <w:szCs w:val="22"/>
        </w:rPr>
        <w:t>Models that assume the opposite direction are forbidden unless a deliberate counter-narrative decision is logged.</w:t>
      </w:r>
    </w:p>
    <w:p w14:paraId="3E487A53">
      <w:pPr>
        <w:pStyle w:val="16"/>
        <w:numPr>
          <w:ilvl w:val="0"/>
          <w:numId w:val="1"/>
        </w:numPr>
        <w:spacing w:after="120" w:line="276" w:lineRule="auto"/>
      </w:pPr>
      <w:r>
        <w:rPr>
          <w:rFonts w:ascii="Arial" w:hAnsi="Arial" w:eastAsia="Arial" w:cs="Arial"/>
          <w:sz w:val="22"/>
          <w:szCs w:val="22"/>
        </w:rPr>
        <w:t>Models that require a conditioning event (e.g., liquidity sweep first) remain conditional until that event prints.</w:t>
      </w:r>
    </w:p>
    <w:p w14:paraId="35424C03">
      <w:pPr>
        <w:pStyle w:val="16"/>
        <w:numPr>
          <w:ilvl w:val="0"/>
          <w:numId w:val="1"/>
        </w:numPr>
        <w:spacing w:after="120" w:line="276" w:lineRule="auto"/>
      </w:pPr>
      <w:r>
        <w:rPr>
          <w:rFonts w:ascii="Arial" w:hAnsi="Arial" w:eastAsia="Arial" w:cs="Arial"/>
          <w:sz w:val="22"/>
          <w:szCs w:val="22"/>
        </w:rPr>
        <w:t>If bias is unclear, no directional model is authorised.</w:t>
      </w:r>
    </w:p>
    <w:p w14:paraId="2A4DF0CD">
      <w:pPr>
        <w:pStyle w:val="2"/>
        <w:spacing w:before="360" w:after="240"/>
      </w:pPr>
      <w:r>
        <w:rPr>
          <w:rFonts w:ascii="Arial" w:hAnsi="Arial" w:eastAsia="Arial" w:cs="Arial"/>
          <w:b/>
          <w:bCs/>
          <w:sz w:val="32"/>
          <w:szCs w:val="32"/>
        </w:rPr>
        <w:t>10. Worked Bias Construction</w:t>
      </w:r>
    </w:p>
    <w:p w14:paraId="099B6D4F">
      <w:pPr>
        <w:spacing w:after="200" w:line="276" w:lineRule="auto"/>
      </w:pPr>
      <w:r>
        <w:rPr>
          <w:rFonts w:ascii="Arial" w:hAnsi="Arial" w:eastAsia="Arial" w:cs="Arial"/>
          <w:sz w:val="22"/>
          <w:szCs w:val="22"/>
        </w:rPr>
        <w:t>From the narrative stack in Module 9’s worked example:</w:t>
      </w:r>
    </w:p>
    <w:p w14:paraId="33C2FF7F">
      <w:pPr>
        <w:spacing w:after="200" w:line="276" w:lineRule="auto"/>
      </w:pPr>
      <w:r>
        <w:rPr>
          <w:rFonts w:ascii="Arial" w:hAnsi="Arial" w:eastAsia="Arial" w:cs="Arial"/>
          <w:sz w:val="22"/>
          <w:szCs w:val="22"/>
        </w:rPr>
        <w:t>Macro bias: Bullish toward multi-month buy-side; invalidation = monthly close below last monthly bullish origin.</w:t>
      </w:r>
    </w:p>
    <w:p w14:paraId="0488F4F3">
      <w:pPr>
        <w:spacing w:after="200" w:line="276" w:lineRule="auto"/>
      </w:pPr>
      <w:r>
        <w:rPr>
          <w:rFonts w:ascii="Arial" w:hAnsi="Arial" w:eastAsia="Arial" w:cs="Arial"/>
          <w:sz w:val="22"/>
          <w:szCs w:val="22"/>
        </w:rPr>
        <w:t>Weekly bias: Bullish toward 1.1200 (weekly ERL); price in weekly discount; distribution phase active after mid-week SSL manipulation; invalidation = weekly close below manipulation extreme.</w:t>
      </w:r>
    </w:p>
    <w:p w14:paraId="1E5A3D20">
      <w:pPr>
        <w:spacing w:after="200" w:line="276" w:lineRule="auto"/>
      </w:pPr>
      <w:r>
        <w:rPr>
          <w:rFonts w:ascii="Arial" w:hAnsi="Arial" w:eastAsia="Arial" w:cs="Arial"/>
          <w:sz w:val="22"/>
          <w:szCs w:val="22"/>
        </w:rPr>
        <w:t>Daily bias (conditional): Bullish toward daily intermediate buy-side then 1.1200, active only after London SSL sweep + displacement + MSS; invalidation = daily close below displacement origin.</w:t>
      </w:r>
    </w:p>
    <w:p w14:paraId="680D6AB0">
      <w:pPr>
        <w:spacing w:after="200" w:line="276" w:lineRule="auto"/>
      </w:pPr>
      <w:r>
        <w:rPr>
          <w:rFonts w:ascii="Arial" w:hAnsi="Arial" w:eastAsia="Arial" w:cs="Arial"/>
          <w:sz w:val="22"/>
          <w:szCs w:val="22"/>
        </w:rPr>
        <w:t>Intraday: Expression of daily bias — expect New York continuation after London conditioning; no independent directional claim.</w:t>
      </w:r>
    </w:p>
    <w:p w14:paraId="35AD3DF2">
      <w:pPr>
        <w:spacing w:after="200" w:line="276" w:lineRule="auto"/>
      </w:pPr>
      <w:r>
        <w:rPr>
          <w:rFonts w:ascii="Arial" w:hAnsi="Arial" w:eastAsia="Arial" w:cs="Arial"/>
          <w:sz w:val="22"/>
          <w:szCs w:val="22"/>
        </w:rPr>
        <w:t>Model permission: Bullish continuation models (FVG/OB retracement after displacement, OTE in discount, etc.) are authorised once the London conditioning event prints. Bearish models are not authorised.</w:t>
      </w:r>
    </w:p>
    <w:p w14:paraId="6C7B3ED4">
      <w:pPr>
        <w:pStyle w:val="2"/>
        <w:spacing w:before="360" w:after="240"/>
      </w:pPr>
      <w:r>
        <w:rPr>
          <w:rFonts w:ascii="Arial" w:hAnsi="Arial" w:eastAsia="Arial" w:cs="Arial"/>
          <w:b/>
          <w:bCs/>
          <w:sz w:val="32"/>
          <w:szCs w:val="32"/>
        </w:rPr>
        <w:t>Visual Reference — Bias Extraction from Narrative Stack</w:t>
      </w:r>
    </w:p>
    <w:p w14:paraId="356A56B9">
      <w:pPr>
        <w:spacing w:after="0" w:line="240" w:lineRule="auto"/>
      </w:pPr>
      <w:r>
        <w:rPr>
          <w:rFonts w:ascii="Courier New" w:hAnsi="Courier New" w:eastAsia="Courier New" w:cs="Courier New"/>
          <w:sz w:val="18"/>
          <w:szCs w:val="18"/>
        </w:rPr>
        <w:t>MONTHLY NARRATIVE  →  MACRO BIAS  + long-term DOL + invalidation</w:t>
      </w:r>
    </w:p>
    <w:p w14:paraId="0FF1DF8F">
      <w:pPr>
        <w:spacing w:after="0" w:line="240" w:lineRule="auto"/>
      </w:pPr>
      <w:r>
        <w:rPr>
          <w:rFonts w:ascii="Courier New" w:hAnsi="Courier New" w:eastAsia="Courier New" w:cs="Courier New"/>
          <w:sz w:val="18"/>
          <w:szCs w:val="18"/>
        </w:rPr>
        <w:t>WEEKLY NARRATIVE   →  WEEKLY BIAS + weekly DOL + invalidation</w:t>
      </w:r>
    </w:p>
    <w:p w14:paraId="16BA173E">
      <w:pPr>
        <w:spacing w:after="0" w:line="240" w:lineRule="auto"/>
      </w:pPr>
      <w:r>
        <w:rPr>
          <w:rFonts w:ascii="Courier New" w:hAnsi="Courier New" w:eastAsia="Courier New" w:cs="Courier New"/>
          <w:sz w:val="18"/>
          <w:szCs w:val="18"/>
        </w:rPr>
        <w:t>DAILY NARRATIVE    →  DAILY BIAS  + daily DOL + conditioning + invalidation</w:t>
      </w:r>
    </w:p>
    <w:p w14:paraId="1530CC36">
      <w:pPr>
        <w:spacing w:after="0" w:line="240" w:lineRule="auto"/>
      </w:pPr>
      <w:r>
        <w:rPr>
          <w:rFonts w:ascii="Courier New" w:hAnsi="Courier New" w:eastAsia="Courier New" w:cs="Courier New"/>
          <w:sz w:val="18"/>
          <w:szCs w:val="18"/>
        </w:rPr>
        <w:t>INTRADAY NARRATIVE →  timing only (no independent bias)</w:t>
      </w:r>
    </w:p>
    <w:p w14:paraId="1E971261">
      <w:pPr>
        <w:spacing w:after="0" w:line="240" w:lineRule="auto"/>
      </w:pPr>
      <w:r>
        <w:rPr>
          <w:rFonts w:ascii="Courier New" w:hAnsi="Courier New" w:eastAsia="Courier New" w:cs="Courier New"/>
          <w:sz w:val="18"/>
          <w:szCs w:val="18"/>
        </w:rPr>
        <w:t xml:space="preserve">                              │</w:t>
      </w:r>
    </w:p>
    <w:p w14:paraId="6CA76069">
      <w:pPr>
        <w:spacing w:after="0" w:line="240" w:lineRule="auto"/>
      </w:pPr>
      <w:r>
        <w:rPr>
          <w:rFonts w:ascii="Courier New" w:hAnsi="Courier New" w:eastAsia="Courier New" w:cs="Courier New"/>
          <w:sz w:val="18"/>
          <w:szCs w:val="18"/>
        </w:rPr>
        <w:t xml:space="preserve">                              ▼</w:t>
      </w:r>
    </w:p>
    <w:p w14:paraId="4B1D8BCA">
      <w:pPr>
        <w:spacing w:after="0" w:line="240" w:lineRule="auto"/>
      </w:pPr>
      <w:r>
        <w:rPr>
          <w:rFonts w:ascii="Courier New" w:hAnsi="Courier New" w:eastAsia="Courier New" w:cs="Courier New"/>
          <w:sz w:val="18"/>
          <w:szCs w:val="18"/>
        </w:rPr>
        <w:t xml:space="preserve">                    MODEL PERMISSION / PROHIBITION</w:t>
      </w:r>
    </w:p>
    <w:p w14:paraId="0AE20AB9">
      <w:pPr>
        <w:pStyle w:val="2"/>
        <w:spacing w:before="360" w:after="240"/>
      </w:pPr>
      <w:r>
        <w:rPr>
          <w:rFonts w:ascii="Arial" w:hAnsi="Arial" w:eastAsia="Arial" w:cs="Arial"/>
          <w:b/>
          <w:bCs/>
          <w:sz w:val="32"/>
          <w:szCs w:val="32"/>
        </w:rPr>
        <w:t>11. Common Misinterpretations</w:t>
      </w:r>
    </w:p>
    <w:p w14:paraId="1897D652">
      <w:pPr>
        <w:pStyle w:val="16"/>
        <w:numPr>
          <w:ilvl w:val="0"/>
          <w:numId w:val="1"/>
        </w:numPr>
        <w:spacing w:after="120" w:line="276" w:lineRule="auto"/>
      </w:pPr>
      <w:r>
        <w:rPr>
          <w:rFonts w:ascii="Arial" w:hAnsi="Arial" w:eastAsia="Arial" w:cs="Arial"/>
          <w:sz w:val="22"/>
          <w:szCs w:val="22"/>
        </w:rPr>
        <w:t>Stating bias as a direction without a named DOL and invalidation.</w:t>
      </w:r>
    </w:p>
    <w:p w14:paraId="12204F37">
      <w:pPr>
        <w:pStyle w:val="16"/>
        <w:numPr>
          <w:ilvl w:val="0"/>
          <w:numId w:val="1"/>
        </w:numPr>
        <w:spacing w:after="120" w:line="276" w:lineRule="auto"/>
      </w:pPr>
      <w:r>
        <w:rPr>
          <w:rFonts w:ascii="Arial" w:hAnsi="Arial" w:eastAsia="Arial" w:cs="Arial"/>
          <w:sz w:val="22"/>
          <w:szCs w:val="22"/>
        </w:rPr>
        <w:t>Allowing intraday structure to rewrite daily or weekly bias without higher-timeframe failure.</w:t>
      </w:r>
    </w:p>
    <w:p w14:paraId="5E62AC15">
      <w:pPr>
        <w:pStyle w:val="16"/>
        <w:numPr>
          <w:ilvl w:val="0"/>
          <w:numId w:val="1"/>
        </w:numPr>
        <w:spacing w:after="120" w:line="276" w:lineRule="auto"/>
      </w:pPr>
      <w:r>
        <w:rPr>
          <w:rFonts w:ascii="Arial" w:hAnsi="Arial" w:eastAsia="Arial" w:cs="Arial"/>
          <w:sz w:val="22"/>
          <w:szCs w:val="22"/>
        </w:rPr>
        <w:t>Treating a conditional bias as already active before the conditioning event.</w:t>
      </w:r>
    </w:p>
    <w:p w14:paraId="2A882394">
      <w:pPr>
        <w:pStyle w:val="16"/>
        <w:numPr>
          <w:ilvl w:val="0"/>
          <w:numId w:val="1"/>
        </w:numPr>
        <w:spacing w:after="120" w:line="276" w:lineRule="auto"/>
      </w:pPr>
      <w:r>
        <w:rPr>
          <w:rFonts w:ascii="Arial" w:hAnsi="Arial" w:eastAsia="Arial" w:cs="Arial"/>
          <w:sz w:val="22"/>
          <w:szCs w:val="22"/>
        </w:rPr>
        <w:t>Continuing to trade a bias after its invalidation has printed.</w:t>
      </w:r>
    </w:p>
    <w:p w14:paraId="798CCF99">
      <w:pPr>
        <w:pStyle w:val="16"/>
        <w:numPr>
          <w:ilvl w:val="0"/>
          <w:numId w:val="1"/>
        </w:numPr>
        <w:spacing w:after="120" w:line="276" w:lineRule="auto"/>
      </w:pPr>
      <w:r>
        <w:rPr>
          <w:rFonts w:ascii="Arial" w:hAnsi="Arial" w:eastAsia="Arial" w:cs="Arial"/>
          <w:sz w:val="22"/>
          <w:szCs w:val="22"/>
        </w:rPr>
        <w:t>Forcing a bias when the narrative stack is unclear.</w:t>
      </w:r>
    </w:p>
    <w:p w14:paraId="76153991">
      <w:pPr>
        <w:pStyle w:val="16"/>
        <w:numPr>
          <w:ilvl w:val="0"/>
          <w:numId w:val="1"/>
        </w:numPr>
        <w:spacing w:after="120" w:line="276" w:lineRule="auto"/>
      </w:pPr>
      <w:r>
        <w:rPr>
          <w:rFonts w:ascii="Arial" w:hAnsi="Arial" w:eastAsia="Arial" w:cs="Arial"/>
          <w:sz w:val="22"/>
          <w:szCs w:val="22"/>
        </w:rPr>
        <w:t>Selecting models that assume the opposite of the stated bias.</w:t>
      </w:r>
    </w:p>
    <w:p w14:paraId="0194402B">
      <w:pPr>
        <w:pStyle w:val="2"/>
        <w:spacing w:before="360" w:after="240"/>
      </w:pPr>
      <w:r>
        <w:rPr>
          <w:rFonts w:ascii="Arial" w:hAnsi="Arial" w:eastAsia="Arial" w:cs="Arial"/>
          <w:b/>
          <w:bCs/>
          <w:sz w:val="32"/>
          <w:szCs w:val="32"/>
        </w:rPr>
        <w:t>12. Evidence Summary</w:t>
      </w:r>
    </w:p>
    <w:p w14:paraId="07BAFF32">
      <w:pPr>
        <w:spacing w:after="200" w:line="276" w:lineRule="auto"/>
      </w:pPr>
      <w:r>
        <w:rPr>
          <w:rFonts w:ascii="Arial" w:hAnsi="Arial" w:eastAsia="Arial" w:cs="Arial"/>
          <w:sz w:val="22"/>
          <w:szCs w:val="22"/>
        </w:rPr>
        <w:t>Higher-timeframe bias, Draw on Liquidity as the content of bias, and subordination of lower-timeframe signals are core ICT. Explicit multi-layer bias statements, conditional bias, and the formal conversion of bias into model permission are the advanced operational synthesis required for consistent narrative-driven execution.</w:t>
      </w:r>
    </w:p>
    <w:p w14:paraId="30119AE1">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Primary orientation: ICT teaching on higher-timeframe bias, Draw on Liquidity, and multi-timeframe priority. The structured bias-statement and model-permission framework is the advanced synthesis of that teaching.</w:t>
      </w:r>
    </w:p>
    <w:p w14:paraId="28CFB705">
      <w:pPr>
        <w:pStyle w:val="2"/>
        <w:spacing w:before="360" w:after="240"/>
      </w:pPr>
      <w:r>
        <w:rPr>
          <w:rFonts w:ascii="Arial" w:hAnsi="Arial" w:eastAsia="Arial" w:cs="Arial"/>
          <w:b/>
          <w:bCs/>
          <w:sz w:val="32"/>
          <w:szCs w:val="32"/>
        </w:rPr>
        <w:t>What You Should Now Be Able to Do</w:t>
      </w:r>
    </w:p>
    <w:p w14:paraId="40ADFB2D">
      <w:pPr>
        <w:pStyle w:val="16"/>
        <w:numPr>
          <w:ilvl w:val="0"/>
          <w:numId w:val="1"/>
        </w:numPr>
        <w:spacing w:after="120" w:line="276" w:lineRule="auto"/>
      </w:pPr>
      <w:r>
        <w:rPr>
          <w:rFonts w:ascii="Arial" w:hAnsi="Arial" w:eastAsia="Arial" w:cs="Arial"/>
          <w:sz w:val="22"/>
          <w:szCs w:val="22"/>
        </w:rPr>
        <w:t>Write complete macro, weekly and daily bias statements from the narrative stack.</w:t>
      </w:r>
    </w:p>
    <w:p w14:paraId="2406C3D7">
      <w:pPr>
        <w:pStyle w:val="16"/>
        <w:numPr>
          <w:ilvl w:val="0"/>
          <w:numId w:val="1"/>
        </w:numPr>
        <w:spacing w:after="120" w:line="276" w:lineRule="auto"/>
      </w:pPr>
      <w:r>
        <w:rPr>
          <w:rFonts w:ascii="Arial" w:hAnsi="Arial" w:eastAsia="Arial" w:cs="Arial"/>
          <w:sz w:val="22"/>
          <w:szCs w:val="22"/>
        </w:rPr>
        <w:t>Include direction, named DOL, range location, structural status, PO3 phase, time window, invalidation and any conditioning event.</w:t>
      </w:r>
    </w:p>
    <w:p w14:paraId="3A96F2F7">
      <w:pPr>
        <w:pStyle w:val="16"/>
        <w:numPr>
          <w:ilvl w:val="0"/>
          <w:numId w:val="1"/>
        </w:numPr>
        <w:spacing w:after="120" w:line="276" w:lineRule="auto"/>
      </w:pPr>
      <w:r>
        <w:rPr>
          <w:rFonts w:ascii="Arial" w:hAnsi="Arial" w:eastAsia="Arial" w:cs="Arial"/>
          <w:sz w:val="22"/>
          <w:szCs w:val="22"/>
        </w:rPr>
        <w:t>Apply conditional bias so that models are not authorised before the required event.</w:t>
      </w:r>
    </w:p>
    <w:p w14:paraId="60235402">
      <w:pPr>
        <w:pStyle w:val="16"/>
        <w:numPr>
          <w:ilvl w:val="0"/>
          <w:numId w:val="1"/>
        </w:numPr>
        <w:spacing w:after="120" w:line="276" w:lineRule="auto"/>
      </w:pPr>
      <w:r>
        <w:rPr>
          <w:rFonts w:ascii="Arial" w:hAnsi="Arial" w:eastAsia="Arial" w:cs="Arial"/>
          <w:sz w:val="22"/>
          <w:szCs w:val="22"/>
        </w:rPr>
        <w:t>Retire bias immediately when invalidation prints and rewrite the hypothesis.</w:t>
      </w:r>
    </w:p>
    <w:p w14:paraId="3297E8A8">
      <w:pPr>
        <w:pStyle w:val="16"/>
        <w:numPr>
          <w:ilvl w:val="0"/>
          <w:numId w:val="1"/>
        </w:numPr>
        <w:spacing w:after="120" w:line="276" w:lineRule="auto"/>
      </w:pPr>
      <w:r>
        <w:rPr>
          <w:rFonts w:ascii="Arial" w:hAnsi="Arial" w:eastAsia="Arial" w:cs="Arial"/>
          <w:sz w:val="22"/>
          <w:szCs w:val="22"/>
        </w:rPr>
        <w:t>Recognise unclear bias and stand aside.</w:t>
      </w:r>
    </w:p>
    <w:p w14:paraId="624FB75F">
      <w:pPr>
        <w:pStyle w:val="16"/>
        <w:numPr>
          <w:ilvl w:val="0"/>
          <w:numId w:val="1"/>
        </w:numPr>
        <w:spacing w:after="120" w:line="276" w:lineRule="auto"/>
      </w:pPr>
      <w:r>
        <w:rPr>
          <w:rFonts w:ascii="Arial" w:hAnsi="Arial" w:eastAsia="Arial" w:cs="Arial"/>
          <w:sz w:val="22"/>
          <w:szCs w:val="22"/>
        </w:rPr>
        <w:t>Convert the bias statement into a clear list of permitted and prohibited models for the session.</w:t>
      </w:r>
    </w:p>
    <w:p w14:paraId="53F571DB">
      <w:pPr>
        <w:pStyle w:val="2"/>
        <w:spacing w:before="360" w:after="240"/>
      </w:pPr>
      <w:r>
        <w:rPr>
          <w:rFonts w:ascii="Arial" w:hAnsi="Arial" w:eastAsia="Arial" w:cs="Arial"/>
          <w:b/>
          <w:bCs/>
          <w:sz w:val="32"/>
          <w:szCs w:val="32"/>
        </w:rPr>
        <w:t>Module Review</w:t>
      </w:r>
    </w:p>
    <w:p w14:paraId="5AECA78D">
      <w:pPr>
        <w:pStyle w:val="3"/>
        <w:spacing w:before="280" w:after="180"/>
      </w:pPr>
      <w:r>
        <w:rPr>
          <w:rFonts w:ascii="Arial" w:hAnsi="Arial" w:eastAsia="Arial" w:cs="Arial"/>
          <w:b/>
          <w:bCs/>
          <w:sz w:val="26"/>
          <w:szCs w:val="26"/>
        </w:rPr>
        <w:t>Key Terms</w:t>
      </w:r>
    </w:p>
    <w:p w14:paraId="36724835">
      <w:pPr>
        <w:pStyle w:val="16"/>
        <w:numPr>
          <w:ilvl w:val="0"/>
          <w:numId w:val="1"/>
        </w:numPr>
        <w:spacing w:after="120" w:line="276" w:lineRule="auto"/>
      </w:pPr>
      <w:r>
        <w:rPr>
          <w:rFonts w:ascii="Arial" w:hAnsi="Arial" w:eastAsia="Arial" w:cs="Arial"/>
          <w:sz w:val="22"/>
          <w:szCs w:val="22"/>
        </w:rPr>
        <w:t>Bias (advanced) — testable directional hypothesis: direction + DOL + invalidation (+ conditioning).</w:t>
      </w:r>
    </w:p>
    <w:p w14:paraId="7EBFFCAF">
      <w:pPr>
        <w:pStyle w:val="16"/>
        <w:numPr>
          <w:ilvl w:val="0"/>
          <w:numId w:val="1"/>
        </w:numPr>
        <w:spacing w:after="120" w:line="276" w:lineRule="auto"/>
      </w:pPr>
      <w:r>
        <w:rPr>
          <w:rFonts w:ascii="Arial" w:hAnsi="Arial" w:eastAsia="Arial" w:cs="Arial"/>
          <w:sz w:val="22"/>
          <w:szCs w:val="22"/>
        </w:rPr>
        <w:t>Macro / Weekly / Daily bias — layered hypotheses with hierarchical authority.</w:t>
      </w:r>
    </w:p>
    <w:p w14:paraId="30EB970F">
      <w:pPr>
        <w:pStyle w:val="16"/>
        <w:numPr>
          <w:ilvl w:val="0"/>
          <w:numId w:val="1"/>
        </w:numPr>
        <w:spacing w:after="120" w:line="276" w:lineRule="auto"/>
      </w:pPr>
      <w:r>
        <w:rPr>
          <w:rFonts w:ascii="Arial" w:hAnsi="Arial" w:eastAsia="Arial" w:cs="Arial"/>
          <w:sz w:val="22"/>
          <w:szCs w:val="22"/>
        </w:rPr>
        <w:t>Conditional bias — hypothesis that becomes active only after a specified event.</w:t>
      </w:r>
    </w:p>
    <w:p w14:paraId="62330A5A">
      <w:pPr>
        <w:pStyle w:val="16"/>
        <w:numPr>
          <w:ilvl w:val="0"/>
          <w:numId w:val="1"/>
        </w:numPr>
        <w:spacing w:after="120" w:line="276" w:lineRule="auto"/>
      </w:pPr>
      <w:r>
        <w:rPr>
          <w:rFonts w:ascii="Arial" w:hAnsi="Arial" w:eastAsia="Arial" w:cs="Arial"/>
          <w:sz w:val="22"/>
          <w:szCs w:val="22"/>
        </w:rPr>
        <w:t>Narrative confirmation — evidence that the bias hypothesis is advancing as expected.</w:t>
      </w:r>
    </w:p>
    <w:p w14:paraId="679C339B">
      <w:pPr>
        <w:pStyle w:val="16"/>
        <w:numPr>
          <w:ilvl w:val="0"/>
          <w:numId w:val="1"/>
        </w:numPr>
        <w:spacing w:after="120" w:line="276" w:lineRule="auto"/>
      </w:pPr>
      <w:r>
        <w:rPr>
          <w:rFonts w:ascii="Arial" w:hAnsi="Arial" w:eastAsia="Arial" w:cs="Arial"/>
          <w:sz w:val="22"/>
          <w:szCs w:val="22"/>
        </w:rPr>
        <w:t>Narrative failure / Bias invalidation — evidence that retires the hypothesis.</w:t>
      </w:r>
    </w:p>
    <w:p w14:paraId="20FEE777">
      <w:pPr>
        <w:pStyle w:val="16"/>
        <w:numPr>
          <w:ilvl w:val="0"/>
          <w:numId w:val="1"/>
        </w:numPr>
        <w:spacing w:after="120" w:line="276" w:lineRule="auto"/>
      </w:pPr>
      <w:r>
        <w:rPr>
          <w:rFonts w:ascii="Arial" w:hAnsi="Arial" w:eastAsia="Arial" w:cs="Arial"/>
          <w:sz w:val="22"/>
          <w:szCs w:val="22"/>
        </w:rPr>
        <w:t>Unclear bias — state in which no coherent hypothesis can be formed; stand-aside.</w:t>
      </w:r>
    </w:p>
    <w:p w14:paraId="7DACEBE7">
      <w:pPr>
        <w:pStyle w:val="16"/>
        <w:numPr>
          <w:ilvl w:val="0"/>
          <w:numId w:val="1"/>
        </w:numPr>
        <w:spacing w:after="120" w:line="276" w:lineRule="auto"/>
      </w:pPr>
      <w:r>
        <w:rPr>
          <w:rFonts w:ascii="Arial" w:hAnsi="Arial" w:eastAsia="Arial" w:cs="Arial"/>
          <w:sz w:val="22"/>
          <w:szCs w:val="22"/>
        </w:rPr>
        <w:t>Model permission — the set of ICT models authorised by the current bias.</w:t>
      </w:r>
    </w:p>
    <w:p w14:paraId="51AB6F5D">
      <w:pPr>
        <w:pStyle w:val="3"/>
        <w:spacing w:before="280" w:after="180"/>
      </w:pPr>
      <w:r>
        <w:rPr>
          <w:rFonts w:ascii="Arial" w:hAnsi="Arial" w:eastAsia="Arial" w:cs="Arial"/>
          <w:b/>
          <w:bCs/>
          <w:sz w:val="26"/>
          <w:szCs w:val="26"/>
        </w:rPr>
        <w:t>Self-Test</w:t>
      </w:r>
    </w:p>
    <w:p w14:paraId="25BF9195">
      <w:pPr>
        <w:pStyle w:val="16"/>
        <w:numPr>
          <w:ilvl w:val="0"/>
          <w:numId w:val="2"/>
        </w:numPr>
        <w:spacing w:after="120" w:line="276" w:lineRule="auto"/>
      </w:pPr>
      <w:r>
        <w:rPr>
          <w:rFonts w:ascii="Arial" w:hAnsi="Arial" w:eastAsia="Arial" w:cs="Arial"/>
          <w:sz w:val="22"/>
          <w:szCs w:val="22"/>
        </w:rPr>
        <w:t>What eight elements belong in a complete advanced bias statement?</w:t>
      </w:r>
    </w:p>
    <w:p w14:paraId="0265891E">
      <w:pPr>
        <w:pStyle w:val="16"/>
        <w:numPr>
          <w:ilvl w:val="0"/>
          <w:numId w:val="2"/>
        </w:numPr>
        <w:spacing w:after="120" w:line="276" w:lineRule="auto"/>
      </w:pPr>
      <w:r>
        <w:rPr>
          <w:rFonts w:ascii="Arial" w:hAnsi="Arial" w:eastAsia="Arial" w:cs="Arial"/>
          <w:sz w:val="22"/>
          <w:szCs w:val="22"/>
        </w:rPr>
        <w:t>How does conditional bias differ from an unconditional daily bias?</w:t>
      </w:r>
    </w:p>
    <w:p w14:paraId="07CC3341">
      <w:pPr>
        <w:pStyle w:val="16"/>
        <w:numPr>
          <w:ilvl w:val="0"/>
          <w:numId w:val="2"/>
        </w:numPr>
        <w:spacing w:after="120" w:line="276" w:lineRule="auto"/>
      </w:pPr>
      <w:r>
        <w:rPr>
          <w:rFonts w:ascii="Arial" w:hAnsi="Arial" w:eastAsia="Arial" w:cs="Arial"/>
          <w:sz w:val="22"/>
          <w:szCs w:val="22"/>
        </w:rPr>
        <w:t>What happens to daily models when daily bias is invalidated but weekly bias remains intact?</w:t>
      </w:r>
    </w:p>
    <w:p w14:paraId="1B5642BC">
      <w:pPr>
        <w:pStyle w:val="16"/>
        <w:numPr>
          <w:ilvl w:val="0"/>
          <w:numId w:val="2"/>
        </w:numPr>
        <w:spacing w:after="120" w:line="276" w:lineRule="auto"/>
      </w:pPr>
      <w:r>
        <w:rPr>
          <w:rFonts w:ascii="Arial" w:hAnsi="Arial" w:eastAsia="Arial" w:cs="Arial"/>
          <w:sz w:val="22"/>
          <w:szCs w:val="22"/>
        </w:rPr>
        <w:t>Why is a bias that rests on only one source (e.g. structure alone) considered fragile?</w:t>
      </w:r>
    </w:p>
    <w:p w14:paraId="32F1E53D">
      <w:pPr>
        <w:pStyle w:val="16"/>
        <w:numPr>
          <w:ilvl w:val="0"/>
          <w:numId w:val="2"/>
        </w:numPr>
        <w:spacing w:after="120" w:line="276" w:lineRule="auto"/>
      </w:pPr>
      <w:r>
        <w:rPr>
          <w:rFonts w:ascii="Arial" w:hAnsi="Arial" w:eastAsia="Arial" w:cs="Arial"/>
          <w:sz w:val="22"/>
          <w:szCs w:val="22"/>
        </w:rPr>
        <w:t>What is the correct response to unclear bias?</w:t>
      </w:r>
    </w:p>
    <w:p w14:paraId="3E2B62C4">
      <w:pPr>
        <w:pStyle w:val="3"/>
        <w:spacing w:before="280" w:after="180"/>
      </w:pPr>
      <w:r>
        <w:rPr>
          <w:rFonts w:ascii="Arial" w:hAnsi="Arial" w:eastAsia="Arial" w:cs="Arial"/>
          <w:b/>
          <w:bCs/>
          <w:sz w:val="26"/>
          <w:szCs w:val="26"/>
        </w:rPr>
        <w:t>Transition to Module 11</w:t>
      </w:r>
    </w:p>
    <w:p w14:paraId="16F74A62">
      <w:pPr>
        <w:spacing w:after="200" w:line="276" w:lineRule="auto"/>
      </w:pPr>
      <w:r>
        <w:rPr>
          <w:rFonts w:ascii="Arial" w:hAnsi="Arial" w:eastAsia="Arial" w:cs="Arial"/>
          <w:sz w:val="22"/>
          <w:szCs w:val="22"/>
        </w:rPr>
        <w:t>Module 10 has converted the multi-timeframe narrative into a testable bias that authorises or forbids models. Modules 11 and 12 will examine the Advanced ICT Buy Model and Sell Model variations — not as isolated patterns, but as specific delivery sequences that are eligible only when bias, range, liquidity, structure, time and PD-array conditions align.</w:t>
      </w:r>
    </w:p>
    <w:p w14:paraId="4BF4B8B8">
      <w:pPr>
        <w:spacing w:after="200" w:line="276" w:lineRule="auto"/>
        <w:rPr>
          <w:rFonts w:ascii="Arial" w:hAnsi="Arial" w:eastAsia="Arial" w:cs="Arial"/>
          <w:sz w:val="22"/>
          <w:szCs w:val="22"/>
        </w:rPr>
      </w:pPr>
    </w:p>
    <w:p w14:paraId="0876FFD3">
      <w:pPr>
        <w:spacing w:after="200" w:line="276" w:lineRule="auto"/>
        <w:rPr>
          <w:rFonts w:ascii="Arial" w:hAnsi="Arial" w:eastAsia="Arial" w:cs="Arial"/>
          <w:sz w:val="22"/>
          <w:szCs w:val="22"/>
        </w:rPr>
      </w:pPr>
    </w:p>
    <w:p w14:paraId="00FCD12E">
      <w:pPr>
        <w:spacing w:after="200" w:line="276" w:lineRule="auto"/>
        <w:rPr>
          <w:rFonts w:ascii="Arial" w:hAnsi="Arial" w:eastAsia="Arial" w:cs="Arial"/>
          <w:sz w:val="22"/>
          <w:szCs w:val="22"/>
        </w:rPr>
      </w:pPr>
    </w:p>
    <w:p w14:paraId="40CBCCD4">
      <w:pPr>
        <w:spacing w:after="200" w:line="276" w:lineRule="auto"/>
        <w:rPr>
          <w:rFonts w:ascii="Arial" w:hAnsi="Arial" w:eastAsia="Arial" w:cs="Arial"/>
          <w:sz w:val="22"/>
          <w:szCs w:val="22"/>
        </w:rPr>
      </w:pPr>
    </w:p>
    <w:p w14:paraId="51C0338B">
      <w:pPr>
        <w:spacing w:after="200" w:line="276" w:lineRule="auto"/>
        <w:rPr>
          <w:rFonts w:ascii="Arial" w:hAnsi="Arial" w:eastAsia="Arial" w:cs="Arial"/>
          <w:sz w:val="22"/>
          <w:szCs w:val="22"/>
        </w:rPr>
      </w:pPr>
    </w:p>
    <w:p w14:paraId="52C612EE">
      <w:pPr>
        <w:spacing w:after="200" w:line="276" w:lineRule="auto"/>
        <w:rPr>
          <w:rFonts w:ascii="Arial" w:hAnsi="Arial" w:eastAsia="Arial" w:cs="Arial"/>
          <w:sz w:val="22"/>
          <w:szCs w:val="22"/>
        </w:rPr>
      </w:pPr>
    </w:p>
    <w:p w14:paraId="42DDE5C9">
      <w:pPr>
        <w:spacing w:after="200" w:line="276" w:lineRule="auto"/>
        <w:rPr>
          <w:rFonts w:ascii="Arial" w:hAnsi="Arial" w:eastAsia="Arial" w:cs="Arial"/>
          <w:sz w:val="22"/>
          <w:szCs w:val="22"/>
        </w:rPr>
      </w:pPr>
    </w:p>
    <w:p w14:paraId="1BCA3A45">
      <w:pPr>
        <w:spacing w:after="200" w:line="276" w:lineRule="auto"/>
        <w:rPr>
          <w:rFonts w:ascii="Arial" w:hAnsi="Arial" w:eastAsia="Arial" w:cs="Arial"/>
          <w:sz w:val="22"/>
          <w:szCs w:val="22"/>
        </w:rPr>
      </w:pPr>
    </w:p>
    <w:p w14:paraId="299568D7">
      <w:pPr>
        <w:spacing w:after="200" w:line="276" w:lineRule="auto"/>
        <w:rPr>
          <w:rFonts w:ascii="Arial" w:hAnsi="Arial" w:eastAsia="Arial" w:cs="Arial"/>
          <w:sz w:val="22"/>
          <w:szCs w:val="22"/>
        </w:rPr>
      </w:pPr>
    </w:p>
    <w:p w14:paraId="5FF377B0">
      <w:pPr>
        <w:spacing w:after="200" w:line="276" w:lineRule="auto"/>
        <w:rPr>
          <w:rFonts w:ascii="Arial" w:hAnsi="Arial" w:eastAsia="Arial" w:cs="Arial"/>
          <w:sz w:val="22"/>
          <w:szCs w:val="22"/>
        </w:rPr>
      </w:pPr>
    </w:p>
    <w:p w14:paraId="153D08BE">
      <w:pPr>
        <w:spacing w:after="200" w:line="276" w:lineRule="auto"/>
        <w:rPr>
          <w:rFonts w:ascii="Arial" w:hAnsi="Arial" w:eastAsia="Arial" w:cs="Arial"/>
          <w:sz w:val="22"/>
          <w:szCs w:val="22"/>
        </w:rPr>
      </w:pPr>
    </w:p>
    <w:p w14:paraId="23649CC4">
      <w:pPr>
        <w:spacing w:after="200" w:line="276" w:lineRule="auto"/>
        <w:rPr>
          <w:rFonts w:ascii="Arial" w:hAnsi="Arial" w:eastAsia="Arial" w:cs="Arial"/>
          <w:sz w:val="22"/>
          <w:szCs w:val="22"/>
        </w:rPr>
      </w:pPr>
    </w:p>
    <w:p w14:paraId="6BA8C985">
      <w:pPr>
        <w:spacing w:after="200" w:line="276" w:lineRule="auto"/>
        <w:rPr>
          <w:rFonts w:ascii="Arial" w:hAnsi="Arial" w:eastAsia="Arial" w:cs="Arial"/>
          <w:sz w:val="22"/>
          <w:szCs w:val="22"/>
        </w:rPr>
      </w:pPr>
    </w:p>
    <w:p w14:paraId="03E43055">
      <w:pPr>
        <w:spacing w:after="200" w:line="276" w:lineRule="auto"/>
        <w:rPr>
          <w:rFonts w:ascii="Arial" w:hAnsi="Arial" w:eastAsia="Arial" w:cs="Arial"/>
          <w:sz w:val="22"/>
          <w:szCs w:val="22"/>
        </w:rPr>
      </w:pPr>
    </w:p>
    <w:p w14:paraId="41CEB513">
      <w:pPr>
        <w:spacing w:after="200" w:line="276" w:lineRule="auto"/>
        <w:rPr>
          <w:rFonts w:ascii="Arial" w:hAnsi="Arial" w:eastAsia="Arial" w:cs="Arial"/>
          <w:sz w:val="22"/>
          <w:szCs w:val="22"/>
        </w:rPr>
      </w:pPr>
    </w:p>
    <w:p w14:paraId="1662D9F0">
      <w:pPr>
        <w:spacing w:after="200" w:line="276" w:lineRule="auto"/>
        <w:rPr>
          <w:rFonts w:ascii="Arial" w:hAnsi="Arial" w:eastAsia="Arial" w:cs="Arial"/>
          <w:sz w:val="22"/>
          <w:szCs w:val="22"/>
        </w:rPr>
      </w:pPr>
    </w:p>
    <w:p w14:paraId="1839ECED">
      <w:pPr>
        <w:spacing w:after="200" w:line="276" w:lineRule="auto"/>
        <w:rPr>
          <w:rFonts w:ascii="Arial" w:hAnsi="Arial" w:eastAsia="Arial" w:cs="Arial"/>
          <w:sz w:val="22"/>
          <w:szCs w:val="22"/>
        </w:rPr>
      </w:pPr>
    </w:p>
    <w:p w14:paraId="73A4E7CF">
      <w:pPr>
        <w:spacing w:after="200" w:line="276" w:lineRule="auto"/>
        <w:rPr>
          <w:rFonts w:ascii="Arial" w:hAnsi="Arial" w:eastAsia="Arial" w:cs="Arial"/>
          <w:sz w:val="22"/>
          <w:szCs w:val="22"/>
        </w:rPr>
      </w:pPr>
    </w:p>
    <w:p w14:paraId="5721BEA0">
      <w:pPr>
        <w:spacing w:after="200" w:line="276" w:lineRule="auto"/>
        <w:rPr>
          <w:rFonts w:ascii="Arial" w:hAnsi="Arial" w:eastAsia="Arial" w:cs="Arial"/>
          <w:sz w:val="22"/>
          <w:szCs w:val="22"/>
        </w:rPr>
      </w:pPr>
    </w:p>
    <w:p w14:paraId="216A9911">
      <w:pPr>
        <w:spacing w:after="200" w:line="276" w:lineRule="auto"/>
        <w:rPr>
          <w:rFonts w:ascii="Arial" w:hAnsi="Arial" w:eastAsia="Arial" w:cs="Arial"/>
          <w:sz w:val="22"/>
          <w:szCs w:val="22"/>
        </w:rPr>
      </w:pPr>
    </w:p>
    <w:p w14:paraId="6E348C20">
      <w:pPr>
        <w:spacing w:after="200" w:line="276" w:lineRule="auto"/>
        <w:rPr>
          <w:rFonts w:ascii="Arial" w:hAnsi="Arial" w:eastAsia="Arial" w:cs="Arial"/>
          <w:sz w:val="22"/>
          <w:szCs w:val="22"/>
        </w:rPr>
      </w:pPr>
    </w:p>
    <w:p w14:paraId="1D3102FB">
      <w:pPr>
        <w:spacing w:after="200" w:line="276" w:lineRule="auto"/>
        <w:rPr>
          <w:rFonts w:ascii="Arial" w:hAnsi="Arial" w:eastAsia="Arial" w:cs="Arial"/>
          <w:sz w:val="22"/>
          <w:szCs w:val="22"/>
        </w:rPr>
      </w:pPr>
    </w:p>
    <w:p w14:paraId="5026938F">
      <w:pPr>
        <w:spacing w:after="200" w:line="276" w:lineRule="auto"/>
        <w:rPr>
          <w:rFonts w:ascii="Arial" w:hAnsi="Arial" w:eastAsia="Arial" w:cs="Arial"/>
          <w:sz w:val="22"/>
          <w:szCs w:val="22"/>
        </w:rPr>
      </w:pPr>
    </w:p>
    <w:p w14:paraId="5A3800B5">
      <w:pPr>
        <w:spacing w:after="200" w:line="276" w:lineRule="auto"/>
        <w:rPr>
          <w:rFonts w:ascii="Arial" w:hAnsi="Arial" w:eastAsia="Arial" w:cs="Arial"/>
          <w:sz w:val="22"/>
          <w:szCs w:val="22"/>
        </w:rPr>
      </w:pPr>
    </w:p>
    <w:p w14:paraId="355873BD">
      <w:pPr>
        <w:spacing w:after="400"/>
        <w:jc w:val="center"/>
      </w:pPr>
      <w:r>
        <w:rPr>
          <w:rFonts w:ascii="Arial" w:hAnsi="Arial" w:eastAsia="Arial" w:cs="Arial"/>
          <w:b/>
          <w:bCs/>
          <w:sz w:val="36"/>
          <w:szCs w:val="36"/>
        </w:rPr>
        <w:t>MODULE 11</w:t>
      </w:r>
    </w:p>
    <w:p w14:paraId="31F10061">
      <w:pPr>
        <w:spacing w:after="200"/>
        <w:jc w:val="center"/>
      </w:pPr>
      <w:r>
        <w:rPr>
          <w:rFonts w:ascii="Arial" w:hAnsi="Arial" w:eastAsia="Arial" w:cs="Arial"/>
          <w:b/>
          <w:bCs/>
          <w:sz w:val="28"/>
          <w:szCs w:val="28"/>
        </w:rPr>
        <w:t>Advanced ICT Buy Model</w:t>
      </w:r>
    </w:p>
    <w:p w14:paraId="1E5BA3FB">
      <w:pPr>
        <w:spacing w:after="400"/>
        <w:jc w:val="center"/>
      </w:pPr>
      <w:r>
        <w:rPr>
          <w:rFonts w:ascii="Arial" w:hAnsi="Arial" w:eastAsia="Arial" w:cs="Arial"/>
          <w:i/>
          <w:iCs/>
          <w:sz w:val="20"/>
          <w:szCs w:val="20"/>
        </w:rPr>
        <w:t>Narrative-Conditioned Bullish Delivery Sequences, Variations, Eligibility Conditions, Invalidation &amp; Model Selection</w:t>
      </w:r>
    </w:p>
    <w:p w14:paraId="5C48BB18">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Modules 1–10. This module does not present “official named ICT buy models.” It presents recurring bullish delivery sequences that appear throughout ICT teaching, each eligible only when bias, range, liquidity, structure, time and PD-array conditions align. Labels A–D are pedagogical, not ICT doctrine.</w:t>
      </w:r>
    </w:p>
    <w:p w14:paraId="7388B56B">
      <w:pPr>
        <w:pStyle w:val="2"/>
        <w:spacing w:before="360" w:after="240"/>
      </w:pPr>
      <w:r>
        <w:rPr>
          <w:rFonts w:ascii="Arial" w:hAnsi="Arial" w:eastAsia="Arial" w:cs="Arial"/>
          <w:b/>
          <w:bCs/>
          <w:sz w:val="32"/>
          <w:szCs w:val="32"/>
        </w:rPr>
        <w:t>Module Objectives</w:t>
      </w:r>
    </w:p>
    <w:p w14:paraId="210ED508">
      <w:pPr>
        <w:spacing w:after="200" w:line="276" w:lineRule="auto"/>
      </w:pPr>
      <w:r>
        <w:rPr>
          <w:rFonts w:ascii="Arial" w:hAnsi="Arial" w:eastAsia="Arial" w:cs="Arial"/>
          <w:sz w:val="22"/>
          <w:szCs w:val="22"/>
        </w:rPr>
        <w:t>By the end of this module the advanced student should be able to:</w:t>
      </w:r>
    </w:p>
    <w:p w14:paraId="4F1F7825">
      <w:pPr>
        <w:pStyle w:val="16"/>
        <w:numPr>
          <w:ilvl w:val="0"/>
          <w:numId w:val="1"/>
        </w:numPr>
        <w:spacing w:after="120" w:line="276" w:lineRule="auto"/>
      </w:pPr>
      <w:r>
        <w:rPr>
          <w:rFonts w:ascii="Arial" w:hAnsi="Arial" w:eastAsia="Arial" w:cs="Arial"/>
          <w:sz w:val="22"/>
          <w:szCs w:val="22"/>
        </w:rPr>
        <w:t>Recognise the core bullish delivery sequence that underlies most ICT long examples.</w:t>
      </w:r>
    </w:p>
    <w:p w14:paraId="1802B2DD">
      <w:pPr>
        <w:pStyle w:val="16"/>
        <w:numPr>
          <w:ilvl w:val="0"/>
          <w:numId w:val="1"/>
        </w:numPr>
        <w:spacing w:after="120" w:line="276" w:lineRule="auto"/>
      </w:pPr>
      <w:r>
        <w:rPr>
          <w:rFonts w:ascii="Arial" w:hAnsi="Arial" w:eastAsia="Arial" w:cs="Arial"/>
          <w:sz w:val="22"/>
          <w:szCs w:val="22"/>
        </w:rPr>
        <w:t>Distinguish several common variations (FVG/OTE-centred, Breaker-centred, IFVG-centred, pure PD-array reaction) by the element that supplies the entry.</w:t>
      </w:r>
    </w:p>
    <w:p w14:paraId="50C84757">
      <w:pPr>
        <w:pStyle w:val="16"/>
        <w:numPr>
          <w:ilvl w:val="0"/>
          <w:numId w:val="1"/>
        </w:numPr>
        <w:spacing w:after="120" w:line="276" w:lineRule="auto"/>
      </w:pPr>
      <w:r>
        <w:rPr>
          <w:rFonts w:ascii="Arial" w:hAnsi="Arial" w:eastAsia="Arial" w:cs="Arial"/>
          <w:sz w:val="22"/>
          <w:szCs w:val="22"/>
        </w:rPr>
        <w:t>State the eligibility conditions (bias, range, liquidity event, displacement, MSS, time) that must be present before any variation is traded.</w:t>
      </w:r>
    </w:p>
    <w:p w14:paraId="11FCC05A">
      <w:pPr>
        <w:pStyle w:val="16"/>
        <w:numPr>
          <w:ilvl w:val="0"/>
          <w:numId w:val="1"/>
        </w:numPr>
        <w:spacing w:after="120" w:line="276" w:lineRule="auto"/>
      </w:pPr>
      <w:r>
        <w:rPr>
          <w:rFonts w:ascii="Arial" w:hAnsi="Arial" w:eastAsia="Arial" w:cs="Arial"/>
          <w:sz w:val="22"/>
          <w:szCs w:val="22"/>
        </w:rPr>
        <w:t>Select the variation that best matches the active narrative rather than forcing a favourite pattern.</w:t>
      </w:r>
    </w:p>
    <w:p w14:paraId="4A419667">
      <w:pPr>
        <w:pStyle w:val="16"/>
        <w:numPr>
          <w:ilvl w:val="0"/>
          <w:numId w:val="1"/>
        </w:numPr>
        <w:spacing w:after="120" w:line="276" w:lineRule="auto"/>
      </w:pPr>
      <w:r>
        <w:rPr>
          <w:rFonts w:ascii="Arial" w:hAnsi="Arial" w:eastAsia="Arial" w:cs="Arial"/>
          <w:sz w:val="22"/>
          <w:szCs w:val="22"/>
        </w:rPr>
        <w:t>Define invalidation for each variation at both trade level and narrative level.</w:t>
      </w:r>
    </w:p>
    <w:p w14:paraId="53E7EAF6">
      <w:pPr>
        <w:pStyle w:val="16"/>
        <w:numPr>
          <w:ilvl w:val="0"/>
          <w:numId w:val="1"/>
        </w:numPr>
        <w:spacing w:after="120" w:line="276" w:lineRule="auto"/>
      </w:pPr>
      <w:r>
        <w:rPr>
          <w:rFonts w:ascii="Arial" w:hAnsi="Arial" w:eastAsia="Arial" w:cs="Arial"/>
          <w:sz w:val="22"/>
          <w:szCs w:val="22"/>
        </w:rPr>
        <w:t>Avoid treating any variation as a standalone setup independent of the multi-timeframe narrative.</w:t>
      </w:r>
    </w:p>
    <w:p w14:paraId="5B39704A">
      <w:pPr>
        <w:pStyle w:val="2"/>
        <w:spacing w:before="360" w:after="240"/>
      </w:pPr>
      <w:r>
        <w:rPr>
          <w:rFonts w:ascii="Arial" w:hAnsi="Arial" w:eastAsia="Arial" w:cs="Arial"/>
          <w:b/>
          <w:bCs/>
          <w:sz w:val="32"/>
          <w:szCs w:val="32"/>
        </w:rPr>
        <w:t>1. Core Bullish Delivery Sequence</w:t>
      </w:r>
    </w:p>
    <w:p w14:paraId="1280A8C0">
      <w:pPr>
        <w:pStyle w:val="3"/>
        <w:spacing w:before="280" w:after="180"/>
      </w:pPr>
      <w:r>
        <w:rPr>
          <w:rFonts w:ascii="Arial" w:hAnsi="Arial" w:eastAsia="Arial" w:cs="Arial"/>
          <w:b/>
          <w:bCs/>
          <w:sz w:val="26"/>
          <w:szCs w:val="26"/>
        </w:rPr>
        <w:t>1.1 The Common Thread</w:t>
      </w:r>
    </w:p>
    <w:p w14:paraId="33919E71">
      <w:pPr>
        <w:spacing w:after="200" w:line="276" w:lineRule="auto"/>
      </w:pPr>
      <w:r>
        <w:rPr>
          <w:rFonts w:ascii="Arial" w:hAnsi="Arial" w:eastAsia="Arial" w:cs="Arial"/>
          <w:sz w:val="22"/>
          <w:szCs w:val="22"/>
        </w:rPr>
        <w:t>Across ICT examples, high-quality longs share a common skeleton:</w:t>
      </w:r>
    </w:p>
    <w:p w14:paraId="7D09BF7C">
      <w:pPr>
        <w:pStyle w:val="16"/>
        <w:numPr>
          <w:ilvl w:val="0"/>
          <w:numId w:val="1"/>
        </w:numPr>
        <w:spacing w:after="120" w:line="276" w:lineRule="auto"/>
      </w:pPr>
      <w:r>
        <w:rPr>
          <w:rFonts w:ascii="Arial" w:hAnsi="Arial" w:eastAsia="Arial" w:cs="Arial"/>
          <w:sz w:val="22"/>
          <w:szCs w:val="22"/>
        </w:rPr>
        <w:t>Higher-timeframe bullish narrative / bias with a named buy-side Draw on Liquidity.</w:t>
      </w:r>
    </w:p>
    <w:p w14:paraId="47FC9025">
      <w:pPr>
        <w:pStyle w:val="16"/>
        <w:numPr>
          <w:ilvl w:val="0"/>
          <w:numId w:val="1"/>
        </w:numPr>
        <w:spacing w:after="120" w:line="276" w:lineRule="auto"/>
      </w:pPr>
      <w:r>
        <w:rPr>
          <w:rFonts w:ascii="Arial" w:hAnsi="Arial" w:eastAsia="Arial" w:cs="Arial"/>
          <w:sz w:val="22"/>
          <w:szCs w:val="22"/>
        </w:rPr>
        <w:t>Price in discount (or returning to discount) of the controlling dealing range.</w:t>
      </w:r>
    </w:p>
    <w:p w14:paraId="61F69254">
      <w:pPr>
        <w:pStyle w:val="16"/>
        <w:numPr>
          <w:ilvl w:val="0"/>
          <w:numId w:val="1"/>
        </w:numPr>
        <w:spacing w:after="120" w:line="276" w:lineRule="auto"/>
      </w:pPr>
      <w:r>
        <w:rPr>
          <w:rFonts w:ascii="Arial" w:hAnsi="Arial" w:eastAsia="Arial" w:cs="Arial"/>
          <w:sz w:val="22"/>
          <w:szCs w:val="22"/>
        </w:rPr>
        <w:t>Sell-side liquidity is raided (SSL, often relative equal lows or session/Asian low).</w:t>
      </w:r>
    </w:p>
    <w:p w14:paraId="4B9AD317">
      <w:pPr>
        <w:pStyle w:val="16"/>
        <w:numPr>
          <w:ilvl w:val="0"/>
          <w:numId w:val="1"/>
        </w:numPr>
        <w:spacing w:after="120" w:line="276" w:lineRule="auto"/>
      </w:pPr>
      <w:r>
        <w:rPr>
          <w:rFonts w:ascii="Arial" w:hAnsi="Arial" w:eastAsia="Arial" w:cs="Arial"/>
          <w:sz w:val="22"/>
          <w:szCs w:val="22"/>
        </w:rPr>
        <w:t>Bullish displacement leaves imbalance and breaks structure (MSS).</w:t>
      </w:r>
    </w:p>
    <w:p w14:paraId="370C6C66">
      <w:pPr>
        <w:pStyle w:val="16"/>
        <w:numPr>
          <w:ilvl w:val="0"/>
          <w:numId w:val="1"/>
        </w:numPr>
        <w:spacing w:after="120" w:line="276" w:lineRule="auto"/>
      </w:pPr>
      <w:r>
        <w:rPr>
          <w:rFonts w:ascii="Arial" w:hAnsi="Arial" w:eastAsia="Arial" w:cs="Arial"/>
          <w:sz w:val="22"/>
          <w:szCs w:val="22"/>
        </w:rPr>
        <w:t>Retracement into a PD array (FVG, Order Block, CE, or refined OTE) that sits in discount.</w:t>
      </w:r>
    </w:p>
    <w:p w14:paraId="0945AA29">
      <w:pPr>
        <w:pStyle w:val="16"/>
        <w:numPr>
          <w:ilvl w:val="0"/>
          <w:numId w:val="1"/>
        </w:numPr>
        <w:spacing w:after="120" w:line="276" w:lineRule="auto"/>
      </w:pPr>
      <w:r>
        <w:rPr>
          <w:rFonts w:ascii="Arial" w:hAnsi="Arial" w:eastAsia="Arial" w:cs="Arial"/>
          <w:sz w:val="22"/>
          <w:szCs w:val="22"/>
        </w:rPr>
        <w:t>Continuation toward the named buy-side DOL.</w:t>
      </w:r>
    </w:p>
    <w:p w14:paraId="2A1382C8">
      <w:pPr>
        <w:pStyle w:val="3"/>
        <w:spacing w:before="280" w:after="180"/>
      </w:pPr>
      <w:r>
        <w:rPr>
          <w:rFonts w:ascii="Arial" w:hAnsi="Arial" w:eastAsia="Arial" w:cs="Arial"/>
          <w:b/>
          <w:bCs/>
          <w:sz w:val="26"/>
          <w:szCs w:val="26"/>
        </w:rPr>
        <w:t>1.2 What Varies</w:t>
      </w:r>
    </w:p>
    <w:p w14:paraId="7A7ADB1D">
      <w:pPr>
        <w:spacing w:after="200" w:line="276" w:lineRule="auto"/>
      </w:pPr>
      <w:r>
        <w:rPr>
          <w:rFonts w:ascii="Arial" w:hAnsi="Arial" w:eastAsia="Arial" w:cs="Arial"/>
          <w:sz w:val="22"/>
          <w:szCs w:val="22"/>
        </w:rPr>
        <w:t>What varies is which PD array or refined level supplies the precise entry, whether a Breaker or IFVG is the reactive array, and how much lower-timeframe confirmation is required. The skeleton does not vary.</w:t>
      </w:r>
    </w:p>
    <w:p w14:paraId="07B2072B">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The skeleton (HTF bias, SSL raid, displacement, MSS, discount PD-array entry, target buy-side liquidity) is repeatedly demonstrated in ICT teaching. Named “Model A/B/C/D” labels are pedagogical constructs for this textbook, not official ICT model names.</w:t>
      </w:r>
    </w:p>
    <w:p w14:paraId="32D95673">
      <w:pPr>
        <w:pStyle w:val="2"/>
        <w:spacing w:before="360" w:after="240"/>
      </w:pPr>
      <w:r>
        <w:rPr>
          <w:rFonts w:ascii="Arial" w:hAnsi="Arial" w:eastAsia="Arial" w:cs="Arial"/>
          <w:b/>
          <w:bCs/>
          <w:sz w:val="32"/>
          <w:szCs w:val="32"/>
        </w:rPr>
        <w:t>2. Variation A — Classic FVG / OTE Continuation</w:t>
      </w:r>
    </w:p>
    <w:p w14:paraId="01260513">
      <w:pPr>
        <w:pStyle w:val="3"/>
        <w:spacing w:before="280" w:after="180"/>
      </w:pPr>
      <w:r>
        <w:rPr>
          <w:rFonts w:ascii="Arial" w:hAnsi="Arial" w:eastAsia="Arial" w:cs="Arial"/>
          <w:b/>
          <w:bCs/>
          <w:sz w:val="26"/>
          <w:szCs w:val="26"/>
        </w:rPr>
        <w:t>2.1 Sequence</w:t>
      </w:r>
    </w:p>
    <w:p w14:paraId="55D0C805">
      <w:pPr>
        <w:spacing w:after="200" w:line="276" w:lineRule="auto"/>
      </w:pPr>
      <w:r>
        <w:rPr>
          <w:rFonts w:ascii="Arial" w:hAnsi="Arial" w:eastAsia="Arial" w:cs="Arial"/>
          <w:sz w:val="22"/>
          <w:szCs w:val="22"/>
        </w:rPr>
        <w:t>HTF bullish narrative → SSL raid → bullish displacement + MSS → FVG (and/or Order Block) in discount → retracement into FVG / Consequent Encroachment / OTE of the displacement leg → continuation toward buy-side DOL.</w:t>
      </w:r>
    </w:p>
    <w:p w14:paraId="3801FDEB">
      <w:pPr>
        <w:pStyle w:val="3"/>
        <w:spacing w:before="280" w:after="180"/>
      </w:pPr>
      <w:r>
        <w:rPr>
          <w:rFonts w:ascii="Arial" w:hAnsi="Arial" w:eastAsia="Arial" w:cs="Arial"/>
          <w:b/>
          <w:bCs/>
          <w:sz w:val="26"/>
          <w:szCs w:val="26"/>
        </w:rPr>
        <w:t>2.2 When It Is Eligible</w:t>
      </w:r>
    </w:p>
    <w:p w14:paraId="4BC3CD77">
      <w:pPr>
        <w:spacing w:after="200" w:line="276" w:lineRule="auto"/>
      </w:pPr>
      <w:r>
        <w:rPr>
          <w:rFonts w:ascii="Arial" w:hAnsi="Arial" w:eastAsia="Arial" w:cs="Arial"/>
          <w:sz w:val="22"/>
          <w:szCs w:val="22"/>
        </w:rPr>
        <w:t>Daily (or higher) bias bullish and not invalidated; price in discount of controlling range; expected kill zone produces the SSL raid and displacement; FVG/OB remains unmitigated and correctly located.</w:t>
      </w:r>
    </w:p>
    <w:p w14:paraId="7BA94E15">
      <w:pPr>
        <w:pStyle w:val="3"/>
        <w:spacing w:before="280" w:after="180"/>
      </w:pPr>
      <w:r>
        <w:rPr>
          <w:rFonts w:ascii="Arial" w:hAnsi="Arial" w:eastAsia="Arial" w:cs="Arial"/>
          <w:b/>
          <w:bCs/>
          <w:sz w:val="26"/>
          <w:szCs w:val="26"/>
        </w:rPr>
        <w:t>2.3 Invalidation</w:t>
      </w:r>
    </w:p>
    <w:p w14:paraId="5C2AF849">
      <w:pPr>
        <w:spacing w:after="200" w:line="276" w:lineRule="auto"/>
      </w:pPr>
      <w:r>
        <w:rPr>
          <w:rFonts w:ascii="Arial" w:hAnsi="Arial" w:eastAsia="Arial" w:cs="Arial"/>
          <w:sz w:val="22"/>
          <w:szCs w:val="22"/>
        </w:rPr>
        <w:t>Trade-level: decisive close below the displacement origin or below the far side of the entry array. Narrative-level: daily or weekly invalidation as defined in the bias statement.</w:t>
      </w:r>
    </w:p>
    <w:p w14:paraId="40A9B867">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 — Directly and repeatedly supported by ICT chart examples and mentorship.</w:t>
      </w:r>
    </w:p>
    <w:p w14:paraId="3B2B9577">
      <w:pPr>
        <w:pStyle w:val="2"/>
        <w:spacing w:before="360" w:after="240"/>
      </w:pPr>
      <w:r>
        <w:rPr>
          <w:rFonts w:ascii="Arial" w:hAnsi="Arial" w:eastAsia="Arial" w:cs="Arial"/>
          <w:b/>
          <w:bCs/>
          <w:sz w:val="32"/>
          <w:szCs w:val="32"/>
        </w:rPr>
        <w:t>3. Variation B — Breaker Continuation</w:t>
      </w:r>
    </w:p>
    <w:p w14:paraId="468C2DB5">
      <w:pPr>
        <w:pStyle w:val="3"/>
        <w:spacing w:before="280" w:after="180"/>
      </w:pPr>
      <w:r>
        <w:rPr>
          <w:rFonts w:ascii="Arial" w:hAnsi="Arial" w:eastAsia="Arial" w:cs="Arial"/>
          <w:b/>
          <w:bCs/>
          <w:sz w:val="26"/>
          <w:szCs w:val="26"/>
        </w:rPr>
        <w:t>3.1 Sequence</w:t>
      </w:r>
    </w:p>
    <w:p w14:paraId="5595B601">
      <w:pPr>
        <w:spacing w:after="200" w:line="276" w:lineRule="auto"/>
      </w:pPr>
      <w:r>
        <w:rPr>
          <w:rFonts w:ascii="Arial" w:hAnsi="Arial" w:eastAsia="Arial" w:cs="Arial"/>
          <w:sz w:val="22"/>
          <w:szCs w:val="22"/>
        </w:rPr>
        <w:t>HTF bullish narrative → external or significant SSL is taken → a prior bearish Order Block is violated by bullish displacement (the OB becomes a bullish Breaker) → price returns to the Breaker in discount → continuation higher.</w:t>
      </w:r>
    </w:p>
    <w:p w14:paraId="390AF3A8">
      <w:pPr>
        <w:pStyle w:val="3"/>
        <w:spacing w:before="280" w:after="180"/>
      </w:pPr>
      <w:r>
        <w:rPr>
          <w:rFonts w:ascii="Arial" w:hAnsi="Arial" w:eastAsia="Arial" w:cs="Arial"/>
          <w:b/>
          <w:bCs/>
          <w:sz w:val="26"/>
          <w:szCs w:val="26"/>
        </w:rPr>
        <w:t>3.2 When It Is Eligible</w:t>
      </w:r>
    </w:p>
    <w:p w14:paraId="0AD33E7C">
      <w:pPr>
        <w:spacing w:after="200" w:line="276" w:lineRule="auto"/>
      </w:pPr>
      <w:r>
        <w:rPr>
          <w:rFonts w:ascii="Arial" w:hAnsi="Arial" w:eastAsia="Arial" w:cs="Arial"/>
          <w:sz w:val="22"/>
          <w:szCs w:val="22"/>
        </w:rPr>
        <w:t>The violated OB was itself high-quality; the violation is accompanied by genuine displacement and MSS; the return to the Breaker occurs in discount of the controlling range; higher-timeframe bias remains bullish.</w:t>
      </w:r>
    </w:p>
    <w:p w14:paraId="736EB42D">
      <w:pPr>
        <w:pStyle w:val="3"/>
        <w:spacing w:before="280" w:after="180"/>
      </w:pPr>
      <w:r>
        <w:rPr>
          <w:rFonts w:ascii="Arial" w:hAnsi="Arial" w:eastAsia="Arial" w:cs="Arial"/>
          <w:b/>
          <w:bCs/>
          <w:sz w:val="26"/>
          <w:szCs w:val="26"/>
        </w:rPr>
        <w:t>3.3 Invalidation</w:t>
      </w:r>
    </w:p>
    <w:p w14:paraId="783525F2">
      <w:pPr>
        <w:spacing w:after="200" w:line="276" w:lineRule="auto"/>
      </w:pPr>
      <w:r>
        <w:rPr>
          <w:rFonts w:ascii="Arial" w:hAnsi="Arial" w:eastAsia="Arial" w:cs="Arial"/>
          <w:sz w:val="22"/>
          <w:szCs w:val="22"/>
        </w:rPr>
        <w:t>Trade-level: close back below the Breaker extreme or below the origin of the bullish displacement that created it. Narrative-level: higher-timeframe invalidation.</w:t>
      </w:r>
    </w:p>
    <w:p w14:paraId="6488E5D1">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Breaker behaviour is primary ICT; using a bullish Breaker as the continuation entry after SSL and displacement is consistent with primary examples.</w:t>
      </w:r>
    </w:p>
    <w:p w14:paraId="0FDF22BA">
      <w:pPr>
        <w:pStyle w:val="2"/>
        <w:spacing w:before="360" w:after="240"/>
      </w:pPr>
      <w:r>
        <w:rPr>
          <w:rFonts w:ascii="Arial" w:hAnsi="Arial" w:eastAsia="Arial" w:cs="Arial"/>
          <w:b/>
          <w:bCs/>
          <w:sz w:val="32"/>
          <w:szCs w:val="32"/>
        </w:rPr>
        <w:t>4. Variation C — IFVG Continuation</w:t>
      </w:r>
    </w:p>
    <w:p w14:paraId="25058B83">
      <w:pPr>
        <w:pStyle w:val="3"/>
        <w:spacing w:before="280" w:after="180"/>
      </w:pPr>
      <w:r>
        <w:rPr>
          <w:rFonts w:ascii="Arial" w:hAnsi="Arial" w:eastAsia="Arial" w:cs="Arial"/>
          <w:b/>
          <w:bCs/>
          <w:sz w:val="26"/>
          <w:szCs w:val="26"/>
        </w:rPr>
        <w:t>4.1 Sequence</w:t>
      </w:r>
    </w:p>
    <w:p w14:paraId="61F4DE2F">
      <w:pPr>
        <w:spacing w:after="200" w:line="276" w:lineRule="auto"/>
      </w:pPr>
      <w:r>
        <w:rPr>
          <w:rFonts w:ascii="Arial" w:hAnsi="Arial" w:eastAsia="Arial" w:cs="Arial"/>
          <w:sz w:val="22"/>
          <w:szCs w:val="22"/>
        </w:rPr>
        <w:t>HTF bullish narrative → liquidity sweep (often of sell-side) → a prior bearish FVG is traded through and later acts as support (IFVG) → continuation higher after the inversion is demonstrated.</w:t>
      </w:r>
    </w:p>
    <w:p w14:paraId="7F5B10C7">
      <w:pPr>
        <w:pStyle w:val="3"/>
        <w:spacing w:before="280" w:after="180"/>
      </w:pPr>
      <w:r>
        <w:rPr>
          <w:rFonts w:ascii="Arial" w:hAnsi="Arial" w:eastAsia="Arial" w:cs="Arial"/>
          <w:b/>
          <w:bCs/>
          <w:sz w:val="26"/>
          <w:szCs w:val="26"/>
        </w:rPr>
        <w:t>4.2 When It Is Eligible</w:t>
      </w:r>
    </w:p>
    <w:p w14:paraId="54072854">
      <w:pPr>
        <w:spacing w:after="200" w:line="276" w:lineRule="auto"/>
      </w:pPr>
      <w:r>
        <w:rPr>
          <w:rFonts w:ascii="Arial" w:hAnsi="Arial" w:eastAsia="Arial" w:cs="Arial"/>
          <w:sz w:val="22"/>
          <w:szCs w:val="22"/>
        </w:rPr>
        <w:t>The original FVG has been decisively traded through; subsequent price action shows the inverted polarity holding; the IFVG sits in discount relative to the controlling range; HTF bias is bullish.</w:t>
      </w:r>
    </w:p>
    <w:p w14:paraId="5C14E552">
      <w:pPr>
        <w:pStyle w:val="3"/>
        <w:spacing w:before="280" w:after="180"/>
      </w:pPr>
      <w:r>
        <w:rPr>
          <w:rFonts w:ascii="Arial" w:hAnsi="Arial" w:eastAsia="Arial" w:cs="Arial"/>
          <w:b/>
          <w:bCs/>
          <w:sz w:val="26"/>
          <w:szCs w:val="26"/>
        </w:rPr>
        <w:t>4.3 Caution</w:t>
      </w:r>
    </w:p>
    <w:p w14:paraId="1A0C9E62">
      <w:pPr>
        <w:spacing w:after="200" w:line="276" w:lineRule="auto"/>
      </w:pPr>
      <w:r>
        <w:rPr>
          <w:rFonts w:ascii="Arial" w:hAnsi="Arial" w:eastAsia="Arial" w:cs="Arial"/>
          <w:sz w:val="22"/>
          <w:szCs w:val="22"/>
        </w:rPr>
        <w:t>IFVG is not assumed at the first trade-through. Polarity inversion must be demonstrated. Premature IFVG entries are a common error.</w:t>
      </w:r>
    </w:p>
    <w:p w14:paraId="01E3C475">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IFVG appears in ICT teaching; the full sequence as a continuation model is a consistent application of that teaching.</w:t>
      </w:r>
    </w:p>
    <w:p w14:paraId="5CCE919B">
      <w:pPr>
        <w:pStyle w:val="2"/>
        <w:spacing w:before="360" w:after="240"/>
      </w:pPr>
      <w:r>
        <w:rPr>
          <w:rFonts w:ascii="Arial" w:hAnsi="Arial" w:eastAsia="Arial" w:cs="Arial"/>
          <w:b/>
          <w:bCs/>
          <w:sz w:val="32"/>
          <w:szCs w:val="32"/>
        </w:rPr>
        <w:t>5. Variation D — PD-Array Reaction with LTF Confirmation</w:t>
      </w:r>
    </w:p>
    <w:p w14:paraId="030D14D4">
      <w:pPr>
        <w:pStyle w:val="3"/>
        <w:spacing w:before="280" w:after="180"/>
      </w:pPr>
      <w:r>
        <w:rPr>
          <w:rFonts w:ascii="Arial" w:hAnsi="Arial" w:eastAsia="Arial" w:cs="Arial"/>
          <w:b/>
          <w:bCs/>
          <w:sz w:val="26"/>
          <w:szCs w:val="26"/>
        </w:rPr>
        <w:t>5.1 Sequence</w:t>
      </w:r>
    </w:p>
    <w:p w14:paraId="24EBEDD9">
      <w:pPr>
        <w:spacing w:after="200" w:line="276" w:lineRule="auto"/>
      </w:pPr>
      <w:r>
        <w:rPr>
          <w:rFonts w:ascii="Arial" w:hAnsi="Arial" w:eastAsia="Arial" w:cs="Arial"/>
          <w:sz w:val="22"/>
          <w:szCs w:val="22"/>
        </w:rPr>
        <w:t>HTF bullish narrative and discount location → price reaches a higher-timeframe PD array (weekly/daily OB or FVG) in discount → lower-timeframe liquidity sweep + displacement + MSS confirms → entry on LTF array inside the HTF array → continuation toward DOL.</w:t>
      </w:r>
    </w:p>
    <w:p w14:paraId="2DD36F7F">
      <w:pPr>
        <w:pStyle w:val="3"/>
        <w:spacing w:before="280" w:after="180"/>
      </w:pPr>
      <w:r>
        <w:rPr>
          <w:rFonts w:ascii="Arial" w:hAnsi="Arial" w:eastAsia="Arial" w:cs="Arial"/>
          <w:b/>
          <w:bCs/>
          <w:sz w:val="26"/>
          <w:szCs w:val="26"/>
        </w:rPr>
        <w:t>5.2 When It Is Eligible</w:t>
      </w:r>
    </w:p>
    <w:p w14:paraId="5AD86143">
      <w:pPr>
        <w:spacing w:after="200" w:line="276" w:lineRule="auto"/>
      </w:pPr>
      <w:r>
        <w:rPr>
          <w:rFonts w:ascii="Arial" w:hAnsi="Arial" w:eastAsia="Arial" w:cs="Arial"/>
          <w:sz w:val="22"/>
          <w:szCs w:val="22"/>
        </w:rPr>
        <w:t>The HTF array is unmitigated and correctly located; LTF conditioning is present; no higher-timeframe invalidation has printed.</w:t>
      </w:r>
    </w:p>
    <w:p w14:paraId="2E38F3C0">
      <w:pPr>
        <w:pStyle w:val="3"/>
        <w:spacing w:before="280" w:after="180"/>
      </w:pPr>
      <w:r>
        <w:rPr>
          <w:rFonts w:ascii="Arial" w:hAnsi="Arial" w:eastAsia="Arial" w:cs="Arial"/>
          <w:b/>
          <w:bCs/>
          <w:sz w:val="26"/>
          <w:szCs w:val="26"/>
        </w:rPr>
        <w:t>5.3 Role</w:t>
      </w:r>
    </w:p>
    <w:p w14:paraId="4647636B">
      <w:pPr>
        <w:spacing w:after="200" w:line="276" w:lineRule="auto"/>
      </w:pPr>
      <w:r>
        <w:rPr>
          <w:rFonts w:ascii="Arial" w:hAnsi="Arial" w:eastAsia="Arial" w:cs="Arial"/>
          <w:sz w:val="22"/>
          <w:szCs w:val="22"/>
        </w:rPr>
        <w:t>This variation emphasises the multi-timeframe nesting of arrays (Module 9) rather than a specific array type. It is often the practical form in which Variations A–C appear on the chart.</w:t>
      </w:r>
    </w:p>
    <w:p w14:paraId="3743680B">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Multi-timeframe PD-array refinement is core ICT practice.</w:t>
      </w:r>
    </w:p>
    <w:p w14:paraId="6C4986CD">
      <w:pPr>
        <w:pStyle w:val="2"/>
        <w:spacing w:before="360" w:after="240"/>
      </w:pPr>
      <w:r>
        <w:rPr>
          <w:rFonts w:ascii="Arial" w:hAnsi="Arial" w:eastAsia="Arial" w:cs="Arial"/>
          <w:b/>
          <w:bCs/>
          <w:sz w:val="32"/>
          <w:szCs w:val="32"/>
        </w:rPr>
        <w:t>6. Eligibility Checklist (All Variations)</w:t>
      </w:r>
    </w:p>
    <w:p w14:paraId="6EAA59BB">
      <w:pPr>
        <w:spacing w:after="200" w:line="276" w:lineRule="auto"/>
      </w:pPr>
      <w:r>
        <w:rPr>
          <w:rFonts w:ascii="Arial" w:hAnsi="Arial" w:eastAsia="Arial" w:cs="Arial"/>
          <w:sz w:val="22"/>
          <w:szCs w:val="22"/>
        </w:rPr>
        <w:t>Before any bullish variation is traded, confirm:</w:t>
      </w:r>
    </w:p>
    <w:p w14:paraId="210E5716">
      <w:pPr>
        <w:pStyle w:val="16"/>
        <w:numPr>
          <w:ilvl w:val="0"/>
          <w:numId w:val="2"/>
        </w:numPr>
        <w:spacing w:after="120" w:line="276" w:lineRule="auto"/>
      </w:pPr>
      <w:r>
        <w:rPr>
          <w:rFonts w:ascii="Arial" w:hAnsi="Arial" w:eastAsia="Arial" w:cs="Arial"/>
          <w:sz w:val="22"/>
          <w:szCs w:val="22"/>
        </w:rPr>
        <w:t>Higher-timeframe (at least daily) bias is bullish and not invalidated.</w:t>
      </w:r>
    </w:p>
    <w:p w14:paraId="2FA77A64">
      <w:pPr>
        <w:pStyle w:val="16"/>
        <w:numPr>
          <w:ilvl w:val="0"/>
          <w:numId w:val="2"/>
        </w:numPr>
        <w:spacing w:after="120" w:line="276" w:lineRule="auto"/>
      </w:pPr>
      <w:r>
        <w:rPr>
          <w:rFonts w:ascii="Arial" w:hAnsi="Arial" w:eastAsia="Arial" w:cs="Arial"/>
          <w:sz w:val="22"/>
          <w:szCs w:val="22"/>
        </w:rPr>
        <w:t>Named buy-side Draw on Liquidity is still active.</w:t>
      </w:r>
    </w:p>
    <w:p w14:paraId="3F3542D1">
      <w:pPr>
        <w:pStyle w:val="16"/>
        <w:numPr>
          <w:ilvl w:val="0"/>
          <w:numId w:val="2"/>
        </w:numPr>
        <w:spacing w:after="120" w:line="276" w:lineRule="auto"/>
      </w:pPr>
      <w:r>
        <w:rPr>
          <w:rFonts w:ascii="Arial" w:hAnsi="Arial" w:eastAsia="Arial" w:cs="Arial"/>
          <w:sz w:val="22"/>
          <w:szCs w:val="22"/>
        </w:rPr>
        <w:t>Price is in discount of the controlling dealing range (or has just raided SSL and is returning into discount).</w:t>
      </w:r>
    </w:p>
    <w:p w14:paraId="7F437470">
      <w:pPr>
        <w:pStyle w:val="16"/>
        <w:numPr>
          <w:ilvl w:val="0"/>
          <w:numId w:val="2"/>
        </w:numPr>
        <w:spacing w:after="120" w:line="276" w:lineRule="auto"/>
      </w:pPr>
      <w:r>
        <w:rPr>
          <w:rFonts w:ascii="Arial" w:hAnsi="Arial" w:eastAsia="Arial" w:cs="Arial"/>
          <w:sz w:val="22"/>
          <w:szCs w:val="22"/>
        </w:rPr>
        <w:t>Sell-side liquidity has been (or is being) raided as the origin of the leg.</w:t>
      </w:r>
    </w:p>
    <w:p w14:paraId="5E86A948">
      <w:pPr>
        <w:pStyle w:val="16"/>
        <w:numPr>
          <w:ilvl w:val="0"/>
          <w:numId w:val="2"/>
        </w:numPr>
        <w:spacing w:after="120" w:line="276" w:lineRule="auto"/>
      </w:pPr>
      <w:r>
        <w:rPr>
          <w:rFonts w:ascii="Arial" w:hAnsi="Arial" w:eastAsia="Arial" w:cs="Arial"/>
          <w:sz w:val="22"/>
          <w:szCs w:val="22"/>
        </w:rPr>
        <w:t>Bullish displacement and MSS are present (internal or external as required by the narrative).</w:t>
      </w:r>
    </w:p>
    <w:p w14:paraId="1300D6F0">
      <w:pPr>
        <w:pStyle w:val="16"/>
        <w:numPr>
          <w:ilvl w:val="0"/>
          <w:numId w:val="2"/>
        </w:numPr>
        <w:spacing w:after="120" w:line="276" w:lineRule="auto"/>
      </w:pPr>
      <w:r>
        <w:rPr>
          <w:rFonts w:ascii="Arial" w:hAnsi="Arial" w:eastAsia="Arial" w:cs="Arial"/>
          <w:sz w:val="22"/>
          <w:szCs w:val="22"/>
        </w:rPr>
        <w:t>The entry array sits in the correct half of the range and is unmitigated (or is a valid Breaker/IFVG).</w:t>
      </w:r>
    </w:p>
    <w:p w14:paraId="1097A848">
      <w:pPr>
        <w:pStyle w:val="16"/>
        <w:numPr>
          <w:ilvl w:val="0"/>
          <w:numId w:val="2"/>
        </w:numPr>
        <w:spacing w:after="120" w:line="276" w:lineRule="auto"/>
      </w:pPr>
      <w:r>
        <w:rPr>
          <w:rFonts w:ascii="Arial" w:hAnsi="Arial" w:eastAsia="Arial" w:cs="Arial"/>
          <w:sz w:val="22"/>
          <w:szCs w:val="22"/>
        </w:rPr>
        <w:t>The expected kill zone supports the phase (manipulation complete, distribution active).</w:t>
      </w:r>
    </w:p>
    <w:p w14:paraId="7A42B715">
      <w:pPr>
        <w:pStyle w:val="16"/>
        <w:numPr>
          <w:ilvl w:val="0"/>
          <w:numId w:val="2"/>
        </w:numPr>
        <w:spacing w:after="120" w:line="276" w:lineRule="auto"/>
      </w:pPr>
      <w:r>
        <w:rPr>
          <w:rFonts w:ascii="Arial" w:hAnsi="Arial" w:eastAsia="Arial" w:cs="Arial"/>
          <w:sz w:val="22"/>
          <w:szCs w:val="22"/>
        </w:rPr>
        <w:t>Trade-level and narrative-level invalidation are defined before entry.</w:t>
      </w:r>
    </w:p>
    <w:p w14:paraId="4D06081D">
      <w:pPr>
        <w:spacing w:after="200" w:line="276" w:lineRule="auto"/>
      </w:pPr>
      <w:r>
        <w:rPr>
          <w:rFonts w:ascii="Arial" w:hAnsi="Arial" w:eastAsia="Arial" w:cs="Arial"/>
          <w:sz w:val="22"/>
          <w:szCs w:val="22"/>
        </w:rPr>
        <w:t>If any item fails, the variation is not eligible.</w:t>
      </w:r>
    </w:p>
    <w:p w14:paraId="5EE7ED46">
      <w:pPr>
        <w:pStyle w:val="2"/>
        <w:spacing w:before="360" w:after="240"/>
      </w:pPr>
      <w:r>
        <w:rPr>
          <w:rFonts w:ascii="Arial" w:hAnsi="Arial" w:eastAsia="Arial" w:cs="Arial"/>
          <w:b/>
          <w:bCs/>
          <w:sz w:val="32"/>
          <w:szCs w:val="32"/>
        </w:rPr>
        <w:t>7. Selecting Among Variations</w:t>
      </w:r>
    </w:p>
    <w:p w14:paraId="018E5BB6">
      <w:pPr>
        <w:spacing w:after="200" w:line="276" w:lineRule="auto"/>
      </w:pPr>
      <w:r>
        <w:rPr>
          <w:rFonts w:ascii="Arial" w:hAnsi="Arial" w:eastAsia="Arial" w:cs="Arial"/>
          <w:sz w:val="22"/>
          <w:szCs w:val="22"/>
        </w:rPr>
        <w:t>Selection is narrative-driven, not preference-driven:</w:t>
      </w:r>
    </w:p>
    <w:p w14:paraId="2013F3F0">
      <w:pPr>
        <w:pStyle w:val="16"/>
        <w:numPr>
          <w:ilvl w:val="0"/>
          <w:numId w:val="1"/>
        </w:numPr>
        <w:spacing w:after="120" w:line="276" w:lineRule="auto"/>
      </w:pPr>
      <w:r>
        <w:rPr>
          <w:rFonts w:ascii="Arial" w:hAnsi="Arial" w:eastAsia="Arial" w:cs="Arial"/>
          <w:sz w:val="22"/>
          <w:szCs w:val="22"/>
        </w:rPr>
        <w:t>If the displacement left a clean FVG/OB in discount and OTE aligns → Variation A.</w:t>
      </w:r>
    </w:p>
    <w:p w14:paraId="1F7183FB">
      <w:pPr>
        <w:pStyle w:val="16"/>
        <w:numPr>
          <w:ilvl w:val="0"/>
          <w:numId w:val="1"/>
        </w:numPr>
        <w:spacing w:after="120" w:line="276" w:lineRule="auto"/>
      </w:pPr>
      <w:r>
        <w:rPr>
          <w:rFonts w:ascii="Arial" w:hAnsi="Arial" w:eastAsia="Arial" w:cs="Arial"/>
          <w:sz w:val="22"/>
          <w:szCs w:val="22"/>
        </w:rPr>
        <w:t>If a prior opposing OB was violated and price is returning to it as Breaker → Variation B.</w:t>
      </w:r>
    </w:p>
    <w:p w14:paraId="2C00F896">
      <w:pPr>
        <w:pStyle w:val="16"/>
        <w:numPr>
          <w:ilvl w:val="0"/>
          <w:numId w:val="1"/>
        </w:numPr>
        <w:spacing w:after="120" w:line="276" w:lineRule="auto"/>
      </w:pPr>
      <w:r>
        <w:rPr>
          <w:rFonts w:ascii="Arial" w:hAnsi="Arial" w:eastAsia="Arial" w:cs="Arial"/>
          <w:sz w:val="22"/>
          <w:szCs w:val="22"/>
        </w:rPr>
        <w:t>If a prior FVG has inverted and is holding → Variation C.</w:t>
      </w:r>
    </w:p>
    <w:p w14:paraId="581C99B5">
      <w:pPr>
        <w:pStyle w:val="16"/>
        <w:numPr>
          <w:ilvl w:val="0"/>
          <w:numId w:val="1"/>
        </w:numPr>
        <w:spacing w:after="120" w:line="276" w:lineRule="auto"/>
      </w:pPr>
      <w:r>
        <w:rPr>
          <w:rFonts w:ascii="Arial" w:hAnsi="Arial" w:eastAsia="Arial" w:cs="Arial"/>
          <w:sz w:val="22"/>
          <w:szCs w:val="22"/>
        </w:rPr>
        <w:t>If the primary reaction is at a higher-timeframe array and LTF only refines → Variation D.</w:t>
      </w:r>
    </w:p>
    <w:p w14:paraId="1FF08DBB">
      <w:pPr>
        <w:spacing w:after="200" w:line="276" w:lineRule="auto"/>
      </w:pPr>
      <w:r>
        <w:rPr>
          <w:rFonts w:ascii="Arial" w:hAnsi="Arial" w:eastAsia="Arial" w:cs="Arial"/>
          <w:sz w:val="22"/>
          <w:szCs w:val="22"/>
        </w:rPr>
        <w:t>Often more than one variation is visible on the same leg; the student chooses the array that offers the best combination of narrative alignment, location and risk distance.</w:t>
      </w:r>
    </w:p>
    <w:p w14:paraId="5892D0C2">
      <w:pPr>
        <w:pStyle w:val="2"/>
        <w:spacing w:before="360" w:after="240"/>
      </w:pPr>
      <w:r>
        <w:rPr>
          <w:rFonts w:ascii="Arial" w:hAnsi="Arial" w:eastAsia="Arial" w:cs="Arial"/>
          <w:b/>
          <w:bCs/>
          <w:sz w:val="32"/>
          <w:szCs w:val="32"/>
        </w:rPr>
        <w:t>8. Invalidation Hierarchy</w:t>
      </w:r>
    </w:p>
    <w:p w14:paraId="099FCFEC">
      <w:pPr>
        <w:spacing w:after="200" w:line="276" w:lineRule="auto"/>
      </w:pPr>
      <w:r>
        <w:rPr>
          <w:rFonts w:ascii="Arial" w:hAnsi="Arial" w:eastAsia="Arial" w:cs="Arial"/>
          <w:sz w:val="22"/>
          <w:szCs w:val="22"/>
        </w:rPr>
        <w:t>Every long carries two invalidation levels:</w:t>
      </w:r>
    </w:p>
    <w:p w14:paraId="4099F448">
      <w:pPr>
        <w:pStyle w:val="16"/>
        <w:numPr>
          <w:ilvl w:val="0"/>
          <w:numId w:val="1"/>
        </w:numPr>
        <w:spacing w:after="120" w:line="276" w:lineRule="auto"/>
      </w:pPr>
      <w:r>
        <w:rPr>
          <w:rFonts w:ascii="Arial" w:hAnsi="Arial" w:eastAsia="Arial" w:cs="Arial"/>
          <w:sz w:val="22"/>
          <w:szCs w:val="22"/>
        </w:rPr>
        <w:t>Trade invalidation — close beyond the entry array’s protective extreme or the displacement origin; ends the specific entry.</w:t>
      </w:r>
    </w:p>
    <w:p w14:paraId="128EB374">
      <w:pPr>
        <w:pStyle w:val="16"/>
        <w:numPr>
          <w:ilvl w:val="0"/>
          <w:numId w:val="1"/>
        </w:numPr>
        <w:spacing w:after="120" w:line="276" w:lineRule="auto"/>
      </w:pPr>
      <w:r>
        <w:rPr>
          <w:rFonts w:ascii="Arial" w:hAnsi="Arial" w:eastAsia="Arial" w:cs="Arial"/>
          <w:sz w:val="22"/>
          <w:szCs w:val="22"/>
        </w:rPr>
        <w:t>Narrative / bias invalidation — the level or condition defined in the bias statement (Module 10); retires the bullish hypothesis and forbids further long models until a new bias is constructed.</w:t>
      </w:r>
    </w:p>
    <w:p w14:paraId="6F366487">
      <w:pPr>
        <w:spacing w:after="200" w:line="276" w:lineRule="auto"/>
      </w:pPr>
      <w:r>
        <w:rPr>
          <w:rFonts w:ascii="Arial" w:hAnsi="Arial" w:eastAsia="Arial" w:cs="Arial"/>
          <w:sz w:val="22"/>
          <w:szCs w:val="22"/>
        </w:rPr>
        <w:t>A trade stop-out does not automatically equal narrative failure. Narrative failure does automatically retire open bullish assumptions.</w:t>
      </w:r>
    </w:p>
    <w:p w14:paraId="1F2789E1">
      <w:pPr>
        <w:pStyle w:val="2"/>
        <w:spacing w:before="360" w:after="240"/>
      </w:pPr>
      <w:r>
        <w:rPr>
          <w:rFonts w:ascii="Arial" w:hAnsi="Arial" w:eastAsia="Arial" w:cs="Arial"/>
          <w:b/>
          <w:bCs/>
          <w:sz w:val="32"/>
          <w:szCs w:val="32"/>
        </w:rPr>
        <w:t>9. Worked Example — Variation A in Context</w:t>
      </w:r>
    </w:p>
    <w:p w14:paraId="12A97A28">
      <w:pPr>
        <w:spacing w:after="200" w:line="276" w:lineRule="auto"/>
      </w:pPr>
      <w:r>
        <w:rPr>
          <w:rFonts w:ascii="Arial" w:hAnsi="Arial" w:eastAsia="Arial" w:cs="Arial"/>
          <w:sz w:val="22"/>
          <w:szCs w:val="22"/>
        </w:rPr>
        <w:t>Weekly bias: bullish toward 1.1200; discount; distribution phase. Daily bias (conditional): bullish after London SSL sweep + displacement + MSS.</w:t>
      </w:r>
    </w:p>
    <w:p w14:paraId="174A95B4">
      <w:pPr>
        <w:spacing w:after="200" w:line="276" w:lineRule="auto"/>
      </w:pPr>
      <w:r>
        <w:rPr>
          <w:rFonts w:ascii="Arial" w:hAnsi="Arial" w:eastAsia="Arial" w:cs="Arial"/>
          <w:sz w:val="22"/>
          <w:szCs w:val="22"/>
        </w:rPr>
        <w:t>London: Asian low and relative equal lows swept; bullish displacement; daily and 15-minute MSS; FVG at 1.0635–1.0665 (discount). OTE of the displacement leg overlaps the FVG.</w:t>
      </w:r>
    </w:p>
    <w:p w14:paraId="3B1E750E">
      <w:pPr>
        <w:spacing w:after="200" w:line="276" w:lineRule="auto"/>
      </w:pPr>
      <w:r>
        <w:rPr>
          <w:rFonts w:ascii="Arial" w:hAnsi="Arial" w:eastAsia="Arial" w:cs="Arial"/>
          <w:sz w:val="22"/>
          <w:szCs w:val="22"/>
        </w:rPr>
        <w:t>Entry: retracement into FVG/CE during London or early New York. Stop below displacement origin. Targets: daily intermediate buy-side, then 1.1200.</w:t>
      </w:r>
    </w:p>
    <w:p w14:paraId="210975F3">
      <w:pPr>
        <w:spacing w:after="200" w:line="276" w:lineRule="auto"/>
      </w:pPr>
      <w:r>
        <w:rPr>
          <w:rFonts w:ascii="Arial" w:hAnsi="Arial" w:eastAsia="Arial" w:cs="Arial"/>
          <w:sz w:val="22"/>
          <w:szCs w:val="22"/>
        </w:rPr>
        <w:t>This is Variation A fully nested inside the multi-timeframe narrative and bias. No element is traded in isolation.</w:t>
      </w:r>
    </w:p>
    <w:p w14:paraId="65E788DA">
      <w:pPr>
        <w:pStyle w:val="2"/>
        <w:spacing w:before="360" w:after="240"/>
      </w:pPr>
      <w:r>
        <w:rPr>
          <w:rFonts w:ascii="Arial" w:hAnsi="Arial" w:eastAsia="Arial" w:cs="Arial"/>
          <w:b/>
          <w:bCs/>
          <w:sz w:val="32"/>
          <w:szCs w:val="32"/>
        </w:rPr>
        <w:t>Visual Reference — Core Bullish Skeleton</w:t>
      </w:r>
    </w:p>
    <w:p w14:paraId="5032F7F3">
      <w:pPr>
        <w:spacing w:after="0" w:line="240" w:lineRule="auto"/>
      </w:pPr>
      <w:r>
        <w:rPr>
          <w:rFonts w:ascii="Courier New" w:hAnsi="Courier New" w:eastAsia="Courier New" w:cs="Courier New"/>
          <w:sz w:val="18"/>
          <w:szCs w:val="18"/>
        </w:rPr>
        <w:t>Buy-side DOL (HTF)</w:t>
      </w:r>
    </w:p>
    <w:p w14:paraId="07BC988E">
      <w:pPr>
        <w:spacing w:after="0" w:line="240" w:lineRule="auto"/>
      </w:pPr>
      <w:r>
        <w:rPr>
          <w:rFonts w:ascii="Courier New" w:hAnsi="Courier New" w:eastAsia="Courier New" w:cs="Courier New"/>
          <w:sz w:val="18"/>
          <w:szCs w:val="18"/>
        </w:rPr>
        <w:t xml:space="preserve">        ▲ continuation</w:t>
      </w:r>
    </w:p>
    <w:p w14:paraId="0B059A27">
      <w:pPr>
        <w:spacing w:after="0" w:line="240" w:lineRule="auto"/>
      </w:pPr>
      <w:r>
        <w:rPr>
          <w:rFonts w:ascii="Courier New" w:hAnsi="Courier New" w:eastAsia="Courier New" w:cs="Courier New"/>
          <w:sz w:val="18"/>
          <w:szCs w:val="18"/>
        </w:rPr>
        <w:t xml:space="preserve">   Discount PD array / FVG / CE / OTE / Breaker / IFVG</w:t>
      </w:r>
    </w:p>
    <w:p w14:paraId="639F3CAB">
      <w:pPr>
        <w:spacing w:after="0" w:line="240" w:lineRule="auto"/>
      </w:pPr>
      <w:r>
        <w:rPr>
          <w:rFonts w:ascii="Courier New" w:hAnsi="Courier New" w:eastAsia="Courier New" w:cs="Courier New"/>
          <w:sz w:val="18"/>
          <w:szCs w:val="18"/>
        </w:rPr>
        <w:t xml:space="preserve">        │ retracement entry</w:t>
      </w:r>
    </w:p>
    <w:p w14:paraId="2DF283CF">
      <w:pPr>
        <w:spacing w:after="0" w:line="240" w:lineRule="auto"/>
      </w:pPr>
      <w:r>
        <w:rPr>
          <w:rFonts w:ascii="Courier New" w:hAnsi="Courier New" w:eastAsia="Courier New" w:cs="Courier New"/>
          <w:sz w:val="18"/>
          <w:szCs w:val="18"/>
        </w:rPr>
        <w:t xml:space="preserve">   Bullish displacement + MSS</w:t>
      </w:r>
    </w:p>
    <w:p w14:paraId="5D74C957">
      <w:pPr>
        <w:spacing w:after="0" w:line="240" w:lineRule="auto"/>
      </w:pPr>
      <w:r>
        <w:rPr>
          <w:rFonts w:ascii="Courier New" w:hAnsi="Courier New" w:eastAsia="Courier New" w:cs="Courier New"/>
          <w:sz w:val="18"/>
          <w:szCs w:val="18"/>
        </w:rPr>
        <w:t xml:space="preserve">        │</w:t>
      </w:r>
    </w:p>
    <w:p w14:paraId="28D19356">
      <w:pPr>
        <w:spacing w:after="0" w:line="240" w:lineRule="auto"/>
      </w:pPr>
      <w:r>
        <w:rPr>
          <w:rFonts w:ascii="Courier New" w:hAnsi="Courier New" w:eastAsia="Courier New" w:cs="Courier New"/>
          <w:sz w:val="18"/>
          <w:szCs w:val="18"/>
        </w:rPr>
        <w:t xml:space="preserve">   SSL raid (origin)</w:t>
      </w:r>
    </w:p>
    <w:p w14:paraId="66F7CB1A">
      <w:pPr>
        <w:spacing w:after="0" w:line="240" w:lineRule="auto"/>
      </w:pPr>
      <w:r>
        <w:rPr>
          <w:rFonts w:ascii="Courier New" w:hAnsi="Courier New" w:eastAsia="Courier New" w:cs="Courier New"/>
          <w:sz w:val="18"/>
          <w:szCs w:val="18"/>
        </w:rPr>
        <w:t xml:space="preserve">        │</w:t>
      </w:r>
    </w:p>
    <w:p w14:paraId="0E0183C1">
      <w:pPr>
        <w:spacing w:after="0" w:line="240" w:lineRule="auto"/>
      </w:pPr>
      <w:r>
        <w:rPr>
          <w:rFonts w:ascii="Courier New" w:hAnsi="Courier New" w:eastAsia="Courier New" w:cs="Courier New"/>
          <w:sz w:val="18"/>
          <w:szCs w:val="18"/>
        </w:rPr>
        <w:t xml:space="preserve">   HTF bullish bias + discount location</w:t>
      </w:r>
    </w:p>
    <w:p w14:paraId="3CEAA3CF">
      <w:pPr>
        <w:pStyle w:val="2"/>
        <w:spacing w:before="360" w:after="240"/>
      </w:pPr>
      <w:r>
        <w:rPr>
          <w:rFonts w:ascii="Arial" w:hAnsi="Arial" w:eastAsia="Arial" w:cs="Arial"/>
          <w:b/>
          <w:bCs/>
          <w:sz w:val="32"/>
          <w:szCs w:val="32"/>
        </w:rPr>
        <w:t>10. Common Misinterpretations</w:t>
      </w:r>
    </w:p>
    <w:p w14:paraId="026C4BFB">
      <w:pPr>
        <w:pStyle w:val="16"/>
        <w:numPr>
          <w:ilvl w:val="0"/>
          <w:numId w:val="1"/>
        </w:numPr>
        <w:spacing w:after="120" w:line="276" w:lineRule="auto"/>
      </w:pPr>
      <w:r>
        <w:rPr>
          <w:rFonts w:ascii="Arial" w:hAnsi="Arial" w:eastAsia="Arial" w:cs="Arial"/>
          <w:sz w:val="22"/>
          <w:szCs w:val="22"/>
        </w:rPr>
        <w:t>Trading a long FVG or OTE without HTF bullish bias and discount location.</w:t>
      </w:r>
    </w:p>
    <w:p w14:paraId="6325D882">
      <w:pPr>
        <w:pStyle w:val="16"/>
        <w:numPr>
          <w:ilvl w:val="0"/>
          <w:numId w:val="1"/>
        </w:numPr>
        <w:spacing w:after="120" w:line="276" w:lineRule="auto"/>
      </w:pPr>
      <w:r>
        <w:rPr>
          <w:rFonts w:ascii="Arial" w:hAnsi="Arial" w:eastAsia="Arial" w:cs="Arial"/>
          <w:sz w:val="22"/>
          <w:szCs w:val="22"/>
        </w:rPr>
        <w:t>Treating any of the variations as an official, named ICT “model” that can be applied mechanically.</w:t>
      </w:r>
    </w:p>
    <w:p w14:paraId="591F6866">
      <w:pPr>
        <w:pStyle w:val="16"/>
        <w:numPr>
          <w:ilvl w:val="0"/>
          <w:numId w:val="1"/>
        </w:numPr>
        <w:spacing w:after="120" w:line="276" w:lineRule="auto"/>
      </w:pPr>
      <w:r>
        <w:rPr>
          <w:rFonts w:ascii="Arial" w:hAnsi="Arial" w:eastAsia="Arial" w:cs="Arial"/>
          <w:sz w:val="22"/>
          <w:szCs w:val="22"/>
        </w:rPr>
        <w:t>Entering before the SSL raid and displacement have printed.</w:t>
      </w:r>
    </w:p>
    <w:p w14:paraId="78DEBC33">
      <w:pPr>
        <w:pStyle w:val="16"/>
        <w:numPr>
          <w:ilvl w:val="0"/>
          <w:numId w:val="1"/>
        </w:numPr>
        <w:spacing w:after="120" w:line="276" w:lineRule="auto"/>
      </w:pPr>
      <w:r>
        <w:rPr>
          <w:rFonts w:ascii="Arial" w:hAnsi="Arial" w:eastAsia="Arial" w:cs="Arial"/>
          <w:sz w:val="22"/>
          <w:szCs w:val="22"/>
        </w:rPr>
        <w:t>Using a Breaker or IFVG that has not been properly formed or demonstrated.</w:t>
      </w:r>
    </w:p>
    <w:p w14:paraId="6446151F">
      <w:pPr>
        <w:pStyle w:val="16"/>
        <w:numPr>
          <w:ilvl w:val="0"/>
          <w:numId w:val="1"/>
        </w:numPr>
        <w:spacing w:after="120" w:line="276" w:lineRule="auto"/>
      </w:pPr>
      <w:r>
        <w:rPr>
          <w:rFonts w:ascii="Arial" w:hAnsi="Arial" w:eastAsia="Arial" w:cs="Arial"/>
          <w:sz w:val="22"/>
          <w:szCs w:val="22"/>
        </w:rPr>
        <w:t>Ignoring narrative invalidation after a series of trade-level stop-outs.</w:t>
      </w:r>
    </w:p>
    <w:p w14:paraId="55FBBBCE">
      <w:pPr>
        <w:pStyle w:val="16"/>
        <w:numPr>
          <w:ilvl w:val="0"/>
          <w:numId w:val="1"/>
        </w:numPr>
        <w:spacing w:after="120" w:line="276" w:lineRule="auto"/>
      </w:pPr>
      <w:r>
        <w:rPr>
          <w:rFonts w:ascii="Arial" w:hAnsi="Arial" w:eastAsia="Arial" w:cs="Arial"/>
          <w:sz w:val="22"/>
          <w:szCs w:val="22"/>
        </w:rPr>
        <w:t>Forcing Variation A when the chart is clearly offering a higher-quality Breaker or HTF-array reaction.</w:t>
      </w:r>
    </w:p>
    <w:p w14:paraId="344E812E">
      <w:pPr>
        <w:pStyle w:val="2"/>
        <w:spacing w:before="360" w:after="240"/>
      </w:pPr>
      <w:r>
        <w:rPr>
          <w:rFonts w:ascii="Arial" w:hAnsi="Arial" w:eastAsia="Arial" w:cs="Arial"/>
          <w:b/>
          <w:bCs/>
          <w:sz w:val="32"/>
          <w:szCs w:val="32"/>
        </w:rPr>
        <w:t>11. Evidence Summary</w:t>
      </w:r>
    </w:p>
    <w:p w14:paraId="65D3969F">
      <w:pPr>
        <w:spacing w:after="200" w:line="276" w:lineRule="auto"/>
      </w:pPr>
      <w:r>
        <w:rPr>
          <w:rFonts w:ascii="Arial" w:hAnsi="Arial" w:eastAsia="Arial" w:cs="Arial"/>
          <w:sz w:val="22"/>
          <w:szCs w:val="22"/>
        </w:rPr>
        <w:t>The core bullish sequence (HTF bias, SSL, displacement, MSS, discount array, buy-side target) is primary ICT. FVG, Order Block, OTE, Breaker and IFVG as entry arrays are primary. The pedagogical grouping into Variations A–D is this textbook’s organising device, not ICT doctrine. Community “buy model” labels that add rules not present in primary teaching are classified as community interpretation.</w:t>
      </w:r>
    </w:p>
    <w:p w14:paraId="398FA32C">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Primary orientation: ICT chart examples and mentorship demonstrating long entries after sell-side liquidity raids, displacement, structure shifts and discount PD-array retracements. Variation labels and eligibility checklists are advanced synthesis for consistent application.</w:t>
      </w:r>
    </w:p>
    <w:p w14:paraId="285EAE25">
      <w:pPr>
        <w:pStyle w:val="2"/>
        <w:spacing w:before="360" w:after="240"/>
      </w:pPr>
      <w:r>
        <w:rPr>
          <w:rFonts w:ascii="Arial" w:hAnsi="Arial" w:eastAsia="Arial" w:cs="Arial"/>
          <w:b/>
          <w:bCs/>
          <w:sz w:val="32"/>
          <w:szCs w:val="32"/>
        </w:rPr>
        <w:t>What You Should Now Be Able to Do</w:t>
      </w:r>
    </w:p>
    <w:p w14:paraId="32271624">
      <w:pPr>
        <w:pStyle w:val="16"/>
        <w:numPr>
          <w:ilvl w:val="0"/>
          <w:numId w:val="1"/>
        </w:numPr>
        <w:spacing w:after="120" w:line="276" w:lineRule="auto"/>
      </w:pPr>
      <w:r>
        <w:rPr>
          <w:rFonts w:ascii="Arial" w:hAnsi="Arial" w:eastAsia="Arial" w:cs="Arial"/>
          <w:sz w:val="22"/>
          <w:szCs w:val="22"/>
        </w:rPr>
        <w:t>State the core bullish delivery skeleton without reference to any variation label.</w:t>
      </w:r>
    </w:p>
    <w:p w14:paraId="083282EF">
      <w:pPr>
        <w:pStyle w:val="16"/>
        <w:numPr>
          <w:ilvl w:val="0"/>
          <w:numId w:val="1"/>
        </w:numPr>
        <w:spacing w:after="120" w:line="276" w:lineRule="auto"/>
      </w:pPr>
      <w:r>
        <w:rPr>
          <w:rFonts w:ascii="Arial" w:hAnsi="Arial" w:eastAsia="Arial" w:cs="Arial"/>
          <w:sz w:val="22"/>
          <w:szCs w:val="22"/>
        </w:rPr>
        <w:t>Identify which variation (A–D) best matches a given bullish narrative and chart.</w:t>
      </w:r>
    </w:p>
    <w:p w14:paraId="148E45CA">
      <w:pPr>
        <w:pStyle w:val="16"/>
        <w:numPr>
          <w:ilvl w:val="0"/>
          <w:numId w:val="1"/>
        </w:numPr>
        <w:spacing w:after="120" w:line="276" w:lineRule="auto"/>
      </w:pPr>
      <w:r>
        <w:rPr>
          <w:rFonts w:ascii="Arial" w:hAnsi="Arial" w:eastAsia="Arial" w:cs="Arial"/>
          <w:sz w:val="22"/>
          <w:szCs w:val="22"/>
        </w:rPr>
        <w:t>Run the full eligibility checklist before any long entry.</w:t>
      </w:r>
    </w:p>
    <w:p w14:paraId="363C10F5">
      <w:pPr>
        <w:pStyle w:val="16"/>
        <w:numPr>
          <w:ilvl w:val="0"/>
          <w:numId w:val="1"/>
        </w:numPr>
        <w:spacing w:after="120" w:line="276" w:lineRule="auto"/>
      </w:pPr>
      <w:r>
        <w:rPr>
          <w:rFonts w:ascii="Arial" w:hAnsi="Arial" w:eastAsia="Arial" w:cs="Arial"/>
          <w:sz w:val="22"/>
          <w:szCs w:val="22"/>
        </w:rPr>
        <w:t>Define both trade-level and narrative-level invalidation.</w:t>
      </w:r>
    </w:p>
    <w:p w14:paraId="546B8ADB">
      <w:pPr>
        <w:pStyle w:val="16"/>
        <w:numPr>
          <w:ilvl w:val="0"/>
          <w:numId w:val="1"/>
        </w:numPr>
        <w:spacing w:after="120" w:line="276" w:lineRule="auto"/>
      </w:pPr>
      <w:r>
        <w:rPr>
          <w:rFonts w:ascii="Arial" w:hAnsi="Arial" w:eastAsia="Arial" w:cs="Arial"/>
          <w:sz w:val="22"/>
          <w:szCs w:val="22"/>
        </w:rPr>
        <w:t>Reject any long that lacks HTF bias, discount location, or a clear liquidity origin.</w:t>
      </w:r>
    </w:p>
    <w:p w14:paraId="0F3DF852">
      <w:pPr>
        <w:pStyle w:val="16"/>
        <w:numPr>
          <w:ilvl w:val="0"/>
          <w:numId w:val="1"/>
        </w:numPr>
        <w:spacing w:after="120" w:line="276" w:lineRule="auto"/>
      </w:pPr>
      <w:r>
        <w:rPr>
          <w:rFonts w:ascii="Arial" w:hAnsi="Arial" w:eastAsia="Arial" w:cs="Arial"/>
          <w:sz w:val="22"/>
          <w:szCs w:val="22"/>
        </w:rPr>
        <w:t>Keep every long subordinated to the bias statement of Module 10.</w:t>
      </w:r>
    </w:p>
    <w:p w14:paraId="2DD49185">
      <w:pPr>
        <w:pStyle w:val="2"/>
        <w:spacing w:before="360" w:after="240"/>
      </w:pPr>
      <w:r>
        <w:rPr>
          <w:rFonts w:ascii="Arial" w:hAnsi="Arial" w:eastAsia="Arial" w:cs="Arial"/>
          <w:b/>
          <w:bCs/>
          <w:sz w:val="32"/>
          <w:szCs w:val="32"/>
        </w:rPr>
        <w:t>Module Review</w:t>
      </w:r>
    </w:p>
    <w:p w14:paraId="2F1F9287">
      <w:pPr>
        <w:pStyle w:val="3"/>
        <w:spacing w:before="280" w:after="180"/>
      </w:pPr>
      <w:r>
        <w:rPr>
          <w:rFonts w:ascii="Arial" w:hAnsi="Arial" w:eastAsia="Arial" w:cs="Arial"/>
          <w:b/>
          <w:bCs/>
          <w:sz w:val="26"/>
          <w:szCs w:val="26"/>
        </w:rPr>
        <w:t>Key Terms</w:t>
      </w:r>
    </w:p>
    <w:p w14:paraId="5425C115">
      <w:pPr>
        <w:pStyle w:val="16"/>
        <w:numPr>
          <w:ilvl w:val="0"/>
          <w:numId w:val="1"/>
        </w:numPr>
        <w:spacing w:after="120" w:line="276" w:lineRule="auto"/>
      </w:pPr>
      <w:r>
        <w:rPr>
          <w:rFonts w:ascii="Arial" w:hAnsi="Arial" w:eastAsia="Arial" w:cs="Arial"/>
          <w:sz w:val="22"/>
          <w:szCs w:val="22"/>
        </w:rPr>
        <w:t>Core bullish delivery sequence — HTF bias + SSL + displacement + MSS + discount array + buy-side DOL.</w:t>
      </w:r>
    </w:p>
    <w:p w14:paraId="3018099B">
      <w:pPr>
        <w:pStyle w:val="16"/>
        <w:numPr>
          <w:ilvl w:val="0"/>
          <w:numId w:val="1"/>
        </w:numPr>
        <w:spacing w:after="120" w:line="276" w:lineRule="auto"/>
      </w:pPr>
      <w:r>
        <w:rPr>
          <w:rFonts w:ascii="Arial" w:hAnsi="Arial" w:eastAsia="Arial" w:cs="Arial"/>
          <w:sz w:val="22"/>
          <w:szCs w:val="22"/>
        </w:rPr>
        <w:t>Variation A — FVG / CE / OTE-centred continuation entry.</w:t>
      </w:r>
    </w:p>
    <w:p w14:paraId="256BF234">
      <w:pPr>
        <w:pStyle w:val="16"/>
        <w:numPr>
          <w:ilvl w:val="0"/>
          <w:numId w:val="1"/>
        </w:numPr>
        <w:spacing w:after="120" w:line="276" w:lineRule="auto"/>
      </w:pPr>
      <w:r>
        <w:rPr>
          <w:rFonts w:ascii="Arial" w:hAnsi="Arial" w:eastAsia="Arial" w:cs="Arial"/>
          <w:sz w:val="22"/>
          <w:szCs w:val="22"/>
        </w:rPr>
        <w:t>Variation B — Bullish Breaker continuation entry.</w:t>
      </w:r>
    </w:p>
    <w:p w14:paraId="12E088DD">
      <w:pPr>
        <w:pStyle w:val="16"/>
        <w:numPr>
          <w:ilvl w:val="0"/>
          <w:numId w:val="1"/>
        </w:numPr>
        <w:spacing w:after="120" w:line="276" w:lineRule="auto"/>
      </w:pPr>
      <w:r>
        <w:rPr>
          <w:rFonts w:ascii="Arial" w:hAnsi="Arial" w:eastAsia="Arial" w:cs="Arial"/>
          <w:sz w:val="22"/>
          <w:szCs w:val="22"/>
        </w:rPr>
        <w:t>Variation C — IFVG continuation entry.</w:t>
      </w:r>
    </w:p>
    <w:p w14:paraId="1E550926">
      <w:pPr>
        <w:pStyle w:val="16"/>
        <w:numPr>
          <w:ilvl w:val="0"/>
          <w:numId w:val="1"/>
        </w:numPr>
        <w:spacing w:after="120" w:line="276" w:lineRule="auto"/>
      </w:pPr>
      <w:r>
        <w:rPr>
          <w:rFonts w:ascii="Arial" w:hAnsi="Arial" w:eastAsia="Arial" w:cs="Arial"/>
          <w:sz w:val="22"/>
          <w:szCs w:val="22"/>
        </w:rPr>
        <w:t>Variation D — HTF PD-array reaction refined by LTF confirmation.</w:t>
      </w:r>
    </w:p>
    <w:p w14:paraId="31FD94F6">
      <w:pPr>
        <w:pStyle w:val="16"/>
        <w:numPr>
          <w:ilvl w:val="0"/>
          <w:numId w:val="1"/>
        </w:numPr>
        <w:spacing w:after="120" w:line="276" w:lineRule="auto"/>
      </w:pPr>
      <w:r>
        <w:rPr>
          <w:rFonts w:ascii="Arial" w:hAnsi="Arial" w:eastAsia="Arial" w:cs="Arial"/>
          <w:sz w:val="22"/>
          <w:szCs w:val="22"/>
        </w:rPr>
        <w:t>Eligibility checklist — the set of narrative conditions required before any variation is traded.</w:t>
      </w:r>
    </w:p>
    <w:p w14:paraId="46269583">
      <w:pPr>
        <w:pStyle w:val="16"/>
        <w:numPr>
          <w:ilvl w:val="0"/>
          <w:numId w:val="1"/>
        </w:numPr>
        <w:spacing w:after="120" w:line="276" w:lineRule="auto"/>
      </w:pPr>
      <w:r>
        <w:rPr>
          <w:rFonts w:ascii="Arial" w:hAnsi="Arial" w:eastAsia="Arial" w:cs="Arial"/>
          <w:sz w:val="22"/>
          <w:szCs w:val="22"/>
        </w:rPr>
        <w:t>Trade vs narrative invalidation — entry-specific stop versus bias-level retirement.</w:t>
      </w:r>
    </w:p>
    <w:p w14:paraId="023B1489">
      <w:pPr>
        <w:pStyle w:val="3"/>
        <w:spacing w:before="280" w:after="180"/>
      </w:pPr>
      <w:r>
        <w:rPr>
          <w:rFonts w:ascii="Arial" w:hAnsi="Arial" w:eastAsia="Arial" w:cs="Arial"/>
          <w:b/>
          <w:bCs/>
          <w:sz w:val="26"/>
          <w:szCs w:val="26"/>
        </w:rPr>
        <w:t>Self-Test</w:t>
      </w:r>
    </w:p>
    <w:p w14:paraId="4EB4EEBB">
      <w:pPr>
        <w:pStyle w:val="16"/>
        <w:numPr>
          <w:ilvl w:val="0"/>
          <w:numId w:val="2"/>
        </w:numPr>
        <w:spacing w:after="120" w:line="276" w:lineRule="auto"/>
      </w:pPr>
      <w:r>
        <w:rPr>
          <w:rFonts w:ascii="Arial" w:hAnsi="Arial" w:eastAsia="Arial" w:cs="Arial"/>
          <w:sz w:val="22"/>
          <w:szCs w:val="22"/>
        </w:rPr>
        <w:t>What elements are common to all high-quality ICT long sequences?</w:t>
      </w:r>
    </w:p>
    <w:p w14:paraId="531708BE">
      <w:pPr>
        <w:pStyle w:val="16"/>
        <w:numPr>
          <w:ilvl w:val="0"/>
          <w:numId w:val="2"/>
        </w:numPr>
        <w:spacing w:after="120" w:line="276" w:lineRule="auto"/>
      </w:pPr>
      <w:r>
        <w:rPr>
          <w:rFonts w:ascii="Arial" w:hAnsi="Arial" w:eastAsia="Arial" w:cs="Arial"/>
          <w:sz w:val="22"/>
          <w:szCs w:val="22"/>
        </w:rPr>
        <w:t>When is Variation B preferred over Variation A?</w:t>
      </w:r>
    </w:p>
    <w:p w14:paraId="59AB3EB0">
      <w:pPr>
        <w:pStyle w:val="16"/>
        <w:numPr>
          <w:ilvl w:val="0"/>
          <w:numId w:val="2"/>
        </w:numPr>
        <w:spacing w:after="120" w:line="276" w:lineRule="auto"/>
      </w:pPr>
      <w:r>
        <w:rPr>
          <w:rFonts w:ascii="Arial" w:hAnsi="Arial" w:eastAsia="Arial" w:cs="Arial"/>
          <w:sz w:val="22"/>
          <w:szCs w:val="22"/>
        </w:rPr>
        <w:t>Why must IFVG polarity be demonstrated before entry?</w:t>
      </w:r>
    </w:p>
    <w:p w14:paraId="1235F96F">
      <w:pPr>
        <w:pStyle w:val="16"/>
        <w:numPr>
          <w:ilvl w:val="0"/>
          <w:numId w:val="2"/>
        </w:numPr>
        <w:spacing w:after="120" w:line="276" w:lineRule="auto"/>
      </w:pPr>
      <w:r>
        <w:rPr>
          <w:rFonts w:ascii="Arial" w:hAnsi="Arial" w:eastAsia="Arial" w:cs="Arial"/>
          <w:sz w:val="22"/>
          <w:szCs w:val="22"/>
        </w:rPr>
        <w:t>List the eight items on the eligibility checklist.</w:t>
      </w:r>
    </w:p>
    <w:p w14:paraId="271285FA">
      <w:pPr>
        <w:pStyle w:val="16"/>
        <w:numPr>
          <w:ilvl w:val="0"/>
          <w:numId w:val="2"/>
        </w:numPr>
        <w:spacing w:after="120" w:line="276" w:lineRule="auto"/>
      </w:pPr>
      <w:r>
        <w:rPr>
          <w:rFonts w:ascii="Arial" w:hAnsi="Arial" w:eastAsia="Arial" w:cs="Arial"/>
          <w:sz w:val="22"/>
          <w:szCs w:val="22"/>
        </w:rPr>
        <w:t>How does trade invalidation differ from narrative invalidation?</w:t>
      </w:r>
    </w:p>
    <w:p w14:paraId="0D2E459E">
      <w:pPr>
        <w:pStyle w:val="3"/>
        <w:spacing w:before="280" w:after="180"/>
      </w:pPr>
      <w:r>
        <w:rPr>
          <w:rFonts w:ascii="Arial" w:hAnsi="Arial" w:eastAsia="Arial" w:cs="Arial"/>
          <w:b/>
          <w:bCs/>
          <w:sz w:val="26"/>
          <w:szCs w:val="26"/>
        </w:rPr>
        <w:t>Transition to Module 12</w:t>
      </w:r>
    </w:p>
    <w:p w14:paraId="6E6560A5">
      <w:pPr>
        <w:spacing w:after="200" w:line="276" w:lineRule="auto"/>
      </w:pPr>
      <w:r>
        <w:rPr>
          <w:rFonts w:ascii="Arial" w:hAnsi="Arial" w:eastAsia="Arial" w:cs="Arial"/>
          <w:sz w:val="22"/>
          <w:szCs w:val="22"/>
        </w:rPr>
        <w:t>Module 11 has organised bullish delivery sequences under narrative control. Module 12 (Advanced ICT Sell Model) will present the exact mirror: bearish delivery sequences, their variations, eligibility conditions and invalidation rules, always subordinated to the multi-timeframe narrative and bias.</w:t>
      </w:r>
    </w:p>
    <w:p w14:paraId="1B1866F0">
      <w:pPr>
        <w:spacing w:after="200" w:line="276" w:lineRule="auto"/>
        <w:rPr>
          <w:rFonts w:ascii="Arial" w:hAnsi="Arial" w:eastAsia="Arial" w:cs="Arial"/>
          <w:sz w:val="22"/>
          <w:szCs w:val="22"/>
        </w:rPr>
      </w:pPr>
    </w:p>
    <w:p w14:paraId="5653DF2D">
      <w:pPr>
        <w:spacing w:after="200" w:line="276" w:lineRule="auto"/>
        <w:rPr>
          <w:rFonts w:ascii="Arial" w:hAnsi="Arial" w:eastAsia="Arial" w:cs="Arial"/>
          <w:sz w:val="22"/>
          <w:szCs w:val="22"/>
        </w:rPr>
      </w:pPr>
    </w:p>
    <w:p w14:paraId="41F93A6F">
      <w:pPr>
        <w:spacing w:after="200" w:line="276" w:lineRule="auto"/>
        <w:rPr>
          <w:rFonts w:ascii="Arial" w:hAnsi="Arial" w:eastAsia="Arial" w:cs="Arial"/>
          <w:sz w:val="22"/>
          <w:szCs w:val="22"/>
        </w:rPr>
      </w:pPr>
    </w:p>
    <w:p w14:paraId="76671E14">
      <w:pPr>
        <w:spacing w:after="200" w:line="276" w:lineRule="auto"/>
        <w:rPr>
          <w:rFonts w:ascii="Arial" w:hAnsi="Arial" w:eastAsia="Arial" w:cs="Arial"/>
          <w:sz w:val="22"/>
          <w:szCs w:val="22"/>
        </w:rPr>
      </w:pPr>
    </w:p>
    <w:p w14:paraId="6F01C138">
      <w:pPr>
        <w:spacing w:after="200" w:line="276" w:lineRule="auto"/>
        <w:rPr>
          <w:rFonts w:ascii="Arial" w:hAnsi="Arial" w:eastAsia="Arial" w:cs="Arial"/>
          <w:sz w:val="22"/>
          <w:szCs w:val="22"/>
        </w:rPr>
      </w:pPr>
    </w:p>
    <w:p w14:paraId="47138FA7">
      <w:pPr>
        <w:spacing w:after="200" w:line="276" w:lineRule="auto"/>
        <w:rPr>
          <w:rFonts w:ascii="Arial" w:hAnsi="Arial" w:eastAsia="Arial" w:cs="Arial"/>
          <w:sz w:val="22"/>
          <w:szCs w:val="22"/>
        </w:rPr>
      </w:pPr>
    </w:p>
    <w:p w14:paraId="4C0FDF63">
      <w:pPr>
        <w:spacing w:after="200" w:line="276" w:lineRule="auto"/>
        <w:rPr>
          <w:rFonts w:ascii="Arial" w:hAnsi="Arial" w:eastAsia="Arial" w:cs="Arial"/>
          <w:sz w:val="22"/>
          <w:szCs w:val="22"/>
        </w:rPr>
      </w:pPr>
    </w:p>
    <w:p w14:paraId="6B9520B8">
      <w:pPr>
        <w:spacing w:after="200" w:line="276" w:lineRule="auto"/>
        <w:rPr>
          <w:rFonts w:ascii="Arial" w:hAnsi="Arial" w:eastAsia="Arial" w:cs="Arial"/>
          <w:sz w:val="22"/>
          <w:szCs w:val="22"/>
        </w:rPr>
      </w:pPr>
    </w:p>
    <w:p w14:paraId="79F17936">
      <w:pPr>
        <w:spacing w:after="200" w:line="276" w:lineRule="auto"/>
        <w:rPr>
          <w:rFonts w:ascii="Arial" w:hAnsi="Arial" w:eastAsia="Arial" w:cs="Arial"/>
          <w:sz w:val="22"/>
          <w:szCs w:val="22"/>
        </w:rPr>
      </w:pPr>
    </w:p>
    <w:p w14:paraId="2612D4A2">
      <w:pPr>
        <w:spacing w:after="200" w:line="276" w:lineRule="auto"/>
        <w:rPr>
          <w:rFonts w:ascii="Arial" w:hAnsi="Arial" w:eastAsia="Arial" w:cs="Arial"/>
          <w:sz w:val="22"/>
          <w:szCs w:val="22"/>
        </w:rPr>
      </w:pPr>
    </w:p>
    <w:p w14:paraId="51239105">
      <w:pPr>
        <w:spacing w:after="200" w:line="276" w:lineRule="auto"/>
        <w:rPr>
          <w:rFonts w:ascii="Arial" w:hAnsi="Arial" w:eastAsia="Arial" w:cs="Arial"/>
          <w:sz w:val="22"/>
          <w:szCs w:val="22"/>
        </w:rPr>
      </w:pPr>
    </w:p>
    <w:p w14:paraId="170813EA">
      <w:pPr>
        <w:spacing w:after="200" w:line="276" w:lineRule="auto"/>
        <w:rPr>
          <w:rFonts w:ascii="Arial" w:hAnsi="Arial" w:eastAsia="Arial" w:cs="Arial"/>
          <w:sz w:val="22"/>
          <w:szCs w:val="22"/>
        </w:rPr>
      </w:pPr>
    </w:p>
    <w:p w14:paraId="1F1ACED3">
      <w:pPr>
        <w:spacing w:after="200" w:line="276" w:lineRule="auto"/>
        <w:rPr>
          <w:rFonts w:ascii="Arial" w:hAnsi="Arial" w:eastAsia="Arial" w:cs="Arial"/>
          <w:sz w:val="22"/>
          <w:szCs w:val="22"/>
        </w:rPr>
      </w:pPr>
    </w:p>
    <w:p w14:paraId="6583293F">
      <w:pPr>
        <w:spacing w:after="200" w:line="276" w:lineRule="auto"/>
        <w:rPr>
          <w:rFonts w:ascii="Arial" w:hAnsi="Arial" w:eastAsia="Arial" w:cs="Arial"/>
          <w:sz w:val="22"/>
          <w:szCs w:val="22"/>
        </w:rPr>
      </w:pPr>
    </w:p>
    <w:p w14:paraId="3FB8ABC2">
      <w:pPr>
        <w:spacing w:after="200" w:line="276" w:lineRule="auto"/>
        <w:rPr>
          <w:rFonts w:ascii="Arial" w:hAnsi="Arial" w:eastAsia="Arial" w:cs="Arial"/>
          <w:sz w:val="22"/>
          <w:szCs w:val="22"/>
        </w:rPr>
      </w:pPr>
    </w:p>
    <w:p w14:paraId="3333529C">
      <w:pPr>
        <w:spacing w:after="200" w:line="276" w:lineRule="auto"/>
        <w:rPr>
          <w:rFonts w:ascii="Arial" w:hAnsi="Arial" w:eastAsia="Arial" w:cs="Arial"/>
          <w:sz w:val="22"/>
          <w:szCs w:val="22"/>
        </w:rPr>
      </w:pPr>
    </w:p>
    <w:p w14:paraId="3659552C">
      <w:pPr>
        <w:spacing w:after="200" w:line="276" w:lineRule="auto"/>
        <w:rPr>
          <w:rFonts w:ascii="Arial" w:hAnsi="Arial" w:eastAsia="Arial" w:cs="Arial"/>
          <w:sz w:val="22"/>
          <w:szCs w:val="22"/>
        </w:rPr>
      </w:pPr>
    </w:p>
    <w:p w14:paraId="3B86CB46">
      <w:pPr>
        <w:spacing w:after="200" w:line="276" w:lineRule="auto"/>
        <w:rPr>
          <w:rFonts w:ascii="Arial" w:hAnsi="Arial" w:eastAsia="Arial" w:cs="Arial"/>
          <w:sz w:val="22"/>
          <w:szCs w:val="22"/>
        </w:rPr>
      </w:pPr>
    </w:p>
    <w:p w14:paraId="50F0088B">
      <w:pPr>
        <w:spacing w:after="200" w:line="276" w:lineRule="auto"/>
        <w:rPr>
          <w:rFonts w:ascii="Arial" w:hAnsi="Arial" w:eastAsia="Arial" w:cs="Arial"/>
          <w:sz w:val="22"/>
          <w:szCs w:val="22"/>
        </w:rPr>
      </w:pPr>
    </w:p>
    <w:p w14:paraId="40F57BD2">
      <w:pPr>
        <w:spacing w:after="200" w:line="276" w:lineRule="auto"/>
        <w:rPr>
          <w:rFonts w:ascii="Arial" w:hAnsi="Arial" w:eastAsia="Arial" w:cs="Arial"/>
          <w:sz w:val="22"/>
          <w:szCs w:val="22"/>
        </w:rPr>
      </w:pPr>
    </w:p>
    <w:p w14:paraId="3105764E">
      <w:pPr>
        <w:spacing w:after="200" w:line="276" w:lineRule="auto"/>
        <w:rPr>
          <w:rFonts w:ascii="Arial" w:hAnsi="Arial" w:eastAsia="Arial" w:cs="Arial"/>
          <w:sz w:val="22"/>
          <w:szCs w:val="22"/>
        </w:rPr>
      </w:pPr>
    </w:p>
    <w:p w14:paraId="0539C61A">
      <w:pPr>
        <w:spacing w:after="200" w:line="276" w:lineRule="auto"/>
        <w:rPr>
          <w:rFonts w:ascii="Arial" w:hAnsi="Arial" w:eastAsia="Arial" w:cs="Arial"/>
          <w:sz w:val="22"/>
          <w:szCs w:val="22"/>
        </w:rPr>
      </w:pPr>
    </w:p>
    <w:p w14:paraId="4A3EAB20">
      <w:pPr>
        <w:spacing w:after="200" w:line="276" w:lineRule="auto"/>
        <w:rPr>
          <w:rFonts w:ascii="Arial" w:hAnsi="Arial" w:eastAsia="Arial" w:cs="Arial"/>
          <w:sz w:val="22"/>
          <w:szCs w:val="22"/>
        </w:rPr>
      </w:pPr>
    </w:p>
    <w:p w14:paraId="5FB79D6C">
      <w:pPr>
        <w:spacing w:after="200" w:line="276" w:lineRule="auto"/>
        <w:rPr>
          <w:rFonts w:ascii="Arial" w:hAnsi="Arial" w:eastAsia="Arial" w:cs="Arial"/>
          <w:sz w:val="22"/>
          <w:szCs w:val="22"/>
        </w:rPr>
      </w:pPr>
    </w:p>
    <w:p w14:paraId="4FC0C3BB">
      <w:pPr>
        <w:spacing w:after="200" w:line="276" w:lineRule="auto"/>
        <w:rPr>
          <w:rFonts w:ascii="Arial" w:hAnsi="Arial" w:eastAsia="Arial" w:cs="Arial"/>
          <w:sz w:val="22"/>
          <w:szCs w:val="22"/>
        </w:rPr>
      </w:pPr>
    </w:p>
    <w:p w14:paraId="03775A17">
      <w:pPr>
        <w:spacing w:after="400"/>
        <w:jc w:val="center"/>
      </w:pPr>
      <w:r>
        <w:rPr>
          <w:rFonts w:ascii="Arial" w:hAnsi="Arial" w:eastAsia="Arial" w:cs="Arial"/>
          <w:b/>
          <w:bCs/>
          <w:sz w:val="36"/>
          <w:szCs w:val="36"/>
        </w:rPr>
        <w:t>MODULE 12</w:t>
      </w:r>
    </w:p>
    <w:p w14:paraId="069F1F06">
      <w:pPr>
        <w:spacing w:after="200"/>
        <w:jc w:val="center"/>
      </w:pPr>
      <w:r>
        <w:rPr>
          <w:rFonts w:ascii="Arial" w:hAnsi="Arial" w:eastAsia="Arial" w:cs="Arial"/>
          <w:b/>
          <w:bCs/>
          <w:sz w:val="28"/>
          <w:szCs w:val="28"/>
        </w:rPr>
        <w:t>Advanced ICT Sell Model</w:t>
      </w:r>
    </w:p>
    <w:p w14:paraId="4EBAD913">
      <w:pPr>
        <w:spacing w:after="400"/>
        <w:jc w:val="center"/>
      </w:pPr>
      <w:r>
        <w:rPr>
          <w:rFonts w:ascii="Arial" w:hAnsi="Arial" w:eastAsia="Arial" w:cs="Arial"/>
          <w:i/>
          <w:iCs/>
          <w:sz w:val="20"/>
          <w:szCs w:val="20"/>
        </w:rPr>
        <w:t>Narrative-Conditioned Bearish Delivery Sequences, Variations, Eligibility Conditions, Invalidation &amp; Model Selection</w:t>
      </w:r>
    </w:p>
    <w:p w14:paraId="649709C7">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Modules 1–11. This module is the exact mirror of Module 11. Labels A–D remain pedagogical organising devices, not official ICT model names. Every short is an expression of the multi-timeframe narrative and bearish bias, never a standalone pattern.</w:t>
      </w:r>
    </w:p>
    <w:p w14:paraId="6F3ECC7A">
      <w:pPr>
        <w:pStyle w:val="2"/>
        <w:spacing w:before="360" w:after="240"/>
      </w:pPr>
      <w:r>
        <w:rPr>
          <w:rFonts w:ascii="Arial" w:hAnsi="Arial" w:eastAsia="Arial" w:cs="Arial"/>
          <w:b/>
          <w:bCs/>
          <w:sz w:val="32"/>
          <w:szCs w:val="32"/>
        </w:rPr>
        <w:t>Module Objectives</w:t>
      </w:r>
    </w:p>
    <w:p w14:paraId="4D47DE04">
      <w:pPr>
        <w:spacing w:after="200" w:line="276" w:lineRule="auto"/>
      </w:pPr>
      <w:r>
        <w:rPr>
          <w:rFonts w:ascii="Arial" w:hAnsi="Arial" w:eastAsia="Arial" w:cs="Arial"/>
          <w:sz w:val="22"/>
          <w:szCs w:val="22"/>
        </w:rPr>
        <w:t>By the end of this module the advanced student should be able to:</w:t>
      </w:r>
    </w:p>
    <w:p w14:paraId="23A04667">
      <w:pPr>
        <w:pStyle w:val="16"/>
        <w:numPr>
          <w:ilvl w:val="0"/>
          <w:numId w:val="1"/>
        </w:numPr>
        <w:spacing w:after="120" w:line="276" w:lineRule="auto"/>
      </w:pPr>
      <w:r>
        <w:rPr>
          <w:rFonts w:ascii="Arial" w:hAnsi="Arial" w:eastAsia="Arial" w:cs="Arial"/>
          <w:sz w:val="22"/>
          <w:szCs w:val="22"/>
        </w:rPr>
        <w:t>State the core bearish delivery sequence that underlies most ICT short examples.</w:t>
      </w:r>
    </w:p>
    <w:p w14:paraId="30739CD5">
      <w:pPr>
        <w:pStyle w:val="16"/>
        <w:numPr>
          <w:ilvl w:val="0"/>
          <w:numId w:val="1"/>
        </w:numPr>
        <w:spacing w:after="120" w:line="276" w:lineRule="auto"/>
      </w:pPr>
      <w:r>
        <w:rPr>
          <w:rFonts w:ascii="Arial" w:hAnsi="Arial" w:eastAsia="Arial" w:cs="Arial"/>
          <w:sz w:val="22"/>
          <w:szCs w:val="22"/>
        </w:rPr>
        <w:t>Distinguish the common bearish variations (FVG/OTE-centred, Breaker-centred, IFVG-centred, pure PD-array reaction) by the element that supplies the entry.</w:t>
      </w:r>
    </w:p>
    <w:p w14:paraId="2BDACD08">
      <w:pPr>
        <w:pStyle w:val="16"/>
        <w:numPr>
          <w:ilvl w:val="0"/>
          <w:numId w:val="1"/>
        </w:numPr>
        <w:spacing w:after="120" w:line="276" w:lineRule="auto"/>
      </w:pPr>
      <w:r>
        <w:rPr>
          <w:rFonts w:ascii="Arial" w:hAnsi="Arial" w:eastAsia="Arial" w:cs="Arial"/>
          <w:sz w:val="22"/>
          <w:szCs w:val="22"/>
        </w:rPr>
        <w:t>Apply the full eligibility checklist before any short entry.</w:t>
      </w:r>
    </w:p>
    <w:p w14:paraId="0545242F">
      <w:pPr>
        <w:pStyle w:val="16"/>
        <w:numPr>
          <w:ilvl w:val="0"/>
          <w:numId w:val="1"/>
        </w:numPr>
        <w:spacing w:after="120" w:line="276" w:lineRule="auto"/>
      </w:pPr>
      <w:r>
        <w:rPr>
          <w:rFonts w:ascii="Arial" w:hAnsi="Arial" w:eastAsia="Arial" w:cs="Arial"/>
          <w:sz w:val="22"/>
          <w:szCs w:val="22"/>
        </w:rPr>
        <w:t>Select the variation that best matches the active bearish narrative.</w:t>
      </w:r>
    </w:p>
    <w:p w14:paraId="69ECA500">
      <w:pPr>
        <w:pStyle w:val="16"/>
        <w:numPr>
          <w:ilvl w:val="0"/>
          <w:numId w:val="1"/>
        </w:numPr>
        <w:spacing w:after="120" w:line="276" w:lineRule="auto"/>
      </w:pPr>
      <w:r>
        <w:rPr>
          <w:rFonts w:ascii="Arial" w:hAnsi="Arial" w:eastAsia="Arial" w:cs="Arial"/>
          <w:sz w:val="22"/>
          <w:szCs w:val="22"/>
        </w:rPr>
        <w:t>Define trade-level and narrative-level invalidation for every short.</w:t>
      </w:r>
    </w:p>
    <w:p w14:paraId="60B31B63">
      <w:pPr>
        <w:pStyle w:val="16"/>
        <w:numPr>
          <w:ilvl w:val="0"/>
          <w:numId w:val="1"/>
        </w:numPr>
        <w:spacing w:after="120" w:line="276" w:lineRule="auto"/>
      </w:pPr>
      <w:r>
        <w:rPr>
          <w:rFonts w:ascii="Arial" w:hAnsi="Arial" w:eastAsia="Arial" w:cs="Arial"/>
          <w:sz w:val="22"/>
          <w:szCs w:val="22"/>
        </w:rPr>
        <w:t>Maintain full symmetry with the buy-side framework so that directional bias, not preference, decides whether a long or short model is used.</w:t>
      </w:r>
    </w:p>
    <w:p w14:paraId="4B9CCB01">
      <w:pPr>
        <w:pStyle w:val="2"/>
        <w:spacing w:before="360" w:after="240"/>
      </w:pPr>
      <w:r>
        <w:rPr>
          <w:rFonts w:ascii="Arial" w:hAnsi="Arial" w:eastAsia="Arial" w:cs="Arial"/>
          <w:b/>
          <w:bCs/>
          <w:sz w:val="32"/>
          <w:szCs w:val="32"/>
        </w:rPr>
        <w:t>1. Core Bearish Delivery Sequence</w:t>
      </w:r>
    </w:p>
    <w:p w14:paraId="371B1A8E">
      <w:pPr>
        <w:pStyle w:val="3"/>
        <w:spacing w:before="280" w:after="180"/>
      </w:pPr>
      <w:r>
        <w:rPr>
          <w:rFonts w:ascii="Arial" w:hAnsi="Arial" w:eastAsia="Arial" w:cs="Arial"/>
          <w:b/>
          <w:bCs/>
          <w:sz w:val="26"/>
          <w:szCs w:val="26"/>
        </w:rPr>
        <w:t>1.1 The Common Thread</w:t>
      </w:r>
    </w:p>
    <w:p w14:paraId="110B642E">
      <w:pPr>
        <w:spacing w:after="200" w:line="276" w:lineRule="auto"/>
      </w:pPr>
      <w:r>
        <w:rPr>
          <w:rFonts w:ascii="Arial" w:hAnsi="Arial" w:eastAsia="Arial" w:cs="Arial"/>
          <w:sz w:val="22"/>
          <w:szCs w:val="22"/>
        </w:rPr>
        <w:t>High-quality ICT shorts share this skeleton:</w:t>
      </w:r>
    </w:p>
    <w:p w14:paraId="7A05AE3A">
      <w:pPr>
        <w:pStyle w:val="16"/>
        <w:numPr>
          <w:ilvl w:val="0"/>
          <w:numId w:val="1"/>
        </w:numPr>
        <w:spacing w:after="120" w:line="276" w:lineRule="auto"/>
      </w:pPr>
      <w:r>
        <w:rPr>
          <w:rFonts w:ascii="Arial" w:hAnsi="Arial" w:eastAsia="Arial" w:cs="Arial"/>
          <w:sz w:val="22"/>
          <w:szCs w:val="22"/>
        </w:rPr>
        <w:t>Higher-timeframe bearish narrative / bias with a named sell-side Draw on Liquidity.</w:t>
      </w:r>
    </w:p>
    <w:p w14:paraId="4438234D">
      <w:pPr>
        <w:pStyle w:val="16"/>
        <w:numPr>
          <w:ilvl w:val="0"/>
          <w:numId w:val="1"/>
        </w:numPr>
        <w:spacing w:after="120" w:line="276" w:lineRule="auto"/>
      </w:pPr>
      <w:r>
        <w:rPr>
          <w:rFonts w:ascii="Arial" w:hAnsi="Arial" w:eastAsia="Arial" w:cs="Arial"/>
          <w:sz w:val="22"/>
          <w:szCs w:val="22"/>
        </w:rPr>
        <w:t>Price in premium (or returning to premium) of the controlling dealing range.</w:t>
      </w:r>
    </w:p>
    <w:p w14:paraId="2CD56CD4">
      <w:pPr>
        <w:pStyle w:val="16"/>
        <w:numPr>
          <w:ilvl w:val="0"/>
          <w:numId w:val="1"/>
        </w:numPr>
        <w:spacing w:after="120" w:line="276" w:lineRule="auto"/>
      </w:pPr>
      <w:r>
        <w:rPr>
          <w:rFonts w:ascii="Arial" w:hAnsi="Arial" w:eastAsia="Arial" w:cs="Arial"/>
          <w:sz w:val="22"/>
          <w:szCs w:val="22"/>
        </w:rPr>
        <w:t>Buy-side liquidity is raided (BSL, often relative equal highs or session/Asian high).</w:t>
      </w:r>
    </w:p>
    <w:p w14:paraId="19A5B23D">
      <w:pPr>
        <w:pStyle w:val="16"/>
        <w:numPr>
          <w:ilvl w:val="0"/>
          <w:numId w:val="1"/>
        </w:numPr>
        <w:spacing w:after="120" w:line="276" w:lineRule="auto"/>
      </w:pPr>
      <w:r>
        <w:rPr>
          <w:rFonts w:ascii="Arial" w:hAnsi="Arial" w:eastAsia="Arial" w:cs="Arial"/>
          <w:sz w:val="22"/>
          <w:szCs w:val="22"/>
        </w:rPr>
        <w:t>Bearish displacement leaves imbalance and breaks structure (MSS).</w:t>
      </w:r>
    </w:p>
    <w:p w14:paraId="020C3107">
      <w:pPr>
        <w:pStyle w:val="16"/>
        <w:numPr>
          <w:ilvl w:val="0"/>
          <w:numId w:val="1"/>
        </w:numPr>
        <w:spacing w:after="120" w:line="276" w:lineRule="auto"/>
      </w:pPr>
      <w:r>
        <w:rPr>
          <w:rFonts w:ascii="Arial" w:hAnsi="Arial" w:eastAsia="Arial" w:cs="Arial"/>
          <w:sz w:val="22"/>
          <w:szCs w:val="22"/>
        </w:rPr>
        <w:t>Retracement into a PD array (FVG, Order Block, CE, or refined OTE) that sits in premium.</w:t>
      </w:r>
    </w:p>
    <w:p w14:paraId="21ADA8DD">
      <w:pPr>
        <w:pStyle w:val="16"/>
        <w:numPr>
          <w:ilvl w:val="0"/>
          <w:numId w:val="1"/>
        </w:numPr>
        <w:spacing w:after="120" w:line="276" w:lineRule="auto"/>
      </w:pPr>
      <w:r>
        <w:rPr>
          <w:rFonts w:ascii="Arial" w:hAnsi="Arial" w:eastAsia="Arial" w:cs="Arial"/>
          <w:sz w:val="22"/>
          <w:szCs w:val="22"/>
        </w:rPr>
        <w:t>Continuation toward the named sell-side DOL.</w:t>
      </w:r>
    </w:p>
    <w:p w14:paraId="33236300">
      <w:pPr>
        <w:pStyle w:val="3"/>
        <w:spacing w:before="280" w:after="180"/>
      </w:pPr>
      <w:r>
        <w:rPr>
          <w:rFonts w:ascii="Arial" w:hAnsi="Arial" w:eastAsia="Arial" w:cs="Arial"/>
          <w:b/>
          <w:bCs/>
          <w:sz w:val="26"/>
          <w:szCs w:val="26"/>
        </w:rPr>
        <w:t>1.2 Symmetry with Module 11</w:t>
      </w:r>
    </w:p>
    <w:p w14:paraId="3832C493">
      <w:pPr>
        <w:spacing w:after="200" w:line="276" w:lineRule="auto"/>
      </w:pPr>
      <w:r>
        <w:rPr>
          <w:rFonts w:ascii="Arial" w:hAnsi="Arial" w:eastAsia="Arial" w:cs="Arial"/>
          <w:sz w:val="22"/>
          <w:szCs w:val="22"/>
        </w:rPr>
        <w:t>Every element is the mirror of the bullish skeleton. The advanced student who has internalised Module 11 needs only to invert direction, liquidity side, and premium/discount location.</w:t>
      </w:r>
    </w:p>
    <w:p w14:paraId="620E20A2">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The bearish skeleton is the consistent mirror of the bullish sequences demonstrated throughout ICT teaching. Pedagogical variation labels are not official ICT names.</w:t>
      </w:r>
    </w:p>
    <w:p w14:paraId="50D44941">
      <w:pPr>
        <w:pStyle w:val="2"/>
        <w:spacing w:before="360" w:after="240"/>
      </w:pPr>
      <w:r>
        <w:rPr>
          <w:rFonts w:ascii="Arial" w:hAnsi="Arial" w:eastAsia="Arial" w:cs="Arial"/>
          <w:b/>
          <w:bCs/>
          <w:sz w:val="32"/>
          <w:szCs w:val="32"/>
        </w:rPr>
        <w:t>2. Variation A — Classic FVG / OTE Continuation (Bearish)</w:t>
      </w:r>
    </w:p>
    <w:p w14:paraId="0D5E2382">
      <w:pPr>
        <w:pStyle w:val="3"/>
        <w:spacing w:before="280" w:after="180"/>
      </w:pPr>
      <w:r>
        <w:rPr>
          <w:rFonts w:ascii="Arial" w:hAnsi="Arial" w:eastAsia="Arial" w:cs="Arial"/>
          <w:b/>
          <w:bCs/>
          <w:sz w:val="26"/>
          <w:szCs w:val="26"/>
        </w:rPr>
        <w:t>2.1 Sequence</w:t>
      </w:r>
    </w:p>
    <w:p w14:paraId="705EB025">
      <w:pPr>
        <w:spacing w:after="200" w:line="276" w:lineRule="auto"/>
      </w:pPr>
      <w:r>
        <w:rPr>
          <w:rFonts w:ascii="Arial" w:hAnsi="Arial" w:eastAsia="Arial" w:cs="Arial"/>
          <w:sz w:val="22"/>
          <w:szCs w:val="22"/>
        </w:rPr>
        <w:t>HTF bearish narrative → BSL raid → bearish displacement + MSS → FVG (and/or Order Block) in premium → retracement into FVG / Consequent Encroachment / OTE of the displacement leg → continuation toward sell-side DOL.</w:t>
      </w:r>
    </w:p>
    <w:p w14:paraId="19AB66AA">
      <w:pPr>
        <w:pStyle w:val="3"/>
        <w:spacing w:before="280" w:after="180"/>
      </w:pPr>
      <w:r>
        <w:rPr>
          <w:rFonts w:ascii="Arial" w:hAnsi="Arial" w:eastAsia="Arial" w:cs="Arial"/>
          <w:b/>
          <w:bCs/>
          <w:sz w:val="26"/>
          <w:szCs w:val="26"/>
        </w:rPr>
        <w:t>2.2 Eligibility</w:t>
      </w:r>
    </w:p>
    <w:p w14:paraId="68D9BA4D">
      <w:pPr>
        <w:spacing w:after="200" w:line="276" w:lineRule="auto"/>
      </w:pPr>
      <w:r>
        <w:rPr>
          <w:rFonts w:ascii="Arial" w:hAnsi="Arial" w:eastAsia="Arial" w:cs="Arial"/>
          <w:sz w:val="22"/>
          <w:szCs w:val="22"/>
        </w:rPr>
        <w:t>Daily (or higher) bias bearish and not invalidated; price in premium of controlling range; expected kill zone produces the BSL raid and displacement; FVG/OB remains unmitigated and correctly located.</w:t>
      </w:r>
    </w:p>
    <w:p w14:paraId="72F89F8C">
      <w:pPr>
        <w:pStyle w:val="3"/>
        <w:spacing w:before="280" w:after="180"/>
      </w:pPr>
      <w:r>
        <w:rPr>
          <w:rFonts w:ascii="Arial" w:hAnsi="Arial" w:eastAsia="Arial" w:cs="Arial"/>
          <w:b/>
          <w:bCs/>
          <w:sz w:val="26"/>
          <w:szCs w:val="26"/>
        </w:rPr>
        <w:t>2.3 Invalidation</w:t>
      </w:r>
    </w:p>
    <w:p w14:paraId="484A571A">
      <w:pPr>
        <w:spacing w:after="200" w:line="276" w:lineRule="auto"/>
      </w:pPr>
      <w:r>
        <w:rPr>
          <w:rFonts w:ascii="Arial" w:hAnsi="Arial" w:eastAsia="Arial" w:cs="Arial"/>
          <w:sz w:val="22"/>
          <w:szCs w:val="22"/>
        </w:rPr>
        <w:t>Trade-level: decisive close above the displacement origin or above the far side of the entry array. Narrative-level: daily or weekly invalidation as defined in the bearish bias statement.</w:t>
      </w:r>
    </w:p>
    <w:p w14:paraId="6A475D99">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 — Directly and repeatedly supported by ICT examples.</w:t>
      </w:r>
    </w:p>
    <w:p w14:paraId="37358CF3">
      <w:pPr>
        <w:pStyle w:val="2"/>
        <w:spacing w:before="360" w:after="240"/>
      </w:pPr>
      <w:r>
        <w:rPr>
          <w:rFonts w:ascii="Arial" w:hAnsi="Arial" w:eastAsia="Arial" w:cs="Arial"/>
          <w:b/>
          <w:bCs/>
          <w:sz w:val="32"/>
          <w:szCs w:val="32"/>
        </w:rPr>
        <w:t>3. Variation B — Breaker Continuation (Bearish)</w:t>
      </w:r>
    </w:p>
    <w:p w14:paraId="3AF57884">
      <w:pPr>
        <w:pStyle w:val="3"/>
        <w:spacing w:before="280" w:after="180"/>
      </w:pPr>
      <w:r>
        <w:rPr>
          <w:rFonts w:ascii="Arial" w:hAnsi="Arial" w:eastAsia="Arial" w:cs="Arial"/>
          <w:b/>
          <w:bCs/>
          <w:sz w:val="26"/>
          <w:szCs w:val="26"/>
        </w:rPr>
        <w:t>3.1 Sequence</w:t>
      </w:r>
    </w:p>
    <w:p w14:paraId="174A972D">
      <w:pPr>
        <w:spacing w:after="200" w:line="276" w:lineRule="auto"/>
      </w:pPr>
      <w:r>
        <w:rPr>
          <w:rFonts w:ascii="Arial" w:hAnsi="Arial" w:eastAsia="Arial" w:cs="Arial"/>
          <w:sz w:val="22"/>
          <w:szCs w:val="22"/>
        </w:rPr>
        <w:t>HTF bearish narrative → external or significant BSL is taken → a prior bullish Order Block is violated by bearish displacement (the OB becomes a bearish Breaker) → price returns to the Breaker in premium → continuation lower.</w:t>
      </w:r>
    </w:p>
    <w:p w14:paraId="78911E46">
      <w:pPr>
        <w:pStyle w:val="3"/>
        <w:spacing w:before="280" w:after="180"/>
      </w:pPr>
      <w:r>
        <w:rPr>
          <w:rFonts w:ascii="Arial" w:hAnsi="Arial" w:eastAsia="Arial" w:cs="Arial"/>
          <w:b/>
          <w:bCs/>
          <w:sz w:val="26"/>
          <w:szCs w:val="26"/>
        </w:rPr>
        <w:t>3.2 Eligibility</w:t>
      </w:r>
    </w:p>
    <w:p w14:paraId="7E7F23F1">
      <w:pPr>
        <w:spacing w:after="200" w:line="276" w:lineRule="auto"/>
      </w:pPr>
      <w:r>
        <w:rPr>
          <w:rFonts w:ascii="Arial" w:hAnsi="Arial" w:eastAsia="Arial" w:cs="Arial"/>
          <w:sz w:val="22"/>
          <w:szCs w:val="22"/>
        </w:rPr>
        <w:t>The violated OB was high-quality; violation is accompanied by genuine displacement and MSS; return to the Breaker occurs in premium; HTF bias remains bearish.</w:t>
      </w:r>
    </w:p>
    <w:p w14:paraId="012C7A83">
      <w:pPr>
        <w:pStyle w:val="3"/>
        <w:spacing w:before="280" w:after="180"/>
      </w:pPr>
      <w:r>
        <w:rPr>
          <w:rFonts w:ascii="Arial" w:hAnsi="Arial" w:eastAsia="Arial" w:cs="Arial"/>
          <w:b/>
          <w:bCs/>
          <w:sz w:val="26"/>
          <w:szCs w:val="26"/>
        </w:rPr>
        <w:t>3.3 Invalidation</w:t>
      </w:r>
    </w:p>
    <w:p w14:paraId="71AB6DD6">
      <w:pPr>
        <w:spacing w:after="200" w:line="276" w:lineRule="auto"/>
      </w:pPr>
      <w:r>
        <w:rPr>
          <w:rFonts w:ascii="Arial" w:hAnsi="Arial" w:eastAsia="Arial" w:cs="Arial"/>
          <w:sz w:val="22"/>
          <w:szCs w:val="22"/>
        </w:rPr>
        <w:t>Trade-level: close back above the Breaker extreme or above the origin of the bearish displacement. Narrative-level: higher-timeframe invalidation.</w:t>
      </w:r>
    </w:p>
    <w:p w14:paraId="1B65B65C">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Consistent with primary ICT Breaker teaching.</w:t>
      </w:r>
    </w:p>
    <w:p w14:paraId="10D62A2B">
      <w:pPr>
        <w:pStyle w:val="2"/>
        <w:spacing w:before="360" w:after="240"/>
      </w:pPr>
      <w:r>
        <w:rPr>
          <w:rFonts w:ascii="Arial" w:hAnsi="Arial" w:eastAsia="Arial" w:cs="Arial"/>
          <w:b/>
          <w:bCs/>
          <w:sz w:val="32"/>
          <w:szCs w:val="32"/>
        </w:rPr>
        <w:t>4. Variation C — IFVG Continuation (Bearish)</w:t>
      </w:r>
    </w:p>
    <w:p w14:paraId="5E726296">
      <w:pPr>
        <w:pStyle w:val="3"/>
        <w:spacing w:before="280" w:after="180"/>
      </w:pPr>
      <w:r>
        <w:rPr>
          <w:rFonts w:ascii="Arial" w:hAnsi="Arial" w:eastAsia="Arial" w:cs="Arial"/>
          <w:b/>
          <w:bCs/>
          <w:sz w:val="26"/>
          <w:szCs w:val="26"/>
        </w:rPr>
        <w:t>4.1 Sequence</w:t>
      </w:r>
    </w:p>
    <w:p w14:paraId="7EB15EA2">
      <w:pPr>
        <w:spacing w:after="200" w:line="276" w:lineRule="auto"/>
      </w:pPr>
      <w:r>
        <w:rPr>
          <w:rFonts w:ascii="Arial" w:hAnsi="Arial" w:eastAsia="Arial" w:cs="Arial"/>
          <w:sz w:val="22"/>
          <w:szCs w:val="22"/>
        </w:rPr>
        <w:t>HTF bearish narrative → liquidity sweep (often of buy-side) → a prior bullish FVG is traded through and later acts as resistance (IFVG) → continuation lower after inversion is demonstrated.</w:t>
      </w:r>
    </w:p>
    <w:p w14:paraId="05FFD993">
      <w:pPr>
        <w:pStyle w:val="3"/>
        <w:spacing w:before="280" w:after="180"/>
      </w:pPr>
      <w:r>
        <w:rPr>
          <w:rFonts w:ascii="Arial" w:hAnsi="Arial" w:eastAsia="Arial" w:cs="Arial"/>
          <w:b/>
          <w:bCs/>
          <w:sz w:val="26"/>
          <w:szCs w:val="26"/>
        </w:rPr>
        <w:t>4.2 Eligibility &amp; Caution</w:t>
      </w:r>
    </w:p>
    <w:p w14:paraId="407D9275">
      <w:pPr>
        <w:spacing w:after="200" w:line="276" w:lineRule="auto"/>
      </w:pPr>
      <w:r>
        <w:rPr>
          <w:rFonts w:ascii="Arial" w:hAnsi="Arial" w:eastAsia="Arial" w:cs="Arial"/>
          <w:sz w:val="22"/>
          <w:szCs w:val="22"/>
        </w:rPr>
        <w:t>Original FVG decisively traded through; subsequent action shows inverted polarity holding; IFVG sits in premium; HTF bias bearish. Do not assume inversion at the first trade-through.</w:t>
      </w:r>
    </w:p>
    <w:p w14:paraId="18A270C7">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IFVG application in the bearish direction is the mirror of the bullish case.</w:t>
      </w:r>
    </w:p>
    <w:p w14:paraId="390134BC">
      <w:pPr>
        <w:pStyle w:val="2"/>
        <w:spacing w:before="360" w:after="240"/>
      </w:pPr>
      <w:r>
        <w:rPr>
          <w:rFonts w:ascii="Arial" w:hAnsi="Arial" w:eastAsia="Arial" w:cs="Arial"/>
          <w:b/>
          <w:bCs/>
          <w:sz w:val="32"/>
          <w:szCs w:val="32"/>
        </w:rPr>
        <w:t>5. Variation D — PD-Array Reaction with LTF Confirmation (Bearish)</w:t>
      </w:r>
    </w:p>
    <w:p w14:paraId="0C9258B0">
      <w:pPr>
        <w:pStyle w:val="3"/>
        <w:spacing w:before="280" w:after="180"/>
      </w:pPr>
      <w:r>
        <w:rPr>
          <w:rFonts w:ascii="Arial" w:hAnsi="Arial" w:eastAsia="Arial" w:cs="Arial"/>
          <w:b/>
          <w:bCs/>
          <w:sz w:val="26"/>
          <w:szCs w:val="26"/>
        </w:rPr>
        <w:t>5.1 Sequence</w:t>
      </w:r>
    </w:p>
    <w:p w14:paraId="35105643">
      <w:pPr>
        <w:spacing w:after="200" w:line="276" w:lineRule="auto"/>
      </w:pPr>
      <w:r>
        <w:rPr>
          <w:rFonts w:ascii="Arial" w:hAnsi="Arial" w:eastAsia="Arial" w:cs="Arial"/>
          <w:sz w:val="22"/>
          <w:szCs w:val="22"/>
        </w:rPr>
        <w:t>HTF bearish narrative and premium location → price reaches a higher-timeframe PD array (weekly/daily OB or FVG) in premium → lower-timeframe liquidity sweep + displacement + MSS confirms → entry on LTF array inside the HTF array → continuation toward sell-side DOL.</w:t>
      </w:r>
    </w:p>
    <w:p w14:paraId="78A25C53">
      <w:pPr>
        <w:pStyle w:val="3"/>
        <w:spacing w:before="280" w:after="180"/>
      </w:pPr>
      <w:r>
        <w:rPr>
          <w:rFonts w:ascii="Arial" w:hAnsi="Arial" w:eastAsia="Arial" w:cs="Arial"/>
          <w:b/>
          <w:bCs/>
          <w:sz w:val="26"/>
          <w:szCs w:val="26"/>
        </w:rPr>
        <w:t>5.2 Role</w:t>
      </w:r>
    </w:p>
    <w:p w14:paraId="5DAD60F6">
      <w:pPr>
        <w:spacing w:after="200" w:line="276" w:lineRule="auto"/>
      </w:pPr>
      <w:r>
        <w:rPr>
          <w:rFonts w:ascii="Arial" w:hAnsi="Arial" w:eastAsia="Arial" w:cs="Arial"/>
          <w:sz w:val="22"/>
          <w:szCs w:val="22"/>
        </w:rPr>
        <w:t>Emphasises multi-timeframe nesting of arrays. Often the practical form in which Variations A–C appear.</w:t>
      </w:r>
    </w:p>
    <w:p w14:paraId="48A13738">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Core ICT multi-timeframe practice.</w:t>
      </w:r>
    </w:p>
    <w:p w14:paraId="328F1452">
      <w:pPr>
        <w:pStyle w:val="2"/>
        <w:spacing w:before="360" w:after="240"/>
      </w:pPr>
      <w:r>
        <w:rPr>
          <w:rFonts w:ascii="Arial" w:hAnsi="Arial" w:eastAsia="Arial" w:cs="Arial"/>
          <w:b/>
          <w:bCs/>
          <w:sz w:val="32"/>
          <w:szCs w:val="32"/>
        </w:rPr>
        <w:t>6. Eligibility Checklist (All Bearish Variations)</w:t>
      </w:r>
    </w:p>
    <w:p w14:paraId="311BA71B">
      <w:pPr>
        <w:spacing w:after="200" w:line="276" w:lineRule="auto"/>
      </w:pPr>
      <w:r>
        <w:rPr>
          <w:rFonts w:ascii="Arial" w:hAnsi="Arial" w:eastAsia="Arial" w:cs="Arial"/>
          <w:sz w:val="22"/>
          <w:szCs w:val="22"/>
        </w:rPr>
        <w:t>Before any short variation is traded, confirm:</w:t>
      </w:r>
    </w:p>
    <w:p w14:paraId="4AF54292">
      <w:pPr>
        <w:pStyle w:val="16"/>
        <w:numPr>
          <w:ilvl w:val="0"/>
          <w:numId w:val="2"/>
        </w:numPr>
        <w:spacing w:after="120" w:line="276" w:lineRule="auto"/>
      </w:pPr>
      <w:r>
        <w:rPr>
          <w:rFonts w:ascii="Arial" w:hAnsi="Arial" w:eastAsia="Arial" w:cs="Arial"/>
          <w:sz w:val="22"/>
          <w:szCs w:val="22"/>
        </w:rPr>
        <w:t>Higher-timeframe (at least daily) bias is bearish and not invalidated.</w:t>
      </w:r>
    </w:p>
    <w:p w14:paraId="3E8998C4">
      <w:pPr>
        <w:pStyle w:val="16"/>
        <w:numPr>
          <w:ilvl w:val="0"/>
          <w:numId w:val="2"/>
        </w:numPr>
        <w:spacing w:after="120" w:line="276" w:lineRule="auto"/>
      </w:pPr>
      <w:r>
        <w:rPr>
          <w:rFonts w:ascii="Arial" w:hAnsi="Arial" w:eastAsia="Arial" w:cs="Arial"/>
          <w:sz w:val="22"/>
          <w:szCs w:val="22"/>
        </w:rPr>
        <w:t>Named sell-side Draw on Liquidity is still active.</w:t>
      </w:r>
    </w:p>
    <w:p w14:paraId="3B63451C">
      <w:pPr>
        <w:pStyle w:val="16"/>
        <w:numPr>
          <w:ilvl w:val="0"/>
          <w:numId w:val="2"/>
        </w:numPr>
        <w:spacing w:after="120" w:line="276" w:lineRule="auto"/>
      </w:pPr>
      <w:r>
        <w:rPr>
          <w:rFonts w:ascii="Arial" w:hAnsi="Arial" w:eastAsia="Arial" w:cs="Arial"/>
          <w:sz w:val="22"/>
          <w:szCs w:val="22"/>
        </w:rPr>
        <w:t>Price is in premium of the controlling dealing range (or has just raided BSL and is returning into premium).</w:t>
      </w:r>
    </w:p>
    <w:p w14:paraId="2F040CE2">
      <w:pPr>
        <w:pStyle w:val="16"/>
        <w:numPr>
          <w:ilvl w:val="0"/>
          <w:numId w:val="2"/>
        </w:numPr>
        <w:spacing w:after="120" w:line="276" w:lineRule="auto"/>
      </w:pPr>
      <w:r>
        <w:rPr>
          <w:rFonts w:ascii="Arial" w:hAnsi="Arial" w:eastAsia="Arial" w:cs="Arial"/>
          <w:sz w:val="22"/>
          <w:szCs w:val="22"/>
        </w:rPr>
        <w:t>Buy-side liquidity has been (or is being) raided as the origin of the leg.</w:t>
      </w:r>
    </w:p>
    <w:p w14:paraId="2E95815E">
      <w:pPr>
        <w:pStyle w:val="16"/>
        <w:numPr>
          <w:ilvl w:val="0"/>
          <w:numId w:val="2"/>
        </w:numPr>
        <w:spacing w:after="120" w:line="276" w:lineRule="auto"/>
      </w:pPr>
      <w:r>
        <w:rPr>
          <w:rFonts w:ascii="Arial" w:hAnsi="Arial" w:eastAsia="Arial" w:cs="Arial"/>
          <w:sz w:val="22"/>
          <w:szCs w:val="22"/>
        </w:rPr>
        <w:t>Bearish displacement and MSS are present.</w:t>
      </w:r>
    </w:p>
    <w:p w14:paraId="6EC52746">
      <w:pPr>
        <w:pStyle w:val="16"/>
        <w:numPr>
          <w:ilvl w:val="0"/>
          <w:numId w:val="2"/>
        </w:numPr>
        <w:spacing w:after="120" w:line="276" w:lineRule="auto"/>
      </w:pPr>
      <w:r>
        <w:rPr>
          <w:rFonts w:ascii="Arial" w:hAnsi="Arial" w:eastAsia="Arial" w:cs="Arial"/>
          <w:sz w:val="22"/>
          <w:szCs w:val="22"/>
        </w:rPr>
        <w:t>The entry array sits in the correct (premium) half of the range and is unmitigated (or is a valid bearish Breaker/IFVG).</w:t>
      </w:r>
    </w:p>
    <w:p w14:paraId="37335BDF">
      <w:pPr>
        <w:pStyle w:val="16"/>
        <w:numPr>
          <w:ilvl w:val="0"/>
          <w:numId w:val="2"/>
        </w:numPr>
        <w:spacing w:after="120" w:line="276" w:lineRule="auto"/>
      </w:pPr>
      <w:r>
        <w:rPr>
          <w:rFonts w:ascii="Arial" w:hAnsi="Arial" w:eastAsia="Arial" w:cs="Arial"/>
          <w:sz w:val="22"/>
          <w:szCs w:val="22"/>
        </w:rPr>
        <w:t>The expected kill zone supports the phase (manipulation complete, distribution active).</w:t>
      </w:r>
    </w:p>
    <w:p w14:paraId="6F3D18B2">
      <w:pPr>
        <w:pStyle w:val="16"/>
        <w:numPr>
          <w:ilvl w:val="0"/>
          <w:numId w:val="2"/>
        </w:numPr>
        <w:spacing w:after="120" w:line="276" w:lineRule="auto"/>
      </w:pPr>
      <w:r>
        <w:rPr>
          <w:rFonts w:ascii="Arial" w:hAnsi="Arial" w:eastAsia="Arial" w:cs="Arial"/>
          <w:sz w:val="22"/>
          <w:szCs w:val="22"/>
        </w:rPr>
        <w:t>Trade-level and narrative-level invalidation are defined before entry.</w:t>
      </w:r>
    </w:p>
    <w:p w14:paraId="3362E7F7">
      <w:pPr>
        <w:spacing w:after="200" w:line="276" w:lineRule="auto"/>
      </w:pPr>
      <w:r>
        <w:rPr>
          <w:rFonts w:ascii="Arial" w:hAnsi="Arial" w:eastAsia="Arial" w:cs="Arial"/>
          <w:sz w:val="22"/>
          <w:szCs w:val="22"/>
        </w:rPr>
        <w:t>If any item fails, the variation is not eligible.</w:t>
      </w:r>
    </w:p>
    <w:p w14:paraId="7626963D">
      <w:pPr>
        <w:pStyle w:val="2"/>
        <w:spacing w:before="360" w:after="240"/>
      </w:pPr>
      <w:r>
        <w:rPr>
          <w:rFonts w:ascii="Arial" w:hAnsi="Arial" w:eastAsia="Arial" w:cs="Arial"/>
          <w:b/>
          <w:bCs/>
          <w:sz w:val="32"/>
          <w:szCs w:val="32"/>
        </w:rPr>
        <w:t>7. Selecting Among Bearish Variations</w:t>
      </w:r>
    </w:p>
    <w:p w14:paraId="6EEBC7B0">
      <w:pPr>
        <w:spacing w:after="200" w:line="276" w:lineRule="auto"/>
      </w:pPr>
      <w:r>
        <w:rPr>
          <w:rFonts w:ascii="Arial" w:hAnsi="Arial" w:eastAsia="Arial" w:cs="Arial"/>
          <w:sz w:val="22"/>
          <w:szCs w:val="22"/>
        </w:rPr>
        <w:t>Narrative-driven selection:</w:t>
      </w:r>
    </w:p>
    <w:p w14:paraId="630693A5">
      <w:pPr>
        <w:pStyle w:val="16"/>
        <w:numPr>
          <w:ilvl w:val="0"/>
          <w:numId w:val="1"/>
        </w:numPr>
        <w:spacing w:after="120" w:line="276" w:lineRule="auto"/>
      </w:pPr>
      <w:r>
        <w:rPr>
          <w:rFonts w:ascii="Arial" w:hAnsi="Arial" w:eastAsia="Arial" w:cs="Arial"/>
          <w:sz w:val="22"/>
          <w:szCs w:val="22"/>
        </w:rPr>
        <w:t>Clean FVG/OB in premium with OTE alignment → Variation A.</w:t>
      </w:r>
    </w:p>
    <w:p w14:paraId="1DF9CA30">
      <w:pPr>
        <w:pStyle w:val="16"/>
        <w:numPr>
          <w:ilvl w:val="0"/>
          <w:numId w:val="1"/>
        </w:numPr>
        <w:spacing w:after="120" w:line="276" w:lineRule="auto"/>
      </w:pPr>
      <w:r>
        <w:rPr>
          <w:rFonts w:ascii="Arial" w:hAnsi="Arial" w:eastAsia="Arial" w:cs="Arial"/>
          <w:sz w:val="22"/>
          <w:szCs w:val="22"/>
        </w:rPr>
        <w:t>Prior bullish OB violated and returning as bearish Breaker → Variation B.</w:t>
      </w:r>
    </w:p>
    <w:p w14:paraId="43947842">
      <w:pPr>
        <w:pStyle w:val="16"/>
        <w:numPr>
          <w:ilvl w:val="0"/>
          <w:numId w:val="1"/>
        </w:numPr>
        <w:spacing w:after="120" w:line="276" w:lineRule="auto"/>
      </w:pPr>
      <w:r>
        <w:rPr>
          <w:rFonts w:ascii="Arial" w:hAnsi="Arial" w:eastAsia="Arial" w:cs="Arial"/>
          <w:sz w:val="22"/>
          <w:szCs w:val="22"/>
        </w:rPr>
        <w:t>Prior bullish FVG inverted and holding as resistance → Variation C.</w:t>
      </w:r>
    </w:p>
    <w:p w14:paraId="7185F695">
      <w:pPr>
        <w:pStyle w:val="16"/>
        <w:numPr>
          <w:ilvl w:val="0"/>
          <w:numId w:val="1"/>
        </w:numPr>
        <w:spacing w:after="120" w:line="276" w:lineRule="auto"/>
      </w:pPr>
      <w:r>
        <w:rPr>
          <w:rFonts w:ascii="Arial" w:hAnsi="Arial" w:eastAsia="Arial" w:cs="Arial"/>
          <w:sz w:val="22"/>
          <w:szCs w:val="22"/>
        </w:rPr>
        <w:t>Primary reaction at HTF array, LTF only refines → Variation D.</w:t>
      </w:r>
    </w:p>
    <w:p w14:paraId="2498CFE8">
      <w:pPr>
        <w:spacing w:after="200" w:line="276" w:lineRule="auto"/>
      </w:pPr>
      <w:r>
        <w:rPr>
          <w:rFonts w:ascii="Arial" w:hAnsi="Arial" w:eastAsia="Arial" w:cs="Arial"/>
          <w:sz w:val="22"/>
          <w:szCs w:val="22"/>
        </w:rPr>
        <w:t>Choose the array that best combines narrative alignment, premium location and acceptable risk distance.</w:t>
      </w:r>
    </w:p>
    <w:p w14:paraId="4DA3BE8D">
      <w:pPr>
        <w:pStyle w:val="2"/>
        <w:spacing w:before="360" w:after="240"/>
      </w:pPr>
      <w:r>
        <w:rPr>
          <w:rFonts w:ascii="Arial" w:hAnsi="Arial" w:eastAsia="Arial" w:cs="Arial"/>
          <w:b/>
          <w:bCs/>
          <w:sz w:val="32"/>
          <w:szCs w:val="32"/>
        </w:rPr>
        <w:t>8. Invalidation Hierarchy</w:t>
      </w:r>
    </w:p>
    <w:p w14:paraId="50C9A73B">
      <w:pPr>
        <w:spacing w:after="200" w:line="276" w:lineRule="auto"/>
      </w:pPr>
      <w:r>
        <w:rPr>
          <w:rFonts w:ascii="Arial" w:hAnsi="Arial" w:eastAsia="Arial" w:cs="Arial"/>
          <w:sz w:val="22"/>
          <w:szCs w:val="22"/>
        </w:rPr>
        <w:t>Every short carries two invalidation levels:</w:t>
      </w:r>
    </w:p>
    <w:p w14:paraId="3F31909B">
      <w:pPr>
        <w:pStyle w:val="16"/>
        <w:numPr>
          <w:ilvl w:val="0"/>
          <w:numId w:val="1"/>
        </w:numPr>
        <w:spacing w:after="120" w:line="276" w:lineRule="auto"/>
      </w:pPr>
      <w:r>
        <w:rPr>
          <w:rFonts w:ascii="Arial" w:hAnsi="Arial" w:eastAsia="Arial" w:cs="Arial"/>
          <w:sz w:val="22"/>
          <w:szCs w:val="22"/>
        </w:rPr>
        <w:t>Trade invalidation — close beyond the entry array’s protective extreme or the displacement origin; ends the specific entry.</w:t>
      </w:r>
    </w:p>
    <w:p w14:paraId="70C55827">
      <w:pPr>
        <w:pStyle w:val="16"/>
        <w:numPr>
          <w:ilvl w:val="0"/>
          <w:numId w:val="1"/>
        </w:numPr>
        <w:spacing w:after="120" w:line="276" w:lineRule="auto"/>
      </w:pPr>
      <w:r>
        <w:rPr>
          <w:rFonts w:ascii="Arial" w:hAnsi="Arial" w:eastAsia="Arial" w:cs="Arial"/>
          <w:sz w:val="22"/>
          <w:szCs w:val="22"/>
        </w:rPr>
        <w:t>Narrative / bias invalidation — the level or condition in the bearish bias statement; retires the bearish hypothesis and forbids further short models until a new bias is constructed.</w:t>
      </w:r>
    </w:p>
    <w:p w14:paraId="68EA63BF">
      <w:pPr>
        <w:spacing w:after="200" w:line="276" w:lineRule="auto"/>
      </w:pPr>
      <w:r>
        <w:rPr>
          <w:rFonts w:ascii="Arial" w:hAnsi="Arial" w:eastAsia="Arial" w:cs="Arial"/>
          <w:sz w:val="22"/>
          <w:szCs w:val="22"/>
        </w:rPr>
        <w:t>Trade stop-out ≠ automatic narrative failure. Narrative failure does automatically retire open bearish assumptions.</w:t>
      </w:r>
    </w:p>
    <w:p w14:paraId="0A3CA0C1">
      <w:pPr>
        <w:pStyle w:val="2"/>
        <w:spacing w:before="360" w:after="240"/>
      </w:pPr>
      <w:r>
        <w:rPr>
          <w:rFonts w:ascii="Arial" w:hAnsi="Arial" w:eastAsia="Arial" w:cs="Arial"/>
          <w:b/>
          <w:bCs/>
          <w:sz w:val="32"/>
          <w:szCs w:val="32"/>
        </w:rPr>
        <w:t>9. Worked Example — Variation A (Bearish) in Context</w:t>
      </w:r>
    </w:p>
    <w:p w14:paraId="26C56181">
      <w:pPr>
        <w:spacing w:after="200" w:line="276" w:lineRule="auto"/>
      </w:pPr>
      <w:r>
        <w:rPr>
          <w:rFonts w:ascii="Arial" w:hAnsi="Arial" w:eastAsia="Arial" w:cs="Arial"/>
          <w:sz w:val="22"/>
          <w:szCs w:val="22"/>
        </w:rPr>
        <w:t>Weekly bias: bearish toward 1.0500; premium; distribution phase. Daily bias (conditional): bearish after London BSL sweep + displacement + MSS.</w:t>
      </w:r>
    </w:p>
    <w:p w14:paraId="2D5892C4">
      <w:pPr>
        <w:spacing w:after="200" w:line="276" w:lineRule="auto"/>
      </w:pPr>
      <w:r>
        <w:rPr>
          <w:rFonts w:ascii="Arial" w:hAnsi="Arial" w:eastAsia="Arial" w:cs="Arial"/>
          <w:sz w:val="22"/>
          <w:szCs w:val="22"/>
        </w:rPr>
        <w:t>London: Asian high and relative equal highs swept; bearish displacement; daily and 15-minute MSS; FVG at 1.0780–1.0810 (premium). OTE of the displacement leg overlaps the FVG.</w:t>
      </w:r>
    </w:p>
    <w:p w14:paraId="762AFA79">
      <w:pPr>
        <w:spacing w:after="200" w:line="276" w:lineRule="auto"/>
      </w:pPr>
      <w:r>
        <w:rPr>
          <w:rFonts w:ascii="Arial" w:hAnsi="Arial" w:eastAsia="Arial" w:cs="Arial"/>
          <w:sz w:val="22"/>
          <w:szCs w:val="22"/>
        </w:rPr>
        <w:t>Entry: retracement into FVG/CE during London or early New York. Stop above displacement origin. Targets: daily intermediate sell-side, then 1.0500.</w:t>
      </w:r>
    </w:p>
    <w:p w14:paraId="651452E6">
      <w:pPr>
        <w:spacing w:after="200" w:line="276" w:lineRule="auto"/>
      </w:pPr>
      <w:r>
        <w:rPr>
          <w:rFonts w:ascii="Arial" w:hAnsi="Arial" w:eastAsia="Arial" w:cs="Arial"/>
          <w:sz w:val="22"/>
          <w:szCs w:val="22"/>
        </w:rPr>
        <w:t>This is the bearish mirror of Module 11’s worked example, fully nested inside the multi-timeframe narrative and bias.</w:t>
      </w:r>
    </w:p>
    <w:p w14:paraId="197A9571">
      <w:pPr>
        <w:pStyle w:val="2"/>
        <w:spacing w:before="360" w:after="240"/>
      </w:pPr>
      <w:r>
        <w:rPr>
          <w:rFonts w:ascii="Arial" w:hAnsi="Arial" w:eastAsia="Arial" w:cs="Arial"/>
          <w:b/>
          <w:bCs/>
          <w:sz w:val="32"/>
          <w:szCs w:val="32"/>
        </w:rPr>
        <w:t>Visual Reference — Core Bearish Skeleton</w:t>
      </w:r>
    </w:p>
    <w:p w14:paraId="5BA4CC44">
      <w:pPr>
        <w:spacing w:after="0" w:line="240" w:lineRule="auto"/>
      </w:pPr>
      <w:r>
        <w:rPr>
          <w:rFonts w:ascii="Courier New" w:hAnsi="Courier New" w:eastAsia="Courier New" w:cs="Courier New"/>
          <w:sz w:val="18"/>
          <w:szCs w:val="18"/>
        </w:rPr>
        <w:t>HTF bearish bias + premium location</w:t>
      </w:r>
    </w:p>
    <w:p w14:paraId="47DD7347">
      <w:pPr>
        <w:spacing w:after="0" w:line="240" w:lineRule="auto"/>
      </w:pPr>
      <w:r>
        <w:rPr>
          <w:rFonts w:ascii="Courier New" w:hAnsi="Courier New" w:eastAsia="Courier New" w:cs="Courier New"/>
          <w:sz w:val="18"/>
          <w:szCs w:val="18"/>
        </w:rPr>
        <w:t xml:space="preserve">        │</w:t>
      </w:r>
    </w:p>
    <w:p w14:paraId="36604328">
      <w:pPr>
        <w:spacing w:after="0" w:line="240" w:lineRule="auto"/>
      </w:pPr>
      <w:r>
        <w:rPr>
          <w:rFonts w:ascii="Courier New" w:hAnsi="Courier New" w:eastAsia="Courier New" w:cs="Courier New"/>
          <w:sz w:val="18"/>
          <w:szCs w:val="18"/>
        </w:rPr>
        <w:t xml:space="preserve">   BSL raid (origin)</w:t>
      </w:r>
    </w:p>
    <w:p w14:paraId="09E62E92">
      <w:pPr>
        <w:spacing w:after="0" w:line="240" w:lineRule="auto"/>
      </w:pPr>
      <w:r>
        <w:rPr>
          <w:rFonts w:ascii="Courier New" w:hAnsi="Courier New" w:eastAsia="Courier New" w:cs="Courier New"/>
          <w:sz w:val="18"/>
          <w:szCs w:val="18"/>
        </w:rPr>
        <w:t xml:space="preserve">        │</w:t>
      </w:r>
    </w:p>
    <w:p w14:paraId="26FE4142">
      <w:pPr>
        <w:spacing w:after="0" w:line="240" w:lineRule="auto"/>
      </w:pPr>
      <w:r>
        <w:rPr>
          <w:rFonts w:ascii="Courier New" w:hAnsi="Courier New" w:eastAsia="Courier New" w:cs="Courier New"/>
          <w:sz w:val="18"/>
          <w:szCs w:val="18"/>
        </w:rPr>
        <w:t xml:space="preserve">   Bearish displacement + MSS</w:t>
      </w:r>
    </w:p>
    <w:p w14:paraId="4E453898">
      <w:pPr>
        <w:spacing w:after="0" w:line="240" w:lineRule="auto"/>
      </w:pPr>
      <w:r>
        <w:rPr>
          <w:rFonts w:ascii="Courier New" w:hAnsi="Courier New" w:eastAsia="Courier New" w:cs="Courier New"/>
          <w:sz w:val="18"/>
          <w:szCs w:val="18"/>
        </w:rPr>
        <w:t xml:space="preserve">        │ retracement entry</w:t>
      </w:r>
    </w:p>
    <w:p w14:paraId="64F33FBB">
      <w:pPr>
        <w:spacing w:after="0" w:line="240" w:lineRule="auto"/>
      </w:pPr>
      <w:r>
        <w:rPr>
          <w:rFonts w:ascii="Courier New" w:hAnsi="Courier New" w:eastAsia="Courier New" w:cs="Courier New"/>
          <w:sz w:val="18"/>
          <w:szCs w:val="18"/>
        </w:rPr>
        <w:t xml:space="preserve">   Premium PD array / FVG / CE / OTE / Breaker / IFVG</w:t>
      </w:r>
    </w:p>
    <w:p w14:paraId="433805E2">
      <w:pPr>
        <w:spacing w:after="0" w:line="240" w:lineRule="auto"/>
      </w:pPr>
      <w:r>
        <w:rPr>
          <w:rFonts w:ascii="Courier New" w:hAnsi="Courier New" w:eastAsia="Courier New" w:cs="Courier New"/>
          <w:sz w:val="18"/>
          <w:szCs w:val="18"/>
        </w:rPr>
        <w:t xml:space="preserve">        ▼ continuation</w:t>
      </w:r>
    </w:p>
    <w:p w14:paraId="7B51B048">
      <w:pPr>
        <w:spacing w:after="0" w:line="240" w:lineRule="auto"/>
      </w:pPr>
      <w:r>
        <w:rPr>
          <w:rFonts w:ascii="Courier New" w:hAnsi="Courier New" w:eastAsia="Courier New" w:cs="Courier New"/>
          <w:sz w:val="18"/>
          <w:szCs w:val="18"/>
        </w:rPr>
        <w:t>Sell-side DOL (HTF)</w:t>
      </w:r>
    </w:p>
    <w:p w14:paraId="4099CDBF">
      <w:pPr>
        <w:pStyle w:val="2"/>
        <w:spacing w:before="360" w:after="240"/>
      </w:pPr>
      <w:r>
        <w:rPr>
          <w:rFonts w:ascii="Arial" w:hAnsi="Arial" w:eastAsia="Arial" w:cs="Arial"/>
          <w:b/>
          <w:bCs/>
          <w:sz w:val="32"/>
          <w:szCs w:val="32"/>
        </w:rPr>
        <w:t>10. Symmetry Discipline</w:t>
      </w:r>
    </w:p>
    <w:p w14:paraId="000C13F6">
      <w:pPr>
        <w:spacing w:after="200" w:line="276" w:lineRule="auto"/>
      </w:pPr>
      <w:r>
        <w:rPr>
          <w:rFonts w:ascii="Arial" w:hAnsi="Arial" w:eastAsia="Arial" w:cs="Arial"/>
          <w:sz w:val="22"/>
          <w:szCs w:val="22"/>
        </w:rPr>
        <w:t>The advanced student maintains strict symmetry:</w:t>
      </w:r>
    </w:p>
    <w:p w14:paraId="2A9CBDF4">
      <w:pPr>
        <w:pStyle w:val="16"/>
        <w:numPr>
          <w:ilvl w:val="0"/>
          <w:numId w:val="1"/>
        </w:numPr>
        <w:spacing w:after="120" w:line="276" w:lineRule="auto"/>
      </w:pPr>
      <w:r>
        <w:rPr>
          <w:rFonts w:ascii="Arial" w:hAnsi="Arial" w:eastAsia="Arial" w:cs="Arial"/>
          <w:sz w:val="22"/>
          <w:szCs w:val="22"/>
        </w:rPr>
        <w:t>Long models require discount + SSL origin + bullish bias.</w:t>
      </w:r>
    </w:p>
    <w:p w14:paraId="5B4A9ED0">
      <w:pPr>
        <w:pStyle w:val="16"/>
        <w:numPr>
          <w:ilvl w:val="0"/>
          <w:numId w:val="1"/>
        </w:numPr>
        <w:spacing w:after="120" w:line="276" w:lineRule="auto"/>
      </w:pPr>
      <w:r>
        <w:rPr>
          <w:rFonts w:ascii="Arial" w:hAnsi="Arial" w:eastAsia="Arial" w:cs="Arial"/>
          <w:sz w:val="22"/>
          <w:szCs w:val="22"/>
        </w:rPr>
        <w:t>Short models require premium + BSL origin + bearish bias.</w:t>
      </w:r>
    </w:p>
    <w:p w14:paraId="19ADC60F">
      <w:pPr>
        <w:pStyle w:val="16"/>
        <w:numPr>
          <w:ilvl w:val="0"/>
          <w:numId w:val="1"/>
        </w:numPr>
        <w:spacing w:after="120" w:line="276" w:lineRule="auto"/>
      </w:pPr>
      <w:r>
        <w:rPr>
          <w:rFonts w:ascii="Arial" w:hAnsi="Arial" w:eastAsia="Arial" w:cs="Arial"/>
          <w:sz w:val="22"/>
          <w:szCs w:val="22"/>
        </w:rPr>
        <w:t>The same eligibility standards, invalidation hierarchy and narrative subordination apply to both sides.</w:t>
      </w:r>
    </w:p>
    <w:p w14:paraId="05E72C10">
      <w:pPr>
        <w:spacing w:after="200" w:line="276" w:lineRule="auto"/>
      </w:pPr>
      <w:r>
        <w:rPr>
          <w:rFonts w:ascii="Arial" w:hAnsi="Arial" w:eastAsia="Arial" w:cs="Arial"/>
          <w:sz w:val="22"/>
          <w:szCs w:val="22"/>
        </w:rPr>
        <w:t>Any tendency to favour one direction, or to relax standards on one side, is a process failure, not a market feature.</w:t>
      </w:r>
    </w:p>
    <w:p w14:paraId="2156BA78">
      <w:pPr>
        <w:pStyle w:val="2"/>
        <w:spacing w:before="360" w:after="240"/>
      </w:pPr>
      <w:r>
        <w:rPr>
          <w:rFonts w:ascii="Arial" w:hAnsi="Arial" w:eastAsia="Arial" w:cs="Arial"/>
          <w:b/>
          <w:bCs/>
          <w:sz w:val="32"/>
          <w:szCs w:val="32"/>
        </w:rPr>
        <w:t>11. Common Misinterpretations</w:t>
      </w:r>
    </w:p>
    <w:p w14:paraId="7B42481A">
      <w:pPr>
        <w:pStyle w:val="16"/>
        <w:numPr>
          <w:ilvl w:val="0"/>
          <w:numId w:val="1"/>
        </w:numPr>
        <w:spacing w:after="120" w:line="276" w:lineRule="auto"/>
      </w:pPr>
      <w:r>
        <w:rPr>
          <w:rFonts w:ascii="Arial" w:hAnsi="Arial" w:eastAsia="Arial" w:cs="Arial"/>
          <w:sz w:val="22"/>
          <w:szCs w:val="22"/>
        </w:rPr>
        <w:t>Shorting a premium FVG without HTF bearish bias.</w:t>
      </w:r>
    </w:p>
    <w:p w14:paraId="35DD3998">
      <w:pPr>
        <w:pStyle w:val="16"/>
        <w:numPr>
          <w:ilvl w:val="0"/>
          <w:numId w:val="1"/>
        </w:numPr>
        <w:spacing w:after="120" w:line="276" w:lineRule="auto"/>
      </w:pPr>
      <w:r>
        <w:rPr>
          <w:rFonts w:ascii="Arial" w:hAnsi="Arial" w:eastAsia="Arial" w:cs="Arial"/>
          <w:sz w:val="22"/>
          <w:szCs w:val="22"/>
        </w:rPr>
        <w:t>Treating variation labels as official ICT model names.</w:t>
      </w:r>
    </w:p>
    <w:p w14:paraId="5D6FC003">
      <w:pPr>
        <w:pStyle w:val="16"/>
        <w:numPr>
          <w:ilvl w:val="0"/>
          <w:numId w:val="1"/>
        </w:numPr>
        <w:spacing w:after="120" w:line="276" w:lineRule="auto"/>
      </w:pPr>
      <w:r>
        <w:rPr>
          <w:rFonts w:ascii="Arial" w:hAnsi="Arial" w:eastAsia="Arial" w:cs="Arial"/>
          <w:sz w:val="22"/>
          <w:szCs w:val="22"/>
        </w:rPr>
        <w:t>Entering before the BSL raid and displacement.</w:t>
      </w:r>
    </w:p>
    <w:p w14:paraId="79D058A9">
      <w:pPr>
        <w:pStyle w:val="16"/>
        <w:numPr>
          <w:ilvl w:val="0"/>
          <w:numId w:val="1"/>
        </w:numPr>
        <w:spacing w:after="120" w:line="276" w:lineRule="auto"/>
      </w:pPr>
      <w:r>
        <w:rPr>
          <w:rFonts w:ascii="Arial" w:hAnsi="Arial" w:eastAsia="Arial" w:cs="Arial"/>
          <w:sz w:val="22"/>
          <w:szCs w:val="22"/>
        </w:rPr>
        <w:t>Using an undemonstrated IFVG or low-quality Breaker.</w:t>
      </w:r>
    </w:p>
    <w:p w14:paraId="7C96A989">
      <w:pPr>
        <w:pStyle w:val="16"/>
        <w:numPr>
          <w:ilvl w:val="0"/>
          <w:numId w:val="1"/>
        </w:numPr>
        <w:spacing w:after="120" w:line="276" w:lineRule="auto"/>
      </w:pPr>
      <w:r>
        <w:rPr>
          <w:rFonts w:ascii="Arial" w:hAnsi="Arial" w:eastAsia="Arial" w:cs="Arial"/>
          <w:sz w:val="22"/>
          <w:szCs w:val="22"/>
        </w:rPr>
        <w:t>Ignoring narrative invalidation after repeated trade-level stops.</w:t>
      </w:r>
    </w:p>
    <w:p w14:paraId="775EFB52">
      <w:pPr>
        <w:pStyle w:val="16"/>
        <w:numPr>
          <w:ilvl w:val="0"/>
          <w:numId w:val="1"/>
        </w:numPr>
        <w:spacing w:after="120" w:line="276" w:lineRule="auto"/>
      </w:pPr>
      <w:r>
        <w:rPr>
          <w:rFonts w:ascii="Arial" w:hAnsi="Arial" w:eastAsia="Arial" w:cs="Arial"/>
          <w:sz w:val="22"/>
          <w:szCs w:val="22"/>
        </w:rPr>
        <w:t>Applying looser standards to shorts than to longs (or vice versa).</w:t>
      </w:r>
    </w:p>
    <w:p w14:paraId="4FD4C951">
      <w:pPr>
        <w:pStyle w:val="2"/>
        <w:spacing w:before="360" w:after="240"/>
      </w:pPr>
      <w:r>
        <w:rPr>
          <w:rFonts w:ascii="Arial" w:hAnsi="Arial" w:eastAsia="Arial" w:cs="Arial"/>
          <w:b/>
          <w:bCs/>
          <w:sz w:val="32"/>
          <w:szCs w:val="32"/>
        </w:rPr>
        <w:t>12. Evidence Summary</w:t>
      </w:r>
    </w:p>
    <w:p w14:paraId="06555CBE">
      <w:pPr>
        <w:spacing w:after="200" w:line="276" w:lineRule="auto"/>
      </w:pPr>
      <w:r>
        <w:rPr>
          <w:rFonts w:ascii="Arial" w:hAnsi="Arial" w:eastAsia="Arial" w:cs="Arial"/>
          <w:sz w:val="22"/>
          <w:szCs w:val="22"/>
        </w:rPr>
        <w:t>The core bearish sequence is the consistent mirror of the bullish sequences in primary ICT teaching. FVG, Order Block, OTE, Breaker and IFVG as short-entry arrays are primary. Pedagogical variation labels and the eligibility checklist are advanced synthesis for symmetric, narrative-driven application.</w:t>
      </w:r>
    </w:p>
    <w:p w14:paraId="7833C48A">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Primary orientation: ICT chart examples and mentorship demonstrating short entries after buy-side liquidity raids, displacement, structure shifts and premium PD-array retracements. Framework is the exact counterpart of Module 11.</w:t>
      </w:r>
    </w:p>
    <w:p w14:paraId="5AE75E1A">
      <w:pPr>
        <w:pStyle w:val="2"/>
        <w:spacing w:before="360" w:after="240"/>
      </w:pPr>
      <w:r>
        <w:rPr>
          <w:rFonts w:ascii="Arial" w:hAnsi="Arial" w:eastAsia="Arial" w:cs="Arial"/>
          <w:b/>
          <w:bCs/>
          <w:sz w:val="32"/>
          <w:szCs w:val="32"/>
        </w:rPr>
        <w:t>What You Should Now Be Able to Do</w:t>
      </w:r>
    </w:p>
    <w:p w14:paraId="7258625B">
      <w:pPr>
        <w:pStyle w:val="16"/>
        <w:numPr>
          <w:ilvl w:val="0"/>
          <w:numId w:val="1"/>
        </w:numPr>
        <w:spacing w:after="120" w:line="276" w:lineRule="auto"/>
      </w:pPr>
      <w:r>
        <w:rPr>
          <w:rFonts w:ascii="Arial" w:hAnsi="Arial" w:eastAsia="Arial" w:cs="Arial"/>
          <w:sz w:val="22"/>
          <w:szCs w:val="22"/>
        </w:rPr>
        <w:t>State the core bearish delivery skeleton.</w:t>
      </w:r>
    </w:p>
    <w:p w14:paraId="024A25B9">
      <w:pPr>
        <w:pStyle w:val="16"/>
        <w:numPr>
          <w:ilvl w:val="0"/>
          <w:numId w:val="1"/>
        </w:numPr>
        <w:spacing w:after="120" w:line="276" w:lineRule="auto"/>
      </w:pPr>
      <w:r>
        <w:rPr>
          <w:rFonts w:ascii="Arial" w:hAnsi="Arial" w:eastAsia="Arial" w:cs="Arial"/>
          <w:sz w:val="22"/>
          <w:szCs w:val="22"/>
        </w:rPr>
        <w:t>Identify which bearish variation best matches a given narrative and chart.</w:t>
      </w:r>
    </w:p>
    <w:p w14:paraId="6F4E91ED">
      <w:pPr>
        <w:pStyle w:val="16"/>
        <w:numPr>
          <w:ilvl w:val="0"/>
          <w:numId w:val="1"/>
        </w:numPr>
        <w:spacing w:after="120" w:line="276" w:lineRule="auto"/>
      </w:pPr>
      <w:r>
        <w:rPr>
          <w:rFonts w:ascii="Arial" w:hAnsi="Arial" w:eastAsia="Arial" w:cs="Arial"/>
          <w:sz w:val="22"/>
          <w:szCs w:val="22"/>
        </w:rPr>
        <w:t>Run the full eligibility checklist before any short.</w:t>
      </w:r>
    </w:p>
    <w:p w14:paraId="251E16D0">
      <w:pPr>
        <w:pStyle w:val="16"/>
        <w:numPr>
          <w:ilvl w:val="0"/>
          <w:numId w:val="1"/>
        </w:numPr>
        <w:spacing w:after="120" w:line="276" w:lineRule="auto"/>
      </w:pPr>
      <w:r>
        <w:rPr>
          <w:rFonts w:ascii="Arial" w:hAnsi="Arial" w:eastAsia="Arial" w:cs="Arial"/>
          <w:sz w:val="22"/>
          <w:szCs w:val="22"/>
        </w:rPr>
        <w:t>Define trade-level and narrative-level invalidation.</w:t>
      </w:r>
    </w:p>
    <w:p w14:paraId="04C2A047">
      <w:pPr>
        <w:pStyle w:val="16"/>
        <w:numPr>
          <w:ilvl w:val="0"/>
          <w:numId w:val="1"/>
        </w:numPr>
        <w:spacing w:after="120" w:line="276" w:lineRule="auto"/>
      </w:pPr>
      <w:r>
        <w:rPr>
          <w:rFonts w:ascii="Arial" w:hAnsi="Arial" w:eastAsia="Arial" w:cs="Arial"/>
          <w:sz w:val="22"/>
          <w:szCs w:val="22"/>
        </w:rPr>
        <w:t>Maintain full process symmetry between buy and sell models.</w:t>
      </w:r>
    </w:p>
    <w:p w14:paraId="20BCF29D">
      <w:pPr>
        <w:pStyle w:val="16"/>
        <w:numPr>
          <w:ilvl w:val="0"/>
          <w:numId w:val="1"/>
        </w:numPr>
        <w:spacing w:after="120" w:line="276" w:lineRule="auto"/>
      </w:pPr>
      <w:r>
        <w:rPr>
          <w:rFonts w:ascii="Arial" w:hAnsi="Arial" w:eastAsia="Arial" w:cs="Arial"/>
          <w:sz w:val="22"/>
          <w:szCs w:val="22"/>
        </w:rPr>
        <w:t>Keep every short subordinated to the bearish bias statement of Module 10.</w:t>
      </w:r>
    </w:p>
    <w:p w14:paraId="138217A3">
      <w:pPr>
        <w:pStyle w:val="2"/>
        <w:spacing w:before="360" w:after="240"/>
      </w:pPr>
      <w:r>
        <w:rPr>
          <w:rFonts w:ascii="Arial" w:hAnsi="Arial" w:eastAsia="Arial" w:cs="Arial"/>
          <w:b/>
          <w:bCs/>
          <w:sz w:val="32"/>
          <w:szCs w:val="32"/>
        </w:rPr>
        <w:t>Module Review</w:t>
      </w:r>
    </w:p>
    <w:p w14:paraId="29A7C81F">
      <w:pPr>
        <w:pStyle w:val="3"/>
        <w:spacing w:before="280" w:after="180"/>
      </w:pPr>
      <w:r>
        <w:rPr>
          <w:rFonts w:ascii="Arial" w:hAnsi="Arial" w:eastAsia="Arial" w:cs="Arial"/>
          <w:b/>
          <w:bCs/>
          <w:sz w:val="26"/>
          <w:szCs w:val="26"/>
        </w:rPr>
        <w:t>Key Terms</w:t>
      </w:r>
    </w:p>
    <w:p w14:paraId="56371A8C">
      <w:pPr>
        <w:pStyle w:val="16"/>
        <w:numPr>
          <w:ilvl w:val="0"/>
          <w:numId w:val="1"/>
        </w:numPr>
        <w:spacing w:after="120" w:line="276" w:lineRule="auto"/>
      </w:pPr>
      <w:r>
        <w:rPr>
          <w:rFonts w:ascii="Arial" w:hAnsi="Arial" w:eastAsia="Arial" w:cs="Arial"/>
          <w:sz w:val="22"/>
          <w:szCs w:val="22"/>
        </w:rPr>
        <w:t>Core bearish delivery sequence — HTF bias + BSL + displacement + MSS + premium array + sell-side DOL.</w:t>
      </w:r>
    </w:p>
    <w:p w14:paraId="64A74559">
      <w:pPr>
        <w:pStyle w:val="16"/>
        <w:numPr>
          <w:ilvl w:val="0"/>
          <w:numId w:val="1"/>
        </w:numPr>
        <w:spacing w:after="120" w:line="276" w:lineRule="auto"/>
      </w:pPr>
      <w:r>
        <w:rPr>
          <w:rFonts w:ascii="Arial" w:hAnsi="Arial" w:eastAsia="Arial" w:cs="Arial"/>
          <w:sz w:val="22"/>
          <w:szCs w:val="22"/>
        </w:rPr>
        <w:t>Variation A (bearish) — FVG / CE / OTE-centred continuation short.</w:t>
      </w:r>
    </w:p>
    <w:p w14:paraId="61969592">
      <w:pPr>
        <w:pStyle w:val="16"/>
        <w:numPr>
          <w:ilvl w:val="0"/>
          <w:numId w:val="1"/>
        </w:numPr>
        <w:spacing w:after="120" w:line="276" w:lineRule="auto"/>
      </w:pPr>
      <w:r>
        <w:rPr>
          <w:rFonts w:ascii="Arial" w:hAnsi="Arial" w:eastAsia="Arial" w:cs="Arial"/>
          <w:sz w:val="22"/>
          <w:szCs w:val="22"/>
        </w:rPr>
        <w:t>Variation B (bearish) — Bearish Breaker continuation short.</w:t>
      </w:r>
    </w:p>
    <w:p w14:paraId="37EED413">
      <w:pPr>
        <w:pStyle w:val="16"/>
        <w:numPr>
          <w:ilvl w:val="0"/>
          <w:numId w:val="1"/>
        </w:numPr>
        <w:spacing w:after="120" w:line="276" w:lineRule="auto"/>
      </w:pPr>
      <w:r>
        <w:rPr>
          <w:rFonts w:ascii="Arial" w:hAnsi="Arial" w:eastAsia="Arial" w:cs="Arial"/>
          <w:sz w:val="22"/>
          <w:szCs w:val="22"/>
        </w:rPr>
        <w:t>Variation C (bearish) — IFVG continuation short.</w:t>
      </w:r>
    </w:p>
    <w:p w14:paraId="116B0BBD">
      <w:pPr>
        <w:pStyle w:val="16"/>
        <w:numPr>
          <w:ilvl w:val="0"/>
          <w:numId w:val="1"/>
        </w:numPr>
        <w:spacing w:after="120" w:line="276" w:lineRule="auto"/>
      </w:pPr>
      <w:r>
        <w:rPr>
          <w:rFonts w:ascii="Arial" w:hAnsi="Arial" w:eastAsia="Arial" w:cs="Arial"/>
          <w:sz w:val="22"/>
          <w:szCs w:val="22"/>
        </w:rPr>
        <w:t>Variation D (bearish) — HTF PD-array reaction refined by LTF confirmation.</w:t>
      </w:r>
    </w:p>
    <w:p w14:paraId="0A2055D0">
      <w:pPr>
        <w:pStyle w:val="16"/>
        <w:numPr>
          <w:ilvl w:val="0"/>
          <w:numId w:val="1"/>
        </w:numPr>
        <w:spacing w:after="120" w:line="276" w:lineRule="auto"/>
      </w:pPr>
      <w:r>
        <w:rPr>
          <w:rFonts w:ascii="Arial" w:hAnsi="Arial" w:eastAsia="Arial" w:cs="Arial"/>
          <w:sz w:val="22"/>
          <w:szCs w:val="22"/>
        </w:rPr>
        <w:t>Symmetry discipline — identical standards applied to both long and short models.</w:t>
      </w:r>
    </w:p>
    <w:p w14:paraId="360089ED">
      <w:pPr>
        <w:pStyle w:val="3"/>
        <w:spacing w:before="280" w:after="180"/>
      </w:pPr>
      <w:r>
        <w:rPr>
          <w:rFonts w:ascii="Arial" w:hAnsi="Arial" w:eastAsia="Arial" w:cs="Arial"/>
          <w:b/>
          <w:bCs/>
          <w:sz w:val="26"/>
          <w:szCs w:val="26"/>
        </w:rPr>
        <w:t>Self-Test</w:t>
      </w:r>
    </w:p>
    <w:p w14:paraId="74C026E8">
      <w:pPr>
        <w:pStyle w:val="16"/>
        <w:numPr>
          <w:ilvl w:val="0"/>
          <w:numId w:val="2"/>
        </w:numPr>
        <w:spacing w:after="120" w:line="276" w:lineRule="auto"/>
      </w:pPr>
      <w:r>
        <w:rPr>
          <w:rFonts w:ascii="Arial" w:hAnsi="Arial" w:eastAsia="Arial" w:cs="Arial"/>
          <w:sz w:val="22"/>
          <w:szCs w:val="22"/>
        </w:rPr>
        <w:t>What elements are common to all high-quality ICT short sequences?</w:t>
      </w:r>
    </w:p>
    <w:p w14:paraId="00ADCAB1">
      <w:pPr>
        <w:pStyle w:val="16"/>
        <w:numPr>
          <w:ilvl w:val="0"/>
          <w:numId w:val="2"/>
        </w:numPr>
        <w:spacing w:after="120" w:line="276" w:lineRule="auto"/>
      </w:pPr>
      <w:r>
        <w:rPr>
          <w:rFonts w:ascii="Arial" w:hAnsi="Arial" w:eastAsia="Arial" w:cs="Arial"/>
          <w:sz w:val="22"/>
          <w:szCs w:val="22"/>
        </w:rPr>
        <w:t>How does the bearish eligibility checklist differ from the bullish checklist?</w:t>
      </w:r>
    </w:p>
    <w:p w14:paraId="4D579334">
      <w:pPr>
        <w:pStyle w:val="16"/>
        <w:numPr>
          <w:ilvl w:val="0"/>
          <w:numId w:val="2"/>
        </w:numPr>
        <w:spacing w:after="120" w:line="276" w:lineRule="auto"/>
      </w:pPr>
      <w:r>
        <w:rPr>
          <w:rFonts w:ascii="Arial" w:hAnsi="Arial" w:eastAsia="Arial" w:cs="Arial"/>
          <w:sz w:val="22"/>
          <w:szCs w:val="22"/>
        </w:rPr>
        <w:t>When is a bearish Breaker preferred over a bearish FVG entry?</w:t>
      </w:r>
    </w:p>
    <w:p w14:paraId="22104BBA">
      <w:pPr>
        <w:pStyle w:val="16"/>
        <w:numPr>
          <w:ilvl w:val="0"/>
          <w:numId w:val="2"/>
        </w:numPr>
        <w:spacing w:after="120" w:line="276" w:lineRule="auto"/>
      </w:pPr>
      <w:r>
        <w:rPr>
          <w:rFonts w:ascii="Arial" w:hAnsi="Arial" w:eastAsia="Arial" w:cs="Arial"/>
          <w:sz w:val="22"/>
          <w:szCs w:val="22"/>
        </w:rPr>
        <w:t>What is the correct response if trade-level stops are hit but narrative invalidation has not printed?</w:t>
      </w:r>
    </w:p>
    <w:p w14:paraId="72F3F484">
      <w:pPr>
        <w:pStyle w:val="16"/>
        <w:numPr>
          <w:ilvl w:val="0"/>
          <w:numId w:val="2"/>
        </w:numPr>
        <w:spacing w:after="120" w:line="276" w:lineRule="auto"/>
      </w:pPr>
      <w:r>
        <w:rPr>
          <w:rFonts w:ascii="Arial" w:hAnsi="Arial" w:eastAsia="Arial" w:cs="Arial"/>
          <w:sz w:val="22"/>
          <w:szCs w:val="22"/>
        </w:rPr>
        <w:t>Why is process symmetry between Modules 11 and 12 essential?</w:t>
      </w:r>
    </w:p>
    <w:p w14:paraId="23EF08C8">
      <w:pPr>
        <w:pStyle w:val="3"/>
        <w:spacing w:before="280" w:after="180"/>
      </w:pPr>
      <w:r>
        <w:rPr>
          <w:rFonts w:ascii="Arial" w:hAnsi="Arial" w:eastAsia="Arial" w:cs="Arial"/>
          <w:b/>
          <w:bCs/>
          <w:sz w:val="26"/>
          <w:szCs w:val="26"/>
        </w:rPr>
        <w:t>Transition to Module 13</w:t>
      </w:r>
    </w:p>
    <w:p w14:paraId="2A69A4B6">
      <w:pPr>
        <w:spacing w:after="200" w:line="276" w:lineRule="auto"/>
      </w:pPr>
      <w:r>
        <w:rPr>
          <w:rFonts w:ascii="Arial" w:hAnsi="Arial" w:eastAsia="Arial" w:cs="Arial"/>
          <w:sz w:val="22"/>
          <w:szCs w:val="22"/>
        </w:rPr>
        <w:t>Modules 11 and 12 have organised directional delivery sequences under narrative control. Module 13 (Intermarket &amp; SMT Concepts) introduces Smart Money Technique and intermarket relationships — a major advanced topic that can confirm or challenge a single-instrument narrative by reference to correlated markets.</w:t>
      </w:r>
    </w:p>
    <w:p w14:paraId="7F6909A3">
      <w:pPr>
        <w:spacing w:after="200" w:line="276" w:lineRule="auto"/>
        <w:rPr>
          <w:rFonts w:ascii="Arial" w:hAnsi="Arial" w:eastAsia="Arial" w:cs="Arial"/>
          <w:sz w:val="22"/>
          <w:szCs w:val="22"/>
        </w:rPr>
      </w:pPr>
    </w:p>
    <w:p w14:paraId="463D0C44">
      <w:pPr>
        <w:spacing w:after="200" w:line="276" w:lineRule="auto"/>
        <w:rPr>
          <w:rFonts w:ascii="Arial" w:hAnsi="Arial" w:eastAsia="Arial" w:cs="Arial"/>
          <w:sz w:val="22"/>
          <w:szCs w:val="22"/>
        </w:rPr>
      </w:pPr>
    </w:p>
    <w:p w14:paraId="3B11FA29">
      <w:pPr>
        <w:spacing w:after="200" w:line="276" w:lineRule="auto"/>
        <w:rPr>
          <w:rFonts w:ascii="Arial" w:hAnsi="Arial" w:eastAsia="Arial" w:cs="Arial"/>
          <w:sz w:val="22"/>
          <w:szCs w:val="22"/>
        </w:rPr>
      </w:pPr>
    </w:p>
    <w:p w14:paraId="34B281C9">
      <w:pPr>
        <w:spacing w:after="400"/>
        <w:jc w:val="center"/>
      </w:pPr>
      <w:r>
        <w:rPr>
          <w:rFonts w:ascii="Arial" w:hAnsi="Arial" w:eastAsia="Arial" w:cs="Arial"/>
          <w:b/>
          <w:bCs/>
          <w:sz w:val="36"/>
          <w:szCs w:val="36"/>
        </w:rPr>
        <w:t>MODULE 13</w:t>
      </w:r>
    </w:p>
    <w:p w14:paraId="605641E9">
      <w:pPr>
        <w:spacing w:after="200"/>
        <w:jc w:val="center"/>
      </w:pPr>
      <w:r>
        <w:rPr>
          <w:rFonts w:ascii="Arial" w:hAnsi="Arial" w:eastAsia="Arial" w:cs="Arial"/>
          <w:b/>
          <w:bCs/>
          <w:sz w:val="28"/>
          <w:szCs w:val="28"/>
        </w:rPr>
        <w:t>Intermarket &amp; SMT Concepts</w:t>
      </w:r>
    </w:p>
    <w:p w14:paraId="08C7C0E6">
      <w:pPr>
        <w:spacing w:after="400"/>
        <w:jc w:val="center"/>
      </w:pPr>
      <w:r>
        <w:rPr>
          <w:rFonts w:ascii="Arial" w:hAnsi="Arial" w:eastAsia="Arial" w:cs="Arial"/>
          <w:i/>
          <w:iCs/>
          <w:sz w:val="20"/>
          <w:szCs w:val="20"/>
        </w:rPr>
        <w:t>Smart Money Technique, SMT Divergence, Correlated Instruments, Relative Strength/Weakness, Integration with Narrative</w:t>
      </w:r>
    </w:p>
    <w:p w14:paraId="675C5F8D">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Modules 1–12. SMT is not conventional oscillator divergence. It is the comparison of swing extremes between genuinely correlated instruments to detect non-confirmation of liquidity sweeps and potential institutional intent. It confirms or challenges a single-instrument narrative; it does not replace it.</w:t>
      </w:r>
    </w:p>
    <w:p w14:paraId="2326F2D4">
      <w:pPr>
        <w:pStyle w:val="2"/>
        <w:spacing w:before="360" w:after="240"/>
      </w:pPr>
      <w:r>
        <w:rPr>
          <w:rFonts w:ascii="Arial" w:hAnsi="Arial" w:eastAsia="Arial" w:cs="Arial"/>
          <w:b/>
          <w:bCs/>
          <w:sz w:val="32"/>
          <w:szCs w:val="32"/>
        </w:rPr>
        <w:t>Module Objectives</w:t>
      </w:r>
    </w:p>
    <w:p w14:paraId="45B86071">
      <w:pPr>
        <w:spacing w:after="200" w:line="276" w:lineRule="auto"/>
      </w:pPr>
      <w:r>
        <w:rPr>
          <w:rFonts w:ascii="Arial" w:hAnsi="Arial" w:eastAsia="Arial" w:cs="Arial"/>
          <w:sz w:val="22"/>
          <w:szCs w:val="22"/>
        </w:rPr>
        <w:t>By the end of this module the advanced student should be able to:</w:t>
      </w:r>
    </w:p>
    <w:p w14:paraId="6157276F">
      <w:pPr>
        <w:pStyle w:val="16"/>
        <w:numPr>
          <w:ilvl w:val="0"/>
          <w:numId w:val="1"/>
        </w:numPr>
        <w:spacing w:after="120" w:line="276" w:lineRule="auto"/>
      </w:pPr>
      <w:r>
        <w:rPr>
          <w:rFonts w:ascii="Arial" w:hAnsi="Arial" w:eastAsia="Arial" w:cs="Arial"/>
          <w:sz w:val="22"/>
          <w:szCs w:val="22"/>
        </w:rPr>
        <w:t>Define SMT (Smart Money Technique) as ICT teaches it and distinguish it from indicator-based divergence.</w:t>
      </w:r>
    </w:p>
    <w:p w14:paraId="4CD04E29">
      <w:pPr>
        <w:pStyle w:val="16"/>
        <w:numPr>
          <w:ilvl w:val="0"/>
          <w:numId w:val="1"/>
        </w:numPr>
        <w:spacing w:after="120" w:line="276" w:lineRule="auto"/>
      </w:pPr>
      <w:r>
        <w:rPr>
          <w:rFonts w:ascii="Arial" w:hAnsi="Arial" w:eastAsia="Arial" w:cs="Arial"/>
          <w:sz w:val="22"/>
          <w:szCs w:val="22"/>
        </w:rPr>
        <w:t>Identify valid correlated instrument pairs for SMT analysis.</w:t>
      </w:r>
    </w:p>
    <w:p w14:paraId="09FF845A">
      <w:pPr>
        <w:pStyle w:val="16"/>
        <w:numPr>
          <w:ilvl w:val="0"/>
          <w:numId w:val="1"/>
        </w:numPr>
        <w:spacing w:after="120" w:line="276" w:lineRule="auto"/>
      </w:pPr>
      <w:r>
        <w:rPr>
          <w:rFonts w:ascii="Arial" w:hAnsi="Arial" w:eastAsia="Arial" w:cs="Arial"/>
          <w:sz w:val="22"/>
          <w:szCs w:val="22"/>
        </w:rPr>
        <w:t>Recognise bullish and bearish SMT divergence at matching swing points.</w:t>
      </w:r>
    </w:p>
    <w:p w14:paraId="5DF2487D">
      <w:pPr>
        <w:pStyle w:val="16"/>
        <w:numPr>
          <w:ilvl w:val="0"/>
          <w:numId w:val="1"/>
        </w:numPr>
        <w:spacing w:after="120" w:line="276" w:lineRule="auto"/>
      </w:pPr>
      <w:r>
        <w:rPr>
          <w:rFonts w:ascii="Arial" w:hAnsi="Arial" w:eastAsia="Arial" w:cs="Arial"/>
          <w:sz w:val="22"/>
          <w:szCs w:val="22"/>
        </w:rPr>
        <w:t>Integrate SMT with liquidity events, MSS, FVG/PD arrays and higher-timeframe bias.</w:t>
      </w:r>
    </w:p>
    <w:p w14:paraId="5C904A3B">
      <w:pPr>
        <w:pStyle w:val="16"/>
        <w:numPr>
          <w:ilvl w:val="0"/>
          <w:numId w:val="1"/>
        </w:numPr>
        <w:spacing w:after="120" w:line="276" w:lineRule="auto"/>
      </w:pPr>
      <w:r>
        <w:rPr>
          <w:rFonts w:ascii="Arial" w:hAnsi="Arial" w:eastAsia="Arial" w:cs="Arial"/>
          <w:sz w:val="22"/>
          <w:szCs w:val="22"/>
        </w:rPr>
        <w:t>Use relative strength / relative weakness (including “sick sister” style selection) to choose which instrument to trade.</w:t>
      </w:r>
    </w:p>
    <w:p w14:paraId="66AA78D0">
      <w:pPr>
        <w:pStyle w:val="16"/>
        <w:numPr>
          <w:ilvl w:val="0"/>
          <w:numId w:val="1"/>
        </w:numPr>
        <w:spacing w:after="120" w:line="276" w:lineRule="auto"/>
      </w:pPr>
      <w:r>
        <w:rPr>
          <w:rFonts w:ascii="Arial" w:hAnsi="Arial" w:eastAsia="Arial" w:cs="Arial"/>
          <w:sz w:val="22"/>
          <w:szCs w:val="22"/>
        </w:rPr>
        <w:t>State the limitations of SMT and the conditions under which it should be ignored.</w:t>
      </w:r>
    </w:p>
    <w:p w14:paraId="2DBAAD14">
      <w:pPr>
        <w:pStyle w:val="16"/>
        <w:numPr>
          <w:ilvl w:val="0"/>
          <w:numId w:val="1"/>
        </w:numPr>
        <w:spacing w:after="120" w:line="276" w:lineRule="auto"/>
      </w:pPr>
      <w:r>
        <w:rPr>
          <w:rFonts w:ascii="Arial" w:hAnsi="Arial" w:eastAsia="Arial" w:cs="Arial"/>
          <w:sz w:val="22"/>
          <w:szCs w:val="22"/>
        </w:rPr>
        <w:t>Keep SMT subordinate to the multi-timeframe narrative and bias constructed in Modules 9–10.</w:t>
      </w:r>
    </w:p>
    <w:p w14:paraId="43A9E21E">
      <w:pPr>
        <w:pStyle w:val="2"/>
        <w:spacing w:before="360" w:after="240"/>
      </w:pPr>
      <w:r>
        <w:rPr>
          <w:rFonts w:ascii="Arial" w:hAnsi="Arial" w:eastAsia="Arial" w:cs="Arial"/>
          <w:b/>
          <w:bCs/>
          <w:sz w:val="32"/>
          <w:szCs w:val="32"/>
        </w:rPr>
        <w:t>1. What SMT Is (and Is Not)</w:t>
      </w:r>
    </w:p>
    <w:p w14:paraId="7C76C9A4">
      <w:pPr>
        <w:pStyle w:val="3"/>
        <w:spacing w:before="280" w:after="180"/>
      </w:pPr>
      <w:r>
        <w:rPr>
          <w:rFonts w:ascii="Arial" w:hAnsi="Arial" w:eastAsia="Arial" w:cs="Arial"/>
          <w:b/>
          <w:bCs/>
          <w:sz w:val="26"/>
          <w:szCs w:val="26"/>
        </w:rPr>
        <w:t>1.1 ICT Definition</w:t>
      </w:r>
    </w:p>
    <w:p w14:paraId="1C16175D">
      <w:pPr>
        <w:spacing w:after="200" w:line="276" w:lineRule="auto"/>
      </w:pPr>
      <w:r>
        <w:rPr>
          <w:rFonts w:ascii="Arial" w:hAnsi="Arial" w:eastAsia="Arial" w:cs="Arial"/>
          <w:sz w:val="22"/>
          <w:szCs w:val="22"/>
        </w:rPr>
        <w:t>Smart Money Technique (SMT) divergence is the failure of one of two correlated instruments to confirm a new swing high or swing low printed by the other. When two markets that normally move together disagree at a key structural extreme, the non-confirming instrument is often revealing that the extreme on the confirming instrument was a liquidity sweep rather than genuine continuation.</w:t>
      </w:r>
    </w:p>
    <w:p w14:paraId="76C131BA">
      <w:pPr>
        <w:pStyle w:val="3"/>
        <w:spacing w:before="280" w:after="180"/>
      </w:pPr>
      <w:r>
        <w:rPr>
          <w:rFonts w:ascii="Arial" w:hAnsi="Arial" w:eastAsia="Arial" w:cs="Arial"/>
          <w:b/>
          <w:bCs/>
          <w:sz w:val="26"/>
          <w:szCs w:val="26"/>
        </w:rPr>
        <w:t>1.2 Not Conventional Divergence</w:t>
      </w:r>
    </w:p>
    <w:p w14:paraId="513AA59F">
      <w:pPr>
        <w:spacing w:after="200" w:line="276" w:lineRule="auto"/>
      </w:pPr>
      <w:r>
        <w:rPr>
          <w:rFonts w:ascii="Arial" w:hAnsi="Arial" w:eastAsia="Arial" w:cs="Arial"/>
          <w:sz w:val="22"/>
          <w:szCs w:val="22"/>
        </w:rPr>
        <w:t>SMT compares price to price across two instruments. It does not compare price to an oscillator (RSI, MACD, etc.). Substituting indicator divergence for SMT is a category error.</w:t>
      </w:r>
    </w:p>
    <w:p w14:paraId="69AA4953">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SMT as correlated-instrument swing non-confirmation is ICT teaching (notably emphasised with index futures and major FX pairs). Exact terminology has appeared as Smart Money Technique / Tool in community and secondary sources; the underlying comparison method is primary.</w:t>
      </w:r>
    </w:p>
    <w:p w14:paraId="7BB7A301">
      <w:pPr>
        <w:pStyle w:val="2"/>
        <w:spacing w:before="360" w:after="240"/>
      </w:pPr>
      <w:r>
        <w:rPr>
          <w:rFonts w:ascii="Arial" w:hAnsi="Arial" w:eastAsia="Arial" w:cs="Arial"/>
          <w:b/>
          <w:bCs/>
          <w:sz w:val="32"/>
          <w:szCs w:val="32"/>
        </w:rPr>
        <w:t>2. Correlated Instruments</w:t>
      </w:r>
    </w:p>
    <w:p w14:paraId="66963450">
      <w:pPr>
        <w:pStyle w:val="3"/>
        <w:spacing w:before="280" w:after="180"/>
      </w:pPr>
      <w:r>
        <w:rPr>
          <w:rFonts w:ascii="Arial" w:hAnsi="Arial" w:eastAsia="Arial" w:cs="Arial"/>
          <w:b/>
          <w:bCs/>
          <w:sz w:val="26"/>
          <w:szCs w:val="26"/>
        </w:rPr>
        <w:t>2.1 Requirements</w:t>
      </w:r>
    </w:p>
    <w:p w14:paraId="0C87B6A3">
      <w:pPr>
        <w:spacing w:after="200" w:line="276" w:lineRule="auto"/>
      </w:pPr>
      <w:r>
        <w:rPr>
          <w:rFonts w:ascii="Arial" w:hAnsi="Arial" w:eastAsia="Arial" w:cs="Arial"/>
          <w:sz w:val="22"/>
          <w:szCs w:val="22"/>
        </w:rPr>
        <w:t>SMT requires instruments that currently exhibit strong, stable correlation on the timeframe being analysed. Historical correlation is not enough if the relationship has broken.</w:t>
      </w:r>
    </w:p>
    <w:p w14:paraId="1CA5126F">
      <w:pPr>
        <w:pStyle w:val="3"/>
        <w:spacing w:before="280" w:after="180"/>
      </w:pPr>
      <w:r>
        <w:rPr>
          <w:rFonts w:ascii="Arial" w:hAnsi="Arial" w:eastAsia="Arial" w:cs="Arial"/>
          <w:b/>
          <w:bCs/>
          <w:sz w:val="26"/>
          <w:szCs w:val="26"/>
        </w:rPr>
        <w:t>2.2 Classic Pairs Used in ICT Contexts</w:t>
      </w:r>
    </w:p>
    <w:p w14:paraId="134CA2B6">
      <w:pPr>
        <w:pStyle w:val="16"/>
        <w:numPr>
          <w:ilvl w:val="0"/>
          <w:numId w:val="1"/>
        </w:numPr>
        <w:spacing w:after="120" w:line="276" w:lineRule="auto"/>
      </w:pPr>
      <w:r>
        <w:rPr>
          <w:rFonts w:ascii="Arial" w:hAnsi="Arial" w:eastAsia="Arial" w:cs="Arial"/>
          <w:sz w:val="22"/>
          <w:szCs w:val="22"/>
        </w:rPr>
        <w:t>US equity index futures: ES (S&amp;P 500) vs NQ (Nasdaq 100); sometimes YM (Dow).</w:t>
      </w:r>
    </w:p>
    <w:p w14:paraId="4600E3E3">
      <w:pPr>
        <w:pStyle w:val="16"/>
        <w:numPr>
          <w:ilvl w:val="0"/>
          <w:numId w:val="1"/>
        </w:numPr>
        <w:spacing w:after="120" w:line="276" w:lineRule="auto"/>
      </w:pPr>
      <w:r>
        <w:rPr>
          <w:rFonts w:ascii="Arial" w:hAnsi="Arial" w:eastAsia="Arial" w:cs="Arial"/>
          <w:sz w:val="22"/>
          <w:szCs w:val="22"/>
        </w:rPr>
        <w:t>FX majors: EUR/USD vs GBP/USD (both primarily USD-driven).</w:t>
      </w:r>
    </w:p>
    <w:p w14:paraId="3D85C498">
      <w:pPr>
        <w:pStyle w:val="16"/>
        <w:numPr>
          <w:ilvl w:val="0"/>
          <w:numId w:val="1"/>
        </w:numPr>
        <w:spacing w:after="120" w:line="276" w:lineRule="auto"/>
      </w:pPr>
      <w:r>
        <w:rPr>
          <w:rFonts w:ascii="Arial" w:hAnsi="Arial" w:eastAsia="Arial" w:cs="Arial"/>
          <w:sz w:val="22"/>
          <w:szCs w:val="22"/>
        </w:rPr>
        <w:t>USD index relationships: DXY vs EUR/USD (inverse), DXY vs other dollar pairs.</w:t>
      </w:r>
    </w:p>
    <w:p w14:paraId="14540AAD">
      <w:pPr>
        <w:pStyle w:val="16"/>
        <w:numPr>
          <w:ilvl w:val="0"/>
          <w:numId w:val="1"/>
        </w:numPr>
        <w:spacing w:after="120" w:line="276" w:lineRule="auto"/>
      </w:pPr>
      <w:r>
        <w:rPr>
          <w:rFonts w:ascii="Arial" w:hAnsi="Arial" w:eastAsia="Arial" w:cs="Arial"/>
          <w:sz w:val="22"/>
          <w:szCs w:val="22"/>
        </w:rPr>
        <w:t>Other pairs with demonstrated high correlation (e.g., AUD/USD vs NZD/USD) when the relationship is currently stable.</w:t>
      </w:r>
    </w:p>
    <w:p w14:paraId="44099D71">
      <w:pPr>
        <w:pStyle w:val="3"/>
        <w:spacing w:before="280" w:after="180"/>
      </w:pPr>
      <w:r>
        <w:rPr>
          <w:rFonts w:ascii="Arial" w:hAnsi="Arial" w:eastAsia="Arial" w:cs="Arial"/>
          <w:b/>
          <w:bCs/>
          <w:sz w:val="26"/>
          <w:szCs w:val="26"/>
        </w:rPr>
        <w:t>2.3 Inverse Correlation</w:t>
      </w:r>
    </w:p>
    <w:p w14:paraId="35EE0F78">
      <w:pPr>
        <w:spacing w:after="200" w:line="276" w:lineRule="auto"/>
      </w:pPr>
      <w:r>
        <w:rPr>
          <w:rFonts w:ascii="Arial" w:hAnsi="Arial" w:eastAsia="Arial" w:cs="Arial"/>
          <w:sz w:val="22"/>
          <w:szCs w:val="22"/>
        </w:rPr>
        <w:t>When instruments are inversely correlated (e.g., DXY and EUR/USD), the expected confirmation is opposite: a higher high on DXY should correspond to a lower low on EUR/USD. Failure of that inverse relationship is also SMT.</w:t>
      </w:r>
    </w:p>
    <w:p w14:paraId="03B2CE41">
      <w:pPr>
        <w:pStyle w:val="2"/>
        <w:spacing w:before="360" w:after="240"/>
      </w:pPr>
      <w:r>
        <w:rPr>
          <w:rFonts w:ascii="Arial" w:hAnsi="Arial" w:eastAsia="Arial" w:cs="Arial"/>
          <w:b/>
          <w:bCs/>
          <w:sz w:val="32"/>
          <w:szCs w:val="32"/>
        </w:rPr>
        <w:t>3. Bullish and Bearish SMT</w:t>
      </w:r>
    </w:p>
    <w:p w14:paraId="163E8A6C">
      <w:pPr>
        <w:pStyle w:val="3"/>
        <w:spacing w:before="280" w:after="180"/>
      </w:pPr>
      <w:r>
        <w:rPr>
          <w:rFonts w:ascii="Arial" w:hAnsi="Arial" w:eastAsia="Arial" w:cs="Arial"/>
          <w:b/>
          <w:bCs/>
          <w:sz w:val="26"/>
          <w:szCs w:val="26"/>
        </w:rPr>
        <w:t>3.1 Bullish SMT (Positive Correlation)</w:t>
      </w:r>
    </w:p>
    <w:p w14:paraId="769E16DB">
      <w:pPr>
        <w:spacing w:after="200" w:line="276" w:lineRule="auto"/>
      </w:pPr>
      <w:r>
        <w:rPr>
          <w:rFonts w:ascii="Arial" w:hAnsi="Arial" w:eastAsia="Arial" w:cs="Arial"/>
          <w:sz w:val="22"/>
          <w:szCs w:val="22"/>
        </w:rPr>
        <w:t>Both instruments are declining (or testing lows). One makes a lower low; the other makes a higher low (fails to confirm the new low). The non-confirming higher low is often the first sign that sell-side liquidity has been engineered on one instrument without genuine continuation across the complex. Bullish intent is inferred; the weaker (or the non-confirming) instrument is frequently the preferred long.</w:t>
      </w:r>
    </w:p>
    <w:p w14:paraId="7FEEC969">
      <w:pPr>
        <w:pStyle w:val="3"/>
        <w:spacing w:before="280" w:after="180"/>
      </w:pPr>
      <w:r>
        <w:rPr>
          <w:rFonts w:ascii="Arial" w:hAnsi="Arial" w:eastAsia="Arial" w:cs="Arial"/>
          <w:b/>
          <w:bCs/>
          <w:sz w:val="26"/>
          <w:szCs w:val="26"/>
        </w:rPr>
        <w:t>3.2 Bearish SMT (Positive Correlation)</w:t>
      </w:r>
    </w:p>
    <w:p w14:paraId="72DBE37D">
      <w:pPr>
        <w:spacing w:after="200" w:line="276" w:lineRule="auto"/>
      </w:pPr>
      <w:r>
        <w:rPr>
          <w:rFonts w:ascii="Arial" w:hAnsi="Arial" w:eastAsia="Arial" w:cs="Arial"/>
          <w:sz w:val="22"/>
          <w:szCs w:val="22"/>
        </w:rPr>
        <w:t>Both instruments are advancing (or testing highs). One makes a higher high; the other makes a lower high (fails to confirm). The non-confirming lower high suggests buy-side liquidity was taken on one instrument without genuine strength across the complex. Bearish intent is inferred; the weaker instrument is frequently the preferred short.</w:t>
      </w:r>
    </w:p>
    <w:p w14:paraId="4F6DA9C2">
      <w:pPr>
        <w:pStyle w:val="3"/>
        <w:spacing w:before="280" w:after="180"/>
      </w:pPr>
      <w:r>
        <w:rPr>
          <w:rFonts w:ascii="Arial" w:hAnsi="Arial" w:eastAsia="Arial" w:cs="Arial"/>
          <w:b/>
          <w:bCs/>
          <w:sz w:val="26"/>
          <w:szCs w:val="26"/>
        </w:rPr>
        <w:t>3.3 Timing</w:t>
      </w:r>
    </w:p>
    <w:p w14:paraId="3D94C069">
      <w:pPr>
        <w:spacing w:after="200" w:line="276" w:lineRule="auto"/>
      </w:pPr>
      <w:r>
        <w:rPr>
          <w:rFonts w:ascii="Arial" w:hAnsi="Arial" w:eastAsia="Arial" w:cs="Arial"/>
          <w:sz w:val="22"/>
          <w:szCs w:val="22"/>
        </w:rPr>
        <w:t>SMT is most meaningful at the swing extremes that coincide with expected liquidity events and kill zones, not at random mid-range wiggles.</w:t>
      </w:r>
    </w:p>
    <w:p w14:paraId="1A74D55E">
      <w:pPr>
        <w:pStyle w:val="2"/>
        <w:spacing w:before="360" w:after="240"/>
      </w:pPr>
      <w:r>
        <w:rPr>
          <w:rFonts w:ascii="Arial" w:hAnsi="Arial" w:eastAsia="Arial" w:cs="Arial"/>
          <w:b/>
          <w:bCs/>
          <w:sz w:val="32"/>
          <w:szCs w:val="32"/>
        </w:rPr>
        <w:t>4. Relative Strength and Relative Weakness</w:t>
      </w:r>
    </w:p>
    <w:p w14:paraId="3761BB01">
      <w:pPr>
        <w:pStyle w:val="3"/>
        <w:spacing w:before="280" w:after="180"/>
      </w:pPr>
      <w:r>
        <w:rPr>
          <w:rFonts w:ascii="Arial" w:hAnsi="Arial" w:eastAsia="Arial" w:cs="Arial"/>
          <w:b/>
          <w:bCs/>
          <w:sz w:val="26"/>
          <w:szCs w:val="26"/>
        </w:rPr>
        <w:t>4.1 Concept</w:t>
      </w:r>
    </w:p>
    <w:p w14:paraId="27D8EFD6">
      <w:pPr>
        <w:spacing w:after="200" w:line="276" w:lineRule="auto"/>
      </w:pPr>
      <w:r>
        <w:rPr>
          <w:rFonts w:ascii="Arial" w:hAnsi="Arial" w:eastAsia="Arial" w:cs="Arial"/>
          <w:sz w:val="22"/>
          <w:szCs w:val="22"/>
        </w:rPr>
        <w:t>When correlated instruments diverge, one is relatively strong and one is relatively weak. ICT-style application often favours trading the weaker instrument in the direction implied by the divergence (sometimes called the “sick sister” approach in secondary literature): the weak one is the one that failed to confirm and is therefore more likely to lead the subsequent move once the engineered liquidity has been taken.</w:t>
      </w:r>
    </w:p>
    <w:p w14:paraId="431716B3">
      <w:pPr>
        <w:pStyle w:val="3"/>
        <w:spacing w:before="280" w:after="180"/>
      </w:pPr>
      <w:r>
        <w:rPr>
          <w:rFonts w:ascii="Arial" w:hAnsi="Arial" w:eastAsia="Arial" w:cs="Arial"/>
          <w:b/>
          <w:bCs/>
          <w:sz w:val="26"/>
          <w:szCs w:val="26"/>
        </w:rPr>
        <w:t>4.2 Practical Selection</w:t>
      </w:r>
    </w:p>
    <w:p w14:paraId="4E0C9060">
      <w:pPr>
        <w:spacing w:after="200" w:line="276" w:lineRule="auto"/>
      </w:pPr>
      <w:r>
        <w:rPr>
          <w:rFonts w:ascii="Arial" w:hAnsi="Arial" w:eastAsia="Arial" w:cs="Arial"/>
          <w:sz w:val="22"/>
          <w:szCs w:val="22"/>
        </w:rPr>
        <w:t>Bullish SMT → prefer the instrument that held the higher low (or the one that shows relative strength on the reversal). Bearish SMT → prefer the instrument that printed the lower high (relative weakness). Exact selection also depends on which instrument offers the cleaner PD-array entry and the better alignment with the higher-timeframe narrative of that specific market.</w:t>
      </w:r>
    </w:p>
    <w:p w14:paraId="3D4441F7">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B/C — Relative-strength selection of the divergent leg is a consistent practical application of SMT; “sick sister” is secondary/community phrasing.</w:t>
      </w:r>
    </w:p>
    <w:p w14:paraId="5CD9589E">
      <w:pPr>
        <w:pStyle w:val="2"/>
        <w:spacing w:before="360" w:after="240"/>
      </w:pPr>
      <w:r>
        <w:rPr>
          <w:rFonts w:ascii="Arial" w:hAnsi="Arial" w:eastAsia="Arial" w:cs="Arial"/>
          <w:b/>
          <w:bCs/>
          <w:sz w:val="32"/>
          <w:szCs w:val="32"/>
        </w:rPr>
        <w:t>5. SMT + Liquidity</w:t>
      </w:r>
    </w:p>
    <w:p w14:paraId="45D233E8">
      <w:pPr>
        <w:spacing w:after="200" w:line="276" w:lineRule="auto"/>
      </w:pPr>
      <w:r>
        <w:rPr>
          <w:rFonts w:ascii="Arial" w:hAnsi="Arial" w:eastAsia="Arial" w:cs="Arial"/>
          <w:sz w:val="22"/>
          <w:szCs w:val="22"/>
        </w:rPr>
        <w:t>SMT is most powerful when the swing that fails to confirm is itself a liquidity event on one instrument. Example: EUR/USD sweeps a clear sell-side pool and makes a lower low while GBP/USD holds above its corresponding low. The EUR/USD low is more likely a manipulation; the GBP/USD non-confirmation supports a bullish delivery narrative for the dollar-sensitive complex.</w:t>
      </w:r>
    </w:p>
    <w:p w14:paraId="401F924C">
      <w:pPr>
        <w:spacing w:after="200" w:line="276" w:lineRule="auto"/>
      </w:pPr>
      <w:r>
        <w:rPr>
          <w:rFonts w:ascii="Arial" w:hAnsi="Arial" w:eastAsia="Arial" w:cs="Arial"/>
          <w:sz w:val="22"/>
          <w:szCs w:val="22"/>
        </w:rPr>
        <w:t>SMT does not replace the Draw on Liquidity analysis of Module 3; it adds intermarket confirmation or warning at the moment the liquidity is taken.</w:t>
      </w:r>
    </w:p>
    <w:p w14:paraId="42C7BCE5">
      <w:pPr>
        <w:pStyle w:val="2"/>
        <w:spacing w:before="360" w:after="240"/>
      </w:pPr>
      <w:r>
        <w:rPr>
          <w:rFonts w:ascii="Arial" w:hAnsi="Arial" w:eastAsia="Arial" w:cs="Arial"/>
          <w:b/>
          <w:bCs/>
          <w:sz w:val="32"/>
          <w:szCs w:val="32"/>
        </w:rPr>
        <w:t>6. SMT + Market Structure Shift</w:t>
      </w:r>
    </w:p>
    <w:p w14:paraId="276648C1">
      <w:pPr>
        <w:spacing w:after="200" w:line="276" w:lineRule="auto"/>
      </w:pPr>
      <w:r>
        <w:rPr>
          <w:rFonts w:ascii="Arial" w:hAnsi="Arial" w:eastAsia="Arial" w:cs="Arial"/>
          <w:sz w:val="22"/>
          <w:szCs w:val="22"/>
        </w:rPr>
        <w:t>Ideal sequence: SMT divergence at the liquidity extreme → subsequent displacement and MSS on the instrument being traded (or on both) in the direction implied by the SMT. SMT without a following MSS is only a warning; SMT followed by MSS is confirmation that the single-instrument narrative is aligning with intermarket order flow.</w:t>
      </w:r>
    </w:p>
    <w:p w14:paraId="367A0801">
      <w:pPr>
        <w:pStyle w:val="2"/>
        <w:spacing w:before="360" w:after="240"/>
      </w:pPr>
      <w:r>
        <w:rPr>
          <w:rFonts w:ascii="Arial" w:hAnsi="Arial" w:eastAsia="Arial" w:cs="Arial"/>
          <w:b/>
          <w:bCs/>
          <w:sz w:val="32"/>
          <w:szCs w:val="32"/>
        </w:rPr>
        <w:t>7. SMT + FVG / PD Arrays</w:t>
      </w:r>
    </w:p>
    <w:p w14:paraId="350C8364">
      <w:pPr>
        <w:spacing w:after="200" w:line="276" w:lineRule="auto"/>
      </w:pPr>
      <w:r>
        <w:rPr>
          <w:rFonts w:ascii="Arial" w:hAnsi="Arial" w:eastAsia="Arial" w:cs="Arial"/>
          <w:sz w:val="22"/>
          <w:szCs w:val="22"/>
        </w:rPr>
        <w:t>After SMT and MSS, the entry is still taken at a PD array in the correct half of the controlling range of the traded instrument (Modules 5–6, 11–12). SMT improves the probability that the array will hold; it does not replace the array or the premium/discount filter.</w:t>
      </w:r>
    </w:p>
    <w:p w14:paraId="73C23D83">
      <w:pPr>
        <w:pStyle w:val="2"/>
        <w:spacing w:before="360" w:after="240"/>
      </w:pPr>
      <w:r>
        <w:rPr>
          <w:rFonts w:ascii="Arial" w:hAnsi="Arial" w:eastAsia="Arial" w:cs="Arial"/>
          <w:b/>
          <w:bCs/>
          <w:sz w:val="32"/>
          <w:szCs w:val="32"/>
        </w:rPr>
        <w:t>8. SMT + Higher-Timeframe Bias</w:t>
      </w:r>
    </w:p>
    <w:p w14:paraId="0EBB759B">
      <w:pPr>
        <w:spacing w:after="200" w:line="276" w:lineRule="auto"/>
      </w:pPr>
      <w:r>
        <w:rPr>
          <w:rFonts w:ascii="Arial" w:hAnsi="Arial" w:eastAsia="Arial" w:cs="Arial"/>
          <w:sz w:val="22"/>
          <w:szCs w:val="22"/>
        </w:rPr>
        <w:t>SMT is highest quality when it aligns with the higher-timeframe bias of the instrument being traded. Bullish SMT that appears while the weekly and daily bias of that instrument are already bullish is confirmatory. Bullish SMT that appears against a clear higher-timeframe bearish bias is either an early warning of possible narrative failure or a lower-probability counter-narrative signal. Advanced practice does not let SMT alone overturn a well-constructed higher-timeframe bias without structural and liquidity confirmation on that instrument.</w:t>
      </w:r>
    </w:p>
    <w:p w14:paraId="00135774">
      <w:pPr>
        <w:pStyle w:val="2"/>
        <w:spacing w:before="360" w:after="240"/>
      </w:pPr>
      <w:r>
        <w:rPr>
          <w:rFonts w:ascii="Arial" w:hAnsi="Arial" w:eastAsia="Arial" w:cs="Arial"/>
          <w:b/>
          <w:bCs/>
          <w:sz w:val="32"/>
          <w:szCs w:val="32"/>
        </w:rPr>
        <w:t>9. Limitations of SMT</w:t>
      </w:r>
    </w:p>
    <w:p w14:paraId="24F1DA0C">
      <w:pPr>
        <w:pStyle w:val="16"/>
        <w:numPr>
          <w:ilvl w:val="0"/>
          <w:numId w:val="1"/>
        </w:numPr>
        <w:spacing w:after="120" w:line="276" w:lineRule="auto"/>
      </w:pPr>
      <w:r>
        <w:rPr>
          <w:rFonts w:ascii="Arial" w:hAnsi="Arial" w:eastAsia="Arial" w:cs="Arial"/>
          <w:sz w:val="22"/>
          <w:szCs w:val="22"/>
        </w:rPr>
        <w:t>Requires genuinely correlated instruments; forced pairs produce noise.</w:t>
      </w:r>
    </w:p>
    <w:p w14:paraId="42C9EA6C">
      <w:pPr>
        <w:pStyle w:val="16"/>
        <w:numPr>
          <w:ilvl w:val="0"/>
          <w:numId w:val="1"/>
        </w:numPr>
        <w:spacing w:after="120" w:line="276" w:lineRule="auto"/>
      </w:pPr>
      <w:r>
        <w:rPr>
          <w:rFonts w:ascii="Arial" w:hAnsi="Arial" w:eastAsia="Arial" w:cs="Arial"/>
          <w:sz w:val="22"/>
          <w:szCs w:val="22"/>
        </w:rPr>
        <w:t>Correlation itself can break (regime change, risk-on/risk-off shifts, idiosyncratic news).</w:t>
      </w:r>
    </w:p>
    <w:p w14:paraId="4B0321A2">
      <w:pPr>
        <w:pStyle w:val="16"/>
        <w:numPr>
          <w:ilvl w:val="0"/>
          <w:numId w:val="1"/>
        </w:numPr>
        <w:spacing w:after="120" w:line="276" w:lineRule="auto"/>
      </w:pPr>
      <w:r>
        <w:rPr>
          <w:rFonts w:ascii="Arial" w:hAnsi="Arial" w:eastAsia="Arial" w:cs="Arial"/>
          <w:sz w:val="22"/>
          <w:szCs w:val="22"/>
        </w:rPr>
        <w:t>SMT at minor, non-liquidity swing points is low value.</w:t>
      </w:r>
    </w:p>
    <w:p w14:paraId="4EE0D28C">
      <w:pPr>
        <w:pStyle w:val="16"/>
        <w:numPr>
          <w:ilvl w:val="0"/>
          <w:numId w:val="1"/>
        </w:numPr>
        <w:spacing w:after="120" w:line="276" w:lineRule="auto"/>
      </w:pPr>
      <w:r>
        <w:rPr>
          <w:rFonts w:ascii="Arial" w:hAnsi="Arial" w:eastAsia="Arial" w:cs="Arial"/>
          <w:sz w:val="22"/>
          <w:szCs w:val="22"/>
        </w:rPr>
        <w:t>SMT is a confirmation/selection tool, not a complete trading system.</w:t>
      </w:r>
    </w:p>
    <w:p w14:paraId="45006B3B">
      <w:pPr>
        <w:pStyle w:val="16"/>
        <w:numPr>
          <w:ilvl w:val="0"/>
          <w:numId w:val="1"/>
        </w:numPr>
        <w:spacing w:after="120" w:line="276" w:lineRule="auto"/>
      </w:pPr>
      <w:r>
        <w:rPr>
          <w:rFonts w:ascii="Arial" w:hAnsi="Arial" w:eastAsia="Arial" w:cs="Arial"/>
          <w:sz w:val="22"/>
          <w:szCs w:val="22"/>
        </w:rPr>
        <w:t>Over-reliance on SMT can cause the student to neglect single-instrument narrative construction.</w:t>
      </w:r>
    </w:p>
    <w:p w14:paraId="5C353594">
      <w:pPr>
        <w:pStyle w:val="16"/>
        <w:numPr>
          <w:ilvl w:val="0"/>
          <w:numId w:val="1"/>
        </w:numPr>
        <w:spacing w:after="120" w:line="276" w:lineRule="auto"/>
      </w:pPr>
      <w:r>
        <w:rPr>
          <w:rFonts w:ascii="Arial" w:hAnsi="Arial" w:eastAsia="Arial" w:cs="Arial"/>
          <w:sz w:val="22"/>
          <w:szCs w:val="22"/>
        </w:rPr>
        <w:t>Not every divergence leads to an immediate, large reversal; many are short-lived or produce only limited mean-reversion.</w:t>
      </w:r>
    </w:p>
    <w:p w14:paraId="31923B5F">
      <w:pPr>
        <w:spacing w:after="200" w:line="276" w:lineRule="auto"/>
      </w:pPr>
      <w:r>
        <w:rPr>
          <w:rFonts w:ascii="Arial" w:hAnsi="Arial" w:eastAsia="Arial" w:cs="Arial"/>
          <w:sz w:val="22"/>
          <w:szCs w:val="22"/>
        </w:rPr>
        <w:t>When correlation is unstable or the divergence occurs far from any relevant liquidity or kill zone, SMT is ignored.</w:t>
      </w:r>
    </w:p>
    <w:p w14:paraId="69DA3E61">
      <w:pPr>
        <w:pStyle w:val="2"/>
        <w:spacing w:before="360" w:after="240"/>
      </w:pPr>
      <w:r>
        <w:rPr>
          <w:rFonts w:ascii="Arial" w:hAnsi="Arial" w:eastAsia="Arial" w:cs="Arial"/>
          <w:b/>
          <w:bCs/>
          <w:sz w:val="32"/>
          <w:szCs w:val="32"/>
        </w:rPr>
        <w:t>10. Integration into the Full Narrative</w:t>
      </w:r>
    </w:p>
    <w:p w14:paraId="566D4907">
      <w:pPr>
        <w:spacing w:after="200" w:line="276" w:lineRule="auto"/>
      </w:pPr>
      <w:r>
        <w:rPr>
          <w:rFonts w:ascii="Arial" w:hAnsi="Arial" w:eastAsia="Arial" w:cs="Arial"/>
          <w:sz w:val="22"/>
          <w:szCs w:val="22"/>
        </w:rPr>
        <w:t>SMT is inserted into the narrative stack as an intermarket confirmation layer:</w:t>
      </w:r>
    </w:p>
    <w:p w14:paraId="0A8F121A">
      <w:pPr>
        <w:pStyle w:val="16"/>
        <w:numPr>
          <w:ilvl w:val="0"/>
          <w:numId w:val="1"/>
        </w:numPr>
        <w:spacing w:after="120" w:line="276" w:lineRule="auto"/>
      </w:pPr>
      <w:r>
        <w:rPr>
          <w:rFonts w:ascii="Arial" w:hAnsi="Arial" w:eastAsia="Arial" w:cs="Arial"/>
          <w:sz w:val="22"/>
          <w:szCs w:val="22"/>
        </w:rPr>
        <w:t>Monthly / Weekly / Daily narrative and bias are constructed first on the primary instrument (Modules 9–10).</w:t>
      </w:r>
    </w:p>
    <w:p w14:paraId="6B5E1874">
      <w:pPr>
        <w:pStyle w:val="16"/>
        <w:numPr>
          <w:ilvl w:val="0"/>
          <w:numId w:val="1"/>
        </w:numPr>
        <w:spacing w:after="120" w:line="276" w:lineRule="auto"/>
      </w:pPr>
      <w:r>
        <w:rPr>
          <w:rFonts w:ascii="Arial" w:hAnsi="Arial" w:eastAsia="Arial" w:cs="Arial"/>
          <w:sz w:val="22"/>
          <w:szCs w:val="22"/>
        </w:rPr>
        <w:t>At the expected liquidity event, the correlated instrument is checked for confirmation or SMT divergence.</w:t>
      </w:r>
    </w:p>
    <w:p w14:paraId="69748F8E">
      <w:pPr>
        <w:pStyle w:val="16"/>
        <w:numPr>
          <w:ilvl w:val="0"/>
          <w:numId w:val="1"/>
        </w:numPr>
        <w:spacing w:after="120" w:line="276" w:lineRule="auto"/>
      </w:pPr>
      <w:r>
        <w:rPr>
          <w:rFonts w:ascii="Arial" w:hAnsi="Arial" w:eastAsia="Arial" w:cs="Arial"/>
          <w:sz w:val="22"/>
          <w:szCs w:val="22"/>
        </w:rPr>
        <w:t>If SMT aligns with the bias, confidence in the subsequent displacement, MSS and PD-array entry rises.</w:t>
      </w:r>
    </w:p>
    <w:p w14:paraId="2953CE42">
      <w:pPr>
        <w:pStyle w:val="16"/>
        <w:numPr>
          <w:ilvl w:val="0"/>
          <w:numId w:val="1"/>
        </w:numPr>
        <w:spacing w:after="120" w:line="276" w:lineRule="auto"/>
      </w:pPr>
      <w:r>
        <w:rPr>
          <w:rFonts w:ascii="Arial" w:hAnsi="Arial" w:eastAsia="Arial" w:cs="Arial"/>
          <w:sz w:val="22"/>
          <w:szCs w:val="22"/>
        </w:rPr>
        <w:t>If SMT contradicts the bias, the student tightens requirements (stronger displacement, clearer array, smaller size) or stands aside until the conflict resolves.</w:t>
      </w:r>
    </w:p>
    <w:p w14:paraId="50156EE9">
      <w:pPr>
        <w:spacing w:after="200" w:line="276" w:lineRule="auto"/>
      </w:pPr>
      <w:r>
        <w:rPr>
          <w:rFonts w:ascii="Arial" w:hAnsi="Arial" w:eastAsia="Arial" w:cs="Arial"/>
          <w:sz w:val="22"/>
          <w:szCs w:val="22"/>
        </w:rPr>
        <w:t>SMT never stands alone as the reason for a trade.</w:t>
      </w:r>
    </w:p>
    <w:p w14:paraId="1F7B71FE">
      <w:pPr>
        <w:pStyle w:val="2"/>
        <w:spacing w:before="360" w:after="240"/>
      </w:pPr>
      <w:r>
        <w:rPr>
          <w:rFonts w:ascii="Arial" w:hAnsi="Arial" w:eastAsia="Arial" w:cs="Arial"/>
          <w:b/>
          <w:bCs/>
          <w:sz w:val="32"/>
          <w:szCs w:val="32"/>
        </w:rPr>
        <w:t>11. Worked Example</w:t>
      </w:r>
    </w:p>
    <w:p w14:paraId="65594E70">
      <w:pPr>
        <w:spacing w:after="200" w:line="276" w:lineRule="auto"/>
      </w:pPr>
      <w:r>
        <w:rPr>
          <w:rFonts w:ascii="Arial" w:hAnsi="Arial" w:eastAsia="Arial" w:cs="Arial"/>
          <w:sz w:val="22"/>
          <w:szCs w:val="22"/>
        </w:rPr>
        <w:t>Primary instrument: EUR/USD. Weekly and daily bias bullish toward buy-side DOL; price in discount; London expected to raid Asian sell-side.</w:t>
      </w:r>
    </w:p>
    <w:p w14:paraId="77F9AA2D">
      <w:pPr>
        <w:spacing w:after="200" w:line="276" w:lineRule="auto"/>
      </w:pPr>
      <w:r>
        <w:rPr>
          <w:rFonts w:ascii="Arial" w:hAnsi="Arial" w:eastAsia="Arial" w:cs="Arial"/>
          <w:sz w:val="22"/>
          <w:szCs w:val="22"/>
        </w:rPr>
        <w:t>London: EUR/USD sweeps Asian low and a prior equal low. GBP/USD, the correlated pair, fails to make a new low and holds a higher low (bullish SMT).</w:t>
      </w:r>
    </w:p>
    <w:p w14:paraId="7298F88E">
      <w:pPr>
        <w:spacing w:after="200" w:line="276" w:lineRule="auto"/>
      </w:pPr>
      <w:r>
        <w:rPr>
          <w:rFonts w:ascii="Arial" w:hAnsi="Arial" w:eastAsia="Arial" w:cs="Arial"/>
          <w:sz w:val="22"/>
          <w:szCs w:val="22"/>
        </w:rPr>
        <w:t>EUR/USD then prints bullish displacement and MSS; FVG forms in discount. Entry is taken on the retracement into the FVG/CE.</w:t>
      </w:r>
    </w:p>
    <w:p w14:paraId="6412FDAB">
      <w:pPr>
        <w:spacing w:after="200" w:line="276" w:lineRule="auto"/>
      </w:pPr>
      <w:r>
        <w:rPr>
          <w:rFonts w:ascii="Arial" w:hAnsi="Arial" w:eastAsia="Arial" w:cs="Arial"/>
          <w:sz w:val="22"/>
          <w:szCs w:val="22"/>
        </w:rPr>
        <w:t>SMT confirmed that the EUR/USD low was more likely engineered liquidity than genuine complex-wide selling. The single-instrument narrative (bias, range, displacement, array) remained the primary decision framework; SMT raised its quality.</w:t>
      </w:r>
    </w:p>
    <w:p w14:paraId="518085E0">
      <w:pPr>
        <w:pStyle w:val="2"/>
        <w:spacing w:before="360" w:after="240"/>
      </w:pPr>
      <w:r>
        <w:rPr>
          <w:rFonts w:ascii="Arial" w:hAnsi="Arial" w:eastAsia="Arial" w:cs="Arial"/>
          <w:b/>
          <w:bCs/>
          <w:sz w:val="32"/>
          <w:szCs w:val="32"/>
        </w:rPr>
        <w:t>Visual Reference — SMT at a Liquidity Extreme</w:t>
      </w:r>
    </w:p>
    <w:p w14:paraId="72B2784B">
      <w:pPr>
        <w:spacing w:after="0" w:line="240" w:lineRule="auto"/>
      </w:pPr>
      <w:r>
        <w:rPr>
          <w:rFonts w:ascii="Courier New" w:hAnsi="Courier New" w:eastAsia="Courier New" w:cs="Courier New"/>
          <w:sz w:val="18"/>
          <w:szCs w:val="18"/>
        </w:rPr>
        <w:t>Instrument A (e.g. EUR/USD)     Instrument B (e.g. GBP/USD)</w:t>
      </w:r>
    </w:p>
    <w:p w14:paraId="36A8BBF0">
      <w:pPr>
        <w:spacing w:after="0" w:line="240" w:lineRule="auto"/>
      </w:pPr>
      <w:r>
        <w:rPr>
          <w:rFonts w:ascii="Courier New" w:hAnsi="Courier New" w:eastAsia="Courier New" w:cs="Courier New"/>
          <w:sz w:val="18"/>
          <w:szCs w:val="18"/>
        </w:rPr>
        <w:t xml:space="preserve">        │                               │</w:t>
      </w:r>
    </w:p>
    <w:p w14:paraId="2045E9C5">
      <w:pPr>
        <w:spacing w:after="0" w:line="240" w:lineRule="auto"/>
      </w:pPr>
      <w:r>
        <w:rPr>
          <w:rFonts w:ascii="Courier New" w:hAnsi="Courier New" w:eastAsia="Courier New" w:cs="Courier New"/>
          <w:sz w:val="18"/>
          <w:szCs w:val="18"/>
        </w:rPr>
        <w:t xml:space="preserve">   New lower low  ←── SMT ──→     Higher low (non-confirm)</w:t>
      </w:r>
    </w:p>
    <w:p w14:paraId="47422ABF">
      <w:pPr>
        <w:spacing w:after="0" w:line="240" w:lineRule="auto"/>
      </w:pPr>
      <w:r>
        <w:rPr>
          <w:rFonts w:ascii="Courier New" w:hAnsi="Courier New" w:eastAsia="Courier New" w:cs="Courier New"/>
          <w:sz w:val="18"/>
          <w:szCs w:val="18"/>
        </w:rPr>
        <w:t xml:space="preserve">   (SSL swept)                         │</w:t>
      </w:r>
    </w:p>
    <w:p w14:paraId="32667B59">
      <w:pPr>
        <w:spacing w:after="0" w:line="240" w:lineRule="auto"/>
      </w:pPr>
      <w:r>
        <w:rPr>
          <w:rFonts w:ascii="Courier New" w:hAnsi="Courier New" w:eastAsia="Courier New" w:cs="Courier New"/>
          <w:sz w:val="18"/>
          <w:szCs w:val="18"/>
        </w:rPr>
        <w:t xml:space="preserve">        │                               │</w:t>
      </w:r>
    </w:p>
    <w:p w14:paraId="3E3F6E31">
      <w:pPr>
        <w:spacing w:after="0" w:line="240" w:lineRule="auto"/>
      </w:pPr>
      <w:r>
        <w:rPr>
          <w:rFonts w:ascii="Courier New" w:hAnsi="Courier New" w:eastAsia="Courier New" w:cs="Courier New"/>
          <w:sz w:val="18"/>
          <w:szCs w:val="18"/>
        </w:rPr>
        <w:t xml:space="preserve">   Displacement + MSS                  │</w:t>
      </w:r>
    </w:p>
    <w:p w14:paraId="2A9BD8BA">
      <w:pPr>
        <w:spacing w:after="0" w:line="240" w:lineRule="auto"/>
      </w:pPr>
      <w:r>
        <w:rPr>
          <w:rFonts w:ascii="Courier New" w:hAnsi="Courier New" w:eastAsia="Courier New" w:cs="Courier New"/>
          <w:sz w:val="18"/>
          <w:szCs w:val="18"/>
        </w:rPr>
        <w:t xml:space="preserve">        │                               │</w:t>
      </w:r>
    </w:p>
    <w:p w14:paraId="60BBFDD6">
      <w:pPr>
        <w:spacing w:after="0" w:line="240" w:lineRule="auto"/>
      </w:pPr>
      <w:r>
        <w:rPr>
          <w:rFonts w:ascii="Courier New" w:hAnsi="Courier New" w:eastAsia="Courier New" w:cs="Courier New"/>
          <w:sz w:val="18"/>
          <w:szCs w:val="18"/>
        </w:rPr>
        <w:t xml:space="preserve">   PD-array entry (discount)            │</w:t>
      </w:r>
    </w:p>
    <w:p w14:paraId="30A1A386">
      <w:pPr>
        <w:spacing w:after="0" w:line="240" w:lineRule="auto"/>
      </w:pPr>
      <w:r>
        <w:rPr>
          <w:rFonts w:ascii="Courier New" w:hAnsi="Courier New" w:eastAsia="Courier New" w:cs="Courier New"/>
          <w:sz w:val="18"/>
          <w:szCs w:val="18"/>
        </w:rPr>
        <w:t xml:space="preserve">        ▼                               │</w:t>
      </w:r>
    </w:p>
    <w:p w14:paraId="6990A267">
      <w:pPr>
        <w:spacing w:after="0" w:line="240" w:lineRule="auto"/>
      </w:pPr>
      <w:r>
        <w:rPr>
          <w:rFonts w:ascii="Courier New" w:hAnsi="Courier New" w:eastAsia="Courier New" w:cs="Courier New"/>
          <w:sz w:val="18"/>
          <w:szCs w:val="18"/>
        </w:rPr>
        <w:t xml:space="preserve">   Toward buy-side DOL</w:t>
      </w:r>
    </w:p>
    <w:p w14:paraId="2133A8CD">
      <w:pPr>
        <w:pStyle w:val="2"/>
        <w:spacing w:before="360" w:after="240"/>
      </w:pPr>
      <w:r>
        <w:rPr>
          <w:rFonts w:ascii="Arial" w:hAnsi="Arial" w:eastAsia="Arial" w:cs="Arial"/>
          <w:b/>
          <w:bCs/>
          <w:sz w:val="32"/>
          <w:szCs w:val="32"/>
        </w:rPr>
        <w:t>12. Common Misinterpretations</w:t>
      </w:r>
    </w:p>
    <w:p w14:paraId="344CDD2B">
      <w:pPr>
        <w:pStyle w:val="16"/>
        <w:numPr>
          <w:ilvl w:val="0"/>
          <w:numId w:val="1"/>
        </w:numPr>
        <w:spacing w:after="120" w:line="276" w:lineRule="auto"/>
      </w:pPr>
      <w:r>
        <w:rPr>
          <w:rFonts w:ascii="Arial" w:hAnsi="Arial" w:eastAsia="Arial" w:cs="Arial"/>
          <w:sz w:val="22"/>
          <w:szCs w:val="22"/>
        </w:rPr>
        <w:t>Treating SMT as RSI/MACD-style divergence.</w:t>
      </w:r>
    </w:p>
    <w:p w14:paraId="28A5E552">
      <w:pPr>
        <w:pStyle w:val="16"/>
        <w:numPr>
          <w:ilvl w:val="0"/>
          <w:numId w:val="1"/>
        </w:numPr>
        <w:spacing w:after="120" w:line="276" w:lineRule="auto"/>
      </w:pPr>
      <w:r>
        <w:rPr>
          <w:rFonts w:ascii="Arial" w:hAnsi="Arial" w:eastAsia="Arial" w:cs="Arial"/>
          <w:sz w:val="22"/>
          <w:szCs w:val="22"/>
        </w:rPr>
        <w:t>Forcing SMT on weakly or temporarily correlated pairs.</w:t>
      </w:r>
    </w:p>
    <w:p w14:paraId="27133187">
      <w:pPr>
        <w:pStyle w:val="16"/>
        <w:numPr>
          <w:ilvl w:val="0"/>
          <w:numId w:val="1"/>
        </w:numPr>
        <w:spacing w:after="120" w:line="276" w:lineRule="auto"/>
      </w:pPr>
      <w:r>
        <w:rPr>
          <w:rFonts w:ascii="Arial" w:hAnsi="Arial" w:eastAsia="Arial" w:cs="Arial"/>
          <w:sz w:val="22"/>
          <w:szCs w:val="22"/>
        </w:rPr>
        <w:t>Trading every SMT without a single-instrument narrative, bias, and PD-array entry.</w:t>
      </w:r>
    </w:p>
    <w:p w14:paraId="63894C36">
      <w:pPr>
        <w:pStyle w:val="16"/>
        <w:numPr>
          <w:ilvl w:val="0"/>
          <w:numId w:val="1"/>
        </w:numPr>
        <w:spacing w:after="120" w:line="276" w:lineRule="auto"/>
      </w:pPr>
      <w:r>
        <w:rPr>
          <w:rFonts w:ascii="Arial" w:hAnsi="Arial" w:eastAsia="Arial" w:cs="Arial"/>
          <w:sz w:val="22"/>
          <w:szCs w:val="22"/>
        </w:rPr>
        <w:t>Allowing SMT alone to override a clear higher-timeframe opposing bias.</w:t>
      </w:r>
    </w:p>
    <w:p w14:paraId="17F1CB73">
      <w:pPr>
        <w:pStyle w:val="16"/>
        <w:numPr>
          <w:ilvl w:val="0"/>
          <w:numId w:val="1"/>
        </w:numPr>
        <w:spacing w:after="120" w:line="276" w:lineRule="auto"/>
      </w:pPr>
      <w:r>
        <w:rPr>
          <w:rFonts w:ascii="Arial" w:hAnsi="Arial" w:eastAsia="Arial" w:cs="Arial"/>
          <w:sz w:val="22"/>
          <w:szCs w:val="22"/>
        </w:rPr>
        <w:t>Ignoring SMT limitations when correlation is breaking.</w:t>
      </w:r>
    </w:p>
    <w:p w14:paraId="3A67508B">
      <w:pPr>
        <w:pStyle w:val="16"/>
        <w:numPr>
          <w:ilvl w:val="0"/>
          <w:numId w:val="1"/>
        </w:numPr>
        <w:spacing w:after="120" w:line="276" w:lineRule="auto"/>
      </w:pPr>
      <w:r>
        <w:rPr>
          <w:rFonts w:ascii="Arial" w:hAnsi="Arial" w:eastAsia="Arial" w:cs="Arial"/>
          <w:sz w:val="22"/>
          <w:szCs w:val="22"/>
        </w:rPr>
        <w:t>Looking for SMT at every swing instead of at liquidity-relevant extremes in kill zones.</w:t>
      </w:r>
    </w:p>
    <w:p w14:paraId="46951FA0">
      <w:pPr>
        <w:pStyle w:val="2"/>
        <w:spacing w:before="360" w:after="240"/>
      </w:pPr>
      <w:r>
        <w:rPr>
          <w:rFonts w:ascii="Arial" w:hAnsi="Arial" w:eastAsia="Arial" w:cs="Arial"/>
          <w:b/>
          <w:bCs/>
          <w:sz w:val="32"/>
          <w:szCs w:val="32"/>
        </w:rPr>
        <w:t>13. Evidence Summary</w:t>
      </w:r>
    </w:p>
    <w:p w14:paraId="5FB08AC3">
      <w:pPr>
        <w:spacing w:after="200" w:line="276" w:lineRule="auto"/>
      </w:pPr>
      <w:r>
        <w:rPr>
          <w:rFonts w:ascii="Arial" w:hAnsi="Arial" w:eastAsia="Arial" w:cs="Arial"/>
          <w:sz w:val="22"/>
          <w:szCs w:val="22"/>
        </w:rPr>
        <w:t>Comparison of swing extremes between correlated instruments (especially ES/NQ and EUR/USD–GBP/USD) as a non-confirmation / liquidity-engineering signal is ICT teaching. The term SMT (Smart Money Technique / Tool) is used in ICT-related material for this method. Relative-strength selection of the divergent leg is a consistent practical application. Indicator-style divergence and mechanical SMT systems that ignore single-instrument narrative are community elaborations or errors.</w:t>
      </w:r>
    </w:p>
    <w:p w14:paraId="353D5909">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Primary orientation: ICT demonstrations of correlated-instrument non-confirmation at liquidity extremes (index futures and major FX). Secondary sources used to locate pair examples and terminology; all application remains subordinated to the narrative framework of Modules 1–12.</w:t>
      </w:r>
    </w:p>
    <w:p w14:paraId="619F0E62">
      <w:pPr>
        <w:pStyle w:val="2"/>
        <w:spacing w:before="360" w:after="240"/>
      </w:pPr>
      <w:r>
        <w:rPr>
          <w:rFonts w:ascii="Arial" w:hAnsi="Arial" w:eastAsia="Arial" w:cs="Arial"/>
          <w:b/>
          <w:bCs/>
          <w:sz w:val="32"/>
          <w:szCs w:val="32"/>
        </w:rPr>
        <w:t>What You Should Now Be Able to Do</w:t>
      </w:r>
    </w:p>
    <w:p w14:paraId="096B8E4B">
      <w:pPr>
        <w:pStyle w:val="16"/>
        <w:numPr>
          <w:ilvl w:val="0"/>
          <w:numId w:val="1"/>
        </w:numPr>
        <w:spacing w:after="120" w:line="276" w:lineRule="auto"/>
      </w:pPr>
      <w:r>
        <w:rPr>
          <w:rFonts w:ascii="Arial" w:hAnsi="Arial" w:eastAsia="Arial" w:cs="Arial"/>
          <w:sz w:val="22"/>
          <w:szCs w:val="22"/>
        </w:rPr>
        <w:t>Define SMT without reference to oscillators.</w:t>
      </w:r>
    </w:p>
    <w:p w14:paraId="501B93BB">
      <w:pPr>
        <w:pStyle w:val="16"/>
        <w:numPr>
          <w:ilvl w:val="0"/>
          <w:numId w:val="1"/>
        </w:numPr>
        <w:spacing w:after="120" w:line="276" w:lineRule="auto"/>
      </w:pPr>
      <w:r>
        <w:rPr>
          <w:rFonts w:ascii="Arial" w:hAnsi="Arial" w:eastAsia="Arial" w:cs="Arial"/>
          <w:sz w:val="22"/>
          <w:szCs w:val="22"/>
        </w:rPr>
        <w:t>Select valid correlated pairs and check current correlation stability.</w:t>
      </w:r>
    </w:p>
    <w:p w14:paraId="5389E3E4">
      <w:pPr>
        <w:pStyle w:val="16"/>
        <w:numPr>
          <w:ilvl w:val="0"/>
          <w:numId w:val="1"/>
        </w:numPr>
        <w:spacing w:after="120" w:line="276" w:lineRule="auto"/>
      </w:pPr>
      <w:r>
        <w:rPr>
          <w:rFonts w:ascii="Arial" w:hAnsi="Arial" w:eastAsia="Arial" w:cs="Arial"/>
          <w:sz w:val="22"/>
          <w:szCs w:val="22"/>
        </w:rPr>
        <w:t>Identify bullish and bearish SMT at matching swing points.</w:t>
      </w:r>
    </w:p>
    <w:p w14:paraId="605219BC">
      <w:pPr>
        <w:pStyle w:val="16"/>
        <w:numPr>
          <w:ilvl w:val="0"/>
          <w:numId w:val="1"/>
        </w:numPr>
        <w:spacing w:after="120" w:line="276" w:lineRule="auto"/>
      </w:pPr>
      <w:r>
        <w:rPr>
          <w:rFonts w:ascii="Arial" w:hAnsi="Arial" w:eastAsia="Arial" w:cs="Arial"/>
          <w:sz w:val="22"/>
          <w:szCs w:val="22"/>
        </w:rPr>
        <w:t>Integrate SMT with the liquidity event, MSS, PD-array entry and HTF bias of the primary instrument.</w:t>
      </w:r>
    </w:p>
    <w:p w14:paraId="3C681D39">
      <w:pPr>
        <w:pStyle w:val="16"/>
        <w:numPr>
          <w:ilvl w:val="0"/>
          <w:numId w:val="1"/>
        </w:numPr>
        <w:spacing w:after="120" w:line="276" w:lineRule="auto"/>
      </w:pPr>
      <w:r>
        <w:rPr>
          <w:rFonts w:ascii="Arial" w:hAnsi="Arial" w:eastAsia="Arial" w:cs="Arial"/>
          <w:sz w:val="22"/>
          <w:szCs w:val="22"/>
        </w:rPr>
        <w:t>Use relative strength/weakness to help choose which instrument to execute.</w:t>
      </w:r>
    </w:p>
    <w:p w14:paraId="7E885A2C">
      <w:pPr>
        <w:pStyle w:val="16"/>
        <w:numPr>
          <w:ilvl w:val="0"/>
          <w:numId w:val="1"/>
        </w:numPr>
        <w:spacing w:after="120" w:line="276" w:lineRule="auto"/>
      </w:pPr>
      <w:r>
        <w:rPr>
          <w:rFonts w:ascii="Arial" w:hAnsi="Arial" w:eastAsia="Arial" w:cs="Arial"/>
          <w:sz w:val="22"/>
          <w:szCs w:val="22"/>
        </w:rPr>
        <w:t>Ignore SMT when correlation is unstable or the divergence is irrelevant to the narrative.</w:t>
      </w:r>
    </w:p>
    <w:p w14:paraId="77144475">
      <w:pPr>
        <w:pStyle w:val="16"/>
        <w:numPr>
          <w:ilvl w:val="0"/>
          <w:numId w:val="1"/>
        </w:numPr>
        <w:spacing w:after="120" w:line="276" w:lineRule="auto"/>
      </w:pPr>
      <w:r>
        <w:rPr>
          <w:rFonts w:ascii="Arial" w:hAnsi="Arial" w:eastAsia="Arial" w:cs="Arial"/>
          <w:sz w:val="22"/>
          <w:szCs w:val="22"/>
        </w:rPr>
        <w:t>Keep SMT as a confirmation layer, never as a standalone system.</w:t>
      </w:r>
    </w:p>
    <w:p w14:paraId="2979405D">
      <w:pPr>
        <w:pStyle w:val="2"/>
        <w:spacing w:before="360" w:after="240"/>
      </w:pPr>
      <w:r>
        <w:rPr>
          <w:rFonts w:ascii="Arial" w:hAnsi="Arial" w:eastAsia="Arial" w:cs="Arial"/>
          <w:b/>
          <w:bCs/>
          <w:sz w:val="32"/>
          <w:szCs w:val="32"/>
        </w:rPr>
        <w:t>Module Review</w:t>
      </w:r>
    </w:p>
    <w:p w14:paraId="7F7E9024">
      <w:pPr>
        <w:pStyle w:val="3"/>
        <w:spacing w:before="280" w:after="180"/>
      </w:pPr>
      <w:r>
        <w:rPr>
          <w:rFonts w:ascii="Arial" w:hAnsi="Arial" w:eastAsia="Arial" w:cs="Arial"/>
          <w:b/>
          <w:bCs/>
          <w:sz w:val="26"/>
          <w:szCs w:val="26"/>
        </w:rPr>
        <w:t>Key Terms</w:t>
      </w:r>
    </w:p>
    <w:p w14:paraId="4D4B5057">
      <w:pPr>
        <w:pStyle w:val="16"/>
        <w:numPr>
          <w:ilvl w:val="0"/>
          <w:numId w:val="1"/>
        </w:numPr>
        <w:spacing w:after="120" w:line="276" w:lineRule="auto"/>
      </w:pPr>
      <w:r>
        <w:rPr>
          <w:rFonts w:ascii="Arial" w:hAnsi="Arial" w:eastAsia="Arial" w:cs="Arial"/>
          <w:sz w:val="22"/>
          <w:szCs w:val="22"/>
        </w:rPr>
        <w:t>SMT (Smart Money Technique) — non-confirmation of swing extremes between correlated instruments.</w:t>
      </w:r>
    </w:p>
    <w:p w14:paraId="316C2BB4">
      <w:pPr>
        <w:pStyle w:val="16"/>
        <w:numPr>
          <w:ilvl w:val="0"/>
          <w:numId w:val="1"/>
        </w:numPr>
        <w:spacing w:after="120" w:line="276" w:lineRule="auto"/>
      </w:pPr>
      <w:r>
        <w:rPr>
          <w:rFonts w:ascii="Arial" w:hAnsi="Arial" w:eastAsia="Arial" w:cs="Arial"/>
          <w:sz w:val="22"/>
          <w:szCs w:val="22"/>
        </w:rPr>
        <w:t>Bullish SMT — one instrument makes a lower low; the correlated instrument makes a higher low.</w:t>
      </w:r>
    </w:p>
    <w:p w14:paraId="7EC0E93D">
      <w:pPr>
        <w:pStyle w:val="16"/>
        <w:numPr>
          <w:ilvl w:val="0"/>
          <w:numId w:val="1"/>
        </w:numPr>
        <w:spacing w:after="120" w:line="276" w:lineRule="auto"/>
      </w:pPr>
      <w:r>
        <w:rPr>
          <w:rFonts w:ascii="Arial" w:hAnsi="Arial" w:eastAsia="Arial" w:cs="Arial"/>
          <w:sz w:val="22"/>
          <w:szCs w:val="22"/>
        </w:rPr>
        <w:t>Bearish SMT — one instrument makes a higher high; the correlated instrument makes a lower high.</w:t>
      </w:r>
    </w:p>
    <w:p w14:paraId="24DDC9BB">
      <w:pPr>
        <w:pStyle w:val="16"/>
        <w:numPr>
          <w:ilvl w:val="0"/>
          <w:numId w:val="1"/>
        </w:numPr>
        <w:spacing w:after="120" w:line="276" w:lineRule="auto"/>
      </w:pPr>
      <w:r>
        <w:rPr>
          <w:rFonts w:ascii="Arial" w:hAnsi="Arial" w:eastAsia="Arial" w:cs="Arial"/>
          <w:sz w:val="22"/>
          <w:szCs w:val="22"/>
        </w:rPr>
        <w:t>Relative strength / weakness — which of the divergent instruments is leading or lagging.</w:t>
      </w:r>
    </w:p>
    <w:p w14:paraId="02609EAD">
      <w:pPr>
        <w:pStyle w:val="16"/>
        <w:numPr>
          <w:ilvl w:val="0"/>
          <w:numId w:val="1"/>
        </w:numPr>
        <w:spacing w:after="120" w:line="276" w:lineRule="auto"/>
      </w:pPr>
      <w:r>
        <w:rPr>
          <w:rFonts w:ascii="Arial" w:hAnsi="Arial" w:eastAsia="Arial" w:cs="Arial"/>
          <w:sz w:val="22"/>
          <w:szCs w:val="22"/>
        </w:rPr>
        <w:t>Sick sister (secondary term) — preference for trading the weaker / non-confirming leg.</w:t>
      </w:r>
    </w:p>
    <w:p w14:paraId="2C4A7388">
      <w:pPr>
        <w:pStyle w:val="16"/>
        <w:numPr>
          <w:ilvl w:val="0"/>
          <w:numId w:val="1"/>
        </w:numPr>
        <w:spacing w:after="120" w:line="276" w:lineRule="auto"/>
      </w:pPr>
      <w:r>
        <w:rPr>
          <w:rFonts w:ascii="Arial" w:hAnsi="Arial" w:eastAsia="Arial" w:cs="Arial"/>
          <w:sz w:val="22"/>
          <w:szCs w:val="22"/>
        </w:rPr>
        <w:t>Intermarket confirmation — SMT that aligns with the primary instrument’s narrative.</w:t>
      </w:r>
    </w:p>
    <w:p w14:paraId="12B3AAF5">
      <w:pPr>
        <w:pStyle w:val="16"/>
        <w:numPr>
          <w:ilvl w:val="0"/>
          <w:numId w:val="1"/>
        </w:numPr>
        <w:spacing w:after="120" w:line="276" w:lineRule="auto"/>
      </w:pPr>
      <w:r>
        <w:rPr>
          <w:rFonts w:ascii="Arial" w:hAnsi="Arial" w:eastAsia="Arial" w:cs="Arial"/>
          <w:sz w:val="22"/>
          <w:szCs w:val="22"/>
        </w:rPr>
        <w:t>Intermarket conflict — SMT that contradicts the primary instrument’s bias.</w:t>
      </w:r>
    </w:p>
    <w:p w14:paraId="42A3AD33">
      <w:pPr>
        <w:pStyle w:val="3"/>
        <w:spacing w:before="280" w:after="180"/>
      </w:pPr>
      <w:r>
        <w:rPr>
          <w:rFonts w:ascii="Arial" w:hAnsi="Arial" w:eastAsia="Arial" w:cs="Arial"/>
          <w:b/>
          <w:bCs/>
          <w:sz w:val="26"/>
          <w:szCs w:val="26"/>
        </w:rPr>
        <w:t>Self-Test</w:t>
      </w:r>
    </w:p>
    <w:p w14:paraId="469AD028">
      <w:pPr>
        <w:pStyle w:val="16"/>
        <w:numPr>
          <w:ilvl w:val="0"/>
          <w:numId w:val="2"/>
        </w:numPr>
        <w:spacing w:after="120" w:line="276" w:lineRule="auto"/>
      </w:pPr>
      <w:r>
        <w:rPr>
          <w:rFonts w:ascii="Arial" w:hAnsi="Arial" w:eastAsia="Arial" w:cs="Arial"/>
          <w:sz w:val="22"/>
          <w:szCs w:val="22"/>
        </w:rPr>
        <w:t>How does SMT differ from conventional oscillator divergence?</w:t>
      </w:r>
    </w:p>
    <w:p w14:paraId="67AB5E8D">
      <w:pPr>
        <w:pStyle w:val="16"/>
        <w:numPr>
          <w:ilvl w:val="0"/>
          <w:numId w:val="2"/>
        </w:numPr>
        <w:spacing w:after="120" w:line="276" w:lineRule="auto"/>
      </w:pPr>
      <w:r>
        <w:rPr>
          <w:rFonts w:ascii="Arial" w:hAnsi="Arial" w:eastAsia="Arial" w:cs="Arial"/>
          <w:sz w:val="22"/>
          <w:szCs w:val="22"/>
        </w:rPr>
        <w:t>Name two classic positively correlated pairs used for SMT.</w:t>
      </w:r>
    </w:p>
    <w:p w14:paraId="0FBEFB1A">
      <w:pPr>
        <w:pStyle w:val="16"/>
        <w:numPr>
          <w:ilvl w:val="0"/>
          <w:numId w:val="2"/>
        </w:numPr>
        <w:spacing w:after="120" w:line="276" w:lineRule="auto"/>
      </w:pPr>
      <w:r>
        <w:rPr>
          <w:rFonts w:ascii="Arial" w:hAnsi="Arial" w:eastAsia="Arial" w:cs="Arial"/>
          <w:sz w:val="22"/>
          <w:szCs w:val="22"/>
        </w:rPr>
        <w:t>What is bullish SMT on a positively correlated pair?</w:t>
      </w:r>
    </w:p>
    <w:p w14:paraId="45A56A21">
      <w:pPr>
        <w:pStyle w:val="16"/>
        <w:numPr>
          <w:ilvl w:val="0"/>
          <w:numId w:val="2"/>
        </w:numPr>
        <w:spacing w:after="120" w:line="276" w:lineRule="auto"/>
      </w:pPr>
      <w:r>
        <w:rPr>
          <w:rFonts w:ascii="Arial" w:hAnsi="Arial" w:eastAsia="Arial" w:cs="Arial"/>
          <w:sz w:val="22"/>
          <w:szCs w:val="22"/>
        </w:rPr>
        <w:t>Where in the narrative stack does SMT belong?</w:t>
      </w:r>
    </w:p>
    <w:p w14:paraId="1C9A2EA3">
      <w:pPr>
        <w:pStyle w:val="16"/>
        <w:numPr>
          <w:ilvl w:val="0"/>
          <w:numId w:val="2"/>
        </w:numPr>
        <w:spacing w:after="120" w:line="276" w:lineRule="auto"/>
      </w:pPr>
      <w:r>
        <w:rPr>
          <w:rFonts w:ascii="Arial" w:hAnsi="Arial" w:eastAsia="Arial" w:cs="Arial"/>
          <w:sz w:val="22"/>
          <w:szCs w:val="22"/>
        </w:rPr>
        <w:t>List three limitations that should cause the student to ignore an apparent SMT signal.</w:t>
      </w:r>
    </w:p>
    <w:p w14:paraId="5336608B">
      <w:pPr>
        <w:pStyle w:val="3"/>
        <w:spacing w:before="280" w:after="180"/>
      </w:pPr>
      <w:r>
        <w:rPr>
          <w:rFonts w:ascii="Arial" w:hAnsi="Arial" w:eastAsia="Arial" w:cs="Arial"/>
          <w:b/>
          <w:bCs/>
          <w:sz w:val="26"/>
          <w:szCs w:val="26"/>
        </w:rPr>
        <w:t>Transition to Module 14</w:t>
      </w:r>
    </w:p>
    <w:p w14:paraId="45F87E26">
      <w:pPr>
        <w:spacing w:after="200" w:line="276" w:lineRule="auto"/>
      </w:pPr>
      <w:r>
        <w:rPr>
          <w:rFonts w:ascii="Arial" w:hAnsi="Arial" w:eastAsia="Arial" w:cs="Arial"/>
          <w:sz w:val="22"/>
          <w:szCs w:val="22"/>
        </w:rPr>
        <w:t>Module 13 has added the intermarket confirmation layer. Module 14 (Advanced Session &amp; Weekly Framework) will deepen the time and session architecture — Asian accumulation, London and New York manipulation/distribution profiles, weekly opening behaviour and range expansion — so that SMT, liquidity and structure can be read inside the precise session and weekly containers in which they most often appear.</w:t>
      </w:r>
    </w:p>
    <w:p w14:paraId="76FB9C25">
      <w:pPr>
        <w:spacing w:after="200" w:line="276" w:lineRule="auto"/>
        <w:rPr>
          <w:rFonts w:ascii="Arial" w:hAnsi="Arial" w:eastAsia="Arial" w:cs="Arial"/>
          <w:sz w:val="22"/>
          <w:szCs w:val="22"/>
        </w:rPr>
      </w:pPr>
    </w:p>
    <w:p w14:paraId="7466C205">
      <w:pPr>
        <w:spacing w:after="200" w:line="276" w:lineRule="auto"/>
        <w:rPr>
          <w:rFonts w:ascii="Arial" w:hAnsi="Arial" w:eastAsia="Arial" w:cs="Arial"/>
          <w:sz w:val="22"/>
          <w:szCs w:val="22"/>
        </w:rPr>
      </w:pPr>
    </w:p>
    <w:p w14:paraId="22A35419">
      <w:pPr>
        <w:spacing w:after="200" w:line="276" w:lineRule="auto"/>
        <w:rPr>
          <w:rFonts w:ascii="Arial" w:hAnsi="Arial" w:eastAsia="Arial" w:cs="Arial"/>
          <w:sz w:val="22"/>
          <w:szCs w:val="22"/>
        </w:rPr>
      </w:pPr>
    </w:p>
    <w:p w14:paraId="341E91EB">
      <w:pPr>
        <w:spacing w:after="200" w:line="276" w:lineRule="auto"/>
        <w:rPr>
          <w:rFonts w:ascii="Arial" w:hAnsi="Arial" w:eastAsia="Arial" w:cs="Arial"/>
          <w:sz w:val="22"/>
          <w:szCs w:val="22"/>
        </w:rPr>
      </w:pPr>
    </w:p>
    <w:p w14:paraId="70F0FD88">
      <w:pPr>
        <w:spacing w:after="200" w:line="276" w:lineRule="auto"/>
        <w:rPr>
          <w:rFonts w:ascii="Arial" w:hAnsi="Arial" w:eastAsia="Arial" w:cs="Arial"/>
          <w:sz w:val="22"/>
          <w:szCs w:val="22"/>
        </w:rPr>
      </w:pPr>
    </w:p>
    <w:p w14:paraId="60667F1F">
      <w:pPr>
        <w:spacing w:after="200" w:line="276" w:lineRule="auto"/>
        <w:rPr>
          <w:rFonts w:ascii="Arial" w:hAnsi="Arial" w:eastAsia="Arial" w:cs="Arial"/>
          <w:sz w:val="22"/>
          <w:szCs w:val="22"/>
        </w:rPr>
      </w:pPr>
    </w:p>
    <w:p w14:paraId="4F08589B">
      <w:pPr>
        <w:spacing w:after="200" w:line="276" w:lineRule="auto"/>
        <w:rPr>
          <w:rFonts w:ascii="Arial" w:hAnsi="Arial" w:eastAsia="Arial" w:cs="Arial"/>
          <w:sz w:val="22"/>
          <w:szCs w:val="22"/>
        </w:rPr>
      </w:pPr>
    </w:p>
    <w:p w14:paraId="61E38941">
      <w:pPr>
        <w:spacing w:after="200" w:line="276" w:lineRule="auto"/>
        <w:rPr>
          <w:rFonts w:ascii="Arial" w:hAnsi="Arial" w:eastAsia="Arial" w:cs="Arial"/>
          <w:sz w:val="22"/>
          <w:szCs w:val="22"/>
        </w:rPr>
      </w:pPr>
    </w:p>
    <w:p w14:paraId="3270752E">
      <w:pPr>
        <w:spacing w:after="200" w:line="276" w:lineRule="auto"/>
        <w:rPr>
          <w:rFonts w:ascii="Arial" w:hAnsi="Arial" w:eastAsia="Arial" w:cs="Arial"/>
          <w:sz w:val="22"/>
          <w:szCs w:val="22"/>
        </w:rPr>
      </w:pPr>
    </w:p>
    <w:p w14:paraId="0E759742">
      <w:pPr>
        <w:spacing w:after="200" w:line="276" w:lineRule="auto"/>
        <w:rPr>
          <w:rFonts w:ascii="Arial" w:hAnsi="Arial" w:eastAsia="Arial" w:cs="Arial"/>
          <w:sz w:val="22"/>
          <w:szCs w:val="22"/>
        </w:rPr>
      </w:pPr>
    </w:p>
    <w:p w14:paraId="2B4ACD0D">
      <w:pPr>
        <w:spacing w:after="200" w:line="276" w:lineRule="auto"/>
        <w:rPr>
          <w:rFonts w:ascii="Arial" w:hAnsi="Arial" w:eastAsia="Arial" w:cs="Arial"/>
          <w:sz w:val="22"/>
          <w:szCs w:val="22"/>
        </w:rPr>
      </w:pPr>
    </w:p>
    <w:p w14:paraId="2EE0D64A">
      <w:pPr>
        <w:spacing w:after="200" w:line="276" w:lineRule="auto"/>
        <w:rPr>
          <w:rFonts w:ascii="Arial" w:hAnsi="Arial" w:eastAsia="Arial" w:cs="Arial"/>
          <w:sz w:val="22"/>
          <w:szCs w:val="22"/>
        </w:rPr>
      </w:pPr>
    </w:p>
    <w:p w14:paraId="01C56272">
      <w:pPr>
        <w:spacing w:after="200" w:line="276" w:lineRule="auto"/>
        <w:rPr>
          <w:rFonts w:ascii="Arial" w:hAnsi="Arial" w:eastAsia="Arial" w:cs="Arial"/>
          <w:sz w:val="22"/>
          <w:szCs w:val="22"/>
        </w:rPr>
      </w:pPr>
    </w:p>
    <w:p w14:paraId="79E0F87F">
      <w:pPr>
        <w:spacing w:after="200" w:line="276" w:lineRule="auto"/>
        <w:rPr>
          <w:rFonts w:ascii="Arial" w:hAnsi="Arial" w:eastAsia="Arial" w:cs="Arial"/>
          <w:sz w:val="22"/>
          <w:szCs w:val="22"/>
        </w:rPr>
      </w:pPr>
    </w:p>
    <w:p w14:paraId="5BF08D0E">
      <w:pPr>
        <w:spacing w:after="200" w:line="276" w:lineRule="auto"/>
        <w:rPr>
          <w:rFonts w:ascii="Arial" w:hAnsi="Arial" w:eastAsia="Arial" w:cs="Arial"/>
          <w:sz w:val="22"/>
          <w:szCs w:val="22"/>
        </w:rPr>
      </w:pPr>
    </w:p>
    <w:p w14:paraId="5938FFFF">
      <w:pPr>
        <w:spacing w:after="200" w:line="276" w:lineRule="auto"/>
        <w:rPr>
          <w:rFonts w:ascii="Arial" w:hAnsi="Arial" w:eastAsia="Arial" w:cs="Arial"/>
          <w:sz w:val="22"/>
          <w:szCs w:val="22"/>
        </w:rPr>
      </w:pPr>
    </w:p>
    <w:p w14:paraId="0C117F53">
      <w:pPr>
        <w:spacing w:after="200" w:line="276" w:lineRule="auto"/>
        <w:rPr>
          <w:rFonts w:ascii="Arial" w:hAnsi="Arial" w:eastAsia="Arial" w:cs="Arial"/>
          <w:sz w:val="22"/>
          <w:szCs w:val="22"/>
        </w:rPr>
      </w:pPr>
    </w:p>
    <w:p w14:paraId="61BEC444">
      <w:pPr>
        <w:spacing w:after="200" w:line="276" w:lineRule="auto"/>
        <w:rPr>
          <w:rFonts w:ascii="Arial" w:hAnsi="Arial" w:eastAsia="Arial" w:cs="Arial"/>
          <w:sz w:val="22"/>
          <w:szCs w:val="22"/>
        </w:rPr>
      </w:pPr>
    </w:p>
    <w:p w14:paraId="3163B932">
      <w:pPr>
        <w:spacing w:after="200" w:line="276" w:lineRule="auto"/>
        <w:rPr>
          <w:rFonts w:ascii="Arial" w:hAnsi="Arial" w:eastAsia="Arial" w:cs="Arial"/>
          <w:sz w:val="22"/>
          <w:szCs w:val="22"/>
        </w:rPr>
      </w:pPr>
    </w:p>
    <w:p w14:paraId="057D6666">
      <w:pPr>
        <w:spacing w:after="200" w:line="276" w:lineRule="auto"/>
        <w:rPr>
          <w:rFonts w:ascii="Arial" w:hAnsi="Arial" w:eastAsia="Arial" w:cs="Arial"/>
          <w:sz w:val="22"/>
          <w:szCs w:val="22"/>
        </w:rPr>
      </w:pPr>
    </w:p>
    <w:p w14:paraId="54337DFA">
      <w:pPr>
        <w:spacing w:after="200" w:line="276" w:lineRule="auto"/>
        <w:rPr>
          <w:rFonts w:ascii="Arial" w:hAnsi="Arial" w:eastAsia="Arial" w:cs="Arial"/>
          <w:sz w:val="22"/>
          <w:szCs w:val="22"/>
        </w:rPr>
      </w:pPr>
    </w:p>
    <w:p w14:paraId="36D2F74B">
      <w:pPr>
        <w:spacing w:after="200" w:line="276" w:lineRule="auto"/>
        <w:rPr>
          <w:rFonts w:ascii="Arial" w:hAnsi="Arial" w:eastAsia="Arial" w:cs="Arial"/>
          <w:sz w:val="22"/>
          <w:szCs w:val="22"/>
        </w:rPr>
      </w:pPr>
    </w:p>
    <w:p w14:paraId="0CD9D131">
      <w:pPr>
        <w:spacing w:after="400"/>
        <w:jc w:val="center"/>
      </w:pPr>
      <w:r>
        <w:rPr>
          <w:rFonts w:ascii="Arial" w:hAnsi="Arial" w:eastAsia="Arial" w:cs="Arial"/>
          <w:b/>
          <w:bCs/>
          <w:sz w:val="36"/>
          <w:szCs w:val="36"/>
        </w:rPr>
        <w:t>MODULE 14</w:t>
      </w:r>
    </w:p>
    <w:p w14:paraId="07FEC158">
      <w:pPr>
        <w:spacing w:after="200"/>
        <w:jc w:val="center"/>
      </w:pPr>
      <w:r>
        <w:rPr>
          <w:rFonts w:ascii="Arial" w:hAnsi="Arial" w:eastAsia="Arial" w:cs="Arial"/>
          <w:b/>
          <w:bCs/>
          <w:sz w:val="28"/>
          <w:szCs w:val="28"/>
        </w:rPr>
        <w:t>Advanced Session &amp; Weekly Framework</w:t>
      </w:r>
    </w:p>
    <w:p w14:paraId="088406A8">
      <w:pPr>
        <w:spacing w:after="400"/>
        <w:jc w:val="center"/>
      </w:pPr>
      <w:r>
        <w:rPr>
          <w:rFonts w:ascii="Arial" w:hAnsi="Arial" w:eastAsia="Arial" w:cs="Arial"/>
          <w:i/>
          <w:iCs/>
          <w:sz w:val="20"/>
          <w:szCs w:val="20"/>
        </w:rPr>
        <w:t>Asian Accumulation, London &amp; New York Profiles, Weekly Opening &amp; Expansion, Session Hierarchy, Daily-within-Weekly</w:t>
      </w:r>
    </w:p>
    <w:p w14:paraId="1F432F52">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Modules 1–13. This module deepens the time containers in which delivery, PO3, SMT and PD-array entries actually occur. Session and weekly profiles are not rigid scripts; they are high-probability organising templates conditioned by the higher-timeframe narrative.</w:t>
      </w:r>
    </w:p>
    <w:p w14:paraId="7A22CC39">
      <w:pPr>
        <w:pStyle w:val="2"/>
        <w:spacing w:before="360" w:after="240"/>
      </w:pPr>
      <w:r>
        <w:rPr>
          <w:rFonts w:ascii="Arial" w:hAnsi="Arial" w:eastAsia="Arial" w:cs="Arial"/>
          <w:b/>
          <w:bCs/>
          <w:sz w:val="32"/>
          <w:szCs w:val="32"/>
        </w:rPr>
        <w:t>Module Objectives</w:t>
      </w:r>
    </w:p>
    <w:p w14:paraId="10711AF1">
      <w:pPr>
        <w:spacing w:after="200" w:line="276" w:lineRule="auto"/>
      </w:pPr>
      <w:r>
        <w:rPr>
          <w:rFonts w:ascii="Arial" w:hAnsi="Arial" w:eastAsia="Arial" w:cs="Arial"/>
          <w:sz w:val="22"/>
          <w:szCs w:val="22"/>
        </w:rPr>
        <w:t>By the end of this module the advanced student should be able to:</w:t>
      </w:r>
    </w:p>
    <w:p w14:paraId="1D68F9EC">
      <w:pPr>
        <w:pStyle w:val="16"/>
        <w:numPr>
          <w:ilvl w:val="0"/>
          <w:numId w:val="1"/>
        </w:numPr>
        <w:spacing w:after="120" w:line="276" w:lineRule="auto"/>
      </w:pPr>
      <w:r>
        <w:rPr>
          <w:rFonts w:ascii="Arial" w:hAnsi="Arial" w:eastAsia="Arial" w:cs="Arial"/>
          <w:sz w:val="22"/>
          <w:szCs w:val="22"/>
        </w:rPr>
        <w:t>Map Asian accumulation, London manipulation/continuation/reversal, and New York distribution/continuation/reversal onto the active daily narrative.</w:t>
      </w:r>
    </w:p>
    <w:p w14:paraId="5FCD42BB">
      <w:pPr>
        <w:pStyle w:val="16"/>
        <w:numPr>
          <w:ilvl w:val="0"/>
          <w:numId w:val="1"/>
        </w:numPr>
        <w:spacing w:after="120" w:line="276" w:lineRule="auto"/>
      </w:pPr>
      <w:r>
        <w:rPr>
          <w:rFonts w:ascii="Arial" w:hAnsi="Arial" w:eastAsia="Arial" w:cs="Arial"/>
          <w:sz w:val="22"/>
          <w:szCs w:val="22"/>
        </w:rPr>
        <w:t>Read weekly opening behaviour and weekly range expansion as the higher-timeframe containers of daily profiles.</w:t>
      </w:r>
    </w:p>
    <w:p w14:paraId="7311974D">
      <w:pPr>
        <w:pStyle w:val="16"/>
        <w:numPr>
          <w:ilvl w:val="0"/>
          <w:numId w:val="1"/>
        </w:numPr>
        <w:spacing w:after="120" w:line="276" w:lineRule="auto"/>
      </w:pPr>
      <w:r>
        <w:rPr>
          <w:rFonts w:ascii="Arial" w:hAnsi="Arial" w:eastAsia="Arial" w:cs="Arial"/>
          <w:sz w:val="22"/>
          <w:szCs w:val="22"/>
        </w:rPr>
        <w:t>Locate daily ranges and session extremes inside the weekly dealing range.</w:t>
      </w:r>
    </w:p>
    <w:p w14:paraId="569FC86D">
      <w:pPr>
        <w:pStyle w:val="16"/>
        <w:numPr>
          <w:ilvl w:val="0"/>
          <w:numId w:val="1"/>
        </w:numPr>
        <w:spacing w:after="120" w:line="276" w:lineRule="auto"/>
      </w:pPr>
      <w:r>
        <w:rPr>
          <w:rFonts w:ascii="Arial" w:hAnsi="Arial" w:eastAsia="Arial" w:cs="Arial"/>
          <w:sz w:val="22"/>
          <w:szCs w:val="22"/>
        </w:rPr>
        <w:t>Apply session hierarchy so that lower-session activity remains subordinate to higher-session and weekly objectives.</w:t>
      </w:r>
    </w:p>
    <w:p w14:paraId="5EE1F2F9">
      <w:pPr>
        <w:pStyle w:val="16"/>
        <w:numPr>
          <w:ilvl w:val="0"/>
          <w:numId w:val="1"/>
        </w:numPr>
        <w:spacing w:after="120" w:line="276" w:lineRule="auto"/>
      </w:pPr>
      <w:r>
        <w:rPr>
          <w:rFonts w:ascii="Arial" w:hAnsi="Arial" w:eastAsia="Arial" w:cs="Arial"/>
          <w:sz w:val="22"/>
          <w:szCs w:val="22"/>
        </w:rPr>
        <w:t>Anticipate which session is most likely to produce the liquidity event and which session is most likely to produce distribution.</w:t>
      </w:r>
    </w:p>
    <w:p w14:paraId="39B4DD65">
      <w:pPr>
        <w:pStyle w:val="16"/>
        <w:numPr>
          <w:ilvl w:val="0"/>
          <w:numId w:val="1"/>
        </w:numPr>
        <w:spacing w:after="120" w:line="276" w:lineRule="auto"/>
      </w:pPr>
      <w:r>
        <w:rPr>
          <w:rFonts w:ascii="Arial" w:hAnsi="Arial" w:eastAsia="Arial" w:cs="Arial"/>
          <w:sz w:val="22"/>
          <w:szCs w:val="22"/>
        </w:rPr>
        <w:t>Recognise when a session is printing an alternative profile and adjust model selection accordingly.</w:t>
      </w:r>
    </w:p>
    <w:p w14:paraId="298A7123">
      <w:pPr>
        <w:pStyle w:val="16"/>
        <w:numPr>
          <w:ilvl w:val="0"/>
          <w:numId w:val="1"/>
        </w:numPr>
        <w:spacing w:after="120" w:line="276" w:lineRule="auto"/>
      </w:pPr>
      <w:r>
        <w:rPr>
          <w:rFonts w:ascii="Arial" w:hAnsi="Arial" w:eastAsia="Arial" w:cs="Arial"/>
          <w:sz w:val="22"/>
          <w:szCs w:val="22"/>
        </w:rPr>
        <w:t>Integrate session and weekly expectations into the full narrative stack and bias statement.</w:t>
      </w:r>
    </w:p>
    <w:p w14:paraId="23ADBE06">
      <w:pPr>
        <w:pStyle w:val="2"/>
        <w:spacing w:before="360" w:after="240"/>
      </w:pPr>
      <w:r>
        <w:rPr>
          <w:rFonts w:ascii="Arial" w:hAnsi="Arial" w:eastAsia="Arial" w:cs="Arial"/>
          <w:b/>
          <w:bCs/>
          <w:sz w:val="32"/>
          <w:szCs w:val="32"/>
        </w:rPr>
        <w:t>1. Session Hierarchy and the Daily Delivery Path</w:t>
      </w:r>
    </w:p>
    <w:p w14:paraId="68D27FC4">
      <w:pPr>
        <w:pStyle w:val="3"/>
        <w:spacing w:before="280" w:after="180"/>
      </w:pPr>
      <w:r>
        <w:rPr>
          <w:rFonts w:ascii="Arial" w:hAnsi="Arial" w:eastAsia="Arial" w:cs="Arial"/>
          <w:b/>
          <w:bCs/>
          <w:sz w:val="26"/>
          <w:szCs w:val="26"/>
        </w:rPr>
        <w:t>1.1 Order of Authority</w:t>
      </w:r>
    </w:p>
    <w:p w14:paraId="39C430CC">
      <w:pPr>
        <w:spacing w:after="200" w:line="276" w:lineRule="auto"/>
      </w:pPr>
      <w:r>
        <w:rPr>
          <w:rFonts w:ascii="Arial" w:hAnsi="Arial" w:eastAsia="Arial" w:cs="Arial"/>
          <w:sz w:val="22"/>
          <w:szCs w:val="22"/>
        </w:rPr>
        <w:t>Weekly narrative and range govern the daily narrative. Within the day, the kill-zone and session sequence organises the path from accumulation through manipulation to distribution. Asian activity is preparatory; London and New York carry the majority of directional delivery for most FX and related markets.</w:t>
      </w:r>
    </w:p>
    <w:p w14:paraId="6A7B0AB0">
      <w:pPr>
        <w:pStyle w:val="3"/>
        <w:spacing w:before="280" w:after="180"/>
      </w:pPr>
      <w:r>
        <w:rPr>
          <w:rFonts w:ascii="Arial" w:hAnsi="Arial" w:eastAsia="Arial" w:cs="Arial"/>
          <w:b/>
          <w:bCs/>
          <w:sz w:val="26"/>
          <w:szCs w:val="26"/>
        </w:rPr>
        <w:t>1.2 Classic Daily Path (Recap Linked to Modules 7–8)</w:t>
      </w:r>
    </w:p>
    <w:p w14:paraId="10C0086B">
      <w:pPr>
        <w:spacing w:after="200" w:line="276" w:lineRule="auto"/>
      </w:pPr>
      <w:r>
        <w:rPr>
          <w:rFonts w:ascii="Arial" w:hAnsi="Arial" w:eastAsia="Arial" w:cs="Arial"/>
          <w:sz w:val="22"/>
          <w:szCs w:val="22"/>
        </w:rPr>
        <w:t>Asian range builds (accumulation). London Open raids one side of that range (manipulation). Displacement and MSS follow. New York continues or expands the distribution toward the daily and weekly Draw on Liquidity. This path is the default expectation when the higher-timeframe bias is clear; it is abandoned when the chart prints a clear alternative.</w:t>
      </w:r>
    </w:p>
    <w:p w14:paraId="1F024548">
      <w:pPr>
        <w:pStyle w:val="2"/>
        <w:spacing w:before="360" w:after="240"/>
      </w:pPr>
      <w:r>
        <w:rPr>
          <w:rFonts w:ascii="Arial" w:hAnsi="Arial" w:eastAsia="Arial" w:cs="Arial"/>
          <w:b/>
          <w:bCs/>
          <w:sz w:val="32"/>
          <w:szCs w:val="32"/>
        </w:rPr>
        <w:t>2. Asian Accumulation</w:t>
      </w:r>
    </w:p>
    <w:p w14:paraId="4AEB2540">
      <w:pPr>
        <w:pStyle w:val="3"/>
        <w:spacing w:before="280" w:after="180"/>
      </w:pPr>
      <w:r>
        <w:rPr>
          <w:rFonts w:ascii="Arial" w:hAnsi="Arial" w:eastAsia="Arial" w:cs="Arial"/>
          <w:b/>
          <w:bCs/>
          <w:sz w:val="26"/>
          <w:szCs w:val="26"/>
        </w:rPr>
        <w:t>2.1 Role</w:t>
      </w:r>
    </w:p>
    <w:p w14:paraId="73975367">
      <w:pPr>
        <w:spacing w:after="200" w:line="276" w:lineRule="auto"/>
      </w:pPr>
      <w:r>
        <w:rPr>
          <w:rFonts w:ascii="Arial" w:hAnsi="Arial" w:eastAsia="Arial" w:cs="Arial"/>
          <w:sz w:val="22"/>
          <w:szCs w:val="22"/>
        </w:rPr>
        <w:t>The Asian session typically constructs a relatively tight range. Its high and low become the most important intraday liquidity references for London. Aggressive directional models during Asia are lower probability for most pairs unless a higher-timeframe news-driven or gap scenario is already in force.</w:t>
      </w:r>
    </w:p>
    <w:p w14:paraId="378D4043">
      <w:pPr>
        <w:pStyle w:val="3"/>
        <w:spacing w:before="280" w:after="180"/>
      </w:pPr>
      <w:r>
        <w:rPr>
          <w:rFonts w:ascii="Arial" w:hAnsi="Arial" w:eastAsia="Arial" w:cs="Arial"/>
          <w:b/>
          <w:bCs/>
          <w:sz w:val="26"/>
          <w:szCs w:val="26"/>
        </w:rPr>
        <w:t>2.2 What the Student Records</w:t>
      </w:r>
    </w:p>
    <w:p w14:paraId="2FE185CF">
      <w:pPr>
        <w:spacing w:after="200" w:line="276" w:lineRule="auto"/>
      </w:pPr>
      <w:r>
        <w:rPr>
          <w:rFonts w:ascii="Arial" w:hAnsi="Arial" w:eastAsia="Arial" w:cs="Arial"/>
          <w:sz w:val="22"/>
          <w:szCs w:val="22"/>
        </w:rPr>
        <w:t>Asian high, Asian low, range midpoint, and any relative equal highs/lows formed inside Asia. These levels are the first candidates for the London manipulation raid.</w:t>
      </w:r>
    </w:p>
    <w:p w14:paraId="38362FF5">
      <w:pPr>
        <w:pStyle w:val="2"/>
        <w:spacing w:before="360" w:after="240"/>
      </w:pPr>
      <w:r>
        <w:rPr>
          <w:rFonts w:ascii="Arial" w:hAnsi="Arial" w:eastAsia="Arial" w:cs="Arial"/>
          <w:b/>
          <w:bCs/>
          <w:sz w:val="32"/>
          <w:szCs w:val="32"/>
        </w:rPr>
        <w:t>3. London Profiles</w:t>
      </w:r>
    </w:p>
    <w:p w14:paraId="7ADED623">
      <w:pPr>
        <w:pStyle w:val="3"/>
        <w:spacing w:before="280" w:after="180"/>
      </w:pPr>
      <w:r>
        <w:rPr>
          <w:rFonts w:ascii="Arial" w:hAnsi="Arial" w:eastAsia="Arial" w:cs="Arial"/>
          <w:b/>
          <w:bCs/>
          <w:sz w:val="26"/>
          <w:szCs w:val="26"/>
        </w:rPr>
        <w:t>3.1 London Manipulation</w:t>
      </w:r>
    </w:p>
    <w:p w14:paraId="2A7FB13C">
      <w:pPr>
        <w:spacing w:after="200" w:line="276" w:lineRule="auto"/>
      </w:pPr>
      <w:r>
        <w:rPr>
          <w:rFonts w:ascii="Arial" w:hAnsi="Arial" w:eastAsia="Arial" w:cs="Arial"/>
          <w:sz w:val="22"/>
          <w:szCs w:val="22"/>
        </w:rPr>
        <w:t>The most common high-quality London behaviour: sweep of the Asian high or low (often relative equal highs/lows), followed by displacement in the opposite direction and an MSS. This is the manipulation phase of daily PO3 and the origin of many of the best daily delivery legs.</w:t>
      </w:r>
    </w:p>
    <w:p w14:paraId="7AB1A9A2">
      <w:pPr>
        <w:pStyle w:val="3"/>
        <w:spacing w:before="280" w:after="180"/>
      </w:pPr>
      <w:r>
        <w:rPr>
          <w:rFonts w:ascii="Arial" w:hAnsi="Arial" w:eastAsia="Arial" w:cs="Arial"/>
          <w:b/>
          <w:bCs/>
          <w:sz w:val="26"/>
          <w:szCs w:val="26"/>
        </w:rPr>
        <w:t>3.2 London Continuation</w:t>
      </w:r>
    </w:p>
    <w:p w14:paraId="223D6EE1">
      <w:pPr>
        <w:spacing w:after="200" w:line="276" w:lineRule="auto"/>
      </w:pPr>
      <w:r>
        <w:rPr>
          <w:rFonts w:ascii="Arial" w:hAnsi="Arial" w:eastAsia="Arial" w:cs="Arial"/>
          <w:sz w:val="22"/>
          <w:szCs w:val="22"/>
        </w:rPr>
        <w:t>After a successful manipulation and displacement, London itself may continue the distribution leg, leaving FVGs and Order Blocks that New York later reprices. London continuation is more likely when the higher-timeframe bias is strong and the manipulation was clean.</w:t>
      </w:r>
    </w:p>
    <w:p w14:paraId="044B8BA5">
      <w:pPr>
        <w:pStyle w:val="3"/>
        <w:spacing w:before="280" w:after="180"/>
      </w:pPr>
      <w:r>
        <w:rPr>
          <w:rFonts w:ascii="Arial" w:hAnsi="Arial" w:eastAsia="Arial" w:cs="Arial"/>
          <w:b/>
          <w:bCs/>
          <w:sz w:val="26"/>
          <w:szCs w:val="26"/>
        </w:rPr>
        <w:t>3.3 London Reversal</w:t>
      </w:r>
    </w:p>
    <w:p w14:paraId="4338DD38">
      <w:pPr>
        <w:spacing w:after="200" w:line="276" w:lineRule="auto"/>
      </w:pPr>
      <w:r>
        <w:rPr>
          <w:rFonts w:ascii="Arial" w:hAnsi="Arial" w:eastAsia="Arial" w:cs="Arial"/>
          <w:sz w:val="22"/>
          <w:szCs w:val="22"/>
        </w:rPr>
        <w:t>Less frequent as a complete daily reversal, but possible when London’s displacement fails, an opposing external MSS prints, and the higher-timeframe narrative itself is under pressure or failing. A London “reversal” that merely corrects a deep manipulation undercut inside an intact higher-timeframe bias is not a true narrative reversal.</w:t>
      </w:r>
    </w:p>
    <w:p w14:paraId="42A6BD63">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Asian range, London Open liquidity raid and subsequent displacement are core ICT session teaching.</w:t>
      </w:r>
    </w:p>
    <w:p w14:paraId="2BD3DBF7">
      <w:pPr>
        <w:pStyle w:val="2"/>
        <w:spacing w:before="360" w:after="240"/>
      </w:pPr>
      <w:r>
        <w:rPr>
          <w:rFonts w:ascii="Arial" w:hAnsi="Arial" w:eastAsia="Arial" w:cs="Arial"/>
          <w:b/>
          <w:bCs/>
          <w:sz w:val="32"/>
          <w:szCs w:val="32"/>
        </w:rPr>
        <w:t>4. New York Profiles</w:t>
      </w:r>
    </w:p>
    <w:p w14:paraId="52FF4F62">
      <w:pPr>
        <w:pStyle w:val="3"/>
        <w:spacing w:before="280" w:after="180"/>
      </w:pPr>
      <w:r>
        <w:rPr>
          <w:rFonts w:ascii="Arial" w:hAnsi="Arial" w:eastAsia="Arial" w:cs="Arial"/>
          <w:b/>
          <w:bCs/>
          <w:sz w:val="26"/>
          <w:szCs w:val="26"/>
        </w:rPr>
        <w:t>4.1 New York Distribution / Continuation</w:t>
      </w:r>
    </w:p>
    <w:p w14:paraId="3341806E">
      <w:pPr>
        <w:spacing w:after="200" w:line="276" w:lineRule="auto"/>
      </w:pPr>
      <w:r>
        <w:rPr>
          <w:rFonts w:ascii="Arial" w:hAnsi="Arial" w:eastAsia="Arial" w:cs="Arial"/>
          <w:sz w:val="22"/>
          <w:szCs w:val="22"/>
        </w:rPr>
        <w:t>The classic role of New York is to continue or expand the distribution that London began, especially during the London–New York overlap. Many of the highest-quality continuation entries (FVG/CE retracements) occur in early New York after London has already conditioned the market.</w:t>
      </w:r>
    </w:p>
    <w:p w14:paraId="673186E6">
      <w:pPr>
        <w:pStyle w:val="3"/>
        <w:spacing w:before="280" w:after="180"/>
      </w:pPr>
      <w:r>
        <w:rPr>
          <w:rFonts w:ascii="Arial" w:hAnsi="Arial" w:eastAsia="Arial" w:cs="Arial"/>
          <w:b/>
          <w:bCs/>
          <w:sz w:val="26"/>
          <w:szCs w:val="26"/>
        </w:rPr>
        <w:t>4.2 New York Reversal</w:t>
      </w:r>
    </w:p>
    <w:p w14:paraId="51BC58CC">
      <w:pPr>
        <w:spacing w:after="200" w:line="276" w:lineRule="auto"/>
      </w:pPr>
      <w:r>
        <w:rPr>
          <w:rFonts w:ascii="Arial" w:hAnsi="Arial" w:eastAsia="Arial" w:cs="Arial"/>
          <w:sz w:val="22"/>
          <w:szCs w:val="22"/>
        </w:rPr>
        <w:t>New York can also reverse a London move when London’s expansion is the manipulation relative to a higher-timeframe or daily objective that New York then delivers in the opposite direction. True New York reversals are more credible when accompanied by external MSS, opposing liquidity targeting, and alignment with higher-timeframe bias.</w:t>
      </w:r>
    </w:p>
    <w:p w14:paraId="32CBC176">
      <w:pPr>
        <w:pStyle w:val="3"/>
        <w:spacing w:before="280" w:after="180"/>
      </w:pPr>
      <w:r>
        <w:rPr>
          <w:rFonts w:ascii="Arial" w:hAnsi="Arial" w:eastAsia="Arial" w:cs="Arial"/>
          <w:b/>
          <w:bCs/>
          <w:sz w:val="26"/>
          <w:szCs w:val="26"/>
        </w:rPr>
        <w:t>4.3 New York Continuation of a London Reversal</w:t>
      </w:r>
    </w:p>
    <w:p w14:paraId="6B0E865F">
      <w:pPr>
        <w:spacing w:after="200" w:line="276" w:lineRule="auto"/>
      </w:pPr>
      <w:r>
        <w:rPr>
          <w:rFonts w:ascii="Arial" w:hAnsi="Arial" w:eastAsia="Arial" w:cs="Arial"/>
          <w:sz w:val="22"/>
          <w:szCs w:val="22"/>
        </w:rPr>
        <w:t>If London has already reversed and printed a new directional displacement, New York often continues that new direction. The student must update the daily narrative at the London close / New York open rather than assuming the original London direction is still active.</w:t>
      </w:r>
    </w:p>
    <w:p w14:paraId="41A5E55D">
      <w:pPr>
        <w:pStyle w:val="2"/>
        <w:spacing w:before="360" w:after="240"/>
      </w:pPr>
      <w:r>
        <w:rPr>
          <w:rFonts w:ascii="Arial" w:hAnsi="Arial" w:eastAsia="Arial" w:cs="Arial"/>
          <w:b/>
          <w:bCs/>
          <w:sz w:val="32"/>
          <w:szCs w:val="32"/>
        </w:rPr>
        <w:t>5. Weekly Opening Behaviour and Weekly Range Expansion</w:t>
      </w:r>
    </w:p>
    <w:p w14:paraId="70E8D85F">
      <w:pPr>
        <w:pStyle w:val="3"/>
        <w:spacing w:before="280" w:after="180"/>
      </w:pPr>
      <w:r>
        <w:rPr>
          <w:rFonts w:ascii="Arial" w:hAnsi="Arial" w:eastAsia="Arial" w:cs="Arial"/>
          <w:b/>
          <w:bCs/>
          <w:sz w:val="26"/>
          <w:szCs w:val="26"/>
        </w:rPr>
        <w:t>5.1 Weekly Open</w:t>
      </w:r>
    </w:p>
    <w:p w14:paraId="25E76ACD">
      <w:pPr>
        <w:spacing w:after="200" w:line="276" w:lineRule="auto"/>
      </w:pPr>
      <w:r>
        <w:rPr>
          <w:rFonts w:ascii="Arial" w:hAnsi="Arial" w:eastAsia="Arial" w:cs="Arial"/>
          <w:sz w:val="22"/>
          <w:szCs w:val="22"/>
        </w:rPr>
        <w:t>The weekly open is a repeated reference. Early-week price action often builds or manipulates relative to the weekly open before the week’s true distribution direction becomes clear. A weekly profile that sweeps one side of the early-week range and then expands in the opposite direction is the weekly analogue of daily PO3.</w:t>
      </w:r>
    </w:p>
    <w:p w14:paraId="1FCE0903">
      <w:pPr>
        <w:pStyle w:val="3"/>
        <w:spacing w:before="280" w:after="180"/>
      </w:pPr>
      <w:r>
        <w:rPr>
          <w:rFonts w:ascii="Arial" w:hAnsi="Arial" w:eastAsia="Arial" w:cs="Arial"/>
          <w:b/>
          <w:bCs/>
          <w:sz w:val="26"/>
          <w:szCs w:val="26"/>
        </w:rPr>
        <w:t>5.2 Weekly Range Expansion</w:t>
      </w:r>
    </w:p>
    <w:p w14:paraId="356A2CA6">
      <w:pPr>
        <w:spacing w:after="200" w:line="276" w:lineRule="auto"/>
      </w:pPr>
      <w:r>
        <w:rPr>
          <w:rFonts w:ascii="Arial" w:hAnsi="Arial" w:eastAsia="Arial" w:cs="Arial"/>
          <w:sz w:val="22"/>
          <w:szCs w:val="22"/>
        </w:rPr>
        <w:t>True weekly distribution expands the weekly range toward the weekly Draw on Liquidity. Expansion that begins mid-week after early-week accumulation and manipulation is a common high-quality weekly profile. Failure of the weekly range to expand in the expected direction is information that the weekly narrative may be delayed or incorrect.</w:t>
      </w:r>
    </w:p>
    <w:p w14:paraId="2E5E9006">
      <w:pPr>
        <w:pStyle w:val="3"/>
        <w:spacing w:before="280" w:after="180"/>
      </w:pPr>
      <w:r>
        <w:rPr>
          <w:rFonts w:ascii="Arial" w:hAnsi="Arial" w:eastAsia="Arial" w:cs="Arial"/>
          <w:b/>
          <w:bCs/>
          <w:sz w:val="26"/>
          <w:szCs w:val="26"/>
        </w:rPr>
        <w:t>5.3 Weekly Liquidity</w:t>
      </w:r>
    </w:p>
    <w:p w14:paraId="20D2DDF5">
      <w:pPr>
        <w:spacing w:after="200" w:line="276" w:lineRule="auto"/>
      </w:pPr>
      <w:r>
        <w:rPr>
          <w:rFonts w:ascii="Arial" w:hAnsi="Arial" w:eastAsia="Arial" w:cs="Arial"/>
          <w:sz w:val="22"/>
          <w:szCs w:val="22"/>
        </w:rPr>
        <w:t>Weekly highs, lows, and relative equal weekly highs/lows are higher-authority liquidity pools. Daily and session raids of those weekly pools are often the defining liquidity events of the week.</w:t>
      </w:r>
    </w:p>
    <w:p w14:paraId="7514FCED">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Weekly open and weekly range behaviour are consistent with ICT multi-timeframe and PO3 teaching; exact day-of-week rules are less rigid than the daily session mapping.</w:t>
      </w:r>
    </w:p>
    <w:p w14:paraId="64444401">
      <w:pPr>
        <w:pStyle w:val="2"/>
        <w:spacing w:before="360" w:after="240"/>
      </w:pPr>
      <w:r>
        <w:rPr>
          <w:rFonts w:ascii="Arial" w:hAnsi="Arial" w:eastAsia="Arial" w:cs="Arial"/>
          <w:b/>
          <w:bCs/>
          <w:sz w:val="32"/>
          <w:szCs w:val="32"/>
        </w:rPr>
        <w:t>6. Daily Range within Weekly Range</w:t>
      </w:r>
    </w:p>
    <w:p w14:paraId="1C184B18">
      <w:pPr>
        <w:spacing w:after="200" w:line="276" w:lineRule="auto"/>
      </w:pPr>
      <w:r>
        <w:rPr>
          <w:rFonts w:ascii="Arial" w:hAnsi="Arial" w:eastAsia="Arial" w:cs="Arial"/>
          <w:sz w:val="22"/>
          <w:szCs w:val="22"/>
        </w:rPr>
        <w:t>Every daily dealing range nests inside the weekly dealing range. Premium/discount of the daily range is interpreted in the context of premium/discount of the weekly range. A daily discount long that sits in deep weekly premium is fighting the higher-timeframe location filter unless the weekly narrative itself has failed. The advanced student always states both locations before selecting a model.</w:t>
      </w:r>
    </w:p>
    <w:p w14:paraId="28A3E917">
      <w:pPr>
        <w:pStyle w:val="2"/>
        <w:spacing w:before="360" w:after="240"/>
      </w:pPr>
      <w:r>
        <w:rPr>
          <w:rFonts w:ascii="Arial" w:hAnsi="Arial" w:eastAsia="Arial" w:cs="Arial"/>
          <w:b/>
          <w:bCs/>
          <w:sz w:val="32"/>
          <w:szCs w:val="32"/>
        </w:rPr>
        <w:t>7. Session Hierarchy — Practical Rules</w:t>
      </w:r>
    </w:p>
    <w:p w14:paraId="26B0A516">
      <w:pPr>
        <w:pStyle w:val="16"/>
        <w:numPr>
          <w:ilvl w:val="0"/>
          <w:numId w:val="2"/>
        </w:numPr>
        <w:spacing w:after="120" w:line="276" w:lineRule="auto"/>
      </w:pPr>
      <w:r>
        <w:rPr>
          <w:rFonts w:ascii="Arial" w:hAnsi="Arial" w:eastAsia="Arial" w:cs="Arial"/>
          <w:sz w:val="22"/>
          <w:szCs w:val="22"/>
        </w:rPr>
        <w:t>Weekly DOL and weekly range location set the highest session-relevant authority.</w:t>
      </w:r>
    </w:p>
    <w:p w14:paraId="46940CF5">
      <w:pPr>
        <w:pStyle w:val="16"/>
        <w:numPr>
          <w:ilvl w:val="0"/>
          <w:numId w:val="2"/>
        </w:numPr>
        <w:spacing w:after="120" w:line="276" w:lineRule="auto"/>
      </w:pPr>
      <w:r>
        <w:rPr>
          <w:rFonts w:ascii="Arial" w:hAnsi="Arial" w:eastAsia="Arial" w:cs="Arial"/>
          <w:sz w:val="22"/>
          <w:szCs w:val="22"/>
        </w:rPr>
        <w:t>Daily bias and daily PO3 expectation set the day’s path.</w:t>
      </w:r>
    </w:p>
    <w:p w14:paraId="3EEB2813">
      <w:pPr>
        <w:pStyle w:val="16"/>
        <w:numPr>
          <w:ilvl w:val="0"/>
          <w:numId w:val="2"/>
        </w:numPr>
        <w:spacing w:after="120" w:line="276" w:lineRule="auto"/>
      </w:pPr>
      <w:r>
        <w:rPr>
          <w:rFonts w:ascii="Arial" w:hAnsi="Arial" w:eastAsia="Arial" w:cs="Arial"/>
          <w:sz w:val="22"/>
          <w:szCs w:val="22"/>
        </w:rPr>
        <w:t>Asian range supplies the first liquidity targets for London.</w:t>
      </w:r>
    </w:p>
    <w:p w14:paraId="64988DBF">
      <w:pPr>
        <w:pStyle w:val="16"/>
        <w:numPr>
          <w:ilvl w:val="0"/>
          <w:numId w:val="2"/>
        </w:numPr>
        <w:spacing w:after="120" w:line="276" w:lineRule="auto"/>
      </w:pPr>
      <w:r>
        <w:rPr>
          <w:rFonts w:ascii="Arial" w:hAnsi="Arial" w:eastAsia="Arial" w:cs="Arial"/>
          <w:sz w:val="22"/>
          <w:szCs w:val="22"/>
        </w:rPr>
        <w:t>London is the primary window for the day’s manipulation and first displacement.</w:t>
      </w:r>
    </w:p>
    <w:p w14:paraId="517B34AA">
      <w:pPr>
        <w:pStyle w:val="16"/>
        <w:numPr>
          <w:ilvl w:val="0"/>
          <w:numId w:val="2"/>
        </w:numPr>
        <w:spacing w:after="120" w:line="276" w:lineRule="auto"/>
      </w:pPr>
      <w:r>
        <w:rPr>
          <w:rFonts w:ascii="Arial" w:hAnsi="Arial" w:eastAsia="Arial" w:cs="Arial"/>
          <w:sz w:val="22"/>
          <w:szCs w:val="22"/>
        </w:rPr>
        <w:t>New York is the primary window for continuation/distribution or for a true reversal of a failed London leg.</w:t>
      </w:r>
    </w:p>
    <w:p w14:paraId="3CBB82B3">
      <w:pPr>
        <w:pStyle w:val="16"/>
        <w:numPr>
          <w:ilvl w:val="0"/>
          <w:numId w:val="2"/>
        </w:numPr>
        <w:spacing w:after="120" w:line="276" w:lineRule="auto"/>
      </w:pPr>
      <w:r>
        <w:rPr>
          <w:rFonts w:ascii="Arial" w:hAnsi="Arial" w:eastAsia="Arial" w:cs="Arial"/>
          <w:sz w:val="22"/>
          <w:szCs w:val="22"/>
        </w:rPr>
        <w:t>Lower-timeframe activity outside these windows is subordinate and often ignored for new directional entries.</w:t>
      </w:r>
    </w:p>
    <w:p w14:paraId="3C4445E2">
      <w:pPr>
        <w:pStyle w:val="16"/>
        <w:numPr>
          <w:ilvl w:val="0"/>
          <w:numId w:val="2"/>
        </w:numPr>
        <w:spacing w:after="120" w:line="276" w:lineRule="auto"/>
      </w:pPr>
      <w:r>
        <w:rPr>
          <w:rFonts w:ascii="Arial" w:hAnsi="Arial" w:eastAsia="Arial" w:cs="Arial"/>
          <w:sz w:val="22"/>
          <w:szCs w:val="22"/>
        </w:rPr>
        <w:t>When a session prints a clear alternative to the expected profile, the daily narrative is updated immediately.</w:t>
      </w:r>
    </w:p>
    <w:p w14:paraId="77EC192A">
      <w:pPr>
        <w:pStyle w:val="2"/>
        <w:spacing w:before="360" w:after="240"/>
      </w:pPr>
      <w:r>
        <w:rPr>
          <w:rFonts w:ascii="Arial" w:hAnsi="Arial" w:eastAsia="Arial" w:cs="Arial"/>
          <w:b/>
          <w:bCs/>
          <w:sz w:val="32"/>
          <w:szCs w:val="32"/>
        </w:rPr>
        <w:t>8. Alternative Session Profiles</w:t>
      </w:r>
    </w:p>
    <w:p w14:paraId="4139F7AA">
      <w:pPr>
        <w:spacing w:after="200" w:line="276" w:lineRule="auto"/>
      </w:pPr>
      <w:r>
        <w:rPr>
          <w:rFonts w:ascii="Arial" w:hAnsi="Arial" w:eastAsia="Arial" w:cs="Arial"/>
          <w:sz w:val="22"/>
          <w:szCs w:val="22"/>
        </w:rPr>
        <w:t>Not every day follows the classic path. Alternatives include:</w:t>
      </w:r>
    </w:p>
    <w:p w14:paraId="09C0BF20">
      <w:pPr>
        <w:pStyle w:val="16"/>
        <w:numPr>
          <w:ilvl w:val="0"/>
          <w:numId w:val="1"/>
        </w:numPr>
        <w:spacing w:after="120" w:line="276" w:lineRule="auto"/>
      </w:pPr>
      <w:r>
        <w:rPr>
          <w:rFonts w:ascii="Arial" w:hAnsi="Arial" w:eastAsia="Arial" w:cs="Arial"/>
          <w:sz w:val="22"/>
          <w:szCs w:val="22"/>
        </w:rPr>
        <w:t>Trend days that expand from the open with little Asian range or manipulation wick.</w:t>
      </w:r>
    </w:p>
    <w:p w14:paraId="7734C26D">
      <w:pPr>
        <w:pStyle w:val="16"/>
        <w:numPr>
          <w:ilvl w:val="0"/>
          <w:numId w:val="1"/>
        </w:numPr>
        <w:spacing w:after="120" w:line="276" w:lineRule="auto"/>
      </w:pPr>
      <w:r>
        <w:rPr>
          <w:rFonts w:ascii="Arial" w:hAnsi="Arial" w:eastAsia="Arial" w:cs="Arial"/>
          <w:sz w:val="22"/>
          <w:szCs w:val="22"/>
        </w:rPr>
        <w:t>Range days with multiple small AMD cycles and no sustained distribution.</w:t>
      </w:r>
    </w:p>
    <w:p w14:paraId="590F8A42">
      <w:pPr>
        <w:pStyle w:val="16"/>
        <w:numPr>
          <w:ilvl w:val="0"/>
          <w:numId w:val="1"/>
        </w:numPr>
        <w:spacing w:after="120" w:line="276" w:lineRule="auto"/>
      </w:pPr>
      <w:r>
        <w:rPr>
          <w:rFonts w:ascii="Arial" w:hAnsi="Arial" w:eastAsia="Arial" w:cs="Arial"/>
          <w:sz w:val="22"/>
          <w:szCs w:val="22"/>
        </w:rPr>
        <w:t>News-driven expansions that ignore session boundaries.</w:t>
      </w:r>
    </w:p>
    <w:p w14:paraId="27ACF36D">
      <w:pPr>
        <w:pStyle w:val="16"/>
        <w:numPr>
          <w:ilvl w:val="0"/>
          <w:numId w:val="1"/>
        </w:numPr>
        <w:spacing w:after="120" w:line="276" w:lineRule="auto"/>
      </w:pPr>
      <w:r>
        <w:rPr>
          <w:rFonts w:ascii="Arial" w:hAnsi="Arial" w:eastAsia="Arial" w:cs="Arial"/>
          <w:sz w:val="22"/>
          <w:szCs w:val="22"/>
        </w:rPr>
        <w:t>Quiet days in which neither London nor New York produces a clean displacement.</w:t>
      </w:r>
    </w:p>
    <w:p w14:paraId="2B8B3C1D">
      <w:pPr>
        <w:spacing w:after="200" w:line="276" w:lineRule="auto"/>
      </w:pPr>
      <w:r>
        <w:rPr>
          <w:rFonts w:ascii="Arial" w:hAnsi="Arial" w:eastAsia="Arial" w:cs="Arial"/>
          <w:sz w:val="22"/>
          <w:szCs w:val="22"/>
        </w:rPr>
        <w:t>Advanced practice recognises the alternative and either stands aside or selects models appropriate to the actual profile rather than forcing the classic template.</w:t>
      </w:r>
    </w:p>
    <w:p w14:paraId="3D35F002">
      <w:pPr>
        <w:pStyle w:val="2"/>
        <w:spacing w:before="360" w:after="240"/>
      </w:pPr>
      <w:r>
        <w:rPr>
          <w:rFonts w:ascii="Arial" w:hAnsi="Arial" w:eastAsia="Arial" w:cs="Arial"/>
          <w:b/>
          <w:bCs/>
          <w:sz w:val="32"/>
          <w:szCs w:val="32"/>
        </w:rPr>
        <w:t>9. Worked Narrative — Session Path Inside Weekly Delivery</w:t>
      </w:r>
    </w:p>
    <w:p w14:paraId="540F2497">
      <w:pPr>
        <w:spacing w:after="200" w:line="276" w:lineRule="auto"/>
      </w:pPr>
      <w:r>
        <w:rPr>
          <w:rFonts w:ascii="Arial" w:hAnsi="Arial" w:eastAsia="Arial" w:cs="Arial"/>
          <w:sz w:val="22"/>
          <w:szCs w:val="22"/>
        </w:rPr>
        <w:t>Weekly: bullish bias toward 1.1200; weekly range in discount; early-week accumulation complete; mid-week manipulation of weekly SSL has printed; distribution phase active.</w:t>
      </w:r>
    </w:p>
    <w:p w14:paraId="36E1C692">
      <w:pPr>
        <w:spacing w:after="200" w:line="276" w:lineRule="auto"/>
      </w:pPr>
      <w:r>
        <w:rPr>
          <w:rFonts w:ascii="Arial" w:hAnsi="Arial" w:eastAsia="Arial" w:cs="Arial"/>
          <w:sz w:val="22"/>
          <w:szCs w:val="22"/>
        </w:rPr>
        <w:t>Daily: expect classic path. Asian range 1.0620–1.0680. London to raid Asian low, displace higher, leave FVG in discount. New York to continue toward daily intermediate buy-side and the weekly DOL.</w:t>
      </w:r>
    </w:p>
    <w:p w14:paraId="0862BAD2">
      <w:pPr>
        <w:spacing w:after="200" w:line="276" w:lineRule="auto"/>
      </w:pPr>
      <w:r>
        <w:rPr>
          <w:rFonts w:ascii="Arial" w:hAnsi="Arial" w:eastAsia="Arial" w:cs="Arial"/>
          <w:sz w:val="22"/>
          <w:szCs w:val="22"/>
        </w:rPr>
        <w:t>London: Asian low swept; bullish displacement and MSS; FVG at 1.0635–1.0665. Entry available.</w:t>
      </w:r>
    </w:p>
    <w:p w14:paraId="59FF4737">
      <w:pPr>
        <w:spacing w:after="200" w:line="276" w:lineRule="auto"/>
      </w:pPr>
      <w:r>
        <w:rPr>
          <w:rFonts w:ascii="Arial" w:hAnsi="Arial" w:eastAsia="Arial" w:cs="Arial"/>
          <w:sz w:val="22"/>
          <w:szCs w:val="22"/>
        </w:rPr>
        <w:t>New York: continues the expansion. Weekly range expands higher. Session hierarchy and weekly narrative remain aligned.</w:t>
      </w:r>
    </w:p>
    <w:p w14:paraId="2FA32D66">
      <w:pPr>
        <w:spacing w:after="200" w:line="276" w:lineRule="auto"/>
      </w:pPr>
      <w:r>
        <w:rPr>
          <w:rFonts w:ascii="Arial" w:hAnsi="Arial" w:eastAsia="Arial" w:cs="Arial"/>
          <w:sz w:val="22"/>
          <w:szCs w:val="22"/>
        </w:rPr>
        <w:t>If instead London had failed to displace and New York had reversed with opposing MSS, the daily narrative would have been rewritten and bullish models retired for that day.</w:t>
      </w:r>
    </w:p>
    <w:p w14:paraId="7D0CF849">
      <w:pPr>
        <w:pStyle w:val="2"/>
        <w:spacing w:before="360" w:after="240"/>
      </w:pPr>
      <w:r>
        <w:rPr>
          <w:rFonts w:ascii="Arial" w:hAnsi="Arial" w:eastAsia="Arial" w:cs="Arial"/>
          <w:b/>
          <w:bCs/>
          <w:sz w:val="32"/>
          <w:szCs w:val="32"/>
        </w:rPr>
        <w:t>Visual Reference — Session Hierarchy Inside Weekly Range</w:t>
      </w:r>
    </w:p>
    <w:p w14:paraId="7A463B74">
      <w:pPr>
        <w:spacing w:after="0" w:line="240" w:lineRule="auto"/>
      </w:pPr>
      <w:r>
        <w:rPr>
          <w:rFonts w:ascii="Courier New" w:hAnsi="Courier New" w:eastAsia="Courier New" w:cs="Courier New"/>
          <w:sz w:val="18"/>
          <w:szCs w:val="18"/>
        </w:rPr>
        <w:t>Weekly ERL / DOL</w:t>
      </w:r>
    </w:p>
    <w:p w14:paraId="31456AC0">
      <w:pPr>
        <w:spacing w:after="0" w:line="240" w:lineRule="auto"/>
      </w:pPr>
      <w:r>
        <w:rPr>
          <w:rFonts w:ascii="Courier New" w:hAnsi="Courier New" w:eastAsia="Courier New" w:cs="Courier New"/>
          <w:sz w:val="18"/>
          <w:szCs w:val="18"/>
        </w:rPr>
        <w:t xml:space="preserve">     ▲ weekly distribution / range expansion</w:t>
      </w:r>
    </w:p>
    <w:p w14:paraId="3690FB1D">
      <w:pPr>
        <w:spacing w:after="0" w:line="240" w:lineRule="auto"/>
      </w:pPr>
      <w:r>
        <w:rPr>
          <w:rFonts w:ascii="Courier New" w:hAnsi="Courier New" w:eastAsia="Courier New" w:cs="Courier New"/>
          <w:sz w:val="18"/>
          <w:szCs w:val="18"/>
        </w:rPr>
        <w:t xml:space="preserve">     │</w:t>
      </w:r>
    </w:p>
    <w:p w14:paraId="1BEE362A">
      <w:pPr>
        <w:spacing w:after="0" w:line="240" w:lineRule="auto"/>
      </w:pPr>
      <w:r>
        <w:rPr>
          <w:rFonts w:ascii="Courier New" w:hAnsi="Courier New" w:eastAsia="Courier New" w:cs="Courier New"/>
          <w:sz w:val="18"/>
          <w:szCs w:val="18"/>
        </w:rPr>
        <w:t xml:space="preserve">     │   NY continuation / distribution</w:t>
      </w:r>
    </w:p>
    <w:p w14:paraId="149AF215">
      <w:pPr>
        <w:spacing w:after="0" w:line="240" w:lineRule="auto"/>
      </w:pPr>
      <w:r>
        <w:rPr>
          <w:rFonts w:ascii="Courier New" w:hAnsi="Courier New" w:eastAsia="Courier New" w:cs="Courier New"/>
          <w:sz w:val="18"/>
          <w:szCs w:val="18"/>
        </w:rPr>
        <w:t xml:space="preserve">     │   London displacement + FVG</w:t>
      </w:r>
    </w:p>
    <w:p w14:paraId="7E14F4DE">
      <w:pPr>
        <w:spacing w:after="0" w:line="240" w:lineRule="auto"/>
      </w:pPr>
      <w:r>
        <w:rPr>
          <w:rFonts w:ascii="Courier New" w:hAnsi="Courier New" w:eastAsia="Courier New" w:cs="Courier New"/>
          <w:sz w:val="18"/>
          <w:szCs w:val="18"/>
        </w:rPr>
        <w:t xml:space="preserve">     │   London manipulation (Asian extreme)</w:t>
      </w:r>
    </w:p>
    <w:p w14:paraId="019AD883">
      <w:pPr>
        <w:spacing w:after="0" w:line="240" w:lineRule="auto"/>
      </w:pPr>
      <w:r>
        <w:rPr>
          <w:rFonts w:ascii="Courier New" w:hAnsi="Courier New" w:eastAsia="Courier New" w:cs="Courier New"/>
          <w:sz w:val="18"/>
          <w:szCs w:val="18"/>
        </w:rPr>
        <w:t xml:space="preserve">     │   Asian accumulation range</w:t>
      </w:r>
    </w:p>
    <w:p w14:paraId="24416988">
      <w:pPr>
        <w:spacing w:after="0" w:line="240" w:lineRule="auto"/>
      </w:pPr>
      <w:r>
        <w:rPr>
          <w:rFonts w:ascii="Courier New" w:hAnsi="Courier New" w:eastAsia="Courier New" w:cs="Courier New"/>
          <w:sz w:val="18"/>
          <w:szCs w:val="18"/>
        </w:rPr>
        <w:t xml:space="preserve">     │</w:t>
      </w:r>
    </w:p>
    <w:p w14:paraId="32315465">
      <w:pPr>
        <w:spacing w:after="0" w:line="240" w:lineRule="auto"/>
      </w:pPr>
      <w:r>
        <w:rPr>
          <w:rFonts w:ascii="Courier New" w:hAnsi="Courier New" w:eastAsia="Courier New" w:cs="Courier New"/>
          <w:sz w:val="18"/>
          <w:szCs w:val="18"/>
        </w:rPr>
        <w:t>Weekly SSL (already taken mid-week)</w:t>
      </w:r>
    </w:p>
    <w:p w14:paraId="46189476">
      <w:pPr>
        <w:pStyle w:val="2"/>
        <w:spacing w:before="360" w:after="240"/>
      </w:pPr>
      <w:r>
        <w:rPr>
          <w:rFonts w:ascii="Arial" w:hAnsi="Arial" w:eastAsia="Arial" w:cs="Arial"/>
          <w:b/>
          <w:bCs/>
          <w:sz w:val="32"/>
          <w:szCs w:val="32"/>
        </w:rPr>
        <w:t>10. Common Misinterpretations</w:t>
      </w:r>
    </w:p>
    <w:p w14:paraId="3AF38939">
      <w:pPr>
        <w:pStyle w:val="16"/>
        <w:numPr>
          <w:ilvl w:val="0"/>
          <w:numId w:val="1"/>
        </w:numPr>
        <w:spacing w:after="120" w:line="276" w:lineRule="auto"/>
      </w:pPr>
      <w:r>
        <w:rPr>
          <w:rFonts w:ascii="Arial" w:hAnsi="Arial" w:eastAsia="Arial" w:cs="Arial"/>
          <w:sz w:val="22"/>
          <w:szCs w:val="22"/>
        </w:rPr>
        <w:t>Treating every London move as the final daily direction without waiting for confirmation or New York behaviour.</w:t>
      </w:r>
    </w:p>
    <w:p w14:paraId="5BBD718F">
      <w:pPr>
        <w:pStyle w:val="16"/>
        <w:numPr>
          <w:ilvl w:val="0"/>
          <w:numId w:val="1"/>
        </w:numPr>
        <w:spacing w:after="120" w:line="276" w:lineRule="auto"/>
      </w:pPr>
      <w:r>
        <w:rPr>
          <w:rFonts w:ascii="Arial" w:hAnsi="Arial" w:eastAsia="Arial" w:cs="Arial"/>
          <w:sz w:val="22"/>
          <w:szCs w:val="22"/>
        </w:rPr>
        <w:t>Trading aggressive directional models during Asian accumulation as if they were London or New York distributions.</w:t>
      </w:r>
    </w:p>
    <w:p w14:paraId="096F67C9">
      <w:pPr>
        <w:pStyle w:val="16"/>
        <w:numPr>
          <w:ilvl w:val="0"/>
          <w:numId w:val="1"/>
        </w:numPr>
        <w:spacing w:after="120" w:line="276" w:lineRule="auto"/>
      </w:pPr>
      <w:r>
        <w:rPr>
          <w:rFonts w:ascii="Arial" w:hAnsi="Arial" w:eastAsia="Arial" w:cs="Arial"/>
          <w:sz w:val="22"/>
          <w:szCs w:val="22"/>
        </w:rPr>
        <w:t>Ignoring weekly range location when selecting daily session models.</w:t>
      </w:r>
    </w:p>
    <w:p w14:paraId="000FEE8B">
      <w:pPr>
        <w:pStyle w:val="16"/>
        <w:numPr>
          <w:ilvl w:val="0"/>
          <w:numId w:val="1"/>
        </w:numPr>
        <w:spacing w:after="120" w:line="276" w:lineRule="auto"/>
      </w:pPr>
      <w:r>
        <w:rPr>
          <w:rFonts w:ascii="Arial" w:hAnsi="Arial" w:eastAsia="Arial" w:cs="Arial"/>
          <w:sz w:val="22"/>
          <w:szCs w:val="22"/>
        </w:rPr>
        <w:t>Forcing the classic Asian–London–New York path onto clear alternative profile days.</w:t>
      </w:r>
    </w:p>
    <w:p w14:paraId="75946DAA">
      <w:pPr>
        <w:pStyle w:val="16"/>
        <w:numPr>
          <w:ilvl w:val="0"/>
          <w:numId w:val="1"/>
        </w:numPr>
        <w:spacing w:after="120" w:line="276" w:lineRule="auto"/>
      </w:pPr>
      <w:r>
        <w:rPr>
          <w:rFonts w:ascii="Arial" w:hAnsi="Arial" w:eastAsia="Arial" w:cs="Arial"/>
          <w:sz w:val="22"/>
          <w:szCs w:val="22"/>
        </w:rPr>
        <w:t>Failing to update the daily narrative when London’s expansion fails and New York reverses.</w:t>
      </w:r>
    </w:p>
    <w:p w14:paraId="460044D8">
      <w:pPr>
        <w:pStyle w:val="16"/>
        <w:numPr>
          <w:ilvl w:val="0"/>
          <w:numId w:val="1"/>
        </w:numPr>
        <w:spacing w:after="120" w:line="276" w:lineRule="auto"/>
      </w:pPr>
      <w:r>
        <w:rPr>
          <w:rFonts w:ascii="Arial" w:hAnsi="Arial" w:eastAsia="Arial" w:cs="Arial"/>
          <w:sz w:val="22"/>
          <w:szCs w:val="22"/>
        </w:rPr>
        <w:t>Elevating a single session extreme above the weekly Draw on Liquidity.</w:t>
      </w:r>
    </w:p>
    <w:p w14:paraId="399A4343">
      <w:pPr>
        <w:pStyle w:val="2"/>
        <w:spacing w:before="360" w:after="240"/>
      </w:pPr>
      <w:r>
        <w:rPr>
          <w:rFonts w:ascii="Arial" w:hAnsi="Arial" w:eastAsia="Arial" w:cs="Arial"/>
          <w:b/>
          <w:bCs/>
          <w:sz w:val="32"/>
          <w:szCs w:val="32"/>
        </w:rPr>
        <w:t>11. Evidence Summary</w:t>
      </w:r>
    </w:p>
    <w:p w14:paraId="2D5CD7DD">
      <w:pPr>
        <w:spacing w:after="200" w:line="276" w:lineRule="auto"/>
      </w:pPr>
      <w:r>
        <w:rPr>
          <w:rFonts w:ascii="Arial" w:hAnsi="Arial" w:eastAsia="Arial" w:cs="Arial"/>
          <w:sz w:val="22"/>
          <w:szCs w:val="22"/>
        </w:rPr>
        <w:t>Asian range as accumulation, London Open liquidity raid and displacement, New York continuation, and the nesting of daily activity inside weekly range and weekly DOL are core ICT session and multi-timeframe teaching. Weekly opening behaviour and range expansion follow from the same logic applied at the weekly scale. Rigid day-of-week or fixed-percentage session rules beyond primary demonstrations are secondary.</w:t>
      </w:r>
    </w:p>
    <w:p w14:paraId="3393CBE4">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Primary orientation: ICT teaching on session profiles, kill zones, daily and weekly PO3, and multi-timeframe range nesting. Alternative-profile recognition and hierarchy rules are the advanced operational synthesis.</w:t>
      </w:r>
    </w:p>
    <w:p w14:paraId="0A6530B8">
      <w:pPr>
        <w:pStyle w:val="2"/>
        <w:spacing w:before="360" w:after="240"/>
      </w:pPr>
      <w:r>
        <w:rPr>
          <w:rFonts w:ascii="Arial" w:hAnsi="Arial" w:eastAsia="Arial" w:cs="Arial"/>
          <w:b/>
          <w:bCs/>
          <w:sz w:val="32"/>
          <w:szCs w:val="32"/>
        </w:rPr>
        <w:t>What You Should Now Be Able to Do</w:t>
      </w:r>
    </w:p>
    <w:p w14:paraId="54F48D14">
      <w:pPr>
        <w:pStyle w:val="16"/>
        <w:numPr>
          <w:ilvl w:val="0"/>
          <w:numId w:val="1"/>
        </w:numPr>
        <w:spacing w:after="120" w:line="276" w:lineRule="auto"/>
      </w:pPr>
      <w:r>
        <w:rPr>
          <w:rFonts w:ascii="Arial" w:hAnsi="Arial" w:eastAsia="Arial" w:cs="Arial"/>
          <w:sz w:val="22"/>
          <w:szCs w:val="22"/>
        </w:rPr>
        <w:t>State the expected session path for the day before London Open, conditioned by the weekly narrative.</w:t>
      </w:r>
    </w:p>
    <w:p w14:paraId="2A9BF5DE">
      <w:pPr>
        <w:pStyle w:val="16"/>
        <w:numPr>
          <w:ilvl w:val="0"/>
          <w:numId w:val="1"/>
        </w:numPr>
        <w:spacing w:after="120" w:line="276" w:lineRule="auto"/>
      </w:pPr>
      <w:r>
        <w:rPr>
          <w:rFonts w:ascii="Arial" w:hAnsi="Arial" w:eastAsia="Arial" w:cs="Arial"/>
          <w:sz w:val="22"/>
          <w:szCs w:val="22"/>
        </w:rPr>
        <w:t>Identify Asian high/low as the primary London manipulation targets.</w:t>
      </w:r>
    </w:p>
    <w:p w14:paraId="12F4DECC">
      <w:pPr>
        <w:pStyle w:val="16"/>
        <w:numPr>
          <w:ilvl w:val="0"/>
          <w:numId w:val="1"/>
        </w:numPr>
        <w:spacing w:after="120" w:line="276" w:lineRule="auto"/>
      </w:pPr>
      <w:r>
        <w:rPr>
          <w:rFonts w:ascii="Arial" w:hAnsi="Arial" w:eastAsia="Arial" w:cs="Arial"/>
          <w:sz w:val="22"/>
          <w:szCs w:val="22"/>
        </w:rPr>
        <w:t>Distinguish London manipulation, continuation and reversal, and the same for New York.</w:t>
      </w:r>
    </w:p>
    <w:p w14:paraId="63B26EDF">
      <w:pPr>
        <w:pStyle w:val="16"/>
        <w:numPr>
          <w:ilvl w:val="0"/>
          <w:numId w:val="1"/>
        </w:numPr>
        <w:spacing w:after="120" w:line="276" w:lineRule="auto"/>
      </w:pPr>
      <w:r>
        <w:rPr>
          <w:rFonts w:ascii="Arial" w:hAnsi="Arial" w:eastAsia="Arial" w:cs="Arial"/>
          <w:sz w:val="22"/>
          <w:szCs w:val="22"/>
        </w:rPr>
        <w:t>Locate the daily range and session extremes inside the weekly dealing range and apply both premium/discount filters.</w:t>
      </w:r>
    </w:p>
    <w:p w14:paraId="375072B3">
      <w:pPr>
        <w:pStyle w:val="16"/>
        <w:numPr>
          <w:ilvl w:val="0"/>
          <w:numId w:val="1"/>
        </w:numPr>
        <w:spacing w:after="120" w:line="276" w:lineRule="auto"/>
      </w:pPr>
      <w:r>
        <w:rPr>
          <w:rFonts w:ascii="Arial" w:hAnsi="Arial" w:eastAsia="Arial" w:cs="Arial"/>
          <w:sz w:val="22"/>
          <w:szCs w:val="22"/>
        </w:rPr>
        <w:t>Recognise alternative session profiles and adjust or stand aside.</w:t>
      </w:r>
    </w:p>
    <w:p w14:paraId="4BD674D6">
      <w:pPr>
        <w:pStyle w:val="16"/>
        <w:numPr>
          <w:ilvl w:val="0"/>
          <w:numId w:val="1"/>
        </w:numPr>
        <w:spacing w:after="120" w:line="276" w:lineRule="auto"/>
      </w:pPr>
      <w:r>
        <w:rPr>
          <w:rFonts w:ascii="Arial" w:hAnsi="Arial" w:eastAsia="Arial" w:cs="Arial"/>
          <w:sz w:val="22"/>
          <w:szCs w:val="22"/>
        </w:rPr>
        <w:t>Update the daily narrative immediately when the expected session path fails.</w:t>
      </w:r>
    </w:p>
    <w:p w14:paraId="3A1DA8C8">
      <w:pPr>
        <w:pStyle w:val="2"/>
        <w:spacing w:before="360" w:after="240"/>
      </w:pPr>
      <w:r>
        <w:rPr>
          <w:rFonts w:ascii="Arial" w:hAnsi="Arial" w:eastAsia="Arial" w:cs="Arial"/>
          <w:b/>
          <w:bCs/>
          <w:sz w:val="32"/>
          <w:szCs w:val="32"/>
        </w:rPr>
        <w:t>Module Review</w:t>
      </w:r>
    </w:p>
    <w:p w14:paraId="7BC03113">
      <w:pPr>
        <w:pStyle w:val="3"/>
        <w:spacing w:before="280" w:after="180"/>
      </w:pPr>
      <w:r>
        <w:rPr>
          <w:rFonts w:ascii="Arial" w:hAnsi="Arial" w:eastAsia="Arial" w:cs="Arial"/>
          <w:b/>
          <w:bCs/>
          <w:sz w:val="26"/>
          <w:szCs w:val="26"/>
        </w:rPr>
        <w:t>Key Terms</w:t>
      </w:r>
    </w:p>
    <w:p w14:paraId="704DA418">
      <w:pPr>
        <w:pStyle w:val="16"/>
        <w:numPr>
          <w:ilvl w:val="0"/>
          <w:numId w:val="1"/>
        </w:numPr>
        <w:spacing w:after="120" w:line="276" w:lineRule="auto"/>
      </w:pPr>
      <w:r>
        <w:rPr>
          <w:rFonts w:ascii="Arial" w:hAnsi="Arial" w:eastAsia="Arial" w:cs="Arial"/>
          <w:sz w:val="22"/>
          <w:szCs w:val="22"/>
        </w:rPr>
        <w:t>Asian accumulation — range-building phase that supplies London’s first liquidity targets.</w:t>
      </w:r>
    </w:p>
    <w:p w14:paraId="386859F7">
      <w:pPr>
        <w:pStyle w:val="16"/>
        <w:numPr>
          <w:ilvl w:val="0"/>
          <w:numId w:val="1"/>
        </w:numPr>
        <w:spacing w:after="120" w:line="276" w:lineRule="auto"/>
      </w:pPr>
      <w:r>
        <w:rPr>
          <w:rFonts w:ascii="Arial" w:hAnsi="Arial" w:eastAsia="Arial" w:cs="Arial"/>
          <w:sz w:val="22"/>
          <w:szCs w:val="22"/>
        </w:rPr>
        <w:t>London manipulation — raid of Asian (or related) liquidity followed by displacement.</w:t>
      </w:r>
    </w:p>
    <w:p w14:paraId="484BB3A3">
      <w:pPr>
        <w:pStyle w:val="16"/>
        <w:numPr>
          <w:ilvl w:val="0"/>
          <w:numId w:val="1"/>
        </w:numPr>
        <w:spacing w:after="120" w:line="276" w:lineRule="auto"/>
      </w:pPr>
      <w:r>
        <w:rPr>
          <w:rFonts w:ascii="Arial" w:hAnsi="Arial" w:eastAsia="Arial" w:cs="Arial"/>
          <w:sz w:val="22"/>
          <w:szCs w:val="22"/>
        </w:rPr>
        <w:t>London / New York continuation — expansion of the distribution leg inside that session.</w:t>
      </w:r>
    </w:p>
    <w:p w14:paraId="38478956">
      <w:pPr>
        <w:pStyle w:val="16"/>
        <w:numPr>
          <w:ilvl w:val="0"/>
          <w:numId w:val="1"/>
        </w:numPr>
        <w:spacing w:after="120" w:line="276" w:lineRule="auto"/>
      </w:pPr>
      <w:r>
        <w:rPr>
          <w:rFonts w:ascii="Arial" w:hAnsi="Arial" w:eastAsia="Arial" w:cs="Arial"/>
          <w:sz w:val="22"/>
          <w:szCs w:val="22"/>
        </w:rPr>
        <w:t>London / New York reversal — opposing displacement and MSS that ends the prior session’s directional claim.</w:t>
      </w:r>
    </w:p>
    <w:p w14:paraId="3AC4CE6D">
      <w:pPr>
        <w:pStyle w:val="16"/>
        <w:numPr>
          <w:ilvl w:val="0"/>
          <w:numId w:val="1"/>
        </w:numPr>
        <w:spacing w:after="120" w:line="276" w:lineRule="auto"/>
      </w:pPr>
      <w:r>
        <w:rPr>
          <w:rFonts w:ascii="Arial" w:hAnsi="Arial" w:eastAsia="Arial" w:cs="Arial"/>
          <w:sz w:val="22"/>
          <w:szCs w:val="22"/>
        </w:rPr>
        <w:t>Weekly opening behaviour — early-week activity relative to the weekly open.</w:t>
      </w:r>
    </w:p>
    <w:p w14:paraId="10F11FCB">
      <w:pPr>
        <w:pStyle w:val="16"/>
        <w:numPr>
          <w:ilvl w:val="0"/>
          <w:numId w:val="1"/>
        </w:numPr>
        <w:spacing w:after="120" w:line="276" w:lineRule="auto"/>
      </w:pPr>
      <w:r>
        <w:rPr>
          <w:rFonts w:ascii="Arial" w:hAnsi="Arial" w:eastAsia="Arial" w:cs="Arial"/>
          <w:sz w:val="22"/>
          <w:szCs w:val="22"/>
        </w:rPr>
        <w:t>Weekly range expansion — true distribution that enlarges the weekly range toward the weekly DOL.</w:t>
      </w:r>
    </w:p>
    <w:p w14:paraId="70AC10D7">
      <w:pPr>
        <w:pStyle w:val="16"/>
        <w:numPr>
          <w:ilvl w:val="0"/>
          <w:numId w:val="1"/>
        </w:numPr>
        <w:spacing w:after="120" w:line="276" w:lineRule="auto"/>
      </w:pPr>
      <w:r>
        <w:rPr>
          <w:rFonts w:ascii="Arial" w:hAnsi="Arial" w:eastAsia="Arial" w:cs="Arial"/>
          <w:sz w:val="22"/>
          <w:szCs w:val="22"/>
        </w:rPr>
        <w:t>Session hierarchy — weekly &gt; daily &gt; London/NY kill zones &gt; Asian and lower activity.</w:t>
      </w:r>
    </w:p>
    <w:p w14:paraId="0EBBED16">
      <w:pPr>
        <w:pStyle w:val="3"/>
        <w:spacing w:before="280" w:after="180"/>
      </w:pPr>
      <w:r>
        <w:rPr>
          <w:rFonts w:ascii="Arial" w:hAnsi="Arial" w:eastAsia="Arial" w:cs="Arial"/>
          <w:b/>
          <w:bCs/>
          <w:sz w:val="26"/>
          <w:szCs w:val="26"/>
        </w:rPr>
        <w:t>Self-Test</w:t>
      </w:r>
    </w:p>
    <w:p w14:paraId="65A29776">
      <w:pPr>
        <w:pStyle w:val="16"/>
        <w:numPr>
          <w:ilvl w:val="0"/>
          <w:numId w:val="2"/>
        </w:numPr>
        <w:spacing w:after="120" w:line="276" w:lineRule="auto"/>
      </w:pPr>
      <w:r>
        <w:rPr>
          <w:rFonts w:ascii="Arial" w:hAnsi="Arial" w:eastAsia="Arial" w:cs="Arial"/>
          <w:sz w:val="22"/>
          <w:szCs w:val="22"/>
        </w:rPr>
        <w:t>What is the classic session path from accumulation through distribution?</w:t>
      </w:r>
    </w:p>
    <w:p w14:paraId="1E7D36C3">
      <w:pPr>
        <w:pStyle w:val="16"/>
        <w:numPr>
          <w:ilvl w:val="0"/>
          <w:numId w:val="2"/>
        </w:numPr>
        <w:spacing w:after="120" w:line="276" w:lineRule="auto"/>
      </w:pPr>
      <w:r>
        <w:rPr>
          <w:rFonts w:ascii="Arial" w:hAnsi="Arial" w:eastAsia="Arial" w:cs="Arial"/>
          <w:sz w:val="22"/>
          <w:szCs w:val="22"/>
        </w:rPr>
        <w:t>Why are Asian high and low the primary references for London manipulation?</w:t>
      </w:r>
    </w:p>
    <w:p w14:paraId="1F959546">
      <w:pPr>
        <w:pStyle w:val="16"/>
        <w:numPr>
          <w:ilvl w:val="0"/>
          <w:numId w:val="2"/>
        </w:numPr>
        <w:spacing w:after="120" w:line="276" w:lineRule="auto"/>
      </w:pPr>
      <w:r>
        <w:rPr>
          <w:rFonts w:ascii="Arial" w:hAnsi="Arial" w:eastAsia="Arial" w:cs="Arial"/>
          <w:sz w:val="22"/>
          <w:szCs w:val="22"/>
        </w:rPr>
        <w:t>When is a New York reversal more credible than a simple continuation failure?</w:t>
      </w:r>
    </w:p>
    <w:p w14:paraId="7F41C50C">
      <w:pPr>
        <w:pStyle w:val="16"/>
        <w:numPr>
          <w:ilvl w:val="0"/>
          <w:numId w:val="2"/>
        </w:numPr>
        <w:spacing w:after="120" w:line="276" w:lineRule="auto"/>
      </w:pPr>
      <w:r>
        <w:rPr>
          <w:rFonts w:ascii="Arial" w:hAnsi="Arial" w:eastAsia="Arial" w:cs="Arial"/>
          <w:sz w:val="22"/>
          <w:szCs w:val="22"/>
        </w:rPr>
        <w:t>How should a daily discount long be treated if it sits in deep weekly premium?</w:t>
      </w:r>
    </w:p>
    <w:p w14:paraId="0A6E8081">
      <w:pPr>
        <w:pStyle w:val="16"/>
        <w:numPr>
          <w:ilvl w:val="0"/>
          <w:numId w:val="2"/>
        </w:numPr>
        <w:spacing w:after="120" w:line="276" w:lineRule="auto"/>
      </w:pPr>
      <w:r>
        <w:rPr>
          <w:rFonts w:ascii="Arial" w:hAnsi="Arial" w:eastAsia="Arial" w:cs="Arial"/>
          <w:sz w:val="22"/>
          <w:szCs w:val="22"/>
        </w:rPr>
        <w:t>What is the correct response when the expected London path fails and New York reverses?</w:t>
      </w:r>
    </w:p>
    <w:p w14:paraId="4E04E1AC">
      <w:pPr>
        <w:pStyle w:val="3"/>
        <w:spacing w:before="280" w:after="180"/>
      </w:pPr>
      <w:r>
        <w:rPr>
          <w:rFonts w:ascii="Arial" w:hAnsi="Arial" w:eastAsia="Arial" w:cs="Arial"/>
          <w:b/>
          <w:bCs/>
          <w:sz w:val="26"/>
          <w:szCs w:val="26"/>
        </w:rPr>
        <w:t>Transition to Module 15</w:t>
      </w:r>
    </w:p>
    <w:p w14:paraId="3407D508">
      <w:pPr>
        <w:spacing w:after="200" w:line="276" w:lineRule="auto"/>
        <w:rPr>
          <w:rFonts w:ascii="Arial" w:hAnsi="Arial" w:eastAsia="Arial" w:cs="Arial"/>
          <w:sz w:val="22"/>
          <w:szCs w:val="22"/>
        </w:rPr>
      </w:pPr>
      <w:r>
        <w:rPr>
          <w:rFonts w:ascii="Arial" w:hAnsi="Arial" w:eastAsia="Arial" w:cs="Arial"/>
          <w:sz w:val="22"/>
          <w:szCs w:val="22"/>
        </w:rPr>
        <w:t>Module 14 has completed the session and weekly time architecture. Module 15 (Advanced Model Selection) will train the student to choose, on any given day, which ICT model (liquidity-sweep, MSS, FVG, Order Block, Breaker, OTE, PO3, session, or SMT-assisted) is the appropriate expression of the active narrative — and which models must be left unused.</w:t>
      </w:r>
    </w:p>
    <w:p w14:paraId="04DCA892">
      <w:pPr>
        <w:spacing w:after="120"/>
        <w:jc w:val="center"/>
      </w:pPr>
      <w:r>
        <w:rPr>
          <w:rFonts w:ascii="Arial" w:hAnsi="Arial" w:eastAsia="Arial" w:cs="Arial"/>
          <w:b/>
          <w:bCs/>
          <w:sz w:val="28"/>
          <w:szCs w:val="28"/>
        </w:rPr>
        <w:t>INNER CIRCLE TRADER</w:t>
      </w:r>
    </w:p>
    <w:p w14:paraId="52F4A05A">
      <w:pPr>
        <w:spacing w:after="120"/>
        <w:jc w:val="center"/>
      </w:pPr>
      <w:r>
        <w:rPr>
          <w:rFonts w:ascii="Arial" w:hAnsi="Arial" w:eastAsia="Arial" w:cs="Arial"/>
          <w:b/>
          <w:bCs/>
          <w:sz w:val="24"/>
          <w:szCs w:val="24"/>
        </w:rPr>
        <w:t>ADVANCED LEVEL TEXTBOOK</w:t>
      </w:r>
    </w:p>
    <w:p w14:paraId="31EF1CB4">
      <w:pPr>
        <w:spacing w:after="400"/>
        <w:jc w:val="center"/>
      </w:pPr>
      <w:r>
        <w:rPr>
          <w:rFonts w:ascii="Arial" w:hAnsi="Arial" w:eastAsia="Arial" w:cs="Arial"/>
          <w:b/>
          <w:bCs/>
          <w:sz w:val="36"/>
          <w:szCs w:val="36"/>
        </w:rPr>
        <w:t>MODULE 15</w:t>
      </w:r>
    </w:p>
    <w:p w14:paraId="18FEBF6A">
      <w:pPr>
        <w:spacing w:after="200"/>
        <w:jc w:val="center"/>
      </w:pPr>
      <w:r>
        <w:rPr>
          <w:rFonts w:ascii="Arial" w:hAnsi="Arial" w:eastAsia="Arial" w:cs="Arial"/>
          <w:b/>
          <w:bCs/>
          <w:sz w:val="28"/>
          <w:szCs w:val="28"/>
        </w:rPr>
        <w:t>Advanced Model Selection</w:t>
      </w:r>
    </w:p>
    <w:p w14:paraId="545CE159">
      <w:pPr>
        <w:spacing w:after="400"/>
        <w:jc w:val="center"/>
      </w:pPr>
      <w:r>
        <w:rPr>
          <w:rFonts w:ascii="Arial" w:hAnsi="Arial" w:eastAsia="Arial" w:cs="Arial"/>
          <w:i/>
          <w:iCs/>
          <w:sz w:val="20"/>
          <w:szCs w:val="20"/>
        </w:rPr>
        <w:t>Context → Select the Appropriate Model; Comparison of Liquidity, MSS, FVG, OB, Breaker, OTE, PO3, Session &amp; SMT-Assisted Approaches</w:t>
      </w:r>
    </w:p>
    <w:p w14:paraId="51DAFB88">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Modules 1–14. The goal is not to trade every model. The goal is: given the active narrative and bias, select the single most appropriate expression of that narrative and leave the rest unused.</w:t>
      </w:r>
    </w:p>
    <w:p w14:paraId="70224C05">
      <w:pPr>
        <w:pStyle w:val="2"/>
        <w:spacing w:before="360" w:after="240"/>
      </w:pPr>
      <w:r>
        <w:rPr>
          <w:rFonts w:ascii="Arial" w:hAnsi="Arial" w:eastAsia="Arial" w:cs="Arial"/>
          <w:b/>
          <w:bCs/>
          <w:sz w:val="32"/>
          <w:szCs w:val="32"/>
        </w:rPr>
        <w:t>Module Objectives</w:t>
      </w:r>
    </w:p>
    <w:p w14:paraId="3E86A4A1">
      <w:pPr>
        <w:spacing w:after="200" w:line="276" w:lineRule="auto"/>
      </w:pPr>
      <w:r>
        <w:rPr>
          <w:rFonts w:ascii="Arial" w:hAnsi="Arial" w:eastAsia="Arial" w:cs="Arial"/>
          <w:sz w:val="22"/>
          <w:szCs w:val="22"/>
        </w:rPr>
        <w:t>By the end of this module the advanced student should be able to:</w:t>
      </w:r>
    </w:p>
    <w:p w14:paraId="189419B3">
      <w:pPr>
        <w:pStyle w:val="16"/>
        <w:numPr>
          <w:ilvl w:val="0"/>
          <w:numId w:val="1"/>
        </w:numPr>
        <w:spacing w:after="120" w:line="276" w:lineRule="auto"/>
      </w:pPr>
      <w:r>
        <w:rPr>
          <w:rFonts w:ascii="Arial" w:hAnsi="Arial" w:eastAsia="Arial" w:cs="Arial"/>
          <w:sz w:val="22"/>
          <w:szCs w:val="22"/>
        </w:rPr>
        <w:t>Answer, before the primary session: “Which ICT model is authorised today, and which are forbidden?”</w:t>
      </w:r>
    </w:p>
    <w:p w14:paraId="73A206BD">
      <w:pPr>
        <w:pStyle w:val="16"/>
        <w:numPr>
          <w:ilvl w:val="0"/>
          <w:numId w:val="1"/>
        </w:numPr>
        <w:spacing w:after="120" w:line="276" w:lineRule="auto"/>
      </w:pPr>
      <w:r>
        <w:rPr>
          <w:rFonts w:ascii="Arial" w:hAnsi="Arial" w:eastAsia="Arial" w:cs="Arial"/>
          <w:sz w:val="22"/>
          <w:szCs w:val="22"/>
        </w:rPr>
        <w:t>Compare the major model families by the narrative conditions each requires.</w:t>
      </w:r>
    </w:p>
    <w:p w14:paraId="7E29FAC0">
      <w:pPr>
        <w:pStyle w:val="16"/>
        <w:numPr>
          <w:ilvl w:val="0"/>
          <w:numId w:val="1"/>
        </w:numPr>
        <w:spacing w:after="120" w:line="276" w:lineRule="auto"/>
      </w:pPr>
      <w:r>
        <w:rPr>
          <w:rFonts w:ascii="Arial" w:hAnsi="Arial" w:eastAsia="Arial" w:cs="Arial"/>
          <w:sz w:val="22"/>
          <w:szCs w:val="22"/>
        </w:rPr>
        <w:t>Select one primary model (and at most one supporting confirmation) per delivery leg.</w:t>
      </w:r>
    </w:p>
    <w:p w14:paraId="68512679">
      <w:pPr>
        <w:pStyle w:val="16"/>
        <w:numPr>
          <w:ilvl w:val="0"/>
          <w:numId w:val="1"/>
        </w:numPr>
        <w:spacing w:after="120" w:line="276" w:lineRule="auto"/>
      </w:pPr>
      <w:r>
        <w:rPr>
          <w:rFonts w:ascii="Arial" w:hAnsi="Arial" w:eastAsia="Arial" w:cs="Arial"/>
          <w:sz w:val="22"/>
          <w:szCs w:val="22"/>
        </w:rPr>
        <w:t>Recognise when no model is authorised and stand aside.</w:t>
      </w:r>
    </w:p>
    <w:p w14:paraId="6FFE3ADC">
      <w:pPr>
        <w:pStyle w:val="16"/>
        <w:numPr>
          <w:ilvl w:val="0"/>
          <w:numId w:val="1"/>
        </w:numPr>
        <w:spacing w:after="120" w:line="276" w:lineRule="auto"/>
      </w:pPr>
      <w:r>
        <w:rPr>
          <w:rFonts w:ascii="Arial" w:hAnsi="Arial" w:eastAsia="Arial" w:cs="Arial"/>
          <w:sz w:val="22"/>
          <w:szCs w:val="22"/>
        </w:rPr>
        <w:t>Avoid model-hopping and the simultaneous trading of conflicting models.</w:t>
      </w:r>
    </w:p>
    <w:p w14:paraId="76407A8D">
      <w:pPr>
        <w:pStyle w:val="16"/>
        <w:numPr>
          <w:ilvl w:val="0"/>
          <w:numId w:val="1"/>
        </w:numPr>
        <w:spacing w:after="120" w:line="276" w:lineRule="auto"/>
      </w:pPr>
      <w:r>
        <w:rPr>
          <w:rFonts w:ascii="Arial" w:hAnsi="Arial" w:eastAsia="Arial" w:cs="Arial"/>
          <w:sz w:val="22"/>
          <w:szCs w:val="22"/>
        </w:rPr>
        <w:t>Update model selection immediately when the narrative or bias is invalidated.</w:t>
      </w:r>
    </w:p>
    <w:p w14:paraId="212A6C6D">
      <w:pPr>
        <w:pStyle w:val="2"/>
        <w:spacing w:before="360" w:after="240"/>
      </w:pPr>
      <w:r>
        <w:rPr>
          <w:rFonts w:ascii="Arial" w:hAnsi="Arial" w:eastAsia="Arial" w:cs="Arial"/>
          <w:b/>
          <w:bCs/>
          <w:sz w:val="32"/>
          <w:szCs w:val="32"/>
        </w:rPr>
        <w:t>1. The Selection Principle</w:t>
      </w:r>
    </w:p>
    <w:p w14:paraId="6AE9DD62">
      <w:pPr>
        <w:pStyle w:val="3"/>
        <w:spacing w:before="280" w:after="180"/>
      </w:pPr>
      <w:r>
        <w:rPr>
          <w:rFonts w:ascii="Arial" w:hAnsi="Arial" w:eastAsia="Arial" w:cs="Arial"/>
          <w:b/>
          <w:bCs/>
          <w:sz w:val="26"/>
          <w:szCs w:val="26"/>
        </w:rPr>
        <w:t>1.1 Context First</w:t>
      </w:r>
    </w:p>
    <w:p w14:paraId="509AFA1C">
      <w:pPr>
        <w:spacing w:after="200" w:line="276" w:lineRule="auto"/>
      </w:pPr>
      <w:r>
        <w:rPr>
          <w:rFonts w:ascii="Arial" w:hAnsi="Arial" w:eastAsia="Arial" w:cs="Arial"/>
          <w:sz w:val="22"/>
          <w:szCs w:val="22"/>
        </w:rPr>
        <w:t>Model selection begins with the narrative stack and bias (Modules 9–10), not with a search for patterns. The sequence is always:</w:t>
      </w:r>
    </w:p>
    <w:p w14:paraId="5CA9ABBE">
      <w:pPr>
        <w:pStyle w:val="16"/>
        <w:numPr>
          <w:ilvl w:val="0"/>
          <w:numId w:val="2"/>
        </w:numPr>
        <w:spacing w:after="120" w:line="276" w:lineRule="auto"/>
      </w:pPr>
      <w:r>
        <w:rPr>
          <w:rFonts w:ascii="Arial" w:hAnsi="Arial" w:eastAsia="Arial" w:cs="Arial"/>
          <w:sz w:val="22"/>
          <w:szCs w:val="22"/>
        </w:rPr>
        <w:t>Construct / update the multi-timeframe narrative.</w:t>
      </w:r>
    </w:p>
    <w:p w14:paraId="1D98F657">
      <w:pPr>
        <w:pStyle w:val="16"/>
        <w:numPr>
          <w:ilvl w:val="0"/>
          <w:numId w:val="2"/>
        </w:numPr>
        <w:spacing w:after="120" w:line="276" w:lineRule="auto"/>
      </w:pPr>
      <w:r>
        <w:rPr>
          <w:rFonts w:ascii="Arial" w:hAnsi="Arial" w:eastAsia="Arial" w:cs="Arial"/>
          <w:sz w:val="22"/>
          <w:szCs w:val="22"/>
        </w:rPr>
        <w:t>Extract the bias statement (direction, DOL, invalidation, conditioning event).</w:t>
      </w:r>
    </w:p>
    <w:p w14:paraId="55206EF1">
      <w:pPr>
        <w:pStyle w:val="16"/>
        <w:numPr>
          <w:ilvl w:val="0"/>
          <w:numId w:val="2"/>
        </w:numPr>
        <w:spacing w:after="120" w:line="276" w:lineRule="auto"/>
      </w:pPr>
      <w:r>
        <w:rPr>
          <w:rFonts w:ascii="Arial" w:hAnsi="Arial" w:eastAsia="Arial" w:cs="Arial"/>
          <w:sz w:val="22"/>
          <w:szCs w:val="22"/>
        </w:rPr>
        <w:t>Inspect the active session and PO3 phase.</w:t>
      </w:r>
    </w:p>
    <w:p w14:paraId="77EBC89E">
      <w:pPr>
        <w:pStyle w:val="16"/>
        <w:numPr>
          <w:ilvl w:val="0"/>
          <w:numId w:val="2"/>
        </w:numPr>
        <w:spacing w:after="120" w:line="276" w:lineRule="auto"/>
      </w:pPr>
      <w:r>
        <w:rPr>
          <w:rFonts w:ascii="Arial" w:hAnsi="Arial" w:eastAsia="Arial" w:cs="Arial"/>
          <w:sz w:val="22"/>
          <w:szCs w:val="22"/>
        </w:rPr>
        <w:t>Ask which model family is the natural expression of that context.</w:t>
      </w:r>
    </w:p>
    <w:p w14:paraId="1C958E4F">
      <w:pPr>
        <w:pStyle w:val="16"/>
        <w:numPr>
          <w:ilvl w:val="0"/>
          <w:numId w:val="2"/>
        </w:numPr>
        <w:spacing w:after="120" w:line="276" w:lineRule="auto"/>
      </w:pPr>
      <w:r>
        <w:rPr>
          <w:rFonts w:ascii="Arial" w:hAnsi="Arial" w:eastAsia="Arial" w:cs="Arial"/>
          <w:sz w:val="22"/>
          <w:szCs w:val="22"/>
        </w:rPr>
        <w:t>Authorise only that family (or a tightly related pair) and forbid the rest.</w:t>
      </w:r>
    </w:p>
    <w:p w14:paraId="7400F885">
      <w:pPr>
        <w:pStyle w:val="3"/>
        <w:spacing w:before="280" w:after="180"/>
      </w:pPr>
      <w:r>
        <w:rPr>
          <w:rFonts w:ascii="Arial" w:hAnsi="Arial" w:eastAsia="Arial" w:cs="Arial"/>
          <w:b/>
          <w:bCs/>
          <w:sz w:val="26"/>
          <w:szCs w:val="26"/>
        </w:rPr>
        <w:t>1.2 One Leg, One Primary Model</w:t>
      </w:r>
    </w:p>
    <w:p w14:paraId="14384D86">
      <w:pPr>
        <w:spacing w:after="200" w:line="276" w:lineRule="auto"/>
      </w:pPr>
      <w:r>
        <w:rPr>
          <w:rFonts w:ascii="Arial" w:hAnsi="Arial" w:eastAsia="Arial" w:cs="Arial"/>
          <w:sz w:val="22"/>
          <w:szCs w:val="22"/>
        </w:rPr>
        <w:t>A single delivery leg is expressed by one primary entry model. Additional elements (SMT, session timing, higher-timeframe array) may confirm; they do not each generate a separate trade.</w:t>
      </w:r>
    </w:p>
    <w:p w14:paraId="1ECC806D">
      <w:pPr>
        <w:pStyle w:val="2"/>
        <w:spacing w:before="360" w:after="240"/>
      </w:pPr>
      <w:r>
        <w:rPr>
          <w:rFonts w:ascii="Arial" w:hAnsi="Arial" w:eastAsia="Arial" w:cs="Arial"/>
          <w:b/>
          <w:bCs/>
          <w:sz w:val="32"/>
          <w:szCs w:val="32"/>
        </w:rPr>
        <w:t>2. Model Families Compared</w:t>
      </w:r>
    </w:p>
    <w:p w14:paraId="44489498">
      <w:pPr>
        <w:pStyle w:val="3"/>
        <w:spacing w:before="280" w:after="180"/>
      </w:pPr>
      <w:r>
        <w:rPr>
          <w:rFonts w:ascii="Arial" w:hAnsi="Arial" w:eastAsia="Arial" w:cs="Arial"/>
          <w:b/>
          <w:bCs/>
          <w:sz w:val="26"/>
          <w:szCs w:val="26"/>
        </w:rPr>
        <w:t>2.1 Liquidity-Sweep Model</w:t>
      </w:r>
    </w:p>
    <w:p w14:paraId="04122A7A">
      <w:pPr>
        <w:spacing w:after="200" w:line="276" w:lineRule="auto"/>
      </w:pPr>
      <w:r>
        <w:rPr>
          <w:rFonts w:ascii="Arial" w:hAnsi="Arial" w:eastAsia="Arial" w:cs="Arial"/>
          <w:sz w:val="22"/>
          <w:szCs w:val="22"/>
        </w:rPr>
        <w:t>Primary emphasis: the raid of a named pool (SSL or BSL) as the origin of the leg. Entry is taken after the sweep, on the subsequent displacement and PD-array retracement. Best when the narrative has already named a clear liquidity origin and the kill zone is expected to attack it.</w:t>
      </w:r>
    </w:p>
    <w:p w14:paraId="4A4E0AFE">
      <w:pPr>
        <w:pStyle w:val="3"/>
        <w:spacing w:before="280" w:after="180"/>
      </w:pPr>
      <w:r>
        <w:rPr>
          <w:rFonts w:ascii="Arial" w:hAnsi="Arial" w:eastAsia="Arial" w:cs="Arial"/>
          <w:b/>
          <w:bCs/>
          <w:sz w:val="26"/>
          <w:szCs w:val="26"/>
        </w:rPr>
        <w:t>2.2 MSS Model</w:t>
      </w:r>
    </w:p>
    <w:p w14:paraId="7B67F266">
      <w:pPr>
        <w:spacing w:after="200" w:line="276" w:lineRule="auto"/>
      </w:pPr>
      <w:r>
        <w:rPr>
          <w:rFonts w:ascii="Arial" w:hAnsi="Arial" w:eastAsia="Arial" w:cs="Arial"/>
          <w:sz w:val="22"/>
          <w:szCs w:val="22"/>
        </w:rPr>
        <w:t>Primary emphasis: the Market Structure Shift that confirms the change or resumption of delivery. Entry is refined after the MSS prints, usually into the displacement array. Best when structure was ambiguous and the MSS is the resolving event.</w:t>
      </w:r>
    </w:p>
    <w:p w14:paraId="0574A867">
      <w:pPr>
        <w:pStyle w:val="3"/>
        <w:spacing w:before="280" w:after="180"/>
      </w:pPr>
      <w:r>
        <w:rPr>
          <w:rFonts w:ascii="Arial" w:hAnsi="Arial" w:eastAsia="Arial" w:cs="Arial"/>
          <w:b/>
          <w:bCs/>
          <w:sz w:val="26"/>
          <w:szCs w:val="26"/>
        </w:rPr>
        <w:t>2.3 FVG Model</w:t>
      </w:r>
    </w:p>
    <w:p w14:paraId="42FC17EB">
      <w:pPr>
        <w:spacing w:after="200" w:line="276" w:lineRule="auto"/>
      </w:pPr>
      <w:r>
        <w:rPr>
          <w:rFonts w:ascii="Arial" w:hAnsi="Arial" w:eastAsia="Arial" w:cs="Arial"/>
          <w:sz w:val="22"/>
          <w:szCs w:val="22"/>
        </w:rPr>
        <w:t>Primary emphasis: the Fair Value Gap (or CE) left by displacement as the precise entry. Best when a clean, unmitigated FVG sits in the correct half of the controlling range and the narrative is already confirmed by liquidity and structure.</w:t>
      </w:r>
    </w:p>
    <w:p w14:paraId="5889CDF2">
      <w:pPr>
        <w:pStyle w:val="3"/>
        <w:spacing w:before="280" w:after="180"/>
      </w:pPr>
      <w:r>
        <w:rPr>
          <w:rFonts w:ascii="Arial" w:hAnsi="Arial" w:eastAsia="Arial" w:cs="Arial"/>
          <w:b/>
          <w:bCs/>
          <w:sz w:val="26"/>
          <w:szCs w:val="26"/>
        </w:rPr>
        <w:t>2.4 Order Block Model</w:t>
      </w:r>
    </w:p>
    <w:p w14:paraId="749FBEC4">
      <w:pPr>
        <w:spacing w:after="200" w:line="276" w:lineRule="auto"/>
      </w:pPr>
      <w:r>
        <w:rPr>
          <w:rFonts w:ascii="Arial" w:hAnsi="Arial" w:eastAsia="Arial" w:cs="Arial"/>
          <w:sz w:val="22"/>
          <w:szCs w:val="22"/>
        </w:rPr>
        <w:t>Primary emphasis: the last opposing candle before displacement as the entry array. Best when that OB is high-quality (post-liquidity, pre-displacement) and correctly located.</w:t>
      </w:r>
    </w:p>
    <w:p w14:paraId="01D6F03F">
      <w:pPr>
        <w:pStyle w:val="3"/>
        <w:spacing w:before="280" w:after="180"/>
      </w:pPr>
      <w:r>
        <w:rPr>
          <w:rFonts w:ascii="Arial" w:hAnsi="Arial" w:eastAsia="Arial" w:cs="Arial"/>
          <w:b/>
          <w:bCs/>
          <w:sz w:val="26"/>
          <w:szCs w:val="26"/>
        </w:rPr>
        <w:t>2.5 Breaker Model</w:t>
      </w:r>
    </w:p>
    <w:p w14:paraId="27521357">
      <w:pPr>
        <w:spacing w:after="200" w:line="276" w:lineRule="auto"/>
      </w:pPr>
      <w:r>
        <w:rPr>
          <w:rFonts w:ascii="Arial" w:hAnsi="Arial" w:eastAsia="Arial" w:cs="Arial"/>
          <w:sz w:val="22"/>
          <w:szCs w:val="22"/>
        </w:rPr>
        <w:t>Primary emphasis: a violated prior Order Block that has inverted polarity. Best when the violation itself was the displacement that confirmed the new narrative direction and price is returning to the Breaker in the correct half of the range.</w:t>
      </w:r>
    </w:p>
    <w:p w14:paraId="2392DECE">
      <w:pPr>
        <w:pStyle w:val="3"/>
        <w:spacing w:before="280" w:after="180"/>
      </w:pPr>
      <w:r>
        <w:rPr>
          <w:rFonts w:ascii="Arial" w:hAnsi="Arial" w:eastAsia="Arial" w:cs="Arial"/>
          <w:b/>
          <w:bCs/>
          <w:sz w:val="26"/>
          <w:szCs w:val="26"/>
        </w:rPr>
        <w:t>2.6 OTE Model</w:t>
      </w:r>
    </w:p>
    <w:p w14:paraId="5A8D70E5">
      <w:pPr>
        <w:spacing w:after="200" w:line="276" w:lineRule="auto"/>
      </w:pPr>
      <w:r>
        <w:rPr>
          <w:rFonts w:ascii="Arial" w:hAnsi="Arial" w:eastAsia="Arial" w:cs="Arial"/>
          <w:sz w:val="22"/>
          <w:szCs w:val="22"/>
        </w:rPr>
        <w:t>Primary emphasis: the Optimal Trade Entry (roughly the 62–79 % retracement of the displacement leg, often overlapping an FVG or OB). Best when the displacement leg is clear and the OTE zone coincides with another high-quality array.</w:t>
      </w:r>
    </w:p>
    <w:p w14:paraId="6211BEC2">
      <w:pPr>
        <w:pStyle w:val="3"/>
        <w:spacing w:before="280" w:after="180"/>
      </w:pPr>
      <w:r>
        <w:rPr>
          <w:rFonts w:ascii="Arial" w:hAnsi="Arial" w:eastAsia="Arial" w:cs="Arial"/>
          <w:b/>
          <w:bCs/>
          <w:sz w:val="26"/>
          <w:szCs w:val="26"/>
        </w:rPr>
        <w:t>2.7 PO3 / AMD Model</w:t>
      </w:r>
    </w:p>
    <w:p w14:paraId="0F3A0267">
      <w:pPr>
        <w:spacing w:after="200" w:line="276" w:lineRule="auto"/>
      </w:pPr>
      <w:r>
        <w:rPr>
          <w:rFonts w:ascii="Arial" w:hAnsi="Arial" w:eastAsia="Arial" w:cs="Arial"/>
          <w:sz w:val="22"/>
          <w:szCs w:val="22"/>
        </w:rPr>
        <w:t>Primary emphasis: trading the distribution phase after accumulation and manipulation have completed. Best when the daily or weekly profile is clearly printing the three-phase template and the student can identify the transition into distribution.</w:t>
      </w:r>
    </w:p>
    <w:p w14:paraId="39D024AB">
      <w:pPr>
        <w:pStyle w:val="3"/>
        <w:spacing w:before="280" w:after="180"/>
      </w:pPr>
      <w:r>
        <w:rPr>
          <w:rFonts w:ascii="Arial" w:hAnsi="Arial" w:eastAsia="Arial" w:cs="Arial"/>
          <w:b/>
          <w:bCs/>
          <w:sz w:val="26"/>
          <w:szCs w:val="26"/>
        </w:rPr>
        <w:t>2.8 Session Model</w:t>
      </w:r>
    </w:p>
    <w:p w14:paraId="3E650F0A">
      <w:pPr>
        <w:spacing w:after="200" w:line="276" w:lineRule="auto"/>
      </w:pPr>
      <w:r>
        <w:rPr>
          <w:rFonts w:ascii="Arial" w:hAnsi="Arial" w:eastAsia="Arial" w:cs="Arial"/>
          <w:sz w:val="22"/>
          <w:szCs w:val="22"/>
        </w:rPr>
        <w:t>Primary emphasis: the expected behaviour of a specific session (London manipulation then continuation, New York distribution, etc.). Best when the higher-timeframe narrative strongly predicts a particular session path.</w:t>
      </w:r>
    </w:p>
    <w:p w14:paraId="0BDBF2C6">
      <w:pPr>
        <w:pStyle w:val="3"/>
        <w:spacing w:before="280" w:after="180"/>
      </w:pPr>
      <w:r>
        <w:rPr>
          <w:rFonts w:ascii="Arial" w:hAnsi="Arial" w:eastAsia="Arial" w:cs="Arial"/>
          <w:b/>
          <w:bCs/>
          <w:sz w:val="26"/>
          <w:szCs w:val="26"/>
        </w:rPr>
        <w:t>2.9 SMT-Assisted Model</w:t>
      </w:r>
    </w:p>
    <w:p w14:paraId="3EB6B02B">
      <w:pPr>
        <w:spacing w:after="200" w:line="276" w:lineRule="auto"/>
      </w:pPr>
      <w:r>
        <w:rPr>
          <w:rFonts w:ascii="Arial" w:hAnsi="Arial" w:eastAsia="Arial" w:cs="Arial"/>
          <w:sz w:val="22"/>
          <w:szCs w:val="22"/>
        </w:rPr>
        <w:t>Primary emphasis: intermarket non-confirmation at the liquidity extreme as additional confirmation before entry. Best when a valid correlated pair is available and the SMT aligns with the single-instrument bias. SMT is almost always a supporting layer, not a standalone model.</w:t>
      </w:r>
    </w:p>
    <w:p w14:paraId="44EAC1A2">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C — The family names and comparison framework are pedagogical synthesis. Each underlying element (liquidity sweep, MSS, FVG, OB, Breaker, OTE, PO3, session, SMT) is grounded in ICT teaching; the decision procedure for choosing among them is the advanced operational requirement.</w:t>
      </w:r>
    </w:p>
    <w:p w14:paraId="5D41A523">
      <w:pPr>
        <w:pStyle w:val="2"/>
        <w:spacing w:before="360" w:after="240"/>
      </w:pPr>
      <w:r>
        <w:rPr>
          <w:rFonts w:ascii="Arial" w:hAnsi="Arial" w:eastAsia="Arial" w:cs="Arial"/>
          <w:b/>
          <w:bCs/>
          <w:sz w:val="32"/>
          <w:szCs w:val="32"/>
        </w:rPr>
        <w:t>3. Decision Filters</w:t>
      </w:r>
    </w:p>
    <w:p w14:paraId="2267A4D2">
      <w:pPr>
        <w:spacing w:after="200" w:line="276" w:lineRule="auto"/>
      </w:pPr>
      <w:r>
        <w:rPr>
          <w:rFonts w:ascii="Arial" w:hAnsi="Arial" w:eastAsia="Arial" w:cs="Arial"/>
          <w:sz w:val="22"/>
          <w:szCs w:val="22"/>
        </w:rPr>
        <w:t>Apply these filters in order:</w:t>
      </w:r>
    </w:p>
    <w:p w14:paraId="72844FF3">
      <w:pPr>
        <w:pStyle w:val="16"/>
        <w:numPr>
          <w:ilvl w:val="0"/>
          <w:numId w:val="2"/>
        </w:numPr>
        <w:spacing w:after="120" w:line="276" w:lineRule="auto"/>
      </w:pPr>
      <w:r>
        <w:rPr>
          <w:rFonts w:ascii="Arial" w:hAnsi="Arial" w:eastAsia="Arial" w:cs="Arial"/>
          <w:sz w:val="22"/>
          <w:szCs w:val="22"/>
        </w:rPr>
        <w:t>Bias filter — only models that assume the bias direction are eligible.</w:t>
      </w:r>
    </w:p>
    <w:p w14:paraId="5B171A2B">
      <w:pPr>
        <w:pStyle w:val="16"/>
        <w:numPr>
          <w:ilvl w:val="0"/>
          <w:numId w:val="2"/>
        </w:numPr>
        <w:spacing w:after="120" w:line="276" w:lineRule="auto"/>
      </w:pPr>
      <w:r>
        <w:rPr>
          <w:rFonts w:ascii="Arial" w:hAnsi="Arial" w:eastAsia="Arial" w:cs="Arial"/>
          <w:sz w:val="22"/>
          <w:szCs w:val="22"/>
        </w:rPr>
        <w:t>Range filter — only models that enter from the correct premium/discount half are eligible.</w:t>
      </w:r>
    </w:p>
    <w:p w14:paraId="5AF67AD6">
      <w:pPr>
        <w:pStyle w:val="16"/>
        <w:numPr>
          <w:ilvl w:val="0"/>
          <w:numId w:val="2"/>
        </w:numPr>
        <w:spacing w:after="120" w:line="276" w:lineRule="auto"/>
      </w:pPr>
      <w:r>
        <w:rPr>
          <w:rFonts w:ascii="Arial" w:hAnsi="Arial" w:eastAsia="Arial" w:cs="Arial"/>
          <w:sz w:val="22"/>
          <w:szCs w:val="22"/>
        </w:rPr>
        <w:t>Liquidity-origin filter — models that require a completed or ongoing raid of the named origin pool.</w:t>
      </w:r>
    </w:p>
    <w:p w14:paraId="3A18A2BC">
      <w:pPr>
        <w:pStyle w:val="16"/>
        <w:numPr>
          <w:ilvl w:val="0"/>
          <w:numId w:val="2"/>
        </w:numPr>
        <w:spacing w:after="120" w:line="276" w:lineRule="auto"/>
      </w:pPr>
      <w:r>
        <w:rPr>
          <w:rFonts w:ascii="Arial" w:hAnsi="Arial" w:eastAsia="Arial" w:cs="Arial"/>
          <w:sz w:val="22"/>
          <w:szCs w:val="22"/>
        </w:rPr>
        <w:t>Phase filter — models that match the active PO3 / session phase (do not trade distribution models during accumulation).</w:t>
      </w:r>
    </w:p>
    <w:p w14:paraId="6D3F606D">
      <w:pPr>
        <w:pStyle w:val="16"/>
        <w:numPr>
          <w:ilvl w:val="0"/>
          <w:numId w:val="2"/>
        </w:numPr>
        <w:spacing w:after="120" w:line="276" w:lineRule="auto"/>
      </w:pPr>
      <w:r>
        <w:rPr>
          <w:rFonts w:ascii="Arial" w:hAnsi="Arial" w:eastAsia="Arial" w:cs="Arial"/>
          <w:sz w:val="22"/>
          <w:szCs w:val="22"/>
        </w:rPr>
        <w:t>Array-quality filter — the specific array (FVG, OB, Breaker, OTE) must be unmitigated and correctly located.</w:t>
      </w:r>
    </w:p>
    <w:p w14:paraId="3D523908">
      <w:pPr>
        <w:pStyle w:val="16"/>
        <w:numPr>
          <w:ilvl w:val="0"/>
          <w:numId w:val="2"/>
        </w:numPr>
        <w:spacing w:after="120" w:line="276" w:lineRule="auto"/>
      </w:pPr>
      <w:r>
        <w:rPr>
          <w:rFonts w:ascii="Arial" w:hAnsi="Arial" w:eastAsia="Arial" w:cs="Arial"/>
          <w:sz w:val="22"/>
          <w:szCs w:val="22"/>
        </w:rPr>
        <w:t>Confirmation filter — displacement and MSS (and SMT if used) must support the entry.</w:t>
      </w:r>
    </w:p>
    <w:p w14:paraId="0D0B69AB">
      <w:pPr>
        <w:pStyle w:val="16"/>
        <w:numPr>
          <w:ilvl w:val="0"/>
          <w:numId w:val="2"/>
        </w:numPr>
        <w:spacing w:after="120" w:line="276" w:lineRule="auto"/>
      </w:pPr>
      <w:r>
        <w:rPr>
          <w:rFonts w:ascii="Arial" w:hAnsi="Arial" w:eastAsia="Arial" w:cs="Arial"/>
          <w:sz w:val="22"/>
          <w:szCs w:val="22"/>
        </w:rPr>
        <w:t>Invalidation filter — both trade-level and narrative-level invalidation must be defined and acceptable.</w:t>
      </w:r>
    </w:p>
    <w:p w14:paraId="23D81011">
      <w:pPr>
        <w:spacing w:after="200" w:line="276" w:lineRule="auto"/>
      </w:pPr>
      <w:r>
        <w:rPr>
          <w:rFonts w:ascii="Arial" w:hAnsi="Arial" w:eastAsia="Arial" w:cs="Arial"/>
          <w:sz w:val="22"/>
          <w:szCs w:val="22"/>
        </w:rPr>
        <w:t>Any model that fails a filter is forbidden for that leg.</w:t>
      </w:r>
    </w:p>
    <w:p w14:paraId="7ADE9DB4">
      <w:pPr>
        <w:pStyle w:val="2"/>
        <w:spacing w:before="360" w:after="240"/>
      </w:pPr>
      <w:r>
        <w:rPr>
          <w:rFonts w:ascii="Arial" w:hAnsi="Arial" w:eastAsia="Arial" w:cs="Arial"/>
          <w:b/>
          <w:bCs/>
          <w:sz w:val="32"/>
          <w:szCs w:val="32"/>
        </w:rPr>
        <w:t>4. Selection Scenarios</w:t>
      </w:r>
    </w:p>
    <w:p w14:paraId="5934C8EF">
      <w:pPr>
        <w:pStyle w:val="3"/>
        <w:spacing w:before="280" w:after="180"/>
      </w:pPr>
      <w:r>
        <w:rPr>
          <w:rFonts w:ascii="Arial" w:hAnsi="Arial" w:eastAsia="Arial" w:cs="Arial"/>
          <w:b/>
          <w:bCs/>
          <w:sz w:val="26"/>
          <w:szCs w:val="26"/>
        </w:rPr>
        <w:t>4.1 Clean Classic Continuation Day</w:t>
      </w:r>
    </w:p>
    <w:p w14:paraId="7A2240D8">
      <w:pPr>
        <w:spacing w:after="200" w:line="276" w:lineRule="auto"/>
      </w:pPr>
      <w:r>
        <w:rPr>
          <w:rFonts w:ascii="Arial" w:hAnsi="Arial" w:eastAsia="Arial" w:cs="Arial"/>
          <w:sz w:val="22"/>
          <w:szCs w:val="22"/>
        </w:rPr>
        <w:t>HTF bias clear, discount/premium correct, Asian range set, London raids the expected side, displacement + MSS + clean FVG in the right half. Primary model: FVG / OTE continuation (Variation A of Modules 11–12). Supporting: session timing and optional SMT. Forbidden: opposing-direction models, Breaker models that have not formed, premature IFVG.</w:t>
      </w:r>
    </w:p>
    <w:p w14:paraId="0C80B869">
      <w:pPr>
        <w:pStyle w:val="3"/>
        <w:spacing w:before="280" w:after="180"/>
      </w:pPr>
      <w:r>
        <w:rPr>
          <w:rFonts w:ascii="Arial" w:hAnsi="Arial" w:eastAsia="Arial" w:cs="Arial"/>
          <w:b/>
          <w:bCs/>
          <w:sz w:val="26"/>
          <w:szCs w:val="26"/>
        </w:rPr>
        <w:t>4.2 Breaker Day</w:t>
      </w:r>
    </w:p>
    <w:p w14:paraId="67D6C310">
      <w:pPr>
        <w:spacing w:after="200" w:line="276" w:lineRule="auto"/>
      </w:pPr>
      <w:r>
        <w:rPr>
          <w:rFonts w:ascii="Arial" w:hAnsi="Arial" w:eastAsia="Arial" w:cs="Arial"/>
          <w:sz w:val="22"/>
          <w:szCs w:val="22"/>
        </w:rPr>
        <w:t>A prior high-quality OB is violated by the displacement that confirms the new (or resumed) narrative; price returns to the Breaker in the correct half of the range. Primary model: Breaker continuation. Supporting: liquidity origin and MSS. Forbidden: treating the old polarity of the OB as still valid.</w:t>
      </w:r>
    </w:p>
    <w:p w14:paraId="1C8374CE">
      <w:pPr>
        <w:pStyle w:val="3"/>
        <w:spacing w:before="280" w:after="180"/>
      </w:pPr>
      <w:r>
        <w:rPr>
          <w:rFonts w:ascii="Arial" w:hAnsi="Arial" w:eastAsia="Arial" w:cs="Arial"/>
          <w:b/>
          <w:bCs/>
          <w:sz w:val="26"/>
          <w:szCs w:val="26"/>
        </w:rPr>
        <w:t>4.3 HTF Array Day</w:t>
      </w:r>
    </w:p>
    <w:p w14:paraId="2970AC51">
      <w:pPr>
        <w:spacing w:after="200" w:line="276" w:lineRule="auto"/>
      </w:pPr>
      <w:r>
        <w:rPr>
          <w:rFonts w:ascii="Arial" w:hAnsi="Arial" w:eastAsia="Arial" w:cs="Arial"/>
          <w:sz w:val="22"/>
          <w:szCs w:val="22"/>
        </w:rPr>
        <w:t>Price reaches a weekly or daily PD array in the correct half of the higher-timeframe range; LTF only supplies the conditioning sweep and precise entry. Primary model: HTF PD-array reaction with LTF confirmation (Variation D). Supporting: session and optional SMT.</w:t>
      </w:r>
    </w:p>
    <w:p w14:paraId="46A3FB69">
      <w:pPr>
        <w:pStyle w:val="3"/>
        <w:spacing w:before="280" w:after="180"/>
      </w:pPr>
      <w:r>
        <w:rPr>
          <w:rFonts w:ascii="Arial" w:hAnsi="Arial" w:eastAsia="Arial" w:cs="Arial"/>
          <w:b/>
          <w:bCs/>
          <w:sz w:val="26"/>
          <w:szCs w:val="26"/>
        </w:rPr>
        <w:t>4.4 Ambiguous or Conflict Day</w:t>
      </w:r>
    </w:p>
    <w:p w14:paraId="38F24956">
      <w:pPr>
        <w:spacing w:after="200" w:line="276" w:lineRule="auto"/>
      </w:pPr>
      <w:r>
        <w:rPr>
          <w:rFonts w:ascii="Arial" w:hAnsi="Arial" w:eastAsia="Arial" w:cs="Arial"/>
          <w:sz w:val="22"/>
          <w:szCs w:val="22"/>
        </w:rPr>
        <w:t>Narrative layers conflict, bias is unclear, or the expected session path fails. Authorised model: none. Action: stand aside. Forcing a model is the error.</w:t>
      </w:r>
    </w:p>
    <w:p w14:paraId="49E12746">
      <w:pPr>
        <w:pStyle w:val="3"/>
        <w:spacing w:before="280" w:after="180"/>
      </w:pPr>
      <w:r>
        <w:rPr>
          <w:rFonts w:ascii="Arial" w:hAnsi="Arial" w:eastAsia="Arial" w:cs="Arial"/>
          <w:b/>
          <w:bCs/>
          <w:sz w:val="26"/>
          <w:szCs w:val="26"/>
        </w:rPr>
        <w:t>4.5 SMT-Confirmed Day</w:t>
      </w:r>
    </w:p>
    <w:p w14:paraId="4EADE5BB">
      <w:pPr>
        <w:spacing w:after="200" w:line="276" w:lineRule="auto"/>
      </w:pPr>
      <w:r>
        <w:rPr>
          <w:rFonts w:ascii="Arial" w:hAnsi="Arial" w:eastAsia="Arial" w:cs="Arial"/>
          <w:sz w:val="22"/>
          <w:szCs w:val="22"/>
        </w:rPr>
        <w:t>Single-instrument narrative is already bullish/bearish; SMT at the liquidity extreme confirms; displacement and array follow. Primary model: the single-instrument continuation model (FVG/OB/OTE). Supporting: SMT. SMT does not become the primary model.</w:t>
      </w:r>
    </w:p>
    <w:p w14:paraId="2FBEE777">
      <w:pPr>
        <w:pStyle w:val="2"/>
        <w:spacing w:before="360" w:after="240"/>
      </w:pPr>
      <w:r>
        <w:rPr>
          <w:rFonts w:ascii="Arial" w:hAnsi="Arial" w:eastAsia="Arial" w:cs="Arial"/>
          <w:b/>
          <w:bCs/>
          <w:sz w:val="32"/>
          <w:szCs w:val="32"/>
        </w:rPr>
        <w:t>5. Forbidden Combinations</w:t>
      </w:r>
    </w:p>
    <w:p w14:paraId="09DD912F">
      <w:pPr>
        <w:pStyle w:val="16"/>
        <w:numPr>
          <w:ilvl w:val="0"/>
          <w:numId w:val="1"/>
        </w:numPr>
        <w:spacing w:after="120" w:line="276" w:lineRule="auto"/>
      </w:pPr>
      <w:r>
        <w:rPr>
          <w:rFonts w:ascii="Arial" w:hAnsi="Arial" w:eastAsia="Arial" w:cs="Arial"/>
          <w:sz w:val="22"/>
          <w:szCs w:val="22"/>
        </w:rPr>
        <w:t>Trading a long model and a short model on the same instrument in the same session without an explicit narrative rewrite.</w:t>
      </w:r>
    </w:p>
    <w:p w14:paraId="08CB95EE">
      <w:pPr>
        <w:pStyle w:val="16"/>
        <w:numPr>
          <w:ilvl w:val="0"/>
          <w:numId w:val="1"/>
        </w:numPr>
        <w:spacing w:after="120" w:line="276" w:lineRule="auto"/>
      </w:pPr>
      <w:r>
        <w:rPr>
          <w:rFonts w:ascii="Arial" w:hAnsi="Arial" w:eastAsia="Arial" w:cs="Arial"/>
          <w:sz w:val="22"/>
          <w:szCs w:val="22"/>
        </w:rPr>
        <w:t>Entering a distribution model during the accumulation or early manipulation phase.</w:t>
      </w:r>
    </w:p>
    <w:p w14:paraId="7AF56845">
      <w:pPr>
        <w:pStyle w:val="16"/>
        <w:numPr>
          <w:ilvl w:val="0"/>
          <w:numId w:val="1"/>
        </w:numPr>
        <w:spacing w:after="120" w:line="276" w:lineRule="auto"/>
      </w:pPr>
      <w:r>
        <w:rPr>
          <w:rFonts w:ascii="Arial" w:hAnsi="Arial" w:eastAsia="Arial" w:cs="Arial"/>
          <w:sz w:val="22"/>
          <w:szCs w:val="22"/>
        </w:rPr>
        <w:t>Using a Breaker or IFVG that has not been properly formed.</w:t>
      </w:r>
    </w:p>
    <w:p w14:paraId="25EC22EB">
      <w:pPr>
        <w:pStyle w:val="16"/>
        <w:numPr>
          <w:ilvl w:val="0"/>
          <w:numId w:val="1"/>
        </w:numPr>
        <w:spacing w:after="120" w:line="276" w:lineRule="auto"/>
      </w:pPr>
      <w:r>
        <w:rPr>
          <w:rFonts w:ascii="Arial" w:hAnsi="Arial" w:eastAsia="Arial" w:cs="Arial"/>
          <w:sz w:val="22"/>
          <w:szCs w:val="22"/>
        </w:rPr>
        <w:t>Selecting a model that violates the controlling range’s premium/discount filter.</w:t>
      </w:r>
    </w:p>
    <w:p w14:paraId="7A6B3EFA">
      <w:pPr>
        <w:pStyle w:val="16"/>
        <w:numPr>
          <w:ilvl w:val="0"/>
          <w:numId w:val="1"/>
        </w:numPr>
        <w:spacing w:after="120" w:line="276" w:lineRule="auto"/>
      </w:pPr>
      <w:r>
        <w:rPr>
          <w:rFonts w:ascii="Arial" w:hAnsi="Arial" w:eastAsia="Arial" w:cs="Arial"/>
          <w:sz w:val="22"/>
          <w:szCs w:val="22"/>
        </w:rPr>
        <w:t>Allowing SMT or a lower-timeframe signal to authorise a model that the higher-timeframe bias forbids.</w:t>
      </w:r>
    </w:p>
    <w:p w14:paraId="4989C0E7">
      <w:pPr>
        <w:pStyle w:val="2"/>
        <w:spacing w:before="360" w:after="240"/>
      </w:pPr>
      <w:r>
        <w:rPr>
          <w:rFonts w:ascii="Arial" w:hAnsi="Arial" w:eastAsia="Arial" w:cs="Arial"/>
          <w:b/>
          <w:bCs/>
          <w:sz w:val="32"/>
          <w:szCs w:val="32"/>
        </w:rPr>
        <w:t>6. Model Selection Procedure (Pre-Session)</w:t>
      </w:r>
    </w:p>
    <w:p w14:paraId="39DBF26B">
      <w:pPr>
        <w:pStyle w:val="16"/>
        <w:numPr>
          <w:ilvl w:val="0"/>
          <w:numId w:val="2"/>
        </w:numPr>
        <w:spacing w:after="120" w:line="276" w:lineRule="auto"/>
      </w:pPr>
      <w:r>
        <w:rPr>
          <w:rFonts w:ascii="Arial" w:hAnsi="Arial" w:eastAsia="Arial" w:cs="Arial"/>
          <w:sz w:val="22"/>
          <w:szCs w:val="22"/>
        </w:rPr>
        <w:t>Write the narrative stack and bias statement.</w:t>
      </w:r>
    </w:p>
    <w:p w14:paraId="1BE45603">
      <w:pPr>
        <w:pStyle w:val="16"/>
        <w:numPr>
          <w:ilvl w:val="0"/>
          <w:numId w:val="2"/>
        </w:numPr>
        <w:spacing w:after="120" w:line="276" w:lineRule="auto"/>
      </w:pPr>
      <w:r>
        <w:rPr>
          <w:rFonts w:ascii="Arial" w:hAnsi="Arial" w:eastAsia="Arial" w:cs="Arial"/>
          <w:sz w:val="22"/>
          <w:szCs w:val="22"/>
        </w:rPr>
        <w:t>State the expected session path and PO3 phase.</w:t>
      </w:r>
    </w:p>
    <w:p w14:paraId="04E7B725">
      <w:pPr>
        <w:pStyle w:val="16"/>
        <w:numPr>
          <w:ilvl w:val="0"/>
          <w:numId w:val="2"/>
        </w:numPr>
        <w:spacing w:after="120" w:line="276" w:lineRule="auto"/>
      </w:pPr>
      <w:r>
        <w:rPr>
          <w:rFonts w:ascii="Arial" w:hAnsi="Arial" w:eastAsia="Arial" w:cs="Arial"/>
          <w:sz w:val="22"/>
          <w:szCs w:val="22"/>
        </w:rPr>
        <w:t>List the model families that survive the bias and range filters.</w:t>
      </w:r>
    </w:p>
    <w:p w14:paraId="3B81C2F8">
      <w:pPr>
        <w:pStyle w:val="16"/>
        <w:numPr>
          <w:ilvl w:val="0"/>
          <w:numId w:val="2"/>
        </w:numPr>
        <w:spacing w:after="120" w:line="276" w:lineRule="auto"/>
      </w:pPr>
      <w:r>
        <w:rPr>
          <w:rFonts w:ascii="Arial" w:hAnsi="Arial" w:eastAsia="Arial" w:cs="Arial"/>
          <w:sz w:val="22"/>
          <w:szCs w:val="22"/>
        </w:rPr>
        <w:t>From that shortlist, select the one family whose primary emphasis best matches the expected origin event and array.</w:t>
      </w:r>
    </w:p>
    <w:p w14:paraId="3400E6D6">
      <w:pPr>
        <w:pStyle w:val="16"/>
        <w:numPr>
          <w:ilvl w:val="0"/>
          <w:numId w:val="2"/>
        </w:numPr>
        <w:spacing w:after="120" w:line="276" w:lineRule="auto"/>
      </w:pPr>
      <w:r>
        <w:rPr>
          <w:rFonts w:ascii="Arial" w:hAnsi="Arial" w:eastAsia="Arial" w:cs="Arial"/>
          <w:sz w:val="22"/>
          <w:szCs w:val="22"/>
        </w:rPr>
        <w:t>Define the exact entry condition, trade invalidation and narrative invalidation.</w:t>
      </w:r>
    </w:p>
    <w:p w14:paraId="4C645847">
      <w:pPr>
        <w:pStyle w:val="16"/>
        <w:numPr>
          <w:ilvl w:val="0"/>
          <w:numId w:val="2"/>
        </w:numPr>
        <w:spacing w:after="120" w:line="276" w:lineRule="auto"/>
      </w:pPr>
      <w:r>
        <w:rPr>
          <w:rFonts w:ascii="Arial" w:hAnsi="Arial" w:eastAsia="Arial" w:cs="Arial"/>
          <w:sz w:val="22"/>
          <w:szCs w:val="22"/>
        </w:rPr>
        <w:t>Define the stand-aside conditions (what would cancel the model before entry).</w:t>
      </w:r>
    </w:p>
    <w:p w14:paraId="122B32C7">
      <w:pPr>
        <w:pStyle w:val="16"/>
        <w:numPr>
          <w:ilvl w:val="0"/>
          <w:numId w:val="2"/>
        </w:numPr>
        <w:spacing w:after="120" w:line="276" w:lineRule="auto"/>
      </w:pPr>
      <w:r>
        <w:rPr>
          <w:rFonts w:ascii="Arial" w:hAnsi="Arial" w:eastAsia="Arial" w:cs="Arial"/>
          <w:sz w:val="22"/>
          <w:szCs w:val="22"/>
        </w:rPr>
        <w:t>Execute only if the live chart produces the authorised sequence; otherwise stand aside or switch only after an explicit narrative update.</w:t>
      </w:r>
    </w:p>
    <w:p w14:paraId="2D34E1F0">
      <w:pPr>
        <w:pStyle w:val="2"/>
        <w:spacing w:before="360" w:after="240"/>
      </w:pPr>
      <w:r>
        <w:rPr>
          <w:rFonts w:ascii="Arial" w:hAnsi="Arial" w:eastAsia="Arial" w:cs="Arial"/>
          <w:b/>
          <w:bCs/>
          <w:sz w:val="32"/>
          <w:szCs w:val="32"/>
        </w:rPr>
        <w:t>7. Worked Selection</w:t>
      </w:r>
    </w:p>
    <w:p w14:paraId="227D73ED">
      <w:pPr>
        <w:spacing w:after="200" w:line="276" w:lineRule="auto"/>
      </w:pPr>
      <w:r>
        <w:rPr>
          <w:rFonts w:ascii="Arial" w:hAnsi="Arial" w:eastAsia="Arial" w:cs="Arial"/>
          <w:sz w:val="22"/>
          <w:szCs w:val="22"/>
        </w:rPr>
        <w:t>Narrative: Weekly and daily bias bullish toward 1.1200; both ranges in discount; mid-week weekly SSL already taken; daily expectation = London raid of Asian SSL → displacement → FVG in discount → New York continuation.</w:t>
      </w:r>
    </w:p>
    <w:p w14:paraId="77E54617">
      <w:pPr>
        <w:spacing w:after="200" w:line="276" w:lineRule="auto"/>
      </w:pPr>
      <w:r>
        <w:rPr>
          <w:rFonts w:ascii="Arial" w:hAnsi="Arial" w:eastAsia="Arial" w:cs="Arial"/>
          <w:sz w:val="22"/>
          <w:szCs w:val="22"/>
        </w:rPr>
        <w:t>Surviving families after bias and range filters: Liquidity-sweep, FVG, OTE, PO3/session continuation. Breaker and IFVG not yet formed. SMT available on GBP/USD.</w:t>
      </w:r>
    </w:p>
    <w:p w14:paraId="348508F4">
      <w:pPr>
        <w:spacing w:after="200" w:line="276" w:lineRule="auto"/>
      </w:pPr>
      <w:r>
        <w:rPr>
          <w:rFonts w:ascii="Arial" w:hAnsi="Arial" w:eastAsia="Arial" w:cs="Arial"/>
          <w:sz w:val="22"/>
          <w:szCs w:val="22"/>
        </w:rPr>
        <w:t>Selection: Primary = FVG / OTE continuation after the London SSL raid and displacement. Supporting = session timing + optional SMT confirmation. Forbidden = any short model, any Breaker/IFVG that has not printed, any entry during Asian accumulation.</w:t>
      </w:r>
    </w:p>
    <w:p w14:paraId="321E51CF">
      <w:pPr>
        <w:spacing w:after="200" w:line="276" w:lineRule="auto"/>
      </w:pPr>
      <w:r>
        <w:rPr>
          <w:rFonts w:ascii="Arial" w:hAnsi="Arial" w:eastAsia="Arial" w:cs="Arial"/>
          <w:sz w:val="22"/>
          <w:szCs w:val="22"/>
        </w:rPr>
        <w:t>Live: London sweeps Asian low; SMT confirms on GBP/USD; displacement and MSS print; FVG forms at 1.0635–1.0665. Entry on retracement into FVG/CE. Model selection matched the narrative and was executed as planned.</w:t>
      </w:r>
    </w:p>
    <w:p w14:paraId="17A75F7D">
      <w:pPr>
        <w:pStyle w:val="2"/>
        <w:spacing w:before="360" w:after="240"/>
      </w:pPr>
      <w:r>
        <w:rPr>
          <w:rFonts w:ascii="Arial" w:hAnsi="Arial" w:eastAsia="Arial" w:cs="Arial"/>
          <w:b/>
          <w:bCs/>
          <w:sz w:val="32"/>
          <w:szCs w:val="32"/>
        </w:rPr>
        <w:t>Visual Reference — Selection Funnel</w:t>
      </w:r>
    </w:p>
    <w:p w14:paraId="1FA61A26">
      <w:pPr>
        <w:spacing w:after="0" w:line="240" w:lineRule="auto"/>
      </w:pPr>
      <w:r>
        <w:rPr>
          <w:rFonts w:ascii="Courier New" w:hAnsi="Courier New" w:eastAsia="Courier New" w:cs="Courier New"/>
          <w:sz w:val="18"/>
          <w:szCs w:val="18"/>
        </w:rPr>
        <w:t>All possible ICT models</w:t>
      </w:r>
    </w:p>
    <w:p w14:paraId="70F94DE4">
      <w:pPr>
        <w:spacing w:after="0" w:line="240" w:lineRule="auto"/>
      </w:pPr>
      <w:r>
        <w:rPr>
          <w:rFonts w:ascii="Courier New" w:hAnsi="Courier New" w:eastAsia="Courier New" w:cs="Courier New"/>
          <w:sz w:val="18"/>
          <w:szCs w:val="18"/>
        </w:rPr>
        <w:t xml:space="preserve">        │</w:t>
      </w:r>
    </w:p>
    <w:p w14:paraId="4682C1C3">
      <w:pPr>
        <w:spacing w:after="0" w:line="240" w:lineRule="auto"/>
      </w:pPr>
      <w:r>
        <w:rPr>
          <w:rFonts w:ascii="Courier New" w:hAnsi="Courier New" w:eastAsia="Courier New" w:cs="Courier New"/>
          <w:sz w:val="18"/>
          <w:szCs w:val="18"/>
        </w:rPr>
        <w:t xml:space="preserve">   Bias filter (direction)</w:t>
      </w:r>
    </w:p>
    <w:p w14:paraId="67549E8D">
      <w:pPr>
        <w:spacing w:after="0" w:line="240" w:lineRule="auto"/>
      </w:pPr>
      <w:r>
        <w:rPr>
          <w:rFonts w:ascii="Courier New" w:hAnsi="Courier New" w:eastAsia="Courier New" w:cs="Courier New"/>
          <w:sz w:val="18"/>
          <w:szCs w:val="18"/>
        </w:rPr>
        <w:t xml:space="preserve">        │</w:t>
      </w:r>
    </w:p>
    <w:p w14:paraId="0A42BEC8">
      <w:pPr>
        <w:spacing w:after="0" w:line="240" w:lineRule="auto"/>
      </w:pPr>
      <w:r>
        <w:rPr>
          <w:rFonts w:ascii="Courier New" w:hAnsi="Courier New" w:eastAsia="Courier New" w:cs="Courier New"/>
          <w:sz w:val="18"/>
          <w:szCs w:val="18"/>
        </w:rPr>
        <w:t xml:space="preserve">   Range filter (premium/discount)</w:t>
      </w:r>
    </w:p>
    <w:p w14:paraId="6097F409">
      <w:pPr>
        <w:spacing w:after="0" w:line="240" w:lineRule="auto"/>
      </w:pPr>
      <w:r>
        <w:rPr>
          <w:rFonts w:ascii="Courier New" w:hAnsi="Courier New" w:eastAsia="Courier New" w:cs="Courier New"/>
          <w:sz w:val="18"/>
          <w:szCs w:val="18"/>
        </w:rPr>
        <w:t xml:space="preserve">        │</w:t>
      </w:r>
    </w:p>
    <w:p w14:paraId="66290F47">
      <w:pPr>
        <w:spacing w:after="0" w:line="240" w:lineRule="auto"/>
      </w:pPr>
      <w:r>
        <w:rPr>
          <w:rFonts w:ascii="Courier New" w:hAnsi="Courier New" w:eastAsia="Courier New" w:cs="Courier New"/>
          <w:sz w:val="18"/>
          <w:szCs w:val="18"/>
        </w:rPr>
        <w:t xml:space="preserve">   Liquidity-origin &amp; phase filters</w:t>
      </w:r>
    </w:p>
    <w:p w14:paraId="3E8A6AE7">
      <w:pPr>
        <w:spacing w:after="0" w:line="240" w:lineRule="auto"/>
      </w:pPr>
      <w:r>
        <w:rPr>
          <w:rFonts w:ascii="Courier New" w:hAnsi="Courier New" w:eastAsia="Courier New" w:cs="Courier New"/>
          <w:sz w:val="18"/>
          <w:szCs w:val="18"/>
        </w:rPr>
        <w:t xml:space="preserve">        │</w:t>
      </w:r>
    </w:p>
    <w:p w14:paraId="57E7E923">
      <w:pPr>
        <w:spacing w:after="0" w:line="240" w:lineRule="auto"/>
      </w:pPr>
      <w:r>
        <w:rPr>
          <w:rFonts w:ascii="Courier New" w:hAnsi="Courier New" w:eastAsia="Courier New" w:cs="Courier New"/>
          <w:sz w:val="18"/>
          <w:szCs w:val="18"/>
        </w:rPr>
        <w:t xml:space="preserve">   Array-quality &amp; confirmation filters</w:t>
      </w:r>
    </w:p>
    <w:p w14:paraId="50B62536">
      <w:pPr>
        <w:spacing w:after="0" w:line="240" w:lineRule="auto"/>
      </w:pPr>
      <w:r>
        <w:rPr>
          <w:rFonts w:ascii="Courier New" w:hAnsi="Courier New" w:eastAsia="Courier New" w:cs="Courier New"/>
          <w:sz w:val="18"/>
          <w:szCs w:val="18"/>
        </w:rPr>
        <w:t xml:space="preserve">        │</w:t>
      </w:r>
    </w:p>
    <w:p w14:paraId="1A3C6132">
      <w:pPr>
        <w:spacing w:after="0" w:line="240" w:lineRule="auto"/>
      </w:pPr>
      <w:r>
        <w:rPr>
          <w:rFonts w:ascii="Courier New" w:hAnsi="Courier New" w:eastAsia="Courier New" w:cs="Courier New"/>
          <w:sz w:val="18"/>
          <w:szCs w:val="18"/>
        </w:rPr>
        <w:t xml:space="preserve">   ONE primary model (+ optional support)</w:t>
      </w:r>
    </w:p>
    <w:p w14:paraId="51BE3765">
      <w:pPr>
        <w:spacing w:after="0" w:line="240" w:lineRule="auto"/>
      </w:pPr>
      <w:r>
        <w:rPr>
          <w:rFonts w:ascii="Courier New" w:hAnsi="Courier New" w:eastAsia="Courier New" w:cs="Courier New"/>
          <w:sz w:val="18"/>
          <w:szCs w:val="18"/>
        </w:rPr>
        <w:t xml:space="preserve">        │</w:t>
      </w:r>
    </w:p>
    <w:p w14:paraId="2D25547A">
      <w:pPr>
        <w:spacing w:after="0" w:line="240" w:lineRule="auto"/>
      </w:pPr>
      <w:r>
        <w:rPr>
          <w:rFonts w:ascii="Courier New" w:hAnsi="Courier New" w:eastAsia="Courier New" w:cs="Courier New"/>
          <w:sz w:val="18"/>
          <w:szCs w:val="18"/>
        </w:rPr>
        <w:t xml:space="preserve">   Defined invalidation &amp; stand-aside rules</w:t>
      </w:r>
    </w:p>
    <w:p w14:paraId="70F41D76">
      <w:pPr>
        <w:pStyle w:val="2"/>
        <w:spacing w:before="360" w:after="240"/>
      </w:pPr>
      <w:r>
        <w:rPr>
          <w:rFonts w:ascii="Arial" w:hAnsi="Arial" w:eastAsia="Arial" w:cs="Arial"/>
          <w:b/>
          <w:bCs/>
          <w:sz w:val="32"/>
          <w:szCs w:val="32"/>
        </w:rPr>
        <w:t>8. Common Misinterpretations</w:t>
      </w:r>
    </w:p>
    <w:p w14:paraId="491CD0BA">
      <w:pPr>
        <w:pStyle w:val="16"/>
        <w:numPr>
          <w:ilvl w:val="0"/>
          <w:numId w:val="1"/>
        </w:numPr>
        <w:spacing w:after="120" w:line="276" w:lineRule="auto"/>
      </w:pPr>
      <w:r>
        <w:rPr>
          <w:rFonts w:ascii="Arial" w:hAnsi="Arial" w:eastAsia="Arial" w:cs="Arial"/>
          <w:sz w:val="22"/>
          <w:szCs w:val="22"/>
        </w:rPr>
        <w:t>Trying to trade every model family every day.</w:t>
      </w:r>
    </w:p>
    <w:p w14:paraId="056D6B91">
      <w:pPr>
        <w:pStyle w:val="16"/>
        <w:numPr>
          <w:ilvl w:val="0"/>
          <w:numId w:val="1"/>
        </w:numPr>
        <w:spacing w:after="120" w:line="276" w:lineRule="auto"/>
      </w:pPr>
      <w:r>
        <w:rPr>
          <w:rFonts w:ascii="Arial" w:hAnsi="Arial" w:eastAsia="Arial" w:cs="Arial"/>
          <w:sz w:val="22"/>
          <w:szCs w:val="22"/>
        </w:rPr>
        <w:t>Choosing a model because it is a personal favourite rather than because the narrative selects it.</w:t>
      </w:r>
    </w:p>
    <w:p w14:paraId="1204D3BD">
      <w:pPr>
        <w:pStyle w:val="16"/>
        <w:numPr>
          <w:ilvl w:val="0"/>
          <w:numId w:val="1"/>
        </w:numPr>
        <w:spacing w:after="120" w:line="276" w:lineRule="auto"/>
      </w:pPr>
      <w:r>
        <w:rPr>
          <w:rFonts w:ascii="Arial" w:hAnsi="Arial" w:eastAsia="Arial" w:cs="Arial"/>
          <w:sz w:val="22"/>
          <w:szCs w:val="22"/>
        </w:rPr>
        <w:t>Switching models mid-leg without a narrative invalidation.</w:t>
      </w:r>
    </w:p>
    <w:p w14:paraId="0F207169">
      <w:pPr>
        <w:pStyle w:val="16"/>
        <w:numPr>
          <w:ilvl w:val="0"/>
          <w:numId w:val="1"/>
        </w:numPr>
        <w:spacing w:after="120" w:line="276" w:lineRule="auto"/>
      </w:pPr>
      <w:r>
        <w:rPr>
          <w:rFonts w:ascii="Arial" w:hAnsi="Arial" w:eastAsia="Arial" w:cs="Arial"/>
          <w:sz w:val="22"/>
          <w:szCs w:val="22"/>
        </w:rPr>
        <w:t>Treating SMT or session timing as a complete model that does not need a PD-array entry.</w:t>
      </w:r>
    </w:p>
    <w:p w14:paraId="7DA5794E">
      <w:pPr>
        <w:pStyle w:val="16"/>
        <w:numPr>
          <w:ilvl w:val="0"/>
          <w:numId w:val="1"/>
        </w:numPr>
        <w:spacing w:after="120" w:line="276" w:lineRule="auto"/>
      </w:pPr>
      <w:r>
        <w:rPr>
          <w:rFonts w:ascii="Arial" w:hAnsi="Arial" w:eastAsia="Arial" w:cs="Arial"/>
          <w:sz w:val="22"/>
          <w:szCs w:val="22"/>
        </w:rPr>
        <w:t>Authorising a model that fails the premium/discount or bias filter because “the chart looks good.”</w:t>
      </w:r>
    </w:p>
    <w:p w14:paraId="101C39A1">
      <w:pPr>
        <w:pStyle w:val="16"/>
        <w:numPr>
          <w:ilvl w:val="0"/>
          <w:numId w:val="1"/>
        </w:numPr>
        <w:spacing w:after="120" w:line="276" w:lineRule="auto"/>
      </w:pPr>
      <w:r>
        <w:rPr>
          <w:rFonts w:ascii="Arial" w:hAnsi="Arial" w:eastAsia="Arial" w:cs="Arial"/>
          <w:sz w:val="22"/>
          <w:szCs w:val="22"/>
        </w:rPr>
        <w:t>Failing to stand aside when the selection procedure produces an empty shortlist.</w:t>
      </w:r>
    </w:p>
    <w:p w14:paraId="7100DFE7">
      <w:pPr>
        <w:pStyle w:val="2"/>
        <w:spacing w:before="360" w:after="240"/>
      </w:pPr>
      <w:r>
        <w:rPr>
          <w:rFonts w:ascii="Arial" w:hAnsi="Arial" w:eastAsia="Arial" w:cs="Arial"/>
          <w:b/>
          <w:bCs/>
          <w:sz w:val="32"/>
          <w:szCs w:val="32"/>
        </w:rPr>
        <w:t>9. Evidence Summary</w:t>
      </w:r>
    </w:p>
    <w:p w14:paraId="0D56FCB8">
      <w:pPr>
        <w:spacing w:after="200" w:line="276" w:lineRule="auto"/>
      </w:pPr>
      <w:r>
        <w:rPr>
          <w:rFonts w:ascii="Arial" w:hAnsi="Arial" w:eastAsia="Arial" w:cs="Arial"/>
          <w:sz w:val="22"/>
          <w:szCs w:val="22"/>
        </w:rPr>
        <w:t>Every individual element (liquidity sweep, MSS, FVG, Order Block, Breaker, OTE, PO3, session behaviour, SMT) is grounded in ICT teaching. The comparative decision procedure that selects one primary model per context is the advanced synthesis required to move from pattern recognition to narrative-driven execution. Community systems that prescribe fixed model sequences without reference to the living narrative are secondary.</w:t>
      </w:r>
    </w:p>
    <w:p w14:paraId="2B3248FE">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Primary orientation: ICT elements as taught across mentorship and chart examples. The selection funnel and pre-session procedure are the advanced operational framework that keeps those elements under narrative control.</w:t>
      </w:r>
    </w:p>
    <w:p w14:paraId="0D38CA9B">
      <w:pPr>
        <w:pStyle w:val="2"/>
        <w:spacing w:before="360" w:after="240"/>
      </w:pPr>
      <w:r>
        <w:rPr>
          <w:rFonts w:ascii="Arial" w:hAnsi="Arial" w:eastAsia="Arial" w:cs="Arial"/>
          <w:b/>
          <w:bCs/>
          <w:sz w:val="32"/>
          <w:szCs w:val="32"/>
        </w:rPr>
        <w:t>What You Should Now Be Able to Do</w:t>
      </w:r>
    </w:p>
    <w:p w14:paraId="05A9CEFF">
      <w:pPr>
        <w:pStyle w:val="16"/>
        <w:numPr>
          <w:ilvl w:val="0"/>
          <w:numId w:val="1"/>
        </w:numPr>
        <w:spacing w:after="120" w:line="276" w:lineRule="auto"/>
      </w:pPr>
      <w:r>
        <w:rPr>
          <w:rFonts w:ascii="Arial" w:hAnsi="Arial" w:eastAsia="Arial" w:cs="Arial"/>
          <w:sz w:val="22"/>
          <w:szCs w:val="22"/>
        </w:rPr>
        <w:t>Run the full selection procedure before the primary session and produce a shortlist of one (or zero) primary models.</w:t>
      </w:r>
    </w:p>
    <w:p w14:paraId="22206279">
      <w:pPr>
        <w:pStyle w:val="16"/>
        <w:numPr>
          <w:ilvl w:val="0"/>
          <w:numId w:val="1"/>
        </w:numPr>
        <w:spacing w:after="120" w:line="276" w:lineRule="auto"/>
      </w:pPr>
      <w:r>
        <w:rPr>
          <w:rFonts w:ascii="Arial" w:hAnsi="Arial" w:eastAsia="Arial" w:cs="Arial"/>
          <w:sz w:val="22"/>
          <w:szCs w:val="22"/>
        </w:rPr>
        <w:t>State why each rejected family failed a specific filter.</w:t>
      </w:r>
    </w:p>
    <w:p w14:paraId="1D11D397">
      <w:pPr>
        <w:pStyle w:val="16"/>
        <w:numPr>
          <w:ilvl w:val="0"/>
          <w:numId w:val="1"/>
        </w:numPr>
        <w:spacing w:after="120" w:line="276" w:lineRule="auto"/>
      </w:pPr>
      <w:r>
        <w:rPr>
          <w:rFonts w:ascii="Arial" w:hAnsi="Arial" w:eastAsia="Arial" w:cs="Arial"/>
          <w:sz w:val="22"/>
          <w:szCs w:val="22"/>
        </w:rPr>
        <w:t>Execute only the authorised model and stand aside when the live sequence does not match.</w:t>
      </w:r>
    </w:p>
    <w:p w14:paraId="6E11A6EE">
      <w:pPr>
        <w:pStyle w:val="16"/>
        <w:numPr>
          <w:ilvl w:val="0"/>
          <w:numId w:val="1"/>
        </w:numPr>
        <w:spacing w:after="120" w:line="276" w:lineRule="auto"/>
      </w:pPr>
      <w:r>
        <w:rPr>
          <w:rFonts w:ascii="Arial" w:hAnsi="Arial" w:eastAsia="Arial" w:cs="Arial"/>
          <w:sz w:val="22"/>
          <w:szCs w:val="22"/>
        </w:rPr>
        <w:t>Update or retire the selected model the moment narrative invalidation prints.</w:t>
      </w:r>
    </w:p>
    <w:p w14:paraId="0F2A76FF">
      <w:pPr>
        <w:pStyle w:val="16"/>
        <w:numPr>
          <w:ilvl w:val="0"/>
          <w:numId w:val="1"/>
        </w:numPr>
        <w:spacing w:after="120" w:line="276" w:lineRule="auto"/>
      </w:pPr>
      <w:r>
        <w:rPr>
          <w:rFonts w:ascii="Arial" w:hAnsi="Arial" w:eastAsia="Arial" w:cs="Arial"/>
          <w:sz w:val="22"/>
          <w:szCs w:val="22"/>
        </w:rPr>
        <w:t>Avoid model-hopping and conflicting simultaneous models.</w:t>
      </w:r>
    </w:p>
    <w:p w14:paraId="1AA4F828">
      <w:pPr>
        <w:pStyle w:val="16"/>
        <w:numPr>
          <w:ilvl w:val="0"/>
          <w:numId w:val="1"/>
        </w:numPr>
        <w:spacing w:after="120" w:line="276" w:lineRule="auto"/>
      </w:pPr>
      <w:r>
        <w:rPr>
          <w:rFonts w:ascii="Arial" w:hAnsi="Arial" w:eastAsia="Arial" w:cs="Arial"/>
          <w:sz w:val="22"/>
          <w:szCs w:val="22"/>
        </w:rPr>
        <w:t>Treat “no model authorised” as a valid and frequent outcome.</w:t>
      </w:r>
    </w:p>
    <w:p w14:paraId="21D37AC0">
      <w:pPr>
        <w:pStyle w:val="2"/>
        <w:spacing w:before="360" w:after="240"/>
      </w:pPr>
      <w:r>
        <w:rPr>
          <w:rFonts w:ascii="Arial" w:hAnsi="Arial" w:eastAsia="Arial" w:cs="Arial"/>
          <w:b/>
          <w:bCs/>
          <w:sz w:val="32"/>
          <w:szCs w:val="32"/>
        </w:rPr>
        <w:t>Module Review</w:t>
      </w:r>
    </w:p>
    <w:p w14:paraId="61D03865">
      <w:pPr>
        <w:pStyle w:val="3"/>
        <w:spacing w:before="280" w:after="180"/>
      </w:pPr>
      <w:r>
        <w:rPr>
          <w:rFonts w:ascii="Arial" w:hAnsi="Arial" w:eastAsia="Arial" w:cs="Arial"/>
          <w:b/>
          <w:bCs/>
          <w:sz w:val="26"/>
          <w:szCs w:val="26"/>
        </w:rPr>
        <w:t>Key Terms</w:t>
      </w:r>
    </w:p>
    <w:p w14:paraId="642118C4">
      <w:pPr>
        <w:pStyle w:val="16"/>
        <w:numPr>
          <w:ilvl w:val="0"/>
          <w:numId w:val="1"/>
        </w:numPr>
        <w:spacing w:after="120" w:line="276" w:lineRule="auto"/>
      </w:pPr>
      <w:r>
        <w:rPr>
          <w:rFonts w:ascii="Arial" w:hAnsi="Arial" w:eastAsia="Arial" w:cs="Arial"/>
          <w:sz w:val="22"/>
          <w:szCs w:val="22"/>
        </w:rPr>
        <w:t>Model family — a category of ICT entry logic defined by its primary emphasis (liquidity, MSS, FVG, OB, Breaker, OTE, PO3, session, SMT-assisted).</w:t>
      </w:r>
    </w:p>
    <w:p w14:paraId="1120DB2D">
      <w:pPr>
        <w:pStyle w:val="16"/>
        <w:numPr>
          <w:ilvl w:val="0"/>
          <w:numId w:val="1"/>
        </w:numPr>
        <w:spacing w:after="120" w:line="276" w:lineRule="auto"/>
      </w:pPr>
      <w:r>
        <w:rPr>
          <w:rFonts w:ascii="Arial" w:hAnsi="Arial" w:eastAsia="Arial" w:cs="Arial"/>
          <w:sz w:val="22"/>
          <w:szCs w:val="22"/>
        </w:rPr>
        <w:t>Selection principle — context (narrative + bias) first; model second.</w:t>
      </w:r>
    </w:p>
    <w:p w14:paraId="73174612">
      <w:pPr>
        <w:pStyle w:val="16"/>
        <w:numPr>
          <w:ilvl w:val="0"/>
          <w:numId w:val="1"/>
        </w:numPr>
        <w:spacing w:after="120" w:line="276" w:lineRule="auto"/>
      </w:pPr>
      <w:r>
        <w:rPr>
          <w:rFonts w:ascii="Arial" w:hAnsi="Arial" w:eastAsia="Arial" w:cs="Arial"/>
          <w:sz w:val="22"/>
          <w:szCs w:val="22"/>
        </w:rPr>
        <w:t>Decision filters — ordered tests that eliminate ineligible families.</w:t>
      </w:r>
    </w:p>
    <w:p w14:paraId="70B1279A">
      <w:pPr>
        <w:pStyle w:val="16"/>
        <w:numPr>
          <w:ilvl w:val="0"/>
          <w:numId w:val="1"/>
        </w:numPr>
        <w:spacing w:after="120" w:line="276" w:lineRule="auto"/>
      </w:pPr>
      <w:r>
        <w:rPr>
          <w:rFonts w:ascii="Arial" w:hAnsi="Arial" w:eastAsia="Arial" w:cs="Arial"/>
          <w:sz w:val="22"/>
          <w:szCs w:val="22"/>
        </w:rPr>
        <w:t>Primary model — the single authorised expression of the delivery leg.</w:t>
      </w:r>
    </w:p>
    <w:p w14:paraId="53BE4614">
      <w:pPr>
        <w:pStyle w:val="16"/>
        <w:numPr>
          <w:ilvl w:val="0"/>
          <w:numId w:val="1"/>
        </w:numPr>
        <w:spacing w:after="120" w:line="276" w:lineRule="auto"/>
      </w:pPr>
      <w:r>
        <w:rPr>
          <w:rFonts w:ascii="Arial" w:hAnsi="Arial" w:eastAsia="Arial" w:cs="Arial"/>
          <w:sz w:val="22"/>
          <w:szCs w:val="22"/>
        </w:rPr>
        <w:t>Supporting confirmation — secondary element (e.g. SMT) that raises quality but does not generate a separate trade.</w:t>
      </w:r>
    </w:p>
    <w:p w14:paraId="2A91887F">
      <w:pPr>
        <w:pStyle w:val="16"/>
        <w:numPr>
          <w:ilvl w:val="0"/>
          <w:numId w:val="1"/>
        </w:numPr>
        <w:spacing w:after="120" w:line="276" w:lineRule="auto"/>
      </w:pPr>
      <w:r>
        <w:rPr>
          <w:rFonts w:ascii="Arial" w:hAnsi="Arial" w:eastAsia="Arial" w:cs="Arial"/>
          <w:sz w:val="22"/>
          <w:szCs w:val="22"/>
        </w:rPr>
        <w:t>Stand-aside — the correct action when the filter process leaves no authorised model.</w:t>
      </w:r>
    </w:p>
    <w:p w14:paraId="5B0FD36B">
      <w:pPr>
        <w:pStyle w:val="3"/>
        <w:spacing w:before="280" w:after="180"/>
      </w:pPr>
      <w:r>
        <w:rPr>
          <w:rFonts w:ascii="Arial" w:hAnsi="Arial" w:eastAsia="Arial" w:cs="Arial"/>
          <w:b/>
          <w:bCs/>
          <w:sz w:val="26"/>
          <w:szCs w:val="26"/>
        </w:rPr>
        <w:t>Self-Test</w:t>
      </w:r>
    </w:p>
    <w:p w14:paraId="4443350C">
      <w:pPr>
        <w:pStyle w:val="16"/>
        <w:numPr>
          <w:ilvl w:val="0"/>
          <w:numId w:val="2"/>
        </w:numPr>
        <w:spacing w:after="120" w:line="276" w:lineRule="auto"/>
      </w:pPr>
      <w:r>
        <w:rPr>
          <w:rFonts w:ascii="Arial" w:hAnsi="Arial" w:eastAsia="Arial" w:cs="Arial"/>
          <w:sz w:val="22"/>
          <w:szCs w:val="22"/>
        </w:rPr>
        <w:t>What is the correct order of operations in model selection?</w:t>
      </w:r>
    </w:p>
    <w:p w14:paraId="1A2B2ABA">
      <w:pPr>
        <w:pStyle w:val="16"/>
        <w:numPr>
          <w:ilvl w:val="0"/>
          <w:numId w:val="2"/>
        </w:numPr>
        <w:spacing w:after="120" w:line="276" w:lineRule="auto"/>
      </w:pPr>
      <w:r>
        <w:rPr>
          <w:rFonts w:ascii="Arial" w:hAnsi="Arial" w:eastAsia="Arial" w:cs="Arial"/>
          <w:sz w:val="22"/>
          <w:szCs w:val="22"/>
        </w:rPr>
        <w:t>Name the seven decision filters.</w:t>
      </w:r>
    </w:p>
    <w:p w14:paraId="68948DC5">
      <w:pPr>
        <w:pStyle w:val="16"/>
        <w:numPr>
          <w:ilvl w:val="0"/>
          <w:numId w:val="2"/>
        </w:numPr>
        <w:spacing w:after="120" w:line="276" w:lineRule="auto"/>
      </w:pPr>
      <w:r>
        <w:rPr>
          <w:rFonts w:ascii="Arial" w:hAnsi="Arial" w:eastAsia="Arial" w:cs="Arial"/>
          <w:sz w:val="22"/>
          <w:szCs w:val="22"/>
        </w:rPr>
        <w:t>When is the Breaker family preferred over the FVG family?</w:t>
      </w:r>
    </w:p>
    <w:p w14:paraId="42ED9B62">
      <w:pPr>
        <w:pStyle w:val="16"/>
        <w:numPr>
          <w:ilvl w:val="0"/>
          <w:numId w:val="2"/>
        </w:numPr>
        <w:spacing w:after="120" w:line="276" w:lineRule="auto"/>
      </w:pPr>
      <w:r>
        <w:rPr>
          <w:rFonts w:ascii="Arial" w:hAnsi="Arial" w:eastAsia="Arial" w:cs="Arial"/>
          <w:sz w:val="22"/>
          <w:szCs w:val="22"/>
        </w:rPr>
        <w:t>What is the authorised action when bias is unclear?</w:t>
      </w:r>
    </w:p>
    <w:p w14:paraId="72B33EA3">
      <w:pPr>
        <w:pStyle w:val="16"/>
        <w:numPr>
          <w:ilvl w:val="0"/>
          <w:numId w:val="2"/>
        </w:numPr>
        <w:spacing w:after="120" w:line="276" w:lineRule="auto"/>
      </w:pPr>
      <w:r>
        <w:rPr>
          <w:rFonts w:ascii="Arial" w:hAnsi="Arial" w:eastAsia="Arial" w:cs="Arial"/>
          <w:sz w:val="22"/>
          <w:szCs w:val="22"/>
        </w:rPr>
        <w:t>Why must SMT remain a supporting layer rather than a primary model?</w:t>
      </w:r>
    </w:p>
    <w:p w14:paraId="1BABD833">
      <w:pPr>
        <w:pStyle w:val="3"/>
        <w:spacing w:before="280" w:after="180"/>
      </w:pPr>
      <w:r>
        <w:rPr>
          <w:rFonts w:ascii="Arial" w:hAnsi="Arial" w:eastAsia="Arial" w:cs="Arial"/>
          <w:b/>
          <w:bCs/>
          <w:sz w:val="26"/>
          <w:szCs w:val="26"/>
        </w:rPr>
        <w:t>Transition to Module 16</w:t>
      </w:r>
    </w:p>
    <w:p w14:paraId="479FC907">
      <w:pPr>
        <w:spacing w:after="200" w:line="276" w:lineRule="auto"/>
      </w:pPr>
      <w:r>
        <w:rPr>
          <w:rFonts w:ascii="Arial" w:hAnsi="Arial" w:eastAsia="Arial" w:cs="Arial"/>
          <w:sz w:val="22"/>
          <w:szCs w:val="22"/>
        </w:rPr>
        <w:t>Module 15 has trained the selection of the appropriate model. Module 16 (Precision Execution) will address the final refinement of entry, invalidation, target selection and trade management once the model has been authorised and the live sequence is unfolding.</w:t>
      </w:r>
    </w:p>
    <w:p w14:paraId="5D30032B">
      <w:pPr>
        <w:spacing w:after="200" w:line="276" w:lineRule="auto"/>
        <w:rPr>
          <w:rFonts w:ascii="Arial" w:hAnsi="Arial" w:eastAsia="Arial" w:cs="Arial"/>
          <w:sz w:val="22"/>
          <w:szCs w:val="22"/>
        </w:rPr>
      </w:pPr>
    </w:p>
    <w:p w14:paraId="5E6A3726">
      <w:pPr>
        <w:spacing w:after="200" w:line="276" w:lineRule="auto"/>
        <w:rPr>
          <w:rFonts w:ascii="Arial" w:hAnsi="Arial" w:eastAsia="Arial" w:cs="Arial"/>
          <w:sz w:val="22"/>
          <w:szCs w:val="22"/>
        </w:rPr>
      </w:pPr>
    </w:p>
    <w:p w14:paraId="7FF37801">
      <w:pPr>
        <w:spacing w:after="200" w:line="276" w:lineRule="auto"/>
        <w:rPr>
          <w:rFonts w:ascii="Arial" w:hAnsi="Arial" w:eastAsia="Arial" w:cs="Arial"/>
          <w:sz w:val="22"/>
          <w:szCs w:val="22"/>
        </w:rPr>
      </w:pPr>
    </w:p>
    <w:p w14:paraId="28280B28">
      <w:pPr>
        <w:spacing w:after="200" w:line="276" w:lineRule="auto"/>
        <w:rPr>
          <w:rFonts w:ascii="Arial" w:hAnsi="Arial" w:eastAsia="Arial" w:cs="Arial"/>
          <w:sz w:val="22"/>
          <w:szCs w:val="22"/>
        </w:rPr>
      </w:pPr>
    </w:p>
    <w:p w14:paraId="1FE2E80B">
      <w:pPr>
        <w:spacing w:after="200" w:line="276" w:lineRule="auto"/>
        <w:rPr>
          <w:rFonts w:ascii="Arial" w:hAnsi="Arial" w:eastAsia="Arial" w:cs="Arial"/>
          <w:sz w:val="22"/>
          <w:szCs w:val="22"/>
        </w:rPr>
      </w:pPr>
    </w:p>
    <w:p w14:paraId="3C0490FA">
      <w:pPr>
        <w:spacing w:after="200" w:line="276" w:lineRule="auto"/>
        <w:rPr>
          <w:rFonts w:ascii="Arial" w:hAnsi="Arial" w:eastAsia="Arial" w:cs="Arial"/>
          <w:sz w:val="22"/>
          <w:szCs w:val="22"/>
        </w:rPr>
      </w:pPr>
    </w:p>
    <w:p w14:paraId="26C06EDF">
      <w:pPr>
        <w:spacing w:after="200" w:line="276" w:lineRule="auto"/>
        <w:rPr>
          <w:rFonts w:ascii="Arial" w:hAnsi="Arial" w:eastAsia="Arial" w:cs="Arial"/>
          <w:sz w:val="22"/>
          <w:szCs w:val="22"/>
        </w:rPr>
      </w:pPr>
    </w:p>
    <w:p w14:paraId="7B46E058">
      <w:pPr>
        <w:spacing w:after="200" w:line="276" w:lineRule="auto"/>
        <w:rPr>
          <w:rFonts w:ascii="Arial" w:hAnsi="Arial" w:eastAsia="Arial" w:cs="Arial"/>
          <w:sz w:val="22"/>
          <w:szCs w:val="22"/>
        </w:rPr>
      </w:pPr>
    </w:p>
    <w:p w14:paraId="2B411592">
      <w:pPr>
        <w:spacing w:after="200" w:line="276" w:lineRule="auto"/>
        <w:rPr>
          <w:rFonts w:ascii="Arial" w:hAnsi="Arial" w:eastAsia="Arial" w:cs="Arial"/>
          <w:sz w:val="22"/>
          <w:szCs w:val="22"/>
        </w:rPr>
      </w:pPr>
    </w:p>
    <w:p w14:paraId="614B4BD1">
      <w:pPr>
        <w:spacing w:after="200" w:line="276" w:lineRule="auto"/>
        <w:rPr>
          <w:rFonts w:ascii="Arial" w:hAnsi="Arial" w:eastAsia="Arial" w:cs="Arial"/>
          <w:sz w:val="22"/>
          <w:szCs w:val="22"/>
        </w:rPr>
      </w:pPr>
    </w:p>
    <w:p w14:paraId="57138BC7">
      <w:pPr>
        <w:spacing w:after="200" w:line="276" w:lineRule="auto"/>
        <w:rPr>
          <w:rFonts w:ascii="Arial" w:hAnsi="Arial" w:eastAsia="Arial" w:cs="Arial"/>
          <w:sz w:val="22"/>
          <w:szCs w:val="22"/>
        </w:rPr>
      </w:pPr>
    </w:p>
    <w:p w14:paraId="66840413">
      <w:pPr>
        <w:spacing w:after="200" w:line="276" w:lineRule="auto"/>
        <w:rPr>
          <w:rFonts w:ascii="Arial" w:hAnsi="Arial" w:eastAsia="Arial" w:cs="Arial"/>
          <w:sz w:val="22"/>
          <w:szCs w:val="22"/>
        </w:rPr>
      </w:pPr>
    </w:p>
    <w:p w14:paraId="7C56FBF0">
      <w:pPr>
        <w:spacing w:after="200" w:line="276" w:lineRule="auto"/>
        <w:rPr>
          <w:rFonts w:ascii="Arial" w:hAnsi="Arial" w:eastAsia="Arial" w:cs="Arial"/>
          <w:sz w:val="22"/>
          <w:szCs w:val="22"/>
        </w:rPr>
      </w:pPr>
    </w:p>
    <w:p w14:paraId="236A7892">
      <w:pPr>
        <w:spacing w:after="200" w:line="276" w:lineRule="auto"/>
        <w:rPr>
          <w:rFonts w:ascii="Arial" w:hAnsi="Arial" w:eastAsia="Arial" w:cs="Arial"/>
          <w:sz w:val="22"/>
          <w:szCs w:val="22"/>
        </w:rPr>
      </w:pPr>
    </w:p>
    <w:p w14:paraId="3ED68459">
      <w:pPr>
        <w:spacing w:after="200" w:line="276" w:lineRule="auto"/>
        <w:rPr>
          <w:rFonts w:ascii="Arial" w:hAnsi="Arial" w:eastAsia="Arial" w:cs="Arial"/>
          <w:sz w:val="22"/>
          <w:szCs w:val="22"/>
        </w:rPr>
      </w:pPr>
    </w:p>
    <w:p w14:paraId="2B629DED">
      <w:pPr>
        <w:spacing w:after="200" w:line="276" w:lineRule="auto"/>
        <w:rPr>
          <w:rFonts w:ascii="Arial" w:hAnsi="Arial" w:eastAsia="Arial" w:cs="Arial"/>
          <w:sz w:val="22"/>
          <w:szCs w:val="22"/>
        </w:rPr>
      </w:pPr>
    </w:p>
    <w:p w14:paraId="41A5627A">
      <w:pPr>
        <w:spacing w:after="200" w:line="276" w:lineRule="auto"/>
        <w:rPr>
          <w:rFonts w:ascii="Arial" w:hAnsi="Arial" w:eastAsia="Arial" w:cs="Arial"/>
          <w:sz w:val="22"/>
          <w:szCs w:val="22"/>
        </w:rPr>
      </w:pPr>
    </w:p>
    <w:p w14:paraId="5E7C8E20">
      <w:pPr>
        <w:spacing w:after="400"/>
        <w:jc w:val="center"/>
      </w:pPr>
      <w:r>
        <w:rPr>
          <w:rFonts w:ascii="Arial" w:hAnsi="Arial" w:eastAsia="Arial" w:cs="Arial"/>
          <w:b/>
          <w:bCs/>
          <w:sz w:val="36"/>
          <w:szCs w:val="36"/>
        </w:rPr>
        <w:t>MODULE 16</w:t>
      </w:r>
    </w:p>
    <w:p w14:paraId="503C79EA">
      <w:pPr>
        <w:spacing w:after="200"/>
        <w:jc w:val="center"/>
      </w:pPr>
      <w:r>
        <w:rPr>
          <w:rFonts w:ascii="Arial" w:hAnsi="Arial" w:eastAsia="Arial" w:cs="Arial"/>
          <w:b/>
          <w:bCs/>
          <w:sz w:val="28"/>
          <w:szCs w:val="28"/>
        </w:rPr>
        <w:t>Precision Execution</w:t>
      </w:r>
    </w:p>
    <w:p w14:paraId="340C58D2">
      <w:pPr>
        <w:spacing w:after="400"/>
        <w:jc w:val="center"/>
      </w:pPr>
      <w:r>
        <w:rPr>
          <w:rFonts w:ascii="Arial" w:hAnsi="Arial" w:eastAsia="Arial" w:cs="Arial"/>
          <w:i/>
          <w:iCs/>
          <w:sz w:val="20"/>
          <w:szCs w:val="20"/>
        </w:rPr>
        <w:t>HTF Location, LTF Confirmation, Entry &amp; Invalidation Refinement, Target Selection, Partial Exits, Trade Management, Avoiding Premature Entry</w:t>
      </w:r>
    </w:p>
    <w:p w14:paraId="41E66E5D">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Modules 1–15. The model has been selected. This module addresses the final refinement of entry, stop, targets and management so that execution expresses the narrative with precision rather than approximation.</w:t>
      </w:r>
    </w:p>
    <w:p w14:paraId="63E36F11">
      <w:pPr>
        <w:pStyle w:val="2"/>
        <w:spacing w:before="360" w:after="240"/>
      </w:pPr>
      <w:r>
        <w:rPr>
          <w:rFonts w:ascii="Arial" w:hAnsi="Arial" w:eastAsia="Arial" w:cs="Arial"/>
          <w:b/>
          <w:bCs/>
          <w:sz w:val="32"/>
          <w:szCs w:val="32"/>
        </w:rPr>
        <w:t>Module Objectives</w:t>
      </w:r>
    </w:p>
    <w:p w14:paraId="10513AEE">
      <w:pPr>
        <w:spacing w:after="200" w:line="276" w:lineRule="auto"/>
      </w:pPr>
      <w:r>
        <w:rPr>
          <w:rFonts w:ascii="Arial" w:hAnsi="Arial" w:eastAsia="Arial" w:cs="Arial"/>
          <w:sz w:val="22"/>
          <w:szCs w:val="22"/>
        </w:rPr>
        <w:t>By the end of this module the advanced student should be able to:</w:t>
      </w:r>
    </w:p>
    <w:p w14:paraId="4B5B1C22">
      <w:pPr>
        <w:pStyle w:val="16"/>
        <w:numPr>
          <w:ilvl w:val="0"/>
          <w:numId w:val="1"/>
        </w:numPr>
        <w:spacing w:after="120" w:line="276" w:lineRule="auto"/>
      </w:pPr>
      <w:r>
        <w:rPr>
          <w:rFonts w:ascii="Arial" w:hAnsi="Arial" w:eastAsia="Arial" w:cs="Arial"/>
          <w:sz w:val="22"/>
          <w:szCs w:val="22"/>
        </w:rPr>
        <w:t>Confirm HTF location (premium/discount of controlling ranges) immediately before entry.</w:t>
      </w:r>
    </w:p>
    <w:p w14:paraId="24F82C76">
      <w:pPr>
        <w:pStyle w:val="16"/>
        <w:numPr>
          <w:ilvl w:val="0"/>
          <w:numId w:val="1"/>
        </w:numPr>
        <w:spacing w:after="120" w:line="276" w:lineRule="auto"/>
      </w:pPr>
      <w:r>
        <w:rPr>
          <w:rFonts w:ascii="Arial" w:hAnsi="Arial" w:eastAsia="Arial" w:cs="Arial"/>
          <w:sz w:val="22"/>
          <w:szCs w:val="22"/>
        </w:rPr>
        <w:t>Require and recognise LTF confirmation (liquidity event, displacement, MSS) before committing.</w:t>
      </w:r>
    </w:p>
    <w:p w14:paraId="3B8AC3E2">
      <w:pPr>
        <w:pStyle w:val="16"/>
        <w:numPr>
          <w:ilvl w:val="0"/>
          <w:numId w:val="1"/>
        </w:numPr>
        <w:spacing w:after="120" w:line="276" w:lineRule="auto"/>
      </w:pPr>
      <w:r>
        <w:rPr>
          <w:rFonts w:ascii="Arial" w:hAnsi="Arial" w:eastAsia="Arial" w:cs="Arial"/>
          <w:sz w:val="22"/>
          <w:szCs w:val="22"/>
        </w:rPr>
        <w:t>Refine entry using the most precise valid PD array (FVG, CE, OB, Breaker, OTE) available.</w:t>
      </w:r>
    </w:p>
    <w:p w14:paraId="3857CE4E">
      <w:pPr>
        <w:pStyle w:val="16"/>
        <w:numPr>
          <w:ilvl w:val="0"/>
          <w:numId w:val="1"/>
        </w:numPr>
        <w:spacing w:after="120" w:line="276" w:lineRule="auto"/>
      </w:pPr>
      <w:r>
        <w:rPr>
          <w:rFonts w:ascii="Arial" w:hAnsi="Arial" w:eastAsia="Arial" w:cs="Arial"/>
          <w:sz w:val="22"/>
          <w:szCs w:val="22"/>
        </w:rPr>
        <w:t>Define trade invalidation that is tight enough to protect capital and wide enough to avoid noise.</w:t>
      </w:r>
    </w:p>
    <w:p w14:paraId="7ED8B47A">
      <w:pPr>
        <w:pStyle w:val="16"/>
        <w:numPr>
          <w:ilvl w:val="0"/>
          <w:numId w:val="1"/>
        </w:numPr>
        <w:spacing w:after="120" w:line="276" w:lineRule="auto"/>
      </w:pPr>
      <w:r>
        <w:rPr>
          <w:rFonts w:ascii="Arial" w:hAnsi="Arial" w:eastAsia="Arial" w:cs="Arial"/>
          <w:sz w:val="22"/>
          <w:szCs w:val="22"/>
        </w:rPr>
        <w:t>Select intermediate and terminal targets from the liquidity hierarchy.</w:t>
      </w:r>
    </w:p>
    <w:p w14:paraId="65A84F94">
      <w:pPr>
        <w:pStyle w:val="16"/>
        <w:numPr>
          <w:ilvl w:val="0"/>
          <w:numId w:val="1"/>
        </w:numPr>
        <w:spacing w:after="120" w:line="276" w:lineRule="auto"/>
      </w:pPr>
      <w:r>
        <w:rPr>
          <w:rFonts w:ascii="Arial" w:hAnsi="Arial" w:eastAsia="Arial" w:cs="Arial"/>
          <w:sz w:val="22"/>
          <w:szCs w:val="22"/>
        </w:rPr>
        <w:t>Apply partial exits and trade management rules that do not contradict the narrative.</w:t>
      </w:r>
    </w:p>
    <w:p w14:paraId="4A158741">
      <w:pPr>
        <w:pStyle w:val="16"/>
        <w:numPr>
          <w:ilvl w:val="0"/>
          <w:numId w:val="1"/>
        </w:numPr>
        <w:spacing w:after="120" w:line="276" w:lineRule="auto"/>
      </w:pPr>
      <w:r>
        <w:rPr>
          <w:rFonts w:ascii="Arial" w:hAnsi="Arial" w:eastAsia="Arial" w:cs="Arial"/>
          <w:sz w:val="22"/>
          <w:szCs w:val="22"/>
        </w:rPr>
        <w:t>Avoid premature entry by enforcing the full conditioning sequence.</w:t>
      </w:r>
    </w:p>
    <w:p w14:paraId="60926E45">
      <w:pPr>
        <w:pStyle w:val="2"/>
        <w:spacing w:before="360" w:after="240"/>
      </w:pPr>
      <w:r>
        <w:rPr>
          <w:rFonts w:ascii="Arial" w:hAnsi="Arial" w:eastAsia="Arial" w:cs="Arial"/>
          <w:b/>
          <w:bCs/>
          <w:sz w:val="32"/>
          <w:szCs w:val="32"/>
        </w:rPr>
        <w:t>1. HTF Location — Final Check</w:t>
      </w:r>
    </w:p>
    <w:p w14:paraId="7D42D994">
      <w:pPr>
        <w:pStyle w:val="3"/>
        <w:spacing w:before="280" w:after="180"/>
      </w:pPr>
      <w:r>
        <w:rPr>
          <w:rFonts w:ascii="Arial" w:hAnsi="Arial" w:eastAsia="Arial" w:cs="Arial"/>
          <w:b/>
          <w:bCs/>
          <w:sz w:val="26"/>
          <w:szCs w:val="26"/>
        </w:rPr>
        <w:t>1.1 Controlling Range Recheck</w:t>
      </w:r>
    </w:p>
    <w:p w14:paraId="3C3F9A97">
      <w:pPr>
        <w:spacing w:after="200" w:line="276" w:lineRule="auto"/>
      </w:pPr>
      <w:r>
        <w:rPr>
          <w:rFonts w:ascii="Arial" w:hAnsi="Arial" w:eastAsia="Arial" w:cs="Arial"/>
          <w:sz w:val="22"/>
          <w:szCs w:val="22"/>
        </w:rPr>
        <w:t>Immediately before entry, reconfirm:</w:t>
      </w:r>
    </w:p>
    <w:p w14:paraId="6BA5A628">
      <w:pPr>
        <w:pStyle w:val="16"/>
        <w:numPr>
          <w:ilvl w:val="0"/>
          <w:numId w:val="1"/>
        </w:numPr>
        <w:spacing w:after="120" w:line="276" w:lineRule="auto"/>
      </w:pPr>
      <w:r>
        <w:rPr>
          <w:rFonts w:ascii="Arial" w:hAnsi="Arial" w:eastAsia="Arial" w:cs="Arial"/>
          <w:sz w:val="22"/>
          <w:szCs w:val="22"/>
        </w:rPr>
        <w:t>Which dealing range is controlling (weekly / daily).</w:t>
      </w:r>
    </w:p>
    <w:p w14:paraId="13EFC492">
      <w:pPr>
        <w:pStyle w:val="16"/>
        <w:numPr>
          <w:ilvl w:val="0"/>
          <w:numId w:val="1"/>
        </w:numPr>
        <w:spacing w:after="120" w:line="276" w:lineRule="auto"/>
      </w:pPr>
      <w:r>
        <w:rPr>
          <w:rFonts w:ascii="Arial" w:hAnsi="Arial" w:eastAsia="Arial" w:cs="Arial"/>
          <w:sz w:val="22"/>
          <w:szCs w:val="22"/>
        </w:rPr>
        <w:t>Whether price is still in the correct half of that range for the intended direction.</w:t>
      </w:r>
    </w:p>
    <w:p w14:paraId="4B7CDD0B">
      <w:pPr>
        <w:pStyle w:val="16"/>
        <w:numPr>
          <w:ilvl w:val="0"/>
          <w:numId w:val="1"/>
        </w:numPr>
        <w:spacing w:after="120" w:line="276" w:lineRule="auto"/>
      </w:pPr>
      <w:r>
        <w:rPr>
          <w:rFonts w:ascii="Arial" w:hAnsi="Arial" w:eastAsia="Arial" w:cs="Arial"/>
          <w:sz w:val="22"/>
          <w:szCs w:val="22"/>
        </w:rPr>
        <w:t>Whether any higher-timeframe invalidation has printed while the student was waiting for LTF confirmation.</w:t>
      </w:r>
    </w:p>
    <w:p w14:paraId="2F8684C4">
      <w:pPr>
        <w:pStyle w:val="3"/>
        <w:spacing w:before="280" w:after="180"/>
      </w:pPr>
      <w:r>
        <w:rPr>
          <w:rFonts w:ascii="Arial" w:hAnsi="Arial" w:eastAsia="Arial" w:cs="Arial"/>
          <w:b/>
          <w:bCs/>
          <w:sz w:val="26"/>
          <w:szCs w:val="26"/>
        </w:rPr>
        <w:t>1.2 Nested Location</w:t>
      </w:r>
    </w:p>
    <w:p w14:paraId="64DBC805">
      <w:pPr>
        <w:spacing w:after="200" w:line="276" w:lineRule="auto"/>
      </w:pPr>
      <w:r>
        <w:rPr>
          <w:rFonts w:ascii="Arial" w:hAnsi="Arial" w:eastAsia="Arial" w:cs="Arial"/>
          <w:sz w:val="22"/>
          <w:szCs w:val="22"/>
        </w:rPr>
        <w:t>Ideal entries occur when LTF, daily and weekly location filters agree (e.g., discount of all three for a long). When they conflict, the higher-timeframe filter retains priority; the student either waits for alignment or reduces size and tightens invalidation.</w:t>
      </w:r>
    </w:p>
    <w:p w14:paraId="00F5B4AC">
      <w:pPr>
        <w:pStyle w:val="2"/>
        <w:spacing w:before="360" w:after="240"/>
      </w:pPr>
      <w:r>
        <w:rPr>
          <w:rFonts w:ascii="Arial" w:hAnsi="Arial" w:eastAsia="Arial" w:cs="Arial"/>
          <w:b/>
          <w:bCs/>
          <w:sz w:val="32"/>
          <w:szCs w:val="32"/>
        </w:rPr>
        <w:t>2. LTF Confirmation — The Non-Negotiable Gate</w:t>
      </w:r>
    </w:p>
    <w:p w14:paraId="426839FE">
      <w:pPr>
        <w:pStyle w:val="3"/>
        <w:spacing w:before="280" w:after="180"/>
      </w:pPr>
      <w:r>
        <w:rPr>
          <w:rFonts w:ascii="Arial" w:hAnsi="Arial" w:eastAsia="Arial" w:cs="Arial"/>
          <w:b/>
          <w:bCs/>
          <w:sz w:val="26"/>
          <w:szCs w:val="26"/>
        </w:rPr>
        <w:t>2.1 Required Sequence</w:t>
      </w:r>
    </w:p>
    <w:p w14:paraId="28D722FF">
      <w:pPr>
        <w:spacing w:after="200" w:line="276" w:lineRule="auto"/>
      </w:pPr>
      <w:r>
        <w:rPr>
          <w:rFonts w:ascii="Arial" w:hAnsi="Arial" w:eastAsia="Arial" w:cs="Arial"/>
          <w:sz w:val="22"/>
          <w:szCs w:val="22"/>
        </w:rPr>
        <w:t>For most continuation models the LTF must still print:</w:t>
      </w:r>
    </w:p>
    <w:p w14:paraId="183F0E3B">
      <w:pPr>
        <w:pStyle w:val="16"/>
        <w:numPr>
          <w:ilvl w:val="0"/>
          <w:numId w:val="1"/>
        </w:numPr>
        <w:spacing w:after="120" w:line="276" w:lineRule="auto"/>
      </w:pPr>
      <w:r>
        <w:rPr>
          <w:rFonts w:ascii="Arial" w:hAnsi="Arial" w:eastAsia="Arial" w:cs="Arial"/>
          <w:sz w:val="22"/>
          <w:szCs w:val="22"/>
        </w:rPr>
        <w:t>The liquidity event named in the daily narrative (raid of the origin pool),</w:t>
      </w:r>
    </w:p>
    <w:p w14:paraId="05B4DA77">
      <w:pPr>
        <w:pStyle w:val="16"/>
        <w:numPr>
          <w:ilvl w:val="0"/>
          <w:numId w:val="1"/>
        </w:numPr>
        <w:spacing w:after="120" w:line="276" w:lineRule="auto"/>
      </w:pPr>
      <w:r>
        <w:rPr>
          <w:rFonts w:ascii="Arial" w:hAnsi="Arial" w:eastAsia="Arial" w:cs="Arial"/>
          <w:sz w:val="22"/>
          <w:szCs w:val="22"/>
        </w:rPr>
        <w:t>Displacement away from that pool,</w:t>
      </w:r>
    </w:p>
    <w:p w14:paraId="773D662F">
      <w:pPr>
        <w:pStyle w:val="16"/>
        <w:numPr>
          <w:ilvl w:val="0"/>
          <w:numId w:val="1"/>
        </w:numPr>
        <w:spacing w:after="120" w:line="276" w:lineRule="auto"/>
      </w:pPr>
      <w:r>
        <w:rPr>
          <w:rFonts w:ascii="Arial" w:hAnsi="Arial" w:eastAsia="Arial" w:cs="Arial"/>
          <w:sz w:val="22"/>
          <w:szCs w:val="22"/>
        </w:rPr>
        <w:t>An internal (or external) Market Structure Shift in the bias direction.</w:t>
      </w:r>
    </w:p>
    <w:p w14:paraId="48AA20DB">
      <w:pPr>
        <w:pStyle w:val="3"/>
        <w:spacing w:before="280" w:after="180"/>
      </w:pPr>
      <w:r>
        <w:rPr>
          <w:rFonts w:ascii="Arial" w:hAnsi="Arial" w:eastAsia="Arial" w:cs="Arial"/>
          <w:b/>
          <w:bCs/>
          <w:sz w:val="26"/>
          <w:szCs w:val="26"/>
        </w:rPr>
        <w:t>2.2 Premature Entry</w:t>
      </w:r>
    </w:p>
    <w:p w14:paraId="58695A8B">
      <w:pPr>
        <w:spacing w:after="200" w:line="276" w:lineRule="auto"/>
      </w:pPr>
      <w:r>
        <w:rPr>
          <w:rFonts w:ascii="Arial" w:hAnsi="Arial" w:eastAsia="Arial" w:cs="Arial"/>
          <w:sz w:val="22"/>
          <w:szCs w:val="22"/>
        </w:rPr>
        <w:t>Entering before the liquidity event or before displacement and MSS is the most common execution error. The array may look perfect; the narrative is not yet confirmed at the execution timeframe. Advanced discipline waits.</w:t>
      </w:r>
    </w:p>
    <w:p w14:paraId="6E1515E5">
      <w:pPr>
        <w:pStyle w:val="2"/>
        <w:spacing w:before="360" w:after="240"/>
      </w:pPr>
      <w:r>
        <w:rPr>
          <w:rFonts w:ascii="Arial" w:hAnsi="Arial" w:eastAsia="Arial" w:cs="Arial"/>
          <w:b/>
          <w:bCs/>
          <w:sz w:val="32"/>
          <w:szCs w:val="32"/>
        </w:rPr>
        <w:t>3. Entry Refinement</w:t>
      </w:r>
    </w:p>
    <w:p w14:paraId="59CF3E6F">
      <w:pPr>
        <w:pStyle w:val="3"/>
        <w:spacing w:before="280" w:after="180"/>
      </w:pPr>
      <w:r>
        <w:rPr>
          <w:rFonts w:ascii="Arial" w:hAnsi="Arial" w:eastAsia="Arial" w:cs="Arial"/>
          <w:b/>
          <w:bCs/>
          <w:sz w:val="26"/>
          <w:szCs w:val="26"/>
        </w:rPr>
        <w:t>3.1 Hierarchy of Precision</w:t>
      </w:r>
    </w:p>
    <w:p w14:paraId="4BAFF944">
      <w:pPr>
        <w:spacing w:after="200" w:line="276" w:lineRule="auto"/>
      </w:pPr>
      <w:r>
        <w:rPr>
          <w:rFonts w:ascii="Arial" w:hAnsi="Arial" w:eastAsia="Arial" w:cs="Arial"/>
          <w:sz w:val="22"/>
          <w:szCs w:val="22"/>
        </w:rPr>
        <w:t>Once the model family is authorised and LTF confirmation is present, refine the entry in this order of preference (all else equal):</w:t>
      </w:r>
    </w:p>
    <w:p w14:paraId="690D03D5">
      <w:pPr>
        <w:pStyle w:val="16"/>
        <w:numPr>
          <w:ilvl w:val="0"/>
          <w:numId w:val="2"/>
        </w:numPr>
        <w:spacing w:after="120" w:line="276" w:lineRule="auto"/>
      </w:pPr>
      <w:r>
        <w:rPr>
          <w:rFonts w:ascii="Arial" w:hAnsi="Arial" w:eastAsia="Arial" w:cs="Arial"/>
          <w:sz w:val="22"/>
          <w:szCs w:val="22"/>
        </w:rPr>
        <w:t>Consequent Encroachment of a high-quality FVG that sits inside a higher-timeframe array.</w:t>
      </w:r>
    </w:p>
    <w:p w14:paraId="0C07C1C9">
      <w:pPr>
        <w:pStyle w:val="16"/>
        <w:numPr>
          <w:ilvl w:val="0"/>
          <w:numId w:val="2"/>
        </w:numPr>
        <w:spacing w:after="120" w:line="276" w:lineRule="auto"/>
      </w:pPr>
      <w:r>
        <w:rPr>
          <w:rFonts w:ascii="Arial" w:hAnsi="Arial" w:eastAsia="Arial" w:cs="Arial"/>
          <w:sz w:val="22"/>
          <w:szCs w:val="22"/>
        </w:rPr>
        <w:t>Unmitigated FVG or Order Block in the correct half of the range.</w:t>
      </w:r>
    </w:p>
    <w:p w14:paraId="222C5AB2">
      <w:pPr>
        <w:pStyle w:val="16"/>
        <w:numPr>
          <w:ilvl w:val="0"/>
          <w:numId w:val="2"/>
        </w:numPr>
        <w:spacing w:after="120" w:line="276" w:lineRule="auto"/>
      </w:pPr>
      <w:r>
        <w:rPr>
          <w:rFonts w:ascii="Arial" w:hAnsi="Arial" w:eastAsia="Arial" w:cs="Arial"/>
          <w:sz w:val="22"/>
          <w:szCs w:val="22"/>
        </w:rPr>
        <w:t>OTE of the displacement leg when it overlaps a valid FVG or OB.</w:t>
      </w:r>
    </w:p>
    <w:p w14:paraId="046264A2">
      <w:pPr>
        <w:pStyle w:val="16"/>
        <w:numPr>
          <w:ilvl w:val="0"/>
          <w:numId w:val="2"/>
        </w:numPr>
        <w:spacing w:after="120" w:line="276" w:lineRule="auto"/>
      </w:pPr>
      <w:r>
        <w:rPr>
          <w:rFonts w:ascii="Arial" w:hAnsi="Arial" w:eastAsia="Arial" w:cs="Arial"/>
          <w:sz w:val="22"/>
          <w:szCs w:val="22"/>
        </w:rPr>
        <w:t>Breaker or IFVG that has been properly formed and demonstrated.</w:t>
      </w:r>
    </w:p>
    <w:p w14:paraId="40958C9E">
      <w:pPr>
        <w:pStyle w:val="16"/>
        <w:numPr>
          <w:ilvl w:val="0"/>
          <w:numId w:val="2"/>
        </w:numPr>
        <w:spacing w:after="120" w:line="276" w:lineRule="auto"/>
      </w:pPr>
      <w:r>
        <w:rPr>
          <w:rFonts w:ascii="Arial" w:hAnsi="Arial" w:eastAsia="Arial" w:cs="Arial"/>
          <w:sz w:val="22"/>
          <w:szCs w:val="22"/>
        </w:rPr>
        <w:t>A lower-timeframe array nested inside any of the above.</w:t>
      </w:r>
    </w:p>
    <w:p w14:paraId="20E9328E">
      <w:pPr>
        <w:pStyle w:val="3"/>
        <w:spacing w:before="280" w:after="180"/>
      </w:pPr>
      <w:r>
        <w:rPr>
          <w:rFonts w:ascii="Arial" w:hAnsi="Arial" w:eastAsia="Arial" w:cs="Arial"/>
          <w:b/>
          <w:bCs/>
          <w:sz w:val="26"/>
          <w:szCs w:val="26"/>
        </w:rPr>
        <w:t>3.2 What Not to Do</w:t>
      </w:r>
    </w:p>
    <w:p w14:paraId="2A9F23E7">
      <w:pPr>
        <w:spacing w:after="200" w:line="276" w:lineRule="auto"/>
      </w:pPr>
      <w:r>
        <w:rPr>
          <w:rFonts w:ascii="Arial" w:hAnsi="Arial" w:eastAsia="Arial" w:cs="Arial"/>
          <w:sz w:val="22"/>
          <w:szCs w:val="22"/>
        </w:rPr>
        <w:t>Do not chase price after the array has been left behind. Do not enter at the far edge of a wide FVG when CE or a tighter nested array is available. Do not invent precision that the chart does not offer; if the only available array is wide and the invalidation is unacceptable, stand aside.</w:t>
      </w:r>
    </w:p>
    <w:p w14:paraId="4E7D1493">
      <w:pPr>
        <w:pStyle w:val="2"/>
        <w:spacing w:before="360" w:after="240"/>
      </w:pPr>
      <w:r>
        <w:rPr>
          <w:rFonts w:ascii="Arial" w:hAnsi="Arial" w:eastAsia="Arial" w:cs="Arial"/>
          <w:b/>
          <w:bCs/>
          <w:sz w:val="32"/>
          <w:szCs w:val="32"/>
        </w:rPr>
        <w:t>4. Invalidation Refinement</w:t>
      </w:r>
    </w:p>
    <w:p w14:paraId="50661F14">
      <w:pPr>
        <w:pStyle w:val="3"/>
        <w:spacing w:before="280" w:after="180"/>
      </w:pPr>
      <w:r>
        <w:rPr>
          <w:rFonts w:ascii="Arial" w:hAnsi="Arial" w:eastAsia="Arial" w:cs="Arial"/>
          <w:b/>
          <w:bCs/>
          <w:sz w:val="26"/>
          <w:szCs w:val="26"/>
        </w:rPr>
        <w:t>4.1 Trade Invalidation</w:t>
      </w:r>
    </w:p>
    <w:p w14:paraId="65B3915B">
      <w:pPr>
        <w:spacing w:after="200" w:line="276" w:lineRule="auto"/>
      </w:pPr>
      <w:r>
        <w:rPr>
          <w:rFonts w:ascii="Arial" w:hAnsi="Arial" w:eastAsia="Arial" w:cs="Arial"/>
          <w:sz w:val="22"/>
          <w:szCs w:val="22"/>
        </w:rPr>
        <w:t>Trade invalidation is the level at which the specific entry is wrong. Common placements:</w:t>
      </w:r>
    </w:p>
    <w:p w14:paraId="2F1AB471">
      <w:pPr>
        <w:pStyle w:val="16"/>
        <w:numPr>
          <w:ilvl w:val="0"/>
          <w:numId w:val="1"/>
        </w:numPr>
        <w:spacing w:after="120" w:line="276" w:lineRule="auto"/>
      </w:pPr>
      <w:r>
        <w:rPr>
          <w:rFonts w:ascii="Arial" w:hAnsi="Arial" w:eastAsia="Arial" w:cs="Arial"/>
          <w:sz w:val="22"/>
          <w:szCs w:val="22"/>
        </w:rPr>
        <w:t>Beyond the far side of the entry array (FVG, OB, Breaker),</w:t>
      </w:r>
    </w:p>
    <w:p w14:paraId="79A13227">
      <w:pPr>
        <w:pStyle w:val="16"/>
        <w:numPr>
          <w:ilvl w:val="0"/>
          <w:numId w:val="1"/>
        </w:numPr>
        <w:spacing w:after="120" w:line="276" w:lineRule="auto"/>
      </w:pPr>
      <w:r>
        <w:rPr>
          <w:rFonts w:ascii="Arial" w:hAnsi="Arial" w:eastAsia="Arial" w:cs="Arial"/>
          <w:sz w:val="22"/>
          <w:szCs w:val="22"/>
        </w:rPr>
        <w:t>Beyond the origin of the displacement that created the array,</w:t>
      </w:r>
    </w:p>
    <w:p w14:paraId="06F6CC2D">
      <w:pPr>
        <w:pStyle w:val="16"/>
        <w:numPr>
          <w:ilvl w:val="0"/>
          <w:numId w:val="1"/>
        </w:numPr>
        <w:spacing w:after="120" w:line="276" w:lineRule="auto"/>
      </w:pPr>
      <w:r>
        <w:rPr>
          <w:rFonts w:ascii="Arial" w:hAnsi="Arial" w:eastAsia="Arial" w:cs="Arial"/>
          <w:sz w:val="22"/>
          <w:szCs w:val="22"/>
        </w:rPr>
        <w:t>Beyond a recent LTF swing that, if broken, negates the internal MSS.</w:t>
      </w:r>
    </w:p>
    <w:p w14:paraId="09621AE2">
      <w:pPr>
        <w:spacing w:after="200" w:line="276" w:lineRule="auto"/>
      </w:pPr>
      <w:r>
        <w:rPr>
          <w:rFonts w:ascii="Arial" w:hAnsi="Arial" w:eastAsia="Arial" w:cs="Arial"/>
          <w:sz w:val="22"/>
          <w:szCs w:val="22"/>
        </w:rPr>
        <w:t>The stop must be far enough to avoid routine noise and close enough that the resulting risk is acceptable relative to the distance to the first target.</w:t>
      </w:r>
    </w:p>
    <w:p w14:paraId="0AA5605C">
      <w:pPr>
        <w:pStyle w:val="3"/>
        <w:spacing w:before="280" w:after="180"/>
      </w:pPr>
      <w:r>
        <w:rPr>
          <w:rFonts w:ascii="Arial" w:hAnsi="Arial" w:eastAsia="Arial" w:cs="Arial"/>
          <w:b/>
          <w:bCs/>
          <w:sz w:val="26"/>
          <w:szCs w:val="26"/>
        </w:rPr>
        <w:t>4.2 Narrative Invalidation</w:t>
      </w:r>
    </w:p>
    <w:p w14:paraId="2FBCE8D6">
      <w:pPr>
        <w:spacing w:after="200" w:line="276" w:lineRule="auto"/>
      </w:pPr>
      <w:r>
        <w:rPr>
          <w:rFonts w:ascii="Arial" w:hAnsi="Arial" w:eastAsia="Arial" w:cs="Arial"/>
          <w:sz w:val="22"/>
          <w:szCs w:val="22"/>
        </w:rPr>
        <w:t>Narrative invalidation remains the higher-timeframe level or condition defined in the bias statement. A trade stop-out does not automatically equal narrative failure. Narrative failure does automatically require the retirement of further entries in the old direction.</w:t>
      </w:r>
    </w:p>
    <w:p w14:paraId="3E23D512">
      <w:pPr>
        <w:pStyle w:val="3"/>
        <w:spacing w:before="280" w:after="180"/>
      </w:pPr>
      <w:r>
        <w:rPr>
          <w:rFonts w:ascii="Arial" w:hAnsi="Arial" w:eastAsia="Arial" w:cs="Arial"/>
          <w:b/>
          <w:bCs/>
          <w:sz w:val="26"/>
          <w:szCs w:val="26"/>
        </w:rPr>
        <w:t>4.3 Invalidation Discipline</w:t>
      </w:r>
    </w:p>
    <w:p w14:paraId="316519A8">
      <w:pPr>
        <w:spacing w:after="200" w:line="276" w:lineRule="auto"/>
      </w:pPr>
      <w:r>
        <w:rPr>
          <w:rFonts w:ascii="Arial" w:hAnsi="Arial" w:eastAsia="Arial" w:cs="Arial"/>
          <w:sz w:val="22"/>
          <w:szCs w:val="22"/>
        </w:rPr>
        <w:t>Invalidation levels are defined before entry and are not moved farther away after entry. Tightening (trailing) is a management decision; widening is usually an emotional decision and is forbidden.</w:t>
      </w:r>
    </w:p>
    <w:p w14:paraId="1911363C">
      <w:pPr>
        <w:pStyle w:val="2"/>
        <w:spacing w:before="360" w:after="240"/>
      </w:pPr>
      <w:r>
        <w:rPr>
          <w:rFonts w:ascii="Arial" w:hAnsi="Arial" w:eastAsia="Arial" w:cs="Arial"/>
          <w:b/>
          <w:bCs/>
          <w:sz w:val="32"/>
          <w:szCs w:val="32"/>
        </w:rPr>
        <w:t>5. Target Selection</w:t>
      </w:r>
    </w:p>
    <w:p w14:paraId="35ADC226">
      <w:pPr>
        <w:pStyle w:val="3"/>
        <w:spacing w:before="280" w:after="180"/>
      </w:pPr>
      <w:r>
        <w:rPr>
          <w:rFonts w:ascii="Arial" w:hAnsi="Arial" w:eastAsia="Arial" w:cs="Arial"/>
          <w:b/>
          <w:bCs/>
          <w:sz w:val="26"/>
          <w:szCs w:val="26"/>
        </w:rPr>
        <w:t>5.1 Liquidity Hierarchy as Target Map</w:t>
      </w:r>
    </w:p>
    <w:p w14:paraId="02B606A9">
      <w:pPr>
        <w:spacing w:after="200" w:line="276" w:lineRule="auto"/>
      </w:pPr>
      <w:r>
        <w:rPr>
          <w:rFonts w:ascii="Arial" w:hAnsi="Arial" w:eastAsia="Arial" w:cs="Arial"/>
          <w:sz w:val="22"/>
          <w:szCs w:val="22"/>
        </w:rPr>
        <w:t>Targets are drawn from the liquidity hierarchy of Module 3:</w:t>
      </w:r>
    </w:p>
    <w:p w14:paraId="52673531">
      <w:pPr>
        <w:pStyle w:val="16"/>
        <w:numPr>
          <w:ilvl w:val="0"/>
          <w:numId w:val="1"/>
        </w:numPr>
        <w:spacing w:after="120" w:line="276" w:lineRule="auto"/>
      </w:pPr>
      <w:r>
        <w:rPr>
          <w:rFonts w:ascii="Arial" w:hAnsi="Arial" w:eastAsia="Arial" w:cs="Arial"/>
          <w:sz w:val="22"/>
          <w:szCs w:val="22"/>
        </w:rPr>
        <w:t>First target (partial): nearest significant internal range liquidity or intermediate pool in the direction of the DOL.</w:t>
      </w:r>
    </w:p>
    <w:p w14:paraId="0055C8AE">
      <w:pPr>
        <w:pStyle w:val="16"/>
        <w:numPr>
          <w:ilvl w:val="0"/>
          <w:numId w:val="1"/>
        </w:numPr>
        <w:spacing w:after="120" w:line="276" w:lineRule="auto"/>
      </w:pPr>
      <w:r>
        <w:rPr>
          <w:rFonts w:ascii="Arial" w:hAnsi="Arial" w:eastAsia="Arial" w:cs="Arial"/>
          <w:sz w:val="22"/>
          <w:szCs w:val="22"/>
        </w:rPr>
        <w:t>Terminal target: the named Draw on Liquidity of the bias statement (often external or higher-timeframe).</w:t>
      </w:r>
    </w:p>
    <w:p w14:paraId="0C2B1846">
      <w:pPr>
        <w:pStyle w:val="16"/>
        <w:numPr>
          <w:ilvl w:val="0"/>
          <w:numId w:val="1"/>
        </w:numPr>
        <w:spacing w:after="120" w:line="276" w:lineRule="auto"/>
      </w:pPr>
      <w:r>
        <w:rPr>
          <w:rFonts w:ascii="Arial" w:hAnsi="Arial" w:eastAsia="Arial" w:cs="Arial"/>
          <w:sz w:val="22"/>
          <w:szCs w:val="22"/>
        </w:rPr>
        <w:t>Optional intermediate targets: additional IRL pools or opposing session extremes on the path.</w:t>
      </w:r>
    </w:p>
    <w:p w14:paraId="6C7AE5CF">
      <w:pPr>
        <w:pStyle w:val="3"/>
        <w:spacing w:before="280" w:after="180"/>
      </w:pPr>
      <w:r>
        <w:rPr>
          <w:rFonts w:ascii="Arial" w:hAnsi="Arial" w:eastAsia="Arial" w:cs="Arial"/>
          <w:b/>
          <w:bCs/>
          <w:sz w:val="26"/>
          <w:szCs w:val="26"/>
        </w:rPr>
        <w:t>5.2 Range and Structure Constraints</w:t>
      </w:r>
    </w:p>
    <w:p w14:paraId="20CB9A0D">
      <w:pPr>
        <w:spacing w:after="200" w:line="276" w:lineRule="auto"/>
      </w:pPr>
      <w:r>
        <w:rPr>
          <w:rFonts w:ascii="Arial" w:hAnsi="Arial" w:eastAsia="Arial" w:cs="Arial"/>
          <w:sz w:val="22"/>
          <w:szCs w:val="22"/>
        </w:rPr>
        <w:t>Targets that sit beyond a higher-timeframe invalidation or beyond a major opposing structural level that has not been broken are lower probability. The student does not assume that every DOL will be reached in a single trade.</w:t>
      </w:r>
    </w:p>
    <w:p w14:paraId="7A33FDF8">
      <w:pPr>
        <w:pStyle w:val="2"/>
        <w:spacing w:before="360" w:after="240"/>
      </w:pPr>
      <w:r>
        <w:rPr>
          <w:rFonts w:ascii="Arial" w:hAnsi="Arial" w:eastAsia="Arial" w:cs="Arial"/>
          <w:b/>
          <w:bCs/>
          <w:sz w:val="32"/>
          <w:szCs w:val="32"/>
        </w:rPr>
        <w:t>6. Partial Exits and Trade Management</w:t>
      </w:r>
    </w:p>
    <w:p w14:paraId="29E080A7">
      <w:pPr>
        <w:pStyle w:val="3"/>
        <w:spacing w:before="280" w:after="180"/>
      </w:pPr>
      <w:r>
        <w:rPr>
          <w:rFonts w:ascii="Arial" w:hAnsi="Arial" w:eastAsia="Arial" w:cs="Arial"/>
          <w:b/>
          <w:bCs/>
          <w:sz w:val="26"/>
          <w:szCs w:val="26"/>
        </w:rPr>
        <w:t>6.1 Partials</w:t>
      </w:r>
    </w:p>
    <w:p w14:paraId="6099334B">
      <w:pPr>
        <w:spacing w:after="200" w:line="276" w:lineRule="auto"/>
      </w:pPr>
      <w:r>
        <w:rPr>
          <w:rFonts w:ascii="Arial" w:hAnsi="Arial" w:eastAsia="Arial" w:cs="Arial"/>
          <w:sz w:val="22"/>
          <w:szCs w:val="22"/>
        </w:rPr>
        <w:t>A common advanced practice is to take a partial at the first high-quality intermediate liquidity pool and to leave a runner toward the terminal DOL. Partial size is predetermined (e.g., 50 % or a fixed fraction) and is not altered by emotion after entry.</w:t>
      </w:r>
    </w:p>
    <w:p w14:paraId="248EBA62">
      <w:pPr>
        <w:pStyle w:val="3"/>
        <w:spacing w:before="280" w:after="180"/>
      </w:pPr>
      <w:r>
        <w:rPr>
          <w:rFonts w:ascii="Arial" w:hAnsi="Arial" w:eastAsia="Arial" w:cs="Arial"/>
          <w:b/>
          <w:bCs/>
          <w:sz w:val="26"/>
          <w:szCs w:val="26"/>
        </w:rPr>
        <w:t>6.2 Management Rules</w:t>
      </w:r>
    </w:p>
    <w:p w14:paraId="661342DE">
      <w:pPr>
        <w:spacing w:after="200" w:line="276" w:lineRule="auto"/>
      </w:pPr>
      <w:r>
        <w:rPr>
          <w:rFonts w:ascii="Arial" w:hAnsi="Arial" w:eastAsia="Arial" w:cs="Arial"/>
          <w:sz w:val="22"/>
          <w:szCs w:val="22"/>
        </w:rPr>
        <w:t>Management must not contradict the narrative:</w:t>
      </w:r>
    </w:p>
    <w:p w14:paraId="37ABE36A">
      <w:pPr>
        <w:pStyle w:val="16"/>
        <w:numPr>
          <w:ilvl w:val="0"/>
          <w:numId w:val="1"/>
        </w:numPr>
        <w:spacing w:after="120" w:line="276" w:lineRule="auto"/>
      </w:pPr>
      <w:r>
        <w:rPr>
          <w:rFonts w:ascii="Arial" w:hAnsi="Arial" w:eastAsia="Arial" w:cs="Arial"/>
          <w:sz w:val="22"/>
          <w:szCs w:val="22"/>
        </w:rPr>
        <w:t>If the narrative remains intact, the runner is held toward the terminal target.</w:t>
      </w:r>
    </w:p>
    <w:p w14:paraId="24429EFA">
      <w:pPr>
        <w:pStyle w:val="16"/>
        <w:numPr>
          <w:ilvl w:val="0"/>
          <w:numId w:val="1"/>
        </w:numPr>
        <w:spacing w:after="120" w:line="276" w:lineRule="auto"/>
      </w:pPr>
      <w:r>
        <w:rPr>
          <w:rFonts w:ascii="Arial" w:hAnsi="Arial" w:eastAsia="Arial" w:cs="Arial"/>
          <w:sz w:val="22"/>
          <w:szCs w:val="22"/>
        </w:rPr>
        <w:t>If narrative invalidation prints, the runner is closed regardless of current profit or loss.</w:t>
      </w:r>
    </w:p>
    <w:p w14:paraId="2A48E5E9">
      <w:pPr>
        <w:pStyle w:val="16"/>
        <w:numPr>
          <w:ilvl w:val="0"/>
          <w:numId w:val="1"/>
        </w:numPr>
        <w:spacing w:after="120" w:line="276" w:lineRule="auto"/>
      </w:pPr>
      <w:r>
        <w:rPr>
          <w:rFonts w:ascii="Arial" w:hAnsi="Arial" w:eastAsia="Arial" w:cs="Arial"/>
          <w:sz w:val="22"/>
          <w:szCs w:val="22"/>
        </w:rPr>
        <w:t>Trailing stops, if used, are placed only at levels that would themselves constitute a structural or array failure (e.g., beyond a new higher low in a bullish trade).</w:t>
      </w:r>
    </w:p>
    <w:p w14:paraId="29D78F29">
      <w:pPr>
        <w:pStyle w:val="16"/>
        <w:numPr>
          <w:ilvl w:val="0"/>
          <w:numId w:val="1"/>
        </w:numPr>
        <w:spacing w:after="120" w:line="276" w:lineRule="auto"/>
      </w:pPr>
      <w:r>
        <w:rPr>
          <w:rFonts w:ascii="Arial" w:hAnsi="Arial" w:eastAsia="Arial" w:cs="Arial"/>
          <w:sz w:val="22"/>
          <w:szCs w:val="22"/>
        </w:rPr>
        <w:t>Adding to a position is permitted only if the addition has its own valid entry array and does not violate overall risk limits (Module 17).</w:t>
      </w:r>
    </w:p>
    <w:p w14:paraId="61CACE32">
      <w:pPr>
        <w:pStyle w:val="2"/>
        <w:spacing w:before="360" w:after="240"/>
      </w:pPr>
      <w:r>
        <w:rPr>
          <w:rFonts w:ascii="Arial" w:hAnsi="Arial" w:eastAsia="Arial" w:cs="Arial"/>
          <w:b/>
          <w:bCs/>
          <w:sz w:val="32"/>
          <w:szCs w:val="32"/>
        </w:rPr>
        <w:t>7. Execution Timing</w:t>
      </w:r>
    </w:p>
    <w:p w14:paraId="55FFD0F3">
      <w:pPr>
        <w:pStyle w:val="3"/>
        <w:spacing w:before="280" w:after="180"/>
      </w:pPr>
      <w:r>
        <w:rPr>
          <w:rFonts w:ascii="Arial" w:hAnsi="Arial" w:eastAsia="Arial" w:cs="Arial"/>
          <w:b/>
          <w:bCs/>
          <w:sz w:val="26"/>
          <w:szCs w:val="26"/>
        </w:rPr>
        <w:t>7.1 Inside the Authorised Window</w:t>
      </w:r>
    </w:p>
    <w:p w14:paraId="05CA4F5C">
      <w:pPr>
        <w:spacing w:after="200" w:line="276" w:lineRule="auto"/>
      </w:pPr>
      <w:r>
        <w:rPr>
          <w:rFonts w:ascii="Arial" w:hAnsi="Arial" w:eastAsia="Arial" w:cs="Arial"/>
          <w:sz w:val="22"/>
          <w:szCs w:val="22"/>
        </w:rPr>
        <w:t>Entry is preferred inside the kill zone or session window that the narrative assigned to the distribution or continuation phase. Entries far outside that window require additional confluence or are skipped.</w:t>
      </w:r>
    </w:p>
    <w:p w14:paraId="2C09154C">
      <w:pPr>
        <w:pStyle w:val="3"/>
        <w:spacing w:before="280" w:after="180"/>
      </w:pPr>
      <w:r>
        <w:rPr>
          <w:rFonts w:ascii="Arial" w:hAnsi="Arial" w:eastAsia="Arial" w:cs="Arial"/>
          <w:b/>
          <w:bCs/>
          <w:sz w:val="26"/>
          <w:szCs w:val="26"/>
        </w:rPr>
        <w:t>7.2 Avoiding the Dead Zone</w:t>
      </w:r>
    </w:p>
    <w:p w14:paraId="43D4B633">
      <w:pPr>
        <w:spacing w:after="200" w:line="276" w:lineRule="auto"/>
      </w:pPr>
      <w:r>
        <w:rPr>
          <w:rFonts w:ascii="Arial" w:hAnsi="Arial" w:eastAsia="Arial" w:cs="Arial"/>
          <w:sz w:val="22"/>
          <w:szCs w:val="22"/>
        </w:rPr>
        <w:t>Midday or thin-liquidity periods that were not part of the expected path are not used for new directional entries even if an array is present.</w:t>
      </w:r>
    </w:p>
    <w:p w14:paraId="6C153719">
      <w:pPr>
        <w:pStyle w:val="2"/>
        <w:spacing w:before="360" w:after="240"/>
      </w:pPr>
      <w:r>
        <w:rPr>
          <w:rFonts w:ascii="Arial" w:hAnsi="Arial" w:eastAsia="Arial" w:cs="Arial"/>
          <w:b/>
          <w:bCs/>
          <w:sz w:val="32"/>
          <w:szCs w:val="32"/>
        </w:rPr>
        <w:t>8. Pre-Entry Checklist</w:t>
      </w:r>
    </w:p>
    <w:p w14:paraId="6DBC1209">
      <w:pPr>
        <w:spacing w:after="200" w:line="276" w:lineRule="auto"/>
      </w:pPr>
      <w:r>
        <w:rPr>
          <w:rFonts w:ascii="Arial" w:hAnsi="Arial" w:eastAsia="Arial" w:cs="Arial"/>
          <w:sz w:val="22"/>
          <w:szCs w:val="22"/>
        </w:rPr>
        <w:t>Immediately before order placement:</w:t>
      </w:r>
    </w:p>
    <w:p w14:paraId="0BCF1BD1">
      <w:pPr>
        <w:pStyle w:val="16"/>
        <w:numPr>
          <w:ilvl w:val="0"/>
          <w:numId w:val="2"/>
        </w:numPr>
        <w:spacing w:after="120" w:line="276" w:lineRule="auto"/>
      </w:pPr>
      <w:r>
        <w:rPr>
          <w:rFonts w:ascii="Arial" w:hAnsi="Arial" w:eastAsia="Arial" w:cs="Arial"/>
          <w:sz w:val="22"/>
          <w:szCs w:val="22"/>
        </w:rPr>
        <w:t>HTF location still correct; no higher-timeframe invalidation.</w:t>
      </w:r>
    </w:p>
    <w:p w14:paraId="1896E44C">
      <w:pPr>
        <w:pStyle w:val="16"/>
        <w:numPr>
          <w:ilvl w:val="0"/>
          <w:numId w:val="2"/>
        </w:numPr>
        <w:spacing w:after="120" w:line="276" w:lineRule="auto"/>
      </w:pPr>
      <w:r>
        <w:rPr>
          <w:rFonts w:ascii="Arial" w:hAnsi="Arial" w:eastAsia="Arial" w:cs="Arial"/>
          <w:sz w:val="22"/>
          <w:szCs w:val="22"/>
        </w:rPr>
        <w:t>LTF liquidity event, displacement and MSS have printed.</w:t>
      </w:r>
    </w:p>
    <w:p w14:paraId="37561DD1">
      <w:pPr>
        <w:pStyle w:val="16"/>
        <w:numPr>
          <w:ilvl w:val="0"/>
          <w:numId w:val="2"/>
        </w:numPr>
        <w:spacing w:after="120" w:line="276" w:lineRule="auto"/>
      </w:pPr>
      <w:r>
        <w:rPr>
          <w:rFonts w:ascii="Arial" w:hAnsi="Arial" w:eastAsia="Arial" w:cs="Arial"/>
          <w:sz w:val="22"/>
          <w:szCs w:val="22"/>
        </w:rPr>
        <w:t>Selected entry array is still unmitigated and correctly located.</w:t>
      </w:r>
    </w:p>
    <w:p w14:paraId="2A922EBC">
      <w:pPr>
        <w:pStyle w:val="16"/>
        <w:numPr>
          <w:ilvl w:val="0"/>
          <w:numId w:val="2"/>
        </w:numPr>
        <w:spacing w:after="120" w:line="276" w:lineRule="auto"/>
      </w:pPr>
      <w:r>
        <w:rPr>
          <w:rFonts w:ascii="Arial" w:hAnsi="Arial" w:eastAsia="Arial" w:cs="Arial"/>
          <w:sz w:val="22"/>
          <w:szCs w:val="22"/>
        </w:rPr>
        <w:t>Trade invalidation is defined and risk is acceptable.</w:t>
      </w:r>
    </w:p>
    <w:p w14:paraId="256F65C9">
      <w:pPr>
        <w:pStyle w:val="16"/>
        <w:numPr>
          <w:ilvl w:val="0"/>
          <w:numId w:val="2"/>
        </w:numPr>
        <w:spacing w:after="120" w:line="276" w:lineRule="auto"/>
      </w:pPr>
      <w:r>
        <w:rPr>
          <w:rFonts w:ascii="Arial" w:hAnsi="Arial" w:eastAsia="Arial" w:cs="Arial"/>
          <w:sz w:val="22"/>
          <w:szCs w:val="22"/>
        </w:rPr>
        <w:t>First target and terminal target are named from the liquidity hierarchy.</w:t>
      </w:r>
    </w:p>
    <w:p w14:paraId="164618AD">
      <w:pPr>
        <w:pStyle w:val="16"/>
        <w:numPr>
          <w:ilvl w:val="0"/>
          <w:numId w:val="2"/>
        </w:numPr>
        <w:spacing w:after="120" w:line="276" w:lineRule="auto"/>
      </w:pPr>
      <w:r>
        <w:rPr>
          <w:rFonts w:ascii="Arial" w:hAnsi="Arial" w:eastAsia="Arial" w:cs="Arial"/>
          <w:sz w:val="22"/>
          <w:szCs w:val="22"/>
        </w:rPr>
        <w:t>Partial-exit plan and runner plan are predetermined.</w:t>
      </w:r>
    </w:p>
    <w:p w14:paraId="6F23C8CA">
      <w:pPr>
        <w:pStyle w:val="16"/>
        <w:numPr>
          <w:ilvl w:val="0"/>
          <w:numId w:val="2"/>
        </w:numPr>
        <w:spacing w:after="120" w:line="276" w:lineRule="auto"/>
      </w:pPr>
      <w:r>
        <w:rPr>
          <w:rFonts w:ascii="Arial" w:hAnsi="Arial" w:eastAsia="Arial" w:cs="Arial"/>
          <w:sz w:val="22"/>
          <w:szCs w:val="22"/>
        </w:rPr>
        <w:t>Execution is inside the authorised time window.</w:t>
      </w:r>
    </w:p>
    <w:p w14:paraId="67B361FB">
      <w:pPr>
        <w:pStyle w:val="16"/>
        <w:numPr>
          <w:ilvl w:val="0"/>
          <w:numId w:val="2"/>
        </w:numPr>
        <w:spacing w:after="120" w:line="276" w:lineRule="auto"/>
      </w:pPr>
      <w:r>
        <w:rPr>
          <w:rFonts w:ascii="Arial" w:hAnsi="Arial" w:eastAsia="Arial" w:cs="Arial"/>
          <w:sz w:val="22"/>
          <w:szCs w:val="22"/>
        </w:rPr>
        <w:t>Bias and model selection have not been retired.</w:t>
      </w:r>
    </w:p>
    <w:p w14:paraId="595E8C7B">
      <w:pPr>
        <w:spacing w:after="200" w:line="276" w:lineRule="auto"/>
      </w:pPr>
      <w:r>
        <w:rPr>
          <w:rFonts w:ascii="Arial" w:hAnsi="Arial" w:eastAsia="Arial" w:cs="Arial"/>
          <w:sz w:val="22"/>
          <w:szCs w:val="22"/>
        </w:rPr>
        <w:t>If any item fails, the entry is not taken.</w:t>
      </w:r>
    </w:p>
    <w:p w14:paraId="528418F1">
      <w:pPr>
        <w:pStyle w:val="2"/>
        <w:spacing w:before="360" w:after="240"/>
      </w:pPr>
      <w:r>
        <w:rPr>
          <w:rFonts w:ascii="Arial" w:hAnsi="Arial" w:eastAsia="Arial" w:cs="Arial"/>
          <w:b/>
          <w:bCs/>
          <w:sz w:val="32"/>
          <w:szCs w:val="32"/>
        </w:rPr>
        <w:t>9. Worked Precision Execution</w:t>
      </w:r>
    </w:p>
    <w:p w14:paraId="535D9AFD">
      <w:pPr>
        <w:spacing w:after="200" w:line="276" w:lineRule="auto"/>
      </w:pPr>
      <w:r>
        <w:rPr>
          <w:rFonts w:ascii="Arial" w:hAnsi="Arial" w:eastAsia="Arial" w:cs="Arial"/>
          <w:sz w:val="22"/>
          <w:szCs w:val="22"/>
        </w:rPr>
        <w:t>Model selected (Module 15): FVG / OTE continuation long after London SSL raid.</w:t>
      </w:r>
    </w:p>
    <w:p w14:paraId="2DA2FC4E">
      <w:pPr>
        <w:spacing w:after="200" w:line="276" w:lineRule="auto"/>
      </w:pPr>
      <w:r>
        <w:rPr>
          <w:rFonts w:ascii="Arial" w:hAnsi="Arial" w:eastAsia="Arial" w:cs="Arial"/>
          <w:sz w:val="22"/>
          <w:szCs w:val="22"/>
        </w:rPr>
        <w:t>HTF location: weekly and daily discount confirmed; no invalidation.</w:t>
      </w:r>
    </w:p>
    <w:p w14:paraId="5EC43AE0">
      <w:pPr>
        <w:spacing w:after="200" w:line="276" w:lineRule="auto"/>
      </w:pPr>
      <w:r>
        <w:rPr>
          <w:rFonts w:ascii="Arial" w:hAnsi="Arial" w:eastAsia="Arial" w:cs="Arial"/>
          <w:sz w:val="22"/>
          <w:szCs w:val="22"/>
        </w:rPr>
        <w:t>LTF: London swept Asian low; 15-minute displacement and MSS printed; FVG at 1.0635–1.0665; CE at 1.0650; OTE of the displacement leg overlaps CE.</w:t>
      </w:r>
    </w:p>
    <w:p w14:paraId="7883A579">
      <w:pPr>
        <w:spacing w:after="200" w:line="276" w:lineRule="auto"/>
      </w:pPr>
      <w:r>
        <w:rPr>
          <w:rFonts w:ascii="Arial" w:hAnsi="Arial" w:eastAsia="Arial" w:cs="Arial"/>
          <w:sz w:val="22"/>
          <w:szCs w:val="22"/>
        </w:rPr>
        <w:t>Entry: limit or market on return to CE / OTE confluence at ~1.0650.</w:t>
      </w:r>
    </w:p>
    <w:p w14:paraId="1E95C23F">
      <w:pPr>
        <w:spacing w:after="200" w:line="276" w:lineRule="auto"/>
      </w:pPr>
      <w:r>
        <w:rPr>
          <w:rFonts w:ascii="Arial" w:hAnsi="Arial" w:eastAsia="Arial" w:cs="Arial"/>
          <w:sz w:val="22"/>
          <w:szCs w:val="22"/>
        </w:rPr>
        <w:t>Trade invalidation: close below 1.0620 (below displacement origin and Asian low).</w:t>
      </w:r>
    </w:p>
    <w:p w14:paraId="4208A0D2">
      <w:pPr>
        <w:spacing w:after="200" w:line="276" w:lineRule="auto"/>
      </w:pPr>
      <w:r>
        <w:rPr>
          <w:rFonts w:ascii="Arial" w:hAnsi="Arial" w:eastAsia="Arial" w:cs="Arial"/>
          <w:sz w:val="22"/>
          <w:szCs w:val="22"/>
        </w:rPr>
        <w:t>Targets: first partial at daily intermediate buy-side ~1.0780; runner toward weekly DOL 1.1200.</w:t>
      </w:r>
    </w:p>
    <w:p w14:paraId="175EC78D">
      <w:pPr>
        <w:spacing w:after="200" w:line="276" w:lineRule="auto"/>
      </w:pPr>
      <w:r>
        <w:rPr>
          <w:rFonts w:ascii="Arial" w:hAnsi="Arial" w:eastAsia="Arial" w:cs="Arial"/>
          <w:sz w:val="22"/>
          <w:szCs w:val="22"/>
        </w:rPr>
        <w:t>Management: 50 % off at first target; stop of runner moved only if a new higher low forms that itself would be narrative-relevant; full exit if daily bias invalidation prints.</w:t>
      </w:r>
    </w:p>
    <w:p w14:paraId="22A8B364">
      <w:pPr>
        <w:spacing w:after="200" w:line="276" w:lineRule="auto"/>
      </w:pPr>
      <w:r>
        <w:rPr>
          <w:rFonts w:ascii="Arial" w:hAnsi="Arial" w:eastAsia="Arial" w:cs="Arial"/>
          <w:sz w:val="22"/>
          <w:szCs w:val="22"/>
        </w:rPr>
        <w:t>This is precision execution fully subordinated to the narrative.</w:t>
      </w:r>
    </w:p>
    <w:p w14:paraId="749A22C0">
      <w:pPr>
        <w:pStyle w:val="2"/>
        <w:spacing w:before="360" w:after="240"/>
      </w:pPr>
      <w:r>
        <w:rPr>
          <w:rFonts w:ascii="Arial" w:hAnsi="Arial" w:eastAsia="Arial" w:cs="Arial"/>
          <w:b/>
          <w:bCs/>
          <w:sz w:val="32"/>
          <w:szCs w:val="32"/>
        </w:rPr>
        <w:t>Visual Reference — Execution Stack</w:t>
      </w:r>
    </w:p>
    <w:p w14:paraId="38EF17E9">
      <w:pPr>
        <w:spacing w:after="0" w:line="240" w:lineRule="auto"/>
      </w:pPr>
      <w:r>
        <w:rPr>
          <w:rFonts w:ascii="Courier New" w:hAnsi="Courier New" w:eastAsia="Courier New" w:cs="Courier New"/>
          <w:sz w:val="18"/>
          <w:szCs w:val="18"/>
        </w:rPr>
        <w:t>Terminal DOL (runner target)</w:t>
      </w:r>
    </w:p>
    <w:p w14:paraId="04CFAF87">
      <w:pPr>
        <w:spacing w:after="0" w:line="240" w:lineRule="auto"/>
      </w:pPr>
      <w:r>
        <w:rPr>
          <w:rFonts w:ascii="Courier New" w:hAnsi="Courier New" w:eastAsia="Courier New" w:cs="Courier New"/>
          <w:sz w:val="18"/>
          <w:szCs w:val="18"/>
        </w:rPr>
        <w:t xml:space="preserve">        ▲</w:t>
      </w:r>
    </w:p>
    <w:p w14:paraId="1EFA3DAF">
      <w:pPr>
        <w:spacing w:after="0" w:line="240" w:lineRule="auto"/>
      </w:pPr>
      <w:r>
        <w:rPr>
          <w:rFonts w:ascii="Courier New" w:hAnsi="Courier New" w:eastAsia="Courier New" w:cs="Courier New"/>
          <w:sz w:val="18"/>
          <w:szCs w:val="18"/>
        </w:rPr>
        <w:t>Intermediate IRL (partial)</w:t>
      </w:r>
    </w:p>
    <w:p w14:paraId="3CFDD1F0">
      <w:pPr>
        <w:spacing w:after="0" w:line="240" w:lineRule="auto"/>
      </w:pPr>
      <w:r>
        <w:rPr>
          <w:rFonts w:ascii="Courier New" w:hAnsi="Courier New" w:eastAsia="Courier New" w:cs="Courier New"/>
          <w:sz w:val="18"/>
          <w:szCs w:val="18"/>
        </w:rPr>
        <w:t xml:space="preserve">        ▲</w:t>
      </w:r>
    </w:p>
    <w:p w14:paraId="1D416206">
      <w:pPr>
        <w:spacing w:after="0" w:line="240" w:lineRule="auto"/>
      </w:pPr>
      <w:r>
        <w:rPr>
          <w:rFonts w:ascii="Courier New" w:hAnsi="Courier New" w:eastAsia="Courier New" w:cs="Courier New"/>
          <w:sz w:val="18"/>
          <w:szCs w:val="18"/>
        </w:rPr>
        <w:t>Entry: refined array (CE / FVG / OB / OTE)</w:t>
      </w:r>
    </w:p>
    <w:p w14:paraId="52589004">
      <w:pPr>
        <w:spacing w:after="0" w:line="240" w:lineRule="auto"/>
      </w:pPr>
      <w:r>
        <w:rPr>
          <w:rFonts w:ascii="Courier New" w:hAnsi="Courier New" w:eastAsia="Courier New" w:cs="Courier New"/>
          <w:sz w:val="18"/>
          <w:szCs w:val="18"/>
        </w:rPr>
        <w:t xml:space="preserve">        │</w:t>
      </w:r>
    </w:p>
    <w:p w14:paraId="55D85CB1">
      <w:pPr>
        <w:spacing w:after="0" w:line="240" w:lineRule="auto"/>
      </w:pPr>
      <w:r>
        <w:rPr>
          <w:rFonts w:ascii="Courier New" w:hAnsi="Courier New" w:eastAsia="Courier New" w:cs="Courier New"/>
          <w:sz w:val="18"/>
          <w:szCs w:val="18"/>
        </w:rPr>
        <w:t>LTF: raid → displacement → MSS</w:t>
      </w:r>
    </w:p>
    <w:p w14:paraId="2973287D">
      <w:pPr>
        <w:spacing w:after="0" w:line="240" w:lineRule="auto"/>
      </w:pPr>
      <w:r>
        <w:rPr>
          <w:rFonts w:ascii="Courier New" w:hAnsi="Courier New" w:eastAsia="Courier New" w:cs="Courier New"/>
          <w:sz w:val="18"/>
          <w:szCs w:val="18"/>
        </w:rPr>
        <w:t xml:space="preserve">        │</w:t>
      </w:r>
    </w:p>
    <w:p w14:paraId="47AC5E48">
      <w:pPr>
        <w:spacing w:after="0" w:line="240" w:lineRule="auto"/>
      </w:pPr>
      <w:r>
        <w:rPr>
          <w:rFonts w:ascii="Courier New" w:hAnsi="Courier New" w:eastAsia="Courier New" w:cs="Courier New"/>
          <w:sz w:val="18"/>
          <w:szCs w:val="18"/>
        </w:rPr>
        <w:t>HTF: bias + range location + model authorised</w:t>
      </w:r>
    </w:p>
    <w:p w14:paraId="37F46DF9">
      <w:pPr>
        <w:pStyle w:val="2"/>
        <w:spacing w:before="360" w:after="240"/>
      </w:pPr>
      <w:r>
        <w:rPr>
          <w:rFonts w:ascii="Arial" w:hAnsi="Arial" w:eastAsia="Arial" w:cs="Arial"/>
          <w:b/>
          <w:bCs/>
          <w:sz w:val="32"/>
          <w:szCs w:val="32"/>
        </w:rPr>
        <w:t>10. Common Misinterpretations</w:t>
      </w:r>
    </w:p>
    <w:p w14:paraId="77B8338A">
      <w:pPr>
        <w:pStyle w:val="16"/>
        <w:numPr>
          <w:ilvl w:val="0"/>
          <w:numId w:val="1"/>
        </w:numPr>
        <w:spacing w:after="120" w:line="276" w:lineRule="auto"/>
      </w:pPr>
      <w:r>
        <w:rPr>
          <w:rFonts w:ascii="Arial" w:hAnsi="Arial" w:eastAsia="Arial" w:cs="Arial"/>
          <w:sz w:val="22"/>
          <w:szCs w:val="22"/>
        </w:rPr>
        <w:t>Entering as soon as price reaches the array without LTF confirmation.</w:t>
      </w:r>
    </w:p>
    <w:p w14:paraId="2A9A1AA4">
      <w:pPr>
        <w:pStyle w:val="16"/>
        <w:numPr>
          <w:ilvl w:val="0"/>
          <w:numId w:val="1"/>
        </w:numPr>
        <w:spacing w:after="120" w:line="276" w:lineRule="auto"/>
      </w:pPr>
      <w:r>
        <w:rPr>
          <w:rFonts w:ascii="Arial" w:hAnsi="Arial" w:eastAsia="Arial" w:cs="Arial"/>
          <w:sz w:val="22"/>
          <w:szCs w:val="22"/>
        </w:rPr>
        <w:t>Using a wide FVG edge when CE or a tighter nested array is available.</w:t>
      </w:r>
    </w:p>
    <w:p w14:paraId="45F5F728">
      <w:pPr>
        <w:pStyle w:val="16"/>
        <w:numPr>
          <w:ilvl w:val="0"/>
          <w:numId w:val="1"/>
        </w:numPr>
        <w:spacing w:after="120" w:line="276" w:lineRule="auto"/>
      </w:pPr>
      <w:r>
        <w:rPr>
          <w:rFonts w:ascii="Arial" w:hAnsi="Arial" w:eastAsia="Arial" w:cs="Arial"/>
          <w:sz w:val="22"/>
          <w:szCs w:val="22"/>
        </w:rPr>
        <w:t>Placing invalidation so tight that routine noise stops a valid narrative.</w:t>
      </w:r>
    </w:p>
    <w:p w14:paraId="7E31CA40">
      <w:pPr>
        <w:pStyle w:val="16"/>
        <w:numPr>
          <w:ilvl w:val="0"/>
          <w:numId w:val="1"/>
        </w:numPr>
        <w:spacing w:after="120" w:line="276" w:lineRule="auto"/>
      </w:pPr>
      <w:r>
        <w:rPr>
          <w:rFonts w:ascii="Arial" w:hAnsi="Arial" w:eastAsia="Arial" w:cs="Arial"/>
          <w:sz w:val="22"/>
          <w:szCs w:val="22"/>
        </w:rPr>
        <w:t>Moving the stop farther away after entry.</w:t>
      </w:r>
    </w:p>
    <w:p w14:paraId="593AD482">
      <w:pPr>
        <w:pStyle w:val="16"/>
        <w:numPr>
          <w:ilvl w:val="0"/>
          <w:numId w:val="1"/>
        </w:numPr>
        <w:spacing w:after="120" w:line="276" w:lineRule="auto"/>
      </w:pPr>
      <w:r>
        <w:rPr>
          <w:rFonts w:ascii="Arial" w:hAnsi="Arial" w:eastAsia="Arial" w:cs="Arial"/>
          <w:sz w:val="22"/>
          <w:szCs w:val="22"/>
        </w:rPr>
        <w:t>Taking the entire position off at the first partial and abandoning a still-valid terminal DOL.</w:t>
      </w:r>
    </w:p>
    <w:p w14:paraId="234978A4">
      <w:pPr>
        <w:pStyle w:val="16"/>
        <w:numPr>
          <w:ilvl w:val="0"/>
          <w:numId w:val="1"/>
        </w:numPr>
        <w:spacing w:after="120" w:line="276" w:lineRule="auto"/>
      </w:pPr>
      <w:r>
        <w:rPr>
          <w:rFonts w:ascii="Arial" w:hAnsi="Arial" w:eastAsia="Arial" w:cs="Arial"/>
          <w:sz w:val="22"/>
          <w:szCs w:val="22"/>
        </w:rPr>
        <w:t>Adding to losers or averaging without a new valid entry array.</w:t>
      </w:r>
    </w:p>
    <w:p w14:paraId="3602245B">
      <w:pPr>
        <w:pStyle w:val="16"/>
        <w:numPr>
          <w:ilvl w:val="0"/>
          <w:numId w:val="1"/>
        </w:numPr>
        <w:spacing w:after="120" w:line="276" w:lineRule="auto"/>
      </w:pPr>
      <w:r>
        <w:rPr>
          <w:rFonts w:ascii="Arial" w:hAnsi="Arial" w:eastAsia="Arial" w:cs="Arial"/>
          <w:sz w:val="22"/>
          <w:szCs w:val="22"/>
        </w:rPr>
        <w:t>Executing outside the authorised session window because “the array is there.”</w:t>
      </w:r>
    </w:p>
    <w:p w14:paraId="272F40F0">
      <w:pPr>
        <w:pStyle w:val="2"/>
        <w:spacing w:before="360" w:after="240"/>
      </w:pPr>
      <w:r>
        <w:rPr>
          <w:rFonts w:ascii="Arial" w:hAnsi="Arial" w:eastAsia="Arial" w:cs="Arial"/>
          <w:b/>
          <w:bCs/>
          <w:sz w:val="32"/>
          <w:szCs w:val="32"/>
        </w:rPr>
        <w:t>11. Evidence Summary</w:t>
      </w:r>
    </w:p>
    <w:p w14:paraId="4569A453">
      <w:pPr>
        <w:spacing w:after="200" w:line="276" w:lineRule="auto"/>
      </w:pPr>
      <w:r>
        <w:rPr>
          <w:rFonts w:ascii="Arial" w:hAnsi="Arial" w:eastAsia="Arial" w:cs="Arial"/>
          <w:sz w:val="22"/>
          <w:szCs w:val="22"/>
        </w:rPr>
        <w:t>Refinement of entry to FVG, CE, Order Block, Breaker and OTE; use of structure for invalidation; targeting of liquidity pools; and multi-timeframe location filters are all grounded in ICT teaching. The ordered pre-entry checklist and the strict separation of trade invalidation from narrative invalidation are the advanced operational synthesis that turns those elements into precise, repeatable execution.</w:t>
      </w:r>
    </w:p>
    <w:p w14:paraId="5EA1AE70">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Primary orientation: ICT entry refinement (FVG, CE, OB, OTE), liquidity targeting, and multi-timeframe context. Checklist and management rules are advanced process controls consistent with that teaching.</w:t>
      </w:r>
    </w:p>
    <w:p w14:paraId="407A70AE">
      <w:pPr>
        <w:pStyle w:val="2"/>
        <w:spacing w:before="360" w:after="240"/>
      </w:pPr>
      <w:r>
        <w:rPr>
          <w:rFonts w:ascii="Arial" w:hAnsi="Arial" w:eastAsia="Arial" w:cs="Arial"/>
          <w:b/>
          <w:bCs/>
          <w:sz w:val="32"/>
          <w:szCs w:val="32"/>
        </w:rPr>
        <w:t>What You Should Now Be Able to Do</w:t>
      </w:r>
    </w:p>
    <w:p w14:paraId="30AECC7C">
      <w:pPr>
        <w:pStyle w:val="16"/>
        <w:numPr>
          <w:ilvl w:val="0"/>
          <w:numId w:val="1"/>
        </w:numPr>
        <w:spacing w:after="120" w:line="276" w:lineRule="auto"/>
      </w:pPr>
      <w:r>
        <w:rPr>
          <w:rFonts w:ascii="Arial" w:hAnsi="Arial" w:eastAsia="Arial" w:cs="Arial"/>
          <w:sz w:val="22"/>
          <w:szCs w:val="22"/>
        </w:rPr>
        <w:t>Run the full pre-entry checklist and refuse the trade if any item fails.</w:t>
      </w:r>
    </w:p>
    <w:p w14:paraId="1FAAAE65">
      <w:pPr>
        <w:pStyle w:val="16"/>
        <w:numPr>
          <w:ilvl w:val="0"/>
          <w:numId w:val="1"/>
        </w:numPr>
        <w:spacing w:after="120" w:line="276" w:lineRule="auto"/>
      </w:pPr>
      <w:r>
        <w:rPr>
          <w:rFonts w:ascii="Arial" w:hAnsi="Arial" w:eastAsia="Arial" w:cs="Arial"/>
          <w:sz w:val="22"/>
          <w:szCs w:val="22"/>
        </w:rPr>
        <w:t>Refine entry to the most precise valid array without chasing.</w:t>
      </w:r>
    </w:p>
    <w:p w14:paraId="4ACE6D76">
      <w:pPr>
        <w:pStyle w:val="16"/>
        <w:numPr>
          <w:ilvl w:val="0"/>
          <w:numId w:val="1"/>
        </w:numPr>
        <w:spacing w:after="120" w:line="276" w:lineRule="auto"/>
      </w:pPr>
      <w:r>
        <w:rPr>
          <w:rFonts w:ascii="Arial" w:hAnsi="Arial" w:eastAsia="Arial" w:cs="Arial"/>
          <w:sz w:val="22"/>
          <w:szCs w:val="22"/>
        </w:rPr>
        <w:t>Define trade invalidation and narrative invalidation separately and respect both.</w:t>
      </w:r>
    </w:p>
    <w:p w14:paraId="0A96091F">
      <w:pPr>
        <w:pStyle w:val="16"/>
        <w:numPr>
          <w:ilvl w:val="0"/>
          <w:numId w:val="1"/>
        </w:numPr>
        <w:spacing w:after="120" w:line="276" w:lineRule="auto"/>
      </w:pPr>
      <w:r>
        <w:rPr>
          <w:rFonts w:ascii="Arial" w:hAnsi="Arial" w:eastAsia="Arial" w:cs="Arial"/>
          <w:sz w:val="22"/>
          <w:szCs w:val="22"/>
        </w:rPr>
        <w:t>Select partial and terminal targets from the liquidity hierarchy.</w:t>
      </w:r>
    </w:p>
    <w:p w14:paraId="521DE3DD">
      <w:pPr>
        <w:pStyle w:val="16"/>
        <w:numPr>
          <w:ilvl w:val="0"/>
          <w:numId w:val="1"/>
        </w:numPr>
        <w:spacing w:after="120" w:line="276" w:lineRule="auto"/>
      </w:pPr>
      <w:r>
        <w:rPr>
          <w:rFonts w:ascii="Arial" w:hAnsi="Arial" w:eastAsia="Arial" w:cs="Arial"/>
          <w:sz w:val="22"/>
          <w:szCs w:val="22"/>
        </w:rPr>
        <w:t>Manage the trade so that management decisions never contradict the still-valid narrative.</w:t>
      </w:r>
    </w:p>
    <w:p w14:paraId="1F6F5756">
      <w:pPr>
        <w:pStyle w:val="16"/>
        <w:numPr>
          <w:ilvl w:val="0"/>
          <w:numId w:val="1"/>
        </w:numPr>
        <w:spacing w:after="120" w:line="276" w:lineRule="auto"/>
      </w:pPr>
      <w:r>
        <w:rPr>
          <w:rFonts w:ascii="Arial" w:hAnsi="Arial" w:eastAsia="Arial" w:cs="Arial"/>
          <w:sz w:val="22"/>
          <w:szCs w:val="22"/>
        </w:rPr>
        <w:t>Avoid premature entry by enforcing the LTF conditioning sequence.</w:t>
      </w:r>
    </w:p>
    <w:p w14:paraId="000BD18C">
      <w:pPr>
        <w:pStyle w:val="2"/>
        <w:spacing w:before="360" w:after="240"/>
      </w:pPr>
      <w:r>
        <w:rPr>
          <w:rFonts w:ascii="Arial" w:hAnsi="Arial" w:eastAsia="Arial" w:cs="Arial"/>
          <w:b/>
          <w:bCs/>
          <w:sz w:val="32"/>
          <w:szCs w:val="32"/>
        </w:rPr>
        <w:t>Module Review</w:t>
      </w:r>
    </w:p>
    <w:p w14:paraId="5026AEEB">
      <w:pPr>
        <w:pStyle w:val="3"/>
        <w:spacing w:before="280" w:after="180"/>
      </w:pPr>
      <w:r>
        <w:rPr>
          <w:rFonts w:ascii="Arial" w:hAnsi="Arial" w:eastAsia="Arial" w:cs="Arial"/>
          <w:b/>
          <w:bCs/>
          <w:sz w:val="26"/>
          <w:szCs w:val="26"/>
        </w:rPr>
        <w:t>Key Terms</w:t>
      </w:r>
    </w:p>
    <w:p w14:paraId="5EB783F0">
      <w:pPr>
        <w:pStyle w:val="16"/>
        <w:numPr>
          <w:ilvl w:val="0"/>
          <w:numId w:val="1"/>
        </w:numPr>
        <w:spacing w:after="120" w:line="276" w:lineRule="auto"/>
      </w:pPr>
      <w:r>
        <w:rPr>
          <w:rFonts w:ascii="Arial" w:hAnsi="Arial" w:eastAsia="Arial" w:cs="Arial"/>
          <w:sz w:val="22"/>
          <w:szCs w:val="22"/>
        </w:rPr>
        <w:t>HTF location check — final confirmation of premium/discount and higher-timeframe invalidation status.</w:t>
      </w:r>
    </w:p>
    <w:p w14:paraId="67B5ACD4">
      <w:pPr>
        <w:pStyle w:val="16"/>
        <w:numPr>
          <w:ilvl w:val="0"/>
          <w:numId w:val="1"/>
        </w:numPr>
        <w:spacing w:after="120" w:line="276" w:lineRule="auto"/>
      </w:pPr>
      <w:r>
        <w:rPr>
          <w:rFonts w:ascii="Arial" w:hAnsi="Arial" w:eastAsia="Arial" w:cs="Arial"/>
          <w:sz w:val="22"/>
          <w:szCs w:val="22"/>
        </w:rPr>
        <w:t>LTF confirmation — liquidity event + displacement + MSS at the execution timeframe.</w:t>
      </w:r>
    </w:p>
    <w:p w14:paraId="7B76C815">
      <w:pPr>
        <w:pStyle w:val="16"/>
        <w:numPr>
          <w:ilvl w:val="0"/>
          <w:numId w:val="1"/>
        </w:numPr>
        <w:spacing w:after="120" w:line="276" w:lineRule="auto"/>
      </w:pPr>
      <w:r>
        <w:rPr>
          <w:rFonts w:ascii="Arial" w:hAnsi="Arial" w:eastAsia="Arial" w:cs="Arial"/>
          <w:sz w:val="22"/>
          <w:szCs w:val="22"/>
        </w:rPr>
        <w:t>Entry refinement — selection of the tightest valid PD array (CE, FVG, OB, OTE, Breaker, IFVG).</w:t>
      </w:r>
    </w:p>
    <w:p w14:paraId="425C93B3">
      <w:pPr>
        <w:pStyle w:val="16"/>
        <w:numPr>
          <w:ilvl w:val="0"/>
          <w:numId w:val="1"/>
        </w:numPr>
        <w:spacing w:after="120" w:line="276" w:lineRule="auto"/>
      </w:pPr>
      <w:r>
        <w:rPr>
          <w:rFonts w:ascii="Arial" w:hAnsi="Arial" w:eastAsia="Arial" w:cs="Arial"/>
          <w:sz w:val="22"/>
          <w:szCs w:val="22"/>
        </w:rPr>
        <w:t>Trade invalidation — level that ends the specific entry.</w:t>
      </w:r>
    </w:p>
    <w:p w14:paraId="1F1AC9AA">
      <w:pPr>
        <w:pStyle w:val="16"/>
        <w:numPr>
          <w:ilvl w:val="0"/>
          <w:numId w:val="1"/>
        </w:numPr>
        <w:spacing w:after="120" w:line="276" w:lineRule="auto"/>
      </w:pPr>
      <w:r>
        <w:rPr>
          <w:rFonts w:ascii="Arial" w:hAnsi="Arial" w:eastAsia="Arial" w:cs="Arial"/>
          <w:sz w:val="22"/>
          <w:szCs w:val="22"/>
        </w:rPr>
        <w:t>Narrative invalidation — level or condition that retires the bias.</w:t>
      </w:r>
    </w:p>
    <w:p w14:paraId="06CABDB8">
      <w:pPr>
        <w:pStyle w:val="16"/>
        <w:numPr>
          <w:ilvl w:val="0"/>
          <w:numId w:val="1"/>
        </w:numPr>
        <w:spacing w:after="120" w:line="276" w:lineRule="auto"/>
      </w:pPr>
      <w:r>
        <w:rPr>
          <w:rFonts w:ascii="Arial" w:hAnsi="Arial" w:eastAsia="Arial" w:cs="Arial"/>
          <w:sz w:val="22"/>
          <w:szCs w:val="22"/>
        </w:rPr>
        <w:t>Partial exit — predetermined reduction at intermediate liquidity.</w:t>
      </w:r>
    </w:p>
    <w:p w14:paraId="241422D3">
      <w:pPr>
        <w:pStyle w:val="16"/>
        <w:numPr>
          <w:ilvl w:val="0"/>
          <w:numId w:val="1"/>
        </w:numPr>
        <w:spacing w:after="120" w:line="276" w:lineRule="auto"/>
      </w:pPr>
      <w:r>
        <w:rPr>
          <w:rFonts w:ascii="Arial" w:hAnsi="Arial" w:eastAsia="Arial" w:cs="Arial"/>
          <w:sz w:val="22"/>
          <w:szCs w:val="22"/>
        </w:rPr>
        <w:t>Runner — remaining position aimed at the terminal DOL.</w:t>
      </w:r>
    </w:p>
    <w:p w14:paraId="1E8168CE">
      <w:pPr>
        <w:pStyle w:val="16"/>
        <w:numPr>
          <w:ilvl w:val="0"/>
          <w:numId w:val="1"/>
        </w:numPr>
        <w:spacing w:after="120" w:line="276" w:lineRule="auto"/>
      </w:pPr>
      <w:r>
        <w:rPr>
          <w:rFonts w:ascii="Arial" w:hAnsi="Arial" w:eastAsia="Arial" w:cs="Arial"/>
          <w:sz w:val="22"/>
          <w:szCs w:val="22"/>
        </w:rPr>
        <w:t>Premature entry — entry before the required LTF sequence has completed.</w:t>
      </w:r>
    </w:p>
    <w:p w14:paraId="4F26A93D">
      <w:pPr>
        <w:pStyle w:val="3"/>
        <w:spacing w:before="280" w:after="180"/>
      </w:pPr>
      <w:r>
        <w:rPr>
          <w:rFonts w:ascii="Arial" w:hAnsi="Arial" w:eastAsia="Arial" w:cs="Arial"/>
          <w:b/>
          <w:bCs/>
          <w:sz w:val="26"/>
          <w:szCs w:val="26"/>
        </w:rPr>
        <w:t>Self-Test</w:t>
      </w:r>
    </w:p>
    <w:p w14:paraId="74D48E26">
      <w:pPr>
        <w:pStyle w:val="16"/>
        <w:numPr>
          <w:ilvl w:val="0"/>
          <w:numId w:val="2"/>
        </w:numPr>
        <w:spacing w:after="120" w:line="276" w:lineRule="auto"/>
      </w:pPr>
      <w:r>
        <w:rPr>
          <w:rFonts w:ascii="Arial" w:hAnsi="Arial" w:eastAsia="Arial" w:cs="Arial"/>
          <w:sz w:val="22"/>
          <w:szCs w:val="22"/>
        </w:rPr>
        <w:t>What three LTF events must usually print before a continuation entry?</w:t>
      </w:r>
    </w:p>
    <w:p w14:paraId="6E312ADF">
      <w:pPr>
        <w:pStyle w:val="16"/>
        <w:numPr>
          <w:ilvl w:val="0"/>
          <w:numId w:val="2"/>
        </w:numPr>
        <w:spacing w:after="120" w:line="276" w:lineRule="auto"/>
      </w:pPr>
      <w:r>
        <w:rPr>
          <w:rFonts w:ascii="Arial" w:hAnsi="Arial" w:eastAsia="Arial" w:cs="Arial"/>
          <w:sz w:val="22"/>
          <w:szCs w:val="22"/>
        </w:rPr>
        <w:t>What is the preferred order of entry refinement?</w:t>
      </w:r>
    </w:p>
    <w:p w14:paraId="675F98FA">
      <w:pPr>
        <w:pStyle w:val="16"/>
        <w:numPr>
          <w:ilvl w:val="0"/>
          <w:numId w:val="2"/>
        </w:numPr>
        <w:spacing w:after="120" w:line="276" w:lineRule="auto"/>
      </w:pPr>
      <w:r>
        <w:rPr>
          <w:rFonts w:ascii="Arial" w:hAnsi="Arial" w:eastAsia="Arial" w:cs="Arial"/>
          <w:sz w:val="22"/>
          <w:szCs w:val="22"/>
        </w:rPr>
        <w:t>How does trade invalidation differ from narrative invalidation?</w:t>
      </w:r>
    </w:p>
    <w:p w14:paraId="76AC5299">
      <w:pPr>
        <w:pStyle w:val="16"/>
        <w:numPr>
          <w:ilvl w:val="0"/>
          <w:numId w:val="2"/>
        </w:numPr>
        <w:spacing w:after="120" w:line="276" w:lineRule="auto"/>
      </w:pPr>
      <w:r>
        <w:rPr>
          <w:rFonts w:ascii="Arial" w:hAnsi="Arial" w:eastAsia="Arial" w:cs="Arial"/>
          <w:sz w:val="22"/>
          <w:szCs w:val="22"/>
        </w:rPr>
        <w:t>Where do partial and terminal targets come from?</w:t>
      </w:r>
    </w:p>
    <w:p w14:paraId="165AD85A">
      <w:pPr>
        <w:pStyle w:val="16"/>
        <w:numPr>
          <w:ilvl w:val="0"/>
          <w:numId w:val="2"/>
        </w:numPr>
        <w:spacing w:after="120" w:line="276" w:lineRule="auto"/>
      </w:pPr>
      <w:r>
        <w:rPr>
          <w:rFonts w:ascii="Arial" w:hAnsi="Arial" w:eastAsia="Arial" w:cs="Arial"/>
          <w:sz w:val="22"/>
          <w:szCs w:val="22"/>
        </w:rPr>
        <w:t>List the eight items on the pre-entry checklist.</w:t>
      </w:r>
    </w:p>
    <w:p w14:paraId="47176479">
      <w:pPr>
        <w:pStyle w:val="3"/>
        <w:spacing w:before="280" w:after="180"/>
      </w:pPr>
      <w:r>
        <w:rPr>
          <w:rFonts w:ascii="Arial" w:hAnsi="Arial" w:eastAsia="Arial" w:cs="Arial"/>
          <w:b/>
          <w:bCs/>
          <w:sz w:val="26"/>
          <w:szCs w:val="26"/>
        </w:rPr>
        <w:t>Transition to Module 17</w:t>
      </w:r>
    </w:p>
    <w:p w14:paraId="40CDB65C">
      <w:pPr>
        <w:spacing w:after="200" w:line="276" w:lineRule="auto"/>
      </w:pPr>
      <w:r>
        <w:rPr>
          <w:rFonts w:ascii="Arial" w:hAnsi="Arial" w:eastAsia="Arial" w:cs="Arial"/>
          <w:sz w:val="22"/>
          <w:szCs w:val="22"/>
        </w:rPr>
        <w:t>Module 16 has refined the execution of the authorised model. Module 17 (Advanced Risk &amp; Trade Management) will place that execution inside a risk framework — position sizing, maximum daily risk, loss limits, invalidation discipline, and the psychological rules that protect the narrative-driven process from emotional override.</w:t>
      </w:r>
    </w:p>
    <w:p w14:paraId="23D31C82">
      <w:pPr>
        <w:spacing w:after="200" w:line="276" w:lineRule="auto"/>
        <w:rPr>
          <w:rFonts w:ascii="Arial" w:hAnsi="Arial" w:eastAsia="Arial" w:cs="Arial"/>
          <w:sz w:val="22"/>
          <w:szCs w:val="22"/>
        </w:rPr>
      </w:pPr>
    </w:p>
    <w:p w14:paraId="512CBC56">
      <w:pPr>
        <w:spacing w:after="200" w:line="276" w:lineRule="auto"/>
        <w:rPr>
          <w:rFonts w:ascii="Arial" w:hAnsi="Arial" w:eastAsia="Arial" w:cs="Arial"/>
          <w:sz w:val="22"/>
          <w:szCs w:val="22"/>
        </w:rPr>
      </w:pPr>
    </w:p>
    <w:p w14:paraId="646411C3">
      <w:pPr>
        <w:spacing w:after="200" w:line="276" w:lineRule="auto"/>
        <w:rPr>
          <w:rFonts w:ascii="Arial" w:hAnsi="Arial" w:eastAsia="Arial" w:cs="Arial"/>
          <w:sz w:val="22"/>
          <w:szCs w:val="22"/>
        </w:rPr>
      </w:pPr>
    </w:p>
    <w:p w14:paraId="670E9A69">
      <w:pPr>
        <w:spacing w:after="200" w:line="276" w:lineRule="auto"/>
        <w:rPr>
          <w:rFonts w:ascii="Arial" w:hAnsi="Arial" w:eastAsia="Arial" w:cs="Arial"/>
          <w:sz w:val="22"/>
          <w:szCs w:val="22"/>
        </w:rPr>
      </w:pPr>
    </w:p>
    <w:p w14:paraId="19558011">
      <w:pPr>
        <w:spacing w:after="200" w:line="276" w:lineRule="auto"/>
        <w:rPr>
          <w:rFonts w:ascii="Arial" w:hAnsi="Arial" w:eastAsia="Arial" w:cs="Arial"/>
          <w:sz w:val="22"/>
          <w:szCs w:val="22"/>
        </w:rPr>
      </w:pPr>
    </w:p>
    <w:p w14:paraId="56FB74DD">
      <w:pPr>
        <w:spacing w:after="200" w:line="276" w:lineRule="auto"/>
        <w:rPr>
          <w:rFonts w:ascii="Arial" w:hAnsi="Arial" w:eastAsia="Arial" w:cs="Arial"/>
          <w:sz w:val="22"/>
          <w:szCs w:val="22"/>
        </w:rPr>
      </w:pPr>
    </w:p>
    <w:p w14:paraId="4DC28EFD">
      <w:pPr>
        <w:spacing w:after="200" w:line="276" w:lineRule="auto"/>
        <w:rPr>
          <w:rFonts w:ascii="Arial" w:hAnsi="Arial" w:eastAsia="Arial" w:cs="Arial"/>
          <w:sz w:val="22"/>
          <w:szCs w:val="22"/>
        </w:rPr>
      </w:pPr>
    </w:p>
    <w:p w14:paraId="4ADF08EC">
      <w:pPr>
        <w:spacing w:after="200" w:line="276" w:lineRule="auto"/>
        <w:rPr>
          <w:rFonts w:ascii="Arial" w:hAnsi="Arial" w:eastAsia="Arial" w:cs="Arial"/>
          <w:sz w:val="22"/>
          <w:szCs w:val="22"/>
        </w:rPr>
      </w:pPr>
    </w:p>
    <w:p w14:paraId="7A57E7F7">
      <w:pPr>
        <w:spacing w:after="200" w:line="276" w:lineRule="auto"/>
        <w:rPr>
          <w:rFonts w:ascii="Arial" w:hAnsi="Arial" w:eastAsia="Arial" w:cs="Arial"/>
          <w:sz w:val="22"/>
          <w:szCs w:val="22"/>
        </w:rPr>
      </w:pPr>
    </w:p>
    <w:p w14:paraId="2F751588">
      <w:pPr>
        <w:spacing w:after="200" w:line="276" w:lineRule="auto"/>
        <w:rPr>
          <w:rFonts w:ascii="Arial" w:hAnsi="Arial" w:eastAsia="Arial" w:cs="Arial"/>
          <w:sz w:val="22"/>
          <w:szCs w:val="22"/>
        </w:rPr>
      </w:pPr>
    </w:p>
    <w:p w14:paraId="228661C6">
      <w:pPr>
        <w:spacing w:after="200" w:line="276" w:lineRule="auto"/>
        <w:rPr>
          <w:rFonts w:ascii="Arial" w:hAnsi="Arial" w:eastAsia="Arial" w:cs="Arial"/>
          <w:sz w:val="22"/>
          <w:szCs w:val="22"/>
        </w:rPr>
      </w:pPr>
    </w:p>
    <w:p w14:paraId="64446FE6">
      <w:pPr>
        <w:spacing w:after="200" w:line="276" w:lineRule="auto"/>
        <w:rPr>
          <w:rFonts w:ascii="Arial" w:hAnsi="Arial" w:eastAsia="Arial" w:cs="Arial"/>
          <w:sz w:val="22"/>
          <w:szCs w:val="22"/>
        </w:rPr>
      </w:pPr>
    </w:p>
    <w:p w14:paraId="0E936D87">
      <w:pPr>
        <w:spacing w:after="200" w:line="276" w:lineRule="auto"/>
        <w:rPr>
          <w:rFonts w:ascii="Arial" w:hAnsi="Arial" w:eastAsia="Arial" w:cs="Arial"/>
          <w:sz w:val="22"/>
          <w:szCs w:val="22"/>
        </w:rPr>
      </w:pPr>
    </w:p>
    <w:p w14:paraId="6D62DC1C">
      <w:pPr>
        <w:spacing w:after="200" w:line="276" w:lineRule="auto"/>
        <w:rPr>
          <w:rFonts w:ascii="Arial" w:hAnsi="Arial" w:eastAsia="Arial" w:cs="Arial"/>
          <w:sz w:val="22"/>
          <w:szCs w:val="22"/>
        </w:rPr>
      </w:pPr>
    </w:p>
    <w:p w14:paraId="54E1D752">
      <w:pPr>
        <w:spacing w:after="200" w:line="276" w:lineRule="auto"/>
        <w:rPr>
          <w:rFonts w:ascii="Arial" w:hAnsi="Arial" w:eastAsia="Arial" w:cs="Arial"/>
          <w:sz w:val="22"/>
          <w:szCs w:val="22"/>
        </w:rPr>
      </w:pPr>
    </w:p>
    <w:p w14:paraId="552B6B6D">
      <w:pPr>
        <w:spacing w:after="200" w:line="276" w:lineRule="auto"/>
        <w:rPr>
          <w:rFonts w:ascii="Arial" w:hAnsi="Arial" w:eastAsia="Arial" w:cs="Arial"/>
          <w:sz w:val="22"/>
          <w:szCs w:val="22"/>
        </w:rPr>
      </w:pPr>
    </w:p>
    <w:p w14:paraId="4BDDB4D1">
      <w:pPr>
        <w:spacing w:after="200" w:line="276" w:lineRule="auto"/>
        <w:rPr>
          <w:rFonts w:ascii="Arial" w:hAnsi="Arial" w:eastAsia="Arial" w:cs="Arial"/>
          <w:sz w:val="22"/>
          <w:szCs w:val="22"/>
        </w:rPr>
      </w:pPr>
    </w:p>
    <w:p w14:paraId="09F07BB3">
      <w:pPr>
        <w:spacing w:after="200" w:line="276" w:lineRule="auto"/>
        <w:rPr>
          <w:rFonts w:ascii="Arial" w:hAnsi="Arial" w:eastAsia="Arial" w:cs="Arial"/>
          <w:sz w:val="22"/>
          <w:szCs w:val="22"/>
        </w:rPr>
      </w:pPr>
    </w:p>
    <w:p w14:paraId="68530E3B">
      <w:pPr>
        <w:spacing w:after="200" w:line="276" w:lineRule="auto"/>
        <w:rPr>
          <w:rFonts w:ascii="Arial" w:hAnsi="Arial" w:eastAsia="Arial" w:cs="Arial"/>
          <w:sz w:val="22"/>
          <w:szCs w:val="22"/>
        </w:rPr>
      </w:pPr>
    </w:p>
    <w:p w14:paraId="74AC6888">
      <w:pPr>
        <w:spacing w:after="200" w:line="276" w:lineRule="auto"/>
        <w:rPr>
          <w:rFonts w:ascii="Arial" w:hAnsi="Arial" w:eastAsia="Arial" w:cs="Arial"/>
          <w:sz w:val="22"/>
          <w:szCs w:val="22"/>
        </w:rPr>
      </w:pPr>
    </w:p>
    <w:p w14:paraId="2962C4EB">
      <w:pPr>
        <w:spacing w:after="200" w:line="276" w:lineRule="auto"/>
        <w:rPr>
          <w:rFonts w:ascii="Arial" w:hAnsi="Arial" w:eastAsia="Arial" w:cs="Arial"/>
          <w:sz w:val="22"/>
          <w:szCs w:val="22"/>
        </w:rPr>
      </w:pPr>
    </w:p>
    <w:p w14:paraId="26B2C1D8">
      <w:pPr>
        <w:spacing w:after="400"/>
        <w:jc w:val="center"/>
      </w:pPr>
      <w:r>
        <w:rPr>
          <w:rFonts w:ascii="Arial" w:hAnsi="Arial" w:eastAsia="Arial" w:cs="Arial"/>
          <w:b/>
          <w:bCs/>
          <w:sz w:val="36"/>
          <w:szCs w:val="36"/>
        </w:rPr>
        <w:t>MODULE 17</w:t>
      </w:r>
    </w:p>
    <w:p w14:paraId="12ACECB2">
      <w:pPr>
        <w:spacing w:after="200"/>
        <w:jc w:val="center"/>
      </w:pPr>
      <w:r>
        <w:rPr>
          <w:rFonts w:ascii="Arial" w:hAnsi="Arial" w:eastAsia="Arial" w:cs="Arial"/>
          <w:b/>
          <w:bCs/>
          <w:sz w:val="28"/>
          <w:szCs w:val="28"/>
        </w:rPr>
        <w:t>Advanced Risk &amp; Trade Management</w:t>
      </w:r>
    </w:p>
    <w:p w14:paraId="7B0602FF">
      <w:pPr>
        <w:spacing w:after="400"/>
        <w:jc w:val="center"/>
      </w:pPr>
      <w:r>
        <w:rPr>
          <w:rFonts w:ascii="Arial" w:hAnsi="Arial" w:eastAsia="Arial" w:cs="Arial"/>
          <w:i/>
          <w:iCs/>
          <w:sz w:val="20"/>
          <w:szCs w:val="20"/>
        </w:rPr>
        <w:t>Invalidation, Position Sizing, Daily Risk Limits, Partials, R:R as Outcome, Overtrading, Revenge Trading, Model Invalidation, Psychological Discipline</w:t>
      </w:r>
    </w:p>
    <w:p w14:paraId="73C5235C">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Modules 1–16. Risk management is treated strictly inside the execution of ICT models. Generic trading-psychology content is omitted; only the disciplines that protect narrative-driven process are included.</w:t>
      </w:r>
    </w:p>
    <w:p w14:paraId="23E7597F">
      <w:pPr>
        <w:pStyle w:val="2"/>
        <w:spacing w:before="360" w:after="240"/>
      </w:pPr>
      <w:r>
        <w:rPr>
          <w:rFonts w:ascii="Arial" w:hAnsi="Arial" w:eastAsia="Arial" w:cs="Arial"/>
          <w:b/>
          <w:bCs/>
          <w:sz w:val="32"/>
          <w:szCs w:val="32"/>
        </w:rPr>
        <w:t>Module Objectives</w:t>
      </w:r>
    </w:p>
    <w:p w14:paraId="14227CA5">
      <w:pPr>
        <w:spacing w:after="200" w:line="276" w:lineRule="auto"/>
      </w:pPr>
      <w:r>
        <w:rPr>
          <w:rFonts w:ascii="Arial" w:hAnsi="Arial" w:eastAsia="Arial" w:cs="Arial"/>
          <w:sz w:val="22"/>
          <w:szCs w:val="22"/>
        </w:rPr>
        <w:t>By the end of this module the advanced student should be able to:</w:t>
      </w:r>
    </w:p>
    <w:p w14:paraId="6D103E33">
      <w:pPr>
        <w:pStyle w:val="16"/>
        <w:numPr>
          <w:ilvl w:val="0"/>
          <w:numId w:val="1"/>
        </w:numPr>
        <w:spacing w:after="120" w:line="276" w:lineRule="auto"/>
      </w:pPr>
      <w:r>
        <w:rPr>
          <w:rFonts w:ascii="Arial" w:hAnsi="Arial" w:eastAsia="Arial" w:cs="Arial"/>
          <w:sz w:val="22"/>
          <w:szCs w:val="22"/>
        </w:rPr>
        <w:t>Place logical stops at narrative-relevant invalidation levels rather than arbitrary distances.</w:t>
      </w:r>
    </w:p>
    <w:p w14:paraId="323CE4B1">
      <w:pPr>
        <w:pStyle w:val="16"/>
        <w:numPr>
          <w:ilvl w:val="0"/>
          <w:numId w:val="1"/>
        </w:numPr>
        <w:spacing w:after="120" w:line="276" w:lineRule="auto"/>
      </w:pPr>
      <w:r>
        <w:rPr>
          <w:rFonts w:ascii="Arial" w:hAnsi="Arial" w:eastAsia="Arial" w:cs="Arial"/>
          <w:sz w:val="22"/>
          <w:szCs w:val="22"/>
        </w:rPr>
        <w:t>Size positions so that a single trade risk stays inside a predefined fraction of equity.</w:t>
      </w:r>
    </w:p>
    <w:p w14:paraId="1C9DD01C">
      <w:pPr>
        <w:pStyle w:val="16"/>
        <w:numPr>
          <w:ilvl w:val="0"/>
          <w:numId w:val="1"/>
        </w:numPr>
        <w:spacing w:after="120" w:line="276" w:lineRule="auto"/>
      </w:pPr>
      <w:r>
        <w:rPr>
          <w:rFonts w:ascii="Arial" w:hAnsi="Arial" w:eastAsia="Arial" w:cs="Arial"/>
          <w:sz w:val="22"/>
          <w:szCs w:val="22"/>
        </w:rPr>
        <w:t>Enforce a maximum daily risk and a daily loss limit that terminate trading for the session.</w:t>
      </w:r>
    </w:p>
    <w:p w14:paraId="1B77CEB2">
      <w:pPr>
        <w:pStyle w:val="16"/>
        <w:numPr>
          <w:ilvl w:val="0"/>
          <w:numId w:val="1"/>
        </w:numPr>
        <w:spacing w:after="120" w:line="276" w:lineRule="auto"/>
      </w:pPr>
      <w:r>
        <w:rPr>
          <w:rFonts w:ascii="Arial" w:hAnsi="Arial" w:eastAsia="Arial" w:cs="Arial"/>
          <w:sz w:val="22"/>
          <w:szCs w:val="22"/>
        </w:rPr>
        <w:t>Treat risk/reward as an outcome of the narrative’s geometry, not as a filter that rejects valid ICT models.</w:t>
      </w:r>
    </w:p>
    <w:p w14:paraId="16577AD1">
      <w:pPr>
        <w:pStyle w:val="16"/>
        <w:numPr>
          <w:ilvl w:val="0"/>
          <w:numId w:val="1"/>
        </w:numPr>
        <w:spacing w:after="120" w:line="276" w:lineRule="auto"/>
      </w:pPr>
      <w:r>
        <w:rPr>
          <w:rFonts w:ascii="Arial" w:hAnsi="Arial" w:eastAsia="Arial" w:cs="Arial"/>
          <w:sz w:val="22"/>
          <w:szCs w:val="22"/>
        </w:rPr>
        <w:t>Apply partial profit-taking without abandoning a still-valid terminal Draw on Liquidity.</w:t>
      </w:r>
    </w:p>
    <w:p w14:paraId="290451C9">
      <w:pPr>
        <w:pStyle w:val="16"/>
        <w:numPr>
          <w:ilvl w:val="0"/>
          <w:numId w:val="1"/>
        </w:numPr>
        <w:spacing w:after="120" w:line="276" w:lineRule="auto"/>
      </w:pPr>
      <w:r>
        <w:rPr>
          <w:rFonts w:ascii="Arial" w:hAnsi="Arial" w:eastAsia="Arial" w:cs="Arial"/>
          <w:sz w:val="22"/>
          <w:szCs w:val="22"/>
        </w:rPr>
        <w:t>Recognise and stop overtrading and revenge trading the moment they appear.</w:t>
      </w:r>
    </w:p>
    <w:p w14:paraId="6FCC8E50">
      <w:pPr>
        <w:pStyle w:val="16"/>
        <w:numPr>
          <w:ilvl w:val="0"/>
          <w:numId w:val="1"/>
        </w:numPr>
        <w:spacing w:after="120" w:line="276" w:lineRule="auto"/>
      </w:pPr>
      <w:r>
        <w:rPr>
          <w:rFonts w:ascii="Arial" w:hAnsi="Arial" w:eastAsia="Arial" w:cs="Arial"/>
          <w:sz w:val="22"/>
          <w:szCs w:val="22"/>
        </w:rPr>
        <w:t>Retire models and bias immediately upon narrative invalidation.</w:t>
      </w:r>
    </w:p>
    <w:p w14:paraId="7CDCAF1C">
      <w:pPr>
        <w:pStyle w:val="16"/>
        <w:numPr>
          <w:ilvl w:val="0"/>
          <w:numId w:val="1"/>
        </w:numPr>
        <w:spacing w:after="120" w:line="276" w:lineRule="auto"/>
      </w:pPr>
      <w:r>
        <w:rPr>
          <w:rFonts w:ascii="Arial" w:hAnsi="Arial" w:eastAsia="Arial" w:cs="Arial"/>
          <w:sz w:val="22"/>
          <w:szCs w:val="22"/>
        </w:rPr>
        <w:t>Maintain the psychological discipline required to stand aside when no model is authorised.</w:t>
      </w:r>
    </w:p>
    <w:p w14:paraId="52F3045A">
      <w:pPr>
        <w:pStyle w:val="2"/>
        <w:spacing w:before="360" w:after="240"/>
      </w:pPr>
      <w:r>
        <w:rPr>
          <w:rFonts w:ascii="Arial" w:hAnsi="Arial" w:eastAsia="Arial" w:cs="Arial"/>
          <w:b/>
          <w:bCs/>
          <w:sz w:val="32"/>
          <w:szCs w:val="32"/>
        </w:rPr>
        <w:t>1. Invalidation as the Core Risk Concept</w:t>
      </w:r>
    </w:p>
    <w:p w14:paraId="0540C2FF">
      <w:pPr>
        <w:pStyle w:val="3"/>
        <w:spacing w:before="280" w:after="180"/>
      </w:pPr>
      <w:r>
        <w:rPr>
          <w:rFonts w:ascii="Arial" w:hAnsi="Arial" w:eastAsia="Arial" w:cs="Arial"/>
          <w:b/>
          <w:bCs/>
          <w:sz w:val="26"/>
          <w:szCs w:val="26"/>
        </w:rPr>
        <w:t>1.1 Logical Stop Placement</w:t>
      </w:r>
    </w:p>
    <w:p w14:paraId="79872445">
      <w:pPr>
        <w:spacing w:after="200" w:line="276" w:lineRule="auto"/>
      </w:pPr>
      <w:r>
        <w:rPr>
          <w:rFonts w:ascii="Arial" w:hAnsi="Arial" w:eastAsia="Arial" w:cs="Arial"/>
          <w:sz w:val="22"/>
          <w:szCs w:val="22"/>
        </w:rPr>
        <w:t>Stops are placed at levels that, if reached, negate the premise of the trade:</w:t>
      </w:r>
    </w:p>
    <w:p w14:paraId="0F044E5D">
      <w:pPr>
        <w:pStyle w:val="16"/>
        <w:numPr>
          <w:ilvl w:val="0"/>
          <w:numId w:val="1"/>
        </w:numPr>
        <w:spacing w:after="120" w:line="276" w:lineRule="auto"/>
      </w:pPr>
      <w:r>
        <w:rPr>
          <w:rFonts w:ascii="Arial" w:hAnsi="Arial" w:eastAsia="Arial" w:cs="Arial"/>
          <w:sz w:val="22"/>
          <w:szCs w:val="22"/>
        </w:rPr>
        <w:t>Beyond the far side of the entry PD array,</w:t>
      </w:r>
    </w:p>
    <w:p w14:paraId="270A16F4">
      <w:pPr>
        <w:pStyle w:val="16"/>
        <w:numPr>
          <w:ilvl w:val="0"/>
          <w:numId w:val="1"/>
        </w:numPr>
        <w:spacing w:after="120" w:line="276" w:lineRule="auto"/>
      </w:pPr>
      <w:r>
        <w:rPr>
          <w:rFonts w:ascii="Arial" w:hAnsi="Arial" w:eastAsia="Arial" w:cs="Arial"/>
          <w:sz w:val="22"/>
          <w:szCs w:val="22"/>
        </w:rPr>
        <w:t>Beyond the origin of the displacement that created the array,</w:t>
      </w:r>
    </w:p>
    <w:p w14:paraId="285285C0">
      <w:pPr>
        <w:pStyle w:val="16"/>
        <w:numPr>
          <w:ilvl w:val="0"/>
          <w:numId w:val="1"/>
        </w:numPr>
        <w:spacing w:after="120" w:line="276" w:lineRule="auto"/>
      </w:pPr>
      <w:r>
        <w:rPr>
          <w:rFonts w:ascii="Arial" w:hAnsi="Arial" w:eastAsia="Arial" w:cs="Arial"/>
          <w:sz w:val="22"/>
          <w:szCs w:val="22"/>
        </w:rPr>
        <w:t>Beyond a structural point whose breach would invalidate the internal or external MSS.</w:t>
      </w:r>
    </w:p>
    <w:p w14:paraId="4BA2F0E8">
      <w:pPr>
        <w:spacing w:after="200" w:line="276" w:lineRule="auto"/>
      </w:pPr>
      <w:r>
        <w:rPr>
          <w:rFonts w:ascii="Arial" w:hAnsi="Arial" w:eastAsia="Arial" w:cs="Arial"/>
          <w:sz w:val="22"/>
          <w:szCs w:val="22"/>
        </w:rPr>
        <w:t>Arbitrary fixed-pip or fixed-percentage stops that ignore the narrative geometry are inferior. A stop that is “too wide” relative to the first target may simply mean the trade is not worth taking; it does not justify moving the stop closer to a non-logical level.</w:t>
      </w:r>
    </w:p>
    <w:p w14:paraId="0172EAD5">
      <w:pPr>
        <w:pStyle w:val="3"/>
        <w:spacing w:before="280" w:after="180"/>
      </w:pPr>
      <w:r>
        <w:rPr>
          <w:rFonts w:ascii="Arial" w:hAnsi="Arial" w:eastAsia="Arial" w:cs="Arial"/>
          <w:b/>
          <w:bCs/>
          <w:sz w:val="26"/>
          <w:szCs w:val="26"/>
        </w:rPr>
        <w:t>1.2 Trade vs Narrative Invalidation</w:t>
      </w:r>
    </w:p>
    <w:p w14:paraId="37420485">
      <w:pPr>
        <w:spacing w:after="200" w:line="276" w:lineRule="auto"/>
      </w:pPr>
      <w:r>
        <w:rPr>
          <w:rFonts w:ascii="Arial" w:hAnsi="Arial" w:eastAsia="Arial" w:cs="Arial"/>
          <w:sz w:val="22"/>
          <w:szCs w:val="22"/>
        </w:rPr>
        <w:t>As established in Module 16: trade invalidation ends the specific entry; narrative invalidation ends the bias and forbids further models in the old direction. Both are defined before entry and are respected without negotiation.</w:t>
      </w:r>
    </w:p>
    <w:p w14:paraId="0D270C94">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A/B — Logical, structure- and array-based invalidation is consistent with ICT practice; fixed-pip stops are not ICT doctrine.</w:t>
      </w:r>
    </w:p>
    <w:p w14:paraId="632B65E9">
      <w:pPr>
        <w:pStyle w:val="2"/>
        <w:spacing w:before="360" w:after="240"/>
      </w:pPr>
      <w:r>
        <w:rPr>
          <w:rFonts w:ascii="Arial" w:hAnsi="Arial" w:eastAsia="Arial" w:cs="Arial"/>
          <w:b/>
          <w:bCs/>
          <w:sz w:val="32"/>
          <w:szCs w:val="32"/>
        </w:rPr>
        <w:t>2. Position Sizing</w:t>
      </w:r>
    </w:p>
    <w:p w14:paraId="690E721A">
      <w:pPr>
        <w:pStyle w:val="3"/>
        <w:spacing w:before="280" w:after="180"/>
      </w:pPr>
      <w:r>
        <w:rPr>
          <w:rFonts w:ascii="Arial" w:hAnsi="Arial" w:eastAsia="Arial" w:cs="Arial"/>
          <w:b/>
          <w:bCs/>
          <w:sz w:val="26"/>
          <w:szCs w:val="26"/>
        </w:rPr>
        <w:t>2.1 Risk per Trade</w:t>
      </w:r>
    </w:p>
    <w:p w14:paraId="3F0FBC9D">
      <w:pPr>
        <w:spacing w:after="200" w:line="276" w:lineRule="auto"/>
      </w:pPr>
      <w:r>
        <w:rPr>
          <w:rFonts w:ascii="Arial" w:hAnsi="Arial" w:eastAsia="Arial" w:cs="Arial"/>
          <w:sz w:val="22"/>
          <w:szCs w:val="22"/>
        </w:rPr>
        <w:t>Position size is calculated from the distance between entry and trade invalidation so that the monetary (or percentage) loss at the stop equals a predetermined risk unit (commonly 0.25–1 % of equity, chosen by the individual and held constant). Formula conceptually: Size = (Account risk amount) / (Entry – Invalidation distance).</w:t>
      </w:r>
    </w:p>
    <w:p w14:paraId="40321A4D">
      <w:pPr>
        <w:pStyle w:val="3"/>
        <w:spacing w:before="280" w:after="180"/>
      </w:pPr>
      <w:r>
        <w:rPr>
          <w:rFonts w:ascii="Arial" w:hAnsi="Arial" w:eastAsia="Arial" w:cs="Arial"/>
          <w:b/>
          <w:bCs/>
          <w:sz w:val="26"/>
          <w:szCs w:val="26"/>
        </w:rPr>
        <w:t>2.2 No Size Negotiation After the Fact</w:t>
      </w:r>
    </w:p>
    <w:p w14:paraId="0E72119A">
      <w:pPr>
        <w:spacing w:after="200" w:line="276" w:lineRule="auto"/>
      </w:pPr>
      <w:r>
        <w:rPr>
          <w:rFonts w:ascii="Arial" w:hAnsi="Arial" w:eastAsia="Arial" w:cs="Arial"/>
          <w:sz w:val="22"/>
          <w:szCs w:val="22"/>
        </w:rPr>
        <w:t>Once the invalidation is set by the narrative, size is the residual. The student does not enlarge size by tightening a non-logical stop, nor reduce a valid stop to justify a larger size.</w:t>
      </w:r>
    </w:p>
    <w:p w14:paraId="06D84E48">
      <w:pPr>
        <w:pStyle w:val="2"/>
        <w:spacing w:before="360" w:after="240"/>
      </w:pPr>
      <w:r>
        <w:rPr>
          <w:rFonts w:ascii="Arial" w:hAnsi="Arial" w:eastAsia="Arial" w:cs="Arial"/>
          <w:b/>
          <w:bCs/>
          <w:sz w:val="32"/>
          <w:szCs w:val="32"/>
        </w:rPr>
        <w:t>3. Maximum Daily Risk and Daily Loss Limit</w:t>
      </w:r>
    </w:p>
    <w:p w14:paraId="227F994E">
      <w:pPr>
        <w:pStyle w:val="3"/>
        <w:spacing w:before="280" w:after="180"/>
      </w:pPr>
      <w:r>
        <w:rPr>
          <w:rFonts w:ascii="Arial" w:hAnsi="Arial" w:eastAsia="Arial" w:cs="Arial"/>
          <w:b/>
          <w:bCs/>
          <w:sz w:val="26"/>
          <w:szCs w:val="26"/>
        </w:rPr>
        <w:t>3.1 Maximum Daily Risk</w:t>
      </w:r>
    </w:p>
    <w:p w14:paraId="1422F81F">
      <w:pPr>
        <w:spacing w:after="200" w:line="276" w:lineRule="auto"/>
      </w:pPr>
      <w:r>
        <w:rPr>
          <w:rFonts w:ascii="Arial" w:hAnsi="Arial" w:eastAsia="Arial" w:cs="Arial"/>
          <w:sz w:val="22"/>
          <w:szCs w:val="22"/>
        </w:rPr>
        <w:t>A hard ceiling on the sum of risk committed across all trades in a session (e.g., 1–2 % of equity). When the ceiling is reached, no new risk is added even if a perfect model appears.</w:t>
      </w:r>
    </w:p>
    <w:p w14:paraId="1AD07928">
      <w:pPr>
        <w:pStyle w:val="3"/>
        <w:spacing w:before="280" w:after="180"/>
      </w:pPr>
      <w:r>
        <w:rPr>
          <w:rFonts w:ascii="Arial" w:hAnsi="Arial" w:eastAsia="Arial" w:cs="Arial"/>
          <w:b/>
          <w:bCs/>
          <w:sz w:val="26"/>
          <w:szCs w:val="26"/>
        </w:rPr>
        <w:t>3.2 Daily Loss Limit</w:t>
      </w:r>
    </w:p>
    <w:p w14:paraId="68E8F022">
      <w:pPr>
        <w:spacing w:after="200" w:line="276" w:lineRule="auto"/>
      </w:pPr>
      <w:r>
        <w:rPr>
          <w:rFonts w:ascii="Arial" w:hAnsi="Arial" w:eastAsia="Arial" w:cs="Arial"/>
          <w:sz w:val="22"/>
          <w:szCs w:val="22"/>
        </w:rPr>
        <w:t>A hard floor on realised plus unrealised loss for the day (e.g., 1–3 % of equity). When the limit is hit, trading for that session terminates. The purpose is to protect the account from the sequence of decisions that often follows early losses.</w:t>
      </w:r>
    </w:p>
    <w:p w14:paraId="400E2291">
      <w:pPr>
        <w:pStyle w:val="3"/>
        <w:spacing w:before="280" w:after="180"/>
      </w:pPr>
      <w:r>
        <w:rPr>
          <w:rFonts w:ascii="Arial" w:hAnsi="Arial" w:eastAsia="Arial" w:cs="Arial"/>
          <w:b/>
          <w:bCs/>
          <w:sz w:val="26"/>
          <w:szCs w:val="26"/>
        </w:rPr>
        <w:t>3.3 Relationship to Narrative</w:t>
      </w:r>
    </w:p>
    <w:p w14:paraId="6A5A183E">
      <w:pPr>
        <w:spacing w:after="200" w:line="276" w:lineRule="auto"/>
      </w:pPr>
      <w:r>
        <w:rPr>
          <w:rFonts w:ascii="Arial" w:hAnsi="Arial" w:eastAsia="Arial" w:cs="Arial"/>
          <w:sz w:val="22"/>
          <w:szCs w:val="22"/>
        </w:rPr>
        <w:t>Daily limits are process controls. They do not improve the quality of any single ICT model; they prevent the destruction of capital when the day’s narrative is difficult or the trader’s execution is impaired.</w:t>
      </w:r>
    </w:p>
    <w:p w14:paraId="04A2EE41">
      <w:pPr>
        <w:pStyle w:val="2"/>
        <w:spacing w:before="360" w:after="240"/>
      </w:pPr>
      <w:r>
        <w:rPr>
          <w:rFonts w:ascii="Arial" w:hAnsi="Arial" w:eastAsia="Arial" w:cs="Arial"/>
          <w:b/>
          <w:bCs/>
          <w:sz w:val="32"/>
          <w:szCs w:val="32"/>
        </w:rPr>
        <w:t>4. Risk/Reward as Outcome, Not Filter</w:t>
      </w:r>
    </w:p>
    <w:p w14:paraId="53D328A6">
      <w:pPr>
        <w:spacing w:after="200" w:line="276" w:lineRule="auto"/>
      </w:pPr>
      <w:r>
        <w:rPr>
          <w:rFonts w:ascii="Arial" w:hAnsi="Arial" w:eastAsia="Arial" w:cs="Arial"/>
          <w:sz w:val="22"/>
          <w:szCs w:val="22"/>
        </w:rPr>
        <w:t>In ICT narrative trading, the geometry of the delivery leg (entry at a discount/premium array, target at a liquidity pool) produces a risk/reward ratio as a consequence. That ratio is observed and recorded; it is not used as a primary filter that rejects an otherwise perfect narrative-aligned model solely because the ratio is “only” 1.5 : 1 or 2 : 1. Conversely, a high R:R that requires a non-logical stop or a fantasy target is not a justification for taking a low-quality narrative. Narrative quality first; R:R is the measured result.</w:t>
      </w:r>
    </w:p>
    <w:p w14:paraId="094A0E0D">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C — The explicit ranking of narrative quality above a fixed R:R threshold is advanced process synthesis consistent with ICT’s emphasis on delivery and liquidity over mechanical filters.</w:t>
      </w:r>
    </w:p>
    <w:p w14:paraId="60CE0F5F">
      <w:pPr>
        <w:pStyle w:val="2"/>
        <w:spacing w:before="360" w:after="240"/>
      </w:pPr>
      <w:r>
        <w:rPr>
          <w:rFonts w:ascii="Arial" w:hAnsi="Arial" w:eastAsia="Arial" w:cs="Arial"/>
          <w:b/>
          <w:bCs/>
          <w:sz w:val="32"/>
          <w:szCs w:val="32"/>
        </w:rPr>
        <w:t>5. Partial Profit-Taking and Target Liquidity</w:t>
      </w:r>
    </w:p>
    <w:p w14:paraId="49B67AB8">
      <w:pPr>
        <w:pStyle w:val="3"/>
        <w:spacing w:before="280" w:after="180"/>
      </w:pPr>
      <w:r>
        <w:rPr>
          <w:rFonts w:ascii="Arial" w:hAnsi="Arial" w:eastAsia="Arial" w:cs="Arial"/>
          <w:b/>
          <w:bCs/>
          <w:sz w:val="26"/>
          <w:szCs w:val="26"/>
        </w:rPr>
        <w:t>5.1 Partials at Intermediate Liquidity</w:t>
      </w:r>
    </w:p>
    <w:p w14:paraId="3BA0DD5F">
      <w:pPr>
        <w:spacing w:after="200" w:line="276" w:lineRule="auto"/>
      </w:pPr>
      <w:r>
        <w:rPr>
          <w:rFonts w:ascii="Arial" w:hAnsi="Arial" w:eastAsia="Arial" w:cs="Arial"/>
          <w:sz w:val="22"/>
          <w:szCs w:val="22"/>
        </w:rPr>
        <w:t>Partial exits at the first high-quality intermediate pool (Module 3 liquidity hierarchy) reduce risk and lock a portion of the narrative’s expected delivery. The remaining runner continues toward the terminal Draw on Liquidity while the narrative remains valid.</w:t>
      </w:r>
    </w:p>
    <w:p w14:paraId="623E791C">
      <w:pPr>
        <w:pStyle w:val="3"/>
        <w:spacing w:before="280" w:after="180"/>
      </w:pPr>
      <w:r>
        <w:rPr>
          <w:rFonts w:ascii="Arial" w:hAnsi="Arial" w:eastAsia="Arial" w:cs="Arial"/>
          <w:b/>
          <w:bCs/>
          <w:sz w:val="26"/>
          <w:szCs w:val="26"/>
        </w:rPr>
        <w:t>5.2 No Abandonment of the Terminal DOL</w:t>
      </w:r>
    </w:p>
    <w:p w14:paraId="7027D962">
      <w:pPr>
        <w:spacing w:after="200" w:line="276" w:lineRule="auto"/>
      </w:pPr>
      <w:r>
        <w:rPr>
          <w:rFonts w:ascii="Arial" w:hAnsi="Arial" w:eastAsia="Arial" w:cs="Arial"/>
          <w:sz w:val="22"/>
          <w:szCs w:val="22"/>
        </w:rPr>
        <w:t>Taking a partial does not authorise closing the entire position simply because “some profit is banked.” The runner is closed when the terminal target is reached, when narrative invalidation prints, or when a predetermined trailing rule tied to structure is triggered.</w:t>
      </w:r>
    </w:p>
    <w:p w14:paraId="0B5E50CA">
      <w:pPr>
        <w:pStyle w:val="2"/>
        <w:spacing w:before="360" w:after="240"/>
      </w:pPr>
      <w:r>
        <w:rPr>
          <w:rFonts w:ascii="Arial" w:hAnsi="Arial" w:eastAsia="Arial" w:cs="Arial"/>
          <w:b/>
          <w:bCs/>
          <w:sz w:val="32"/>
          <w:szCs w:val="32"/>
        </w:rPr>
        <w:t>6. Model Invalidation</w:t>
      </w:r>
    </w:p>
    <w:p w14:paraId="3345DA5D">
      <w:pPr>
        <w:spacing w:after="200" w:line="276" w:lineRule="auto"/>
      </w:pPr>
      <w:r>
        <w:rPr>
          <w:rFonts w:ascii="Arial" w:hAnsi="Arial" w:eastAsia="Arial" w:cs="Arial"/>
          <w:sz w:val="22"/>
          <w:szCs w:val="22"/>
        </w:rPr>
        <w:t>When the narrative or bias is invalidated:</w:t>
      </w:r>
    </w:p>
    <w:p w14:paraId="6439EAA4">
      <w:pPr>
        <w:pStyle w:val="16"/>
        <w:numPr>
          <w:ilvl w:val="0"/>
          <w:numId w:val="1"/>
        </w:numPr>
        <w:spacing w:after="120" w:line="276" w:lineRule="auto"/>
      </w:pPr>
      <w:r>
        <w:rPr>
          <w:rFonts w:ascii="Arial" w:hAnsi="Arial" w:eastAsia="Arial" w:cs="Arial"/>
          <w:sz w:val="22"/>
          <w:szCs w:val="22"/>
        </w:rPr>
        <w:t>Open positions that depended on the old narrative are closed or managed to the new invalidation.</w:t>
      </w:r>
    </w:p>
    <w:p w14:paraId="0DB388FF">
      <w:pPr>
        <w:pStyle w:val="16"/>
        <w:numPr>
          <w:ilvl w:val="0"/>
          <w:numId w:val="1"/>
        </w:numPr>
        <w:spacing w:after="120" w:line="276" w:lineRule="auto"/>
      </w:pPr>
      <w:r>
        <w:rPr>
          <w:rFonts w:ascii="Arial" w:hAnsi="Arial" w:eastAsia="Arial" w:cs="Arial"/>
          <w:sz w:val="22"/>
          <w:szCs w:val="22"/>
        </w:rPr>
        <w:t>No new entries in the old direction are permitted.</w:t>
      </w:r>
    </w:p>
    <w:p w14:paraId="2C6AC794">
      <w:pPr>
        <w:pStyle w:val="16"/>
        <w:numPr>
          <w:ilvl w:val="0"/>
          <w:numId w:val="1"/>
        </w:numPr>
        <w:spacing w:after="120" w:line="276" w:lineRule="auto"/>
      </w:pPr>
      <w:r>
        <w:rPr>
          <w:rFonts w:ascii="Arial" w:hAnsi="Arial" w:eastAsia="Arial" w:cs="Arial"/>
          <w:sz w:val="22"/>
          <w:szCs w:val="22"/>
        </w:rPr>
        <w:t>A new narrative and bias must be constructed before any opposing model is authorised.</w:t>
      </w:r>
    </w:p>
    <w:p w14:paraId="7D4107C4">
      <w:pPr>
        <w:spacing w:after="200" w:line="276" w:lineRule="auto"/>
      </w:pPr>
      <w:r>
        <w:rPr>
          <w:rFonts w:ascii="Arial" w:hAnsi="Arial" w:eastAsia="Arial" w:cs="Arial"/>
          <w:sz w:val="22"/>
          <w:szCs w:val="22"/>
        </w:rPr>
        <w:t>Model invalidation is not optional. Continuing to trade a retired model is a process failure.</w:t>
      </w:r>
    </w:p>
    <w:p w14:paraId="5DEB3702">
      <w:pPr>
        <w:pStyle w:val="2"/>
        <w:spacing w:before="360" w:after="240"/>
      </w:pPr>
      <w:r>
        <w:rPr>
          <w:rFonts w:ascii="Arial" w:hAnsi="Arial" w:eastAsia="Arial" w:cs="Arial"/>
          <w:b/>
          <w:bCs/>
          <w:sz w:val="32"/>
          <w:szCs w:val="32"/>
        </w:rPr>
        <w:t>7. Overtrading</w:t>
      </w:r>
    </w:p>
    <w:p w14:paraId="43C1ACFB">
      <w:pPr>
        <w:pStyle w:val="3"/>
        <w:spacing w:before="280" w:after="180"/>
      </w:pPr>
      <w:r>
        <w:rPr>
          <w:rFonts w:ascii="Arial" w:hAnsi="Arial" w:eastAsia="Arial" w:cs="Arial"/>
          <w:b/>
          <w:bCs/>
          <w:sz w:val="26"/>
          <w:szCs w:val="26"/>
        </w:rPr>
        <w:t>7.1 Definition in This Framework</w:t>
      </w:r>
    </w:p>
    <w:p w14:paraId="40689C7A">
      <w:pPr>
        <w:spacing w:after="200" w:line="276" w:lineRule="auto"/>
      </w:pPr>
      <w:r>
        <w:rPr>
          <w:rFonts w:ascii="Arial" w:hAnsi="Arial" w:eastAsia="Arial" w:cs="Arial"/>
          <w:sz w:val="22"/>
          <w:szCs w:val="22"/>
        </w:rPr>
        <w:t>Overtrading is the taking of trades that fail the model-selection filters of Module 15 or the pre-entry checklist of Module 16, usually because the student feels the need to be in the market. It includes: trading outside the authorised session window, trading when bias is unclear, trading lower-quality arrays, and adding risk after the daily risk ceiling has been reached.</w:t>
      </w:r>
    </w:p>
    <w:p w14:paraId="672278EB">
      <w:pPr>
        <w:pStyle w:val="3"/>
        <w:spacing w:before="280" w:after="180"/>
      </w:pPr>
      <w:r>
        <w:rPr>
          <w:rFonts w:ascii="Arial" w:hAnsi="Arial" w:eastAsia="Arial" w:cs="Arial"/>
          <w:b/>
          <w:bCs/>
          <w:sz w:val="26"/>
          <w:szCs w:val="26"/>
        </w:rPr>
        <w:t>7.2 Counter-Measure</w:t>
      </w:r>
    </w:p>
    <w:p w14:paraId="7726C952">
      <w:pPr>
        <w:spacing w:after="200" w:line="276" w:lineRule="auto"/>
      </w:pPr>
      <w:r>
        <w:rPr>
          <w:rFonts w:ascii="Arial" w:hAnsi="Arial" w:eastAsia="Arial" w:cs="Arial"/>
          <w:sz w:val="22"/>
          <w:szCs w:val="22"/>
        </w:rPr>
        <w:t>The pre-session model-selection procedure and the pre-entry checklist are the primary defences. When the shortlist is empty, the correct action is zero trades.</w:t>
      </w:r>
    </w:p>
    <w:p w14:paraId="54E61C5D">
      <w:pPr>
        <w:pStyle w:val="2"/>
        <w:spacing w:before="360" w:after="240"/>
      </w:pPr>
      <w:r>
        <w:rPr>
          <w:rFonts w:ascii="Arial" w:hAnsi="Arial" w:eastAsia="Arial" w:cs="Arial"/>
          <w:b/>
          <w:bCs/>
          <w:sz w:val="32"/>
          <w:szCs w:val="32"/>
        </w:rPr>
        <w:t>8. Revenge Trading</w:t>
      </w:r>
    </w:p>
    <w:p w14:paraId="65BAF0E1">
      <w:pPr>
        <w:pStyle w:val="3"/>
        <w:spacing w:before="280" w:after="180"/>
      </w:pPr>
      <w:r>
        <w:rPr>
          <w:rFonts w:ascii="Arial" w:hAnsi="Arial" w:eastAsia="Arial" w:cs="Arial"/>
          <w:b/>
          <w:bCs/>
          <w:sz w:val="26"/>
          <w:szCs w:val="26"/>
        </w:rPr>
        <w:t>8.1 Definition</w:t>
      </w:r>
    </w:p>
    <w:p w14:paraId="2541D02F">
      <w:pPr>
        <w:spacing w:after="200" w:line="276" w:lineRule="auto"/>
      </w:pPr>
      <w:r>
        <w:rPr>
          <w:rFonts w:ascii="Arial" w:hAnsi="Arial" w:eastAsia="Arial" w:cs="Arial"/>
          <w:sz w:val="22"/>
          <w:szCs w:val="22"/>
        </w:rPr>
        <w:t>Revenge trading is the attempt to recover a loss by immediately taking another trade that would not have been authorised by the narrative and filters. It is almost always accompanied by increased size, loosened invalidation, or both.</w:t>
      </w:r>
    </w:p>
    <w:p w14:paraId="1D11B893">
      <w:pPr>
        <w:pStyle w:val="3"/>
        <w:spacing w:before="280" w:after="180"/>
      </w:pPr>
      <w:r>
        <w:rPr>
          <w:rFonts w:ascii="Arial" w:hAnsi="Arial" w:eastAsia="Arial" w:cs="Arial"/>
          <w:b/>
          <w:bCs/>
          <w:sz w:val="26"/>
          <w:szCs w:val="26"/>
        </w:rPr>
        <w:t>8.2 Counter-Measure</w:t>
      </w:r>
    </w:p>
    <w:p w14:paraId="73AD0CB5">
      <w:pPr>
        <w:spacing w:after="200" w:line="276" w:lineRule="auto"/>
      </w:pPr>
      <w:r>
        <w:rPr>
          <w:rFonts w:ascii="Arial" w:hAnsi="Arial" w:eastAsia="Arial" w:cs="Arial"/>
          <w:sz w:val="22"/>
          <w:szCs w:val="22"/>
        </w:rPr>
        <w:t>After a losing trade, the student returns to the narrative stack and the selection procedure. If the narrative is still valid and a new qualifying sequence appears, a normal-sized trade may be taken. If the narrative is invalidated or no sequence appears, the session continues with no further risk. The daily loss limit is the final backstop.</w:t>
      </w:r>
    </w:p>
    <w:p w14:paraId="2EA1CCC8">
      <w:pPr>
        <w:pStyle w:val="2"/>
        <w:spacing w:before="360" w:after="240"/>
      </w:pPr>
      <w:r>
        <w:rPr>
          <w:rFonts w:ascii="Arial" w:hAnsi="Arial" w:eastAsia="Arial" w:cs="Arial"/>
          <w:b/>
          <w:bCs/>
          <w:sz w:val="32"/>
          <w:szCs w:val="32"/>
        </w:rPr>
        <w:t>9. Psychological Discipline Specific to ICT Process</w:t>
      </w:r>
    </w:p>
    <w:p w14:paraId="5CE40EA0">
      <w:pPr>
        <w:spacing w:after="200" w:line="276" w:lineRule="auto"/>
      </w:pPr>
      <w:r>
        <w:rPr>
          <w:rFonts w:ascii="Arial" w:hAnsi="Arial" w:eastAsia="Arial" w:cs="Arial"/>
          <w:sz w:val="22"/>
          <w:szCs w:val="22"/>
        </w:rPr>
        <w:t>The disciplines required by this textbook are narrow and concrete:</w:t>
      </w:r>
    </w:p>
    <w:p w14:paraId="760DD9EF">
      <w:pPr>
        <w:pStyle w:val="16"/>
        <w:numPr>
          <w:ilvl w:val="0"/>
          <w:numId w:val="1"/>
        </w:numPr>
        <w:spacing w:after="120" w:line="276" w:lineRule="auto"/>
      </w:pPr>
      <w:r>
        <w:rPr>
          <w:rFonts w:ascii="Arial" w:hAnsi="Arial" w:eastAsia="Arial" w:cs="Arial"/>
          <w:sz w:val="22"/>
          <w:szCs w:val="22"/>
        </w:rPr>
        <w:t>Stand aside when bias is unclear or no model is authorised.</w:t>
      </w:r>
    </w:p>
    <w:p w14:paraId="60741FA5">
      <w:pPr>
        <w:pStyle w:val="16"/>
        <w:numPr>
          <w:ilvl w:val="0"/>
          <w:numId w:val="1"/>
        </w:numPr>
        <w:spacing w:after="120" w:line="276" w:lineRule="auto"/>
      </w:pPr>
      <w:r>
        <w:rPr>
          <w:rFonts w:ascii="Arial" w:hAnsi="Arial" w:eastAsia="Arial" w:cs="Arial"/>
          <w:sz w:val="22"/>
          <w:szCs w:val="22"/>
        </w:rPr>
        <w:t>Wait for the full LTF conditioning sequence; do not anticipate.</w:t>
      </w:r>
    </w:p>
    <w:p w14:paraId="7749644D">
      <w:pPr>
        <w:pStyle w:val="16"/>
        <w:numPr>
          <w:ilvl w:val="0"/>
          <w:numId w:val="1"/>
        </w:numPr>
        <w:spacing w:after="120" w:line="276" w:lineRule="auto"/>
      </w:pPr>
      <w:r>
        <w:rPr>
          <w:rFonts w:ascii="Arial" w:hAnsi="Arial" w:eastAsia="Arial" w:cs="Arial"/>
          <w:sz w:val="22"/>
          <w:szCs w:val="22"/>
        </w:rPr>
        <w:t>Respect both trade and narrative invalidation without moving stops farther away.</w:t>
      </w:r>
    </w:p>
    <w:p w14:paraId="28F355F2">
      <w:pPr>
        <w:pStyle w:val="16"/>
        <w:numPr>
          <w:ilvl w:val="0"/>
          <w:numId w:val="1"/>
        </w:numPr>
        <w:spacing w:after="120" w:line="276" w:lineRule="auto"/>
      </w:pPr>
      <w:r>
        <w:rPr>
          <w:rFonts w:ascii="Arial" w:hAnsi="Arial" w:eastAsia="Arial" w:cs="Arial"/>
          <w:sz w:val="22"/>
          <w:szCs w:val="22"/>
        </w:rPr>
        <w:t>Accept “no trade today” as a successful process outcome.</w:t>
      </w:r>
    </w:p>
    <w:p w14:paraId="1B8DC774">
      <w:pPr>
        <w:pStyle w:val="16"/>
        <w:numPr>
          <w:ilvl w:val="0"/>
          <w:numId w:val="1"/>
        </w:numPr>
        <w:spacing w:after="120" w:line="276" w:lineRule="auto"/>
      </w:pPr>
      <w:r>
        <w:rPr>
          <w:rFonts w:ascii="Arial" w:hAnsi="Arial" w:eastAsia="Arial" w:cs="Arial"/>
          <w:sz w:val="22"/>
          <w:szCs w:val="22"/>
        </w:rPr>
        <w:t>Do not increase size to recover losses.</w:t>
      </w:r>
    </w:p>
    <w:p w14:paraId="4F3AEA29">
      <w:pPr>
        <w:pStyle w:val="16"/>
        <w:numPr>
          <w:ilvl w:val="0"/>
          <w:numId w:val="1"/>
        </w:numPr>
        <w:spacing w:after="120" w:line="276" w:lineRule="auto"/>
      </w:pPr>
      <w:r>
        <w:rPr>
          <w:rFonts w:ascii="Arial" w:hAnsi="Arial" w:eastAsia="Arial" w:cs="Arial"/>
          <w:sz w:val="22"/>
          <w:szCs w:val="22"/>
        </w:rPr>
        <w:t>Do not trade a model that the selection filters have rejected.</w:t>
      </w:r>
    </w:p>
    <w:p w14:paraId="21AC91B3">
      <w:pPr>
        <w:spacing w:after="200" w:line="276" w:lineRule="auto"/>
      </w:pPr>
      <w:r>
        <w:rPr>
          <w:rFonts w:ascii="Arial" w:hAnsi="Arial" w:eastAsia="Arial" w:cs="Arial"/>
          <w:sz w:val="22"/>
          <w:szCs w:val="22"/>
        </w:rPr>
        <w:t>These are process rules, not personality goals. They are either followed or they are not; the equity curve records the difference.</w:t>
      </w:r>
    </w:p>
    <w:p w14:paraId="55C2F9BF">
      <w:pPr>
        <w:pStyle w:val="2"/>
        <w:spacing w:before="360" w:after="240"/>
      </w:pPr>
      <w:r>
        <w:rPr>
          <w:rFonts w:ascii="Arial" w:hAnsi="Arial" w:eastAsia="Arial" w:cs="Arial"/>
          <w:b/>
          <w:bCs/>
          <w:sz w:val="32"/>
          <w:szCs w:val="32"/>
        </w:rPr>
        <w:t>10. Pre-Session and Post-Trade Risk Checklist</w:t>
      </w:r>
    </w:p>
    <w:p w14:paraId="680AE5ED">
      <w:pPr>
        <w:pStyle w:val="3"/>
        <w:spacing w:before="280" w:after="180"/>
      </w:pPr>
      <w:r>
        <w:rPr>
          <w:rFonts w:ascii="Arial" w:hAnsi="Arial" w:eastAsia="Arial" w:cs="Arial"/>
          <w:b/>
          <w:bCs/>
          <w:sz w:val="26"/>
          <w:szCs w:val="26"/>
        </w:rPr>
        <w:t>10.1 Pre-Session</w:t>
      </w:r>
    </w:p>
    <w:p w14:paraId="1030DE33">
      <w:pPr>
        <w:pStyle w:val="16"/>
        <w:numPr>
          <w:ilvl w:val="0"/>
          <w:numId w:val="2"/>
        </w:numPr>
        <w:spacing w:after="120" w:line="276" w:lineRule="auto"/>
      </w:pPr>
      <w:r>
        <w:rPr>
          <w:rFonts w:ascii="Arial" w:hAnsi="Arial" w:eastAsia="Arial" w:cs="Arial"/>
          <w:sz w:val="22"/>
          <w:szCs w:val="22"/>
        </w:rPr>
        <w:t>Daily risk ceiling and daily loss limit are set and visible.</w:t>
      </w:r>
    </w:p>
    <w:p w14:paraId="5BC1C0F1">
      <w:pPr>
        <w:pStyle w:val="16"/>
        <w:numPr>
          <w:ilvl w:val="0"/>
          <w:numId w:val="2"/>
        </w:numPr>
        <w:spacing w:after="120" w:line="276" w:lineRule="auto"/>
      </w:pPr>
      <w:r>
        <w:rPr>
          <w:rFonts w:ascii="Arial" w:hAnsi="Arial" w:eastAsia="Arial" w:cs="Arial"/>
          <w:sz w:val="22"/>
          <w:szCs w:val="22"/>
        </w:rPr>
        <w:t>Position-sizing rule is fixed for the day.</w:t>
      </w:r>
    </w:p>
    <w:p w14:paraId="16FDF637">
      <w:pPr>
        <w:pStyle w:val="16"/>
        <w:numPr>
          <w:ilvl w:val="0"/>
          <w:numId w:val="2"/>
        </w:numPr>
        <w:spacing w:after="120" w:line="276" w:lineRule="auto"/>
      </w:pPr>
      <w:r>
        <w:rPr>
          <w:rFonts w:ascii="Arial" w:hAnsi="Arial" w:eastAsia="Arial" w:cs="Arial"/>
          <w:sz w:val="22"/>
          <w:szCs w:val="22"/>
        </w:rPr>
        <w:t>Model selection shortlist is written (or explicitly empty).</w:t>
      </w:r>
    </w:p>
    <w:p w14:paraId="6AEBF20F">
      <w:pPr>
        <w:pStyle w:val="16"/>
        <w:numPr>
          <w:ilvl w:val="0"/>
          <w:numId w:val="2"/>
        </w:numPr>
        <w:spacing w:after="120" w:line="276" w:lineRule="auto"/>
      </w:pPr>
      <w:r>
        <w:rPr>
          <w:rFonts w:ascii="Arial" w:hAnsi="Arial" w:eastAsia="Arial" w:cs="Arial"/>
          <w:sz w:val="22"/>
          <w:szCs w:val="22"/>
        </w:rPr>
        <w:t>Invalidation philosophy (logical, narrative-based) is reaffirmed.</w:t>
      </w:r>
    </w:p>
    <w:p w14:paraId="11D28D3C">
      <w:pPr>
        <w:pStyle w:val="3"/>
        <w:spacing w:before="280" w:after="180"/>
      </w:pPr>
      <w:r>
        <w:rPr>
          <w:rFonts w:ascii="Arial" w:hAnsi="Arial" w:eastAsia="Arial" w:cs="Arial"/>
          <w:b/>
          <w:bCs/>
          <w:sz w:val="26"/>
          <w:szCs w:val="26"/>
        </w:rPr>
        <w:t>10.2 After Each Trade</w:t>
      </w:r>
    </w:p>
    <w:p w14:paraId="583D5893">
      <w:pPr>
        <w:pStyle w:val="16"/>
        <w:numPr>
          <w:ilvl w:val="0"/>
          <w:numId w:val="2"/>
        </w:numPr>
        <w:spacing w:after="120" w:line="276" w:lineRule="auto"/>
      </w:pPr>
      <w:r>
        <w:rPr>
          <w:rFonts w:ascii="Arial" w:hAnsi="Arial" w:eastAsia="Arial" w:cs="Arial"/>
          <w:sz w:val="22"/>
          <w:szCs w:val="22"/>
        </w:rPr>
        <w:t>Record entry, invalidation, targets, size, and outcome.</w:t>
      </w:r>
    </w:p>
    <w:p w14:paraId="139D6EEC">
      <w:pPr>
        <w:pStyle w:val="16"/>
        <w:numPr>
          <w:ilvl w:val="0"/>
          <w:numId w:val="2"/>
        </w:numPr>
        <w:spacing w:after="120" w:line="276" w:lineRule="auto"/>
      </w:pPr>
      <w:r>
        <w:rPr>
          <w:rFonts w:ascii="Arial" w:hAnsi="Arial" w:eastAsia="Arial" w:cs="Arial"/>
          <w:sz w:val="22"/>
          <w:szCs w:val="22"/>
        </w:rPr>
        <w:t>Record whether trade invalidation and/or narrative invalidation was hit.</w:t>
      </w:r>
    </w:p>
    <w:p w14:paraId="6492B84D">
      <w:pPr>
        <w:pStyle w:val="16"/>
        <w:numPr>
          <w:ilvl w:val="0"/>
          <w:numId w:val="2"/>
        </w:numPr>
        <w:spacing w:after="120" w:line="276" w:lineRule="auto"/>
      </w:pPr>
      <w:r>
        <w:rPr>
          <w:rFonts w:ascii="Arial" w:hAnsi="Arial" w:eastAsia="Arial" w:cs="Arial"/>
          <w:sz w:val="22"/>
          <w:szCs w:val="22"/>
        </w:rPr>
        <w:t>Update remaining daily risk capacity.</w:t>
      </w:r>
    </w:p>
    <w:p w14:paraId="40A11B19">
      <w:pPr>
        <w:pStyle w:val="16"/>
        <w:numPr>
          <w:ilvl w:val="0"/>
          <w:numId w:val="2"/>
        </w:numPr>
        <w:spacing w:after="120" w:line="276" w:lineRule="auto"/>
      </w:pPr>
      <w:r>
        <w:rPr>
          <w:rFonts w:ascii="Arial" w:hAnsi="Arial" w:eastAsia="Arial" w:cs="Arial"/>
          <w:sz w:val="22"/>
          <w:szCs w:val="22"/>
        </w:rPr>
        <w:t>If daily loss limit is reached, stop trading.</w:t>
      </w:r>
    </w:p>
    <w:p w14:paraId="5CEBF9CB">
      <w:pPr>
        <w:pStyle w:val="16"/>
        <w:numPr>
          <w:ilvl w:val="0"/>
          <w:numId w:val="2"/>
        </w:numPr>
        <w:spacing w:after="120" w:line="276" w:lineRule="auto"/>
      </w:pPr>
      <w:r>
        <w:rPr>
          <w:rFonts w:ascii="Arial" w:hAnsi="Arial" w:eastAsia="Arial" w:cs="Arial"/>
          <w:sz w:val="22"/>
          <w:szCs w:val="22"/>
        </w:rPr>
        <w:t>If narrative is invalidated, rewrite bias before any new model is considered.</w:t>
      </w:r>
    </w:p>
    <w:p w14:paraId="4EED81F1">
      <w:pPr>
        <w:pStyle w:val="2"/>
        <w:spacing w:before="360" w:after="240"/>
      </w:pPr>
      <w:r>
        <w:rPr>
          <w:rFonts w:ascii="Arial" w:hAnsi="Arial" w:eastAsia="Arial" w:cs="Arial"/>
          <w:b/>
          <w:bCs/>
          <w:sz w:val="32"/>
          <w:szCs w:val="32"/>
        </w:rPr>
        <w:t>11. Worked Risk Example</w:t>
      </w:r>
    </w:p>
    <w:p w14:paraId="25D39A72">
      <w:pPr>
        <w:spacing w:after="200" w:line="276" w:lineRule="auto"/>
      </w:pPr>
      <w:r>
        <w:rPr>
          <w:rFonts w:ascii="Arial" w:hAnsi="Arial" w:eastAsia="Arial" w:cs="Arial"/>
          <w:sz w:val="22"/>
          <w:szCs w:val="22"/>
        </w:rPr>
        <w:t>Account equity: 100 000. Risk per trade: 0.5 % = 500. Daily loss limit: 1.5 % = 1 500. Daily risk ceiling: 1.5 %.</w:t>
      </w:r>
    </w:p>
    <w:p w14:paraId="308428ED">
      <w:pPr>
        <w:spacing w:after="200" w:line="276" w:lineRule="auto"/>
      </w:pPr>
      <w:r>
        <w:rPr>
          <w:rFonts w:ascii="Arial" w:hAnsi="Arial" w:eastAsia="Arial" w:cs="Arial"/>
          <w:sz w:val="22"/>
          <w:szCs w:val="22"/>
        </w:rPr>
        <w:t>Selected model: long at 1.0650, trade invalidation 1.0620 (30 pips). Position size is set so that 30 pips = 500 risk.</w:t>
      </w:r>
    </w:p>
    <w:p w14:paraId="0E2B39FF">
      <w:pPr>
        <w:spacing w:after="200" w:line="276" w:lineRule="auto"/>
      </w:pPr>
      <w:r>
        <w:rPr>
          <w:rFonts w:ascii="Arial" w:hAnsi="Arial" w:eastAsia="Arial" w:cs="Arial"/>
          <w:sz w:val="22"/>
          <w:szCs w:val="22"/>
        </w:rPr>
        <w:t>First target: 1.0780 (partial 50 %). Terminal: 1.1200 (runner).</w:t>
      </w:r>
    </w:p>
    <w:p w14:paraId="6D328EC9">
      <w:pPr>
        <w:spacing w:after="200" w:line="276" w:lineRule="auto"/>
      </w:pPr>
      <w:r>
        <w:rPr>
          <w:rFonts w:ascii="Arial" w:hAnsi="Arial" w:eastAsia="Arial" w:cs="Arial"/>
          <w:sz w:val="22"/>
          <w:szCs w:val="22"/>
        </w:rPr>
        <w:t>If stopped: loss 500; remaining daily risk capacity 1 000; narrative still intact, so a second qualifying trade remains possible.</w:t>
      </w:r>
    </w:p>
    <w:p w14:paraId="28B4515E">
      <w:pPr>
        <w:spacing w:after="200" w:line="276" w:lineRule="auto"/>
      </w:pPr>
      <w:r>
        <w:rPr>
          <w:rFonts w:ascii="Arial" w:hAnsi="Arial" w:eastAsia="Arial" w:cs="Arial"/>
          <w:sz w:val="22"/>
          <w:szCs w:val="22"/>
        </w:rPr>
        <w:t>If daily loss limit is later reached: trading stops for the session even if a third perfect model appears.</w:t>
      </w:r>
    </w:p>
    <w:p w14:paraId="5F2A1880">
      <w:pPr>
        <w:spacing w:after="200" w:line="276" w:lineRule="auto"/>
      </w:pPr>
      <w:r>
        <w:rPr>
          <w:rFonts w:ascii="Arial" w:hAnsi="Arial" w:eastAsia="Arial" w:cs="Arial"/>
          <w:sz w:val="22"/>
          <w:szCs w:val="22"/>
        </w:rPr>
        <w:t>If weekly invalidation prints while the runner is open: runner is closed; bias is rewritten; no further longs until a new bullish narrative is constructed.</w:t>
      </w:r>
    </w:p>
    <w:p w14:paraId="18B2F7C2">
      <w:pPr>
        <w:pStyle w:val="2"/>
        <w:spacing w:before="360" w:after="240"/>
      </w:pPr>
      <w:r>
        <w:rPr>
          <w:rFonts w:ascii="Arial" w:hAnsi="Arial" w:eastAsia="Arial" w:cs="Arial"/>
          <w:b/>
          <w:bCs/>
          <w:sz w:val="32"/>
          <w:szCs w:val="32"/>
        </w:rPr>
        <w:t>Visual Reference — Risk Controls Around the Narrative</w:t>
      </w:r>
    </w:p>
    <w:p w14:paraId="2076C761">
      <w:pPr>
        <w:spacing w:after="0" w:line="240" w:lineRule="auto"/>
      </w:pPr>
      <w:r>
        <w:rPr>
          <w:rFonts w:ascii="Courier New" w:hAnsi="Courier New" w:eastAsia="Courier New" w:cs="Courier New"/>
          <w:sz w:val="18"/>
          <w:szCs w:val="18"/>
        </w:rPr>
        <w:t>Narrative + Bias + Model Selection</w:t>
      </w:r>
    </w:p>
    <w:p w14:paraId="42D36957">
      <w:pPr>
        <w:spacing w:after="0" w:line="240" w:lineRule="auto"/>
      </w:pPr>
      <w:r>
        <w:rPr>
          <w:rFonts w:ascii="Courier New" w:hAnsi="Courier New" w:eastAsia="Courier New" w:cs="Courier New"/>
          <w:sz w:val="18"/>
          <w:szCs w:val="18"/>
        </w:rPr>
        <w:t xml:space="preserve">        │</w:t>
      </w:r>
    </w:p>
    <w:p w14:paraId="4CB4760B">
      <w:pPr>
        <w:spacing w:after="0" w:line="240" w:lineRule="auto"/>
      </w:pPr>
      <w:r>
        <w:rPr>
          <w:rFonts w:ascii="Courier New" w:hAnsi="Courier New" w:eastAsia="Courier New" w:cs="Courier New"/>
          <w:sz w:val="18"/>
          <w:szCs w:val="18"/>
        </w:rPr>
        <w:t xml:space="preserve">   Logical invalidation → Position size</w:t>
      </w:r>
    </w:p>
    <w:p w14:paraId="4E0ABB37">
      <w:pPr>
        <w:spacing w:after="0" w:line="240" w:lineRule="auto"/>
      </w:pPr>
      <w:r>
        <w:rPr>
          <w:rFonts w:ascii="Courier New" w:hAnsi="Courier New" w:eastAsia="Courier New" w:cs="Courier New"/>
          <w:sz w:val="18"/>
          <w:szCs w:val="18"/>
        </w:rPr>
        <w:t xml:space="preserve">        │</w:t>
      </w:r>
    </w:p>
    <w:p w14:paraId="10421131">
      <w:pPr>
        <w:spacing w:after="0" w:line="240" w:lineRule="auto"/>
      </w:pPr>
      <w:r>
        <w:rPr>
          <w:rFonts w:ascii="Courier New" w:hAnsi="Courier New" w:eastAsia="Courier New" w:cs="Courier New"/>
          <w:sz w:val="18"/>
          <w:szCs w:val="18"/>
        </w:rPr>
        <w:t xml:space="preserve">   Entry (Module 16 checklist)</w:t>
      </w:r>
    </w:p>
    <w:p w14:paraId="5B4CD33D">
      <w:pPr>
        <w:spacing w:after="0" w:line="240" w:lineRule="auto"/>
      </w:pPr>
      <w:r>
        <w:rPr>
          <w:rFonts w:ascii="Courier New" w:hAnsi="Courier New" w:eastAsia="Courier New" w:cs="Courier New"/>
          <w:sz w:val="18"/>
          <w:szCs w:val="18"/>
        </w:rPr>
        <w:t xml:space="preserve">        │</w:t>
      </w:r>
    </w:p>
    <w:p w14:paraId="0D1F5490">
      <w:pPr>
        <w:spacing w:after="0" w:line="240" w:lineRule="auto"/>
      </w:pPr>
      <w:r>
        <w:rPr>
          <w:rFonts w:ascii="Courier New" w:hAnsi="Courier New" w:eastAsia="Courier New" w:cs="Courier New"/>
          <w:sz w:val="18"/>
          <w:szCs w:val="18"/>
        </w:rPr>
        <w:t xml:space="preserve">   Partial at intermediate liquidity</w:t>
      </w:r>
    </w:p>
    <w:p w14:paraId="2FF470B9">
      <w:pPr>
        <w:spacing w:after="0" w:line="240" w:lineRule="auto"/>
      </w:pPr>
      <w:r>
        <w:rPr>
          <w:rFonts w:ascii="Courier New" w:hAnsi="Courier New" w:eastAsia="Courier New" w:cs="Courier New"/>
          <w:sz w:val="18"/>
          <w:szCs w:val="18"/>
        </w:rPr>
        <w:t xml:space="preserve">        │</w:t>
      </w:r>
    </w:p>
    <w:p w14:paraId="3AAB3574">
      <w:pPr>
        <w:spacing w:after="0" w:line="240" w:lineRule="auto"/>
      </w:pPr>
      <w:r>
        <w:rPr>
          <w:rFonts w:ascii="Courier New" w:hAnsi="Courier New" w:eastAsia="Courier New" w:cs="Courier New"/>
          <w:sz w:val="18"/>
          <w:szCs w:val="18"/>
        </w:rPr>
        <w:t xml:space="preserve">   Runner toward terminal DOL</w:t>
      </w:r>
    </w:p>
    <w:p w14:paraId="312C848C">
      <w:pPr>
        <w:spacing w:after="0" w:line="240" w:lineRule="auto"/>
      </w:pPr>
      <w:r>
        <w:rPr>
          <w:rFonts w:ascii="Courier New" w:hAnsi="Courier New" w:eastAsia="Courier New" w:cs="Courier New"/>
          <w:sz w:val="18"/>
          <w:szCs w:val="18"/>
        </w:rPr>
        <w:t xml:space="preserve">        │</w:t>
      </w:r>
    </w:p>
    <w:p w14:paraId="752B94E3">
      <w:pPr>
        <w:spacing w:after="0" w:line="240" w:lineRule="auto"/>
      </w:pPr>
      <w:r>
        <w:rPr>
          <w:rFonts w:ascii="Courier New" w:hAnsi="Courier New" w:eastAsia="Courier New" w:cs="Courier New"/>
          <w:sz w:val="18"/>
          <w:szCs w:val="18"/>
        </w:rPr>
        <w:t xml:space="preserve">   Daily risk ceiling / loss limit (hard stops on activity)</w:t>
      </w:r>
    </w:p>
    <w:p w14:paraId="7DE38134">
      <w:pPr>
        <w:spacing w:after="0" w:line="240" w:lineRule="auto"/>
      </w:pPr>
      <w:r>
        <w:rPr>
          <w:rFonts w:ascii="Courier New" w:hAnsi="Courier New" w:eastAsia="Courier New" w:cs="Courier New"/>
          <w:sz w:val="18"/>
          <w:szCs w:val="18"/>
        </w:rPr>
        <w:t xml:space="preserve">        │</w:t>
      </w:r>
    </w:p>
    <w:p w14:paraId="39A5C9BE">
      <w:pPr>
        <w:spacing w:after="0" w:line="240" w:lineRule="auto"/>
      </w:pPr>
      <w:r>
        <w:rPr>
          <w:rFonts w:ascii="Courier New" w:hAnsi="Courier New" w:eastAsia="Courier New" w:cs="Courier New"/>
          <w:sz w:val="18"/>
          <w:szCs w:val="18"/>
        </w:rPr>
        <w:t xml:space="preserve">   Narrative invalidation → retire model &amp; bias</w:t>
      </w:r>
    </w:p>
    <w:p w14:paraId="737A0E3E">
      <w:pPr>
        <w:pStyle w:val="2"/>
        <w:spacing w:before="360" w:after="240"/>
      </w:pPr>
      <w:r>
        <w:rPr>
          <w:rFonts w:ascii="Arial" w:hAnsi="Arial" w:eastAsia="Arial" w:cs="Arial"/>
          <w:b/>
          <w:bCs/>
          <w:sz w:val="32"/>
          <w:szCs w:val="32"/>
        </w:rPr>
        <w:t>12. Common Misinterpretations</w:t>
      </w:r>
    </w:p>
    <w:p w14:paraId="1D8CAA80">
      <w:pPr>
        <w:pStyle w:val="16"/>
        <w:numPr>
          <w:ilvl w:val="0"/>
          <w:numId w:val="1"/>
        </w:numPr>
        <w:spacing w:after="120" w:line="276" w:lineRule="auto"/>
      </w:pPr>
      <w:r>
        <w:rPr>
          <w:rFonts w:ascii="Arial" w:hAnsi="Arial" w:eastAsia="Arial" w:cs="Arial"/>
          <w:sz w:val="22"/>
          <w:szCs w:val="22"/>
        </w:rPr>
        <w:t>Using fixed-pip stops that ignore the array and structure.</w:t>
      </w:r>
    </w:p>
    <w:p w14:paraId="136EAB9F">
      <w:pPr>
        <w:pStyle w:val="16"/>
        <w:numPr>
          <w:ilvl w:val="0"/>
          <w:numId w:val="1"/>
        </w:numPr>
        <w:spacing w:after="120" w:line="276" w:lineRule="auto"/>
      </w:pPr>
      <w:r>
        <w:rPr>
          <w:rFonts w:ascii="Arial" w:hAnsi="Arial" w:eastAsia="Arial" w:cs="Arial"/>
          <w:sz w:val="22"/>
          <w:szCs w:val="22"/>
        </w:rPr>
        <w:t>Rejecting a high-quality narrative solely because R:R is below an arbitrary number.</w:t>
      </w:r>
    </w:p>
    <w:p w14:paraId="4405397D">
      <w:pPr>
        <w:pStyle w:val="16"/>
        <w:numPr>
          <w:ilvl w:val="0"/>
          <w:numId w:val="1"/>
        </w:numPr>
        <w:spacing w:after="120" w:line="276" w:lineRule="auto"/>
      </w:pPr>
      <w:r>
        <w:rPr>
          <w:rFonts w:ascii="Arial" w:hAnsi="Arial" w:eastAsia="Arial" w:cs="Arial"/>
          <w:sz w:val="22"/>
          <w:szCs w:val="22"/>
        </w:rPr>
        <w:t>Widening the stop after entry to “give it room.”</w:t>
      </w:r>
    </w:p>
    <w:p w14:paraId="366184C8">
      <w:pPr>
        <w:pStyle w:val="16"/>
        <w:numPr>
          <w:ilvl w:val="0"/>
          <w:numId w:val="1"/>
        </w:numPr>
        <w:spacing w:after="120" w:line="276" w:lineRule="auto"/>
      </w:pPr>
      <w:r>
        <w:rPr>
          <w:rFonts w:ascii="Arial" w:hAnsi="Arial" w:eastAsia="Arial" w:cs="Arial"/>
          <w:sz w:val="22"/>
          <w:szCs w:val="22"/>
        </w:rPr>
        <w:t>Continuing to trade after the daily loss limit has been hit.</w:t>
      </w:r>
    </w:p>
    <w:p w14:paraId="1AF2892D">
      <w:pPr>
        <w:pStyle w:val="16"/>
        <w:numPr>
          <w:ilvl w:val="0"/>
          <w:numId w:val="1"/>
        </w:numPr>
        <w:spacing w:after="120" w:line="276" w:lineRule="auto"/>
      </w:pPr>
      <w:r>
        <w:rPr>
          <w:rFonts w:ascii="Arial" w:hAnsi="Arial" w:eastAsia="Arial" w:cs="Arial"/>
          <w:sz w:val="22"/>
          <w:szCs w:val="22"/>
        </w:rPr>
        <w:t>Revenge-sizing the next trade after a loss.</w:t>
      </w:r>
    </w:p>
    <w:p w14:paraId="38E381ED">
      <w:pPr>
        <w:pStyle w:val="16"/>
        <w:numPr>
          <w:ilvl w:val="0"/>
          <w:numId w:val="1"/>
        </w:numPr>
        <w:spacing w:after="120" w:line="276" w:lineRule="auto"/>
      </w:pPr>
      <w:r>
        <w:rPr>
          <w:rFonts w:ascii="Arial" w:hAnsi="Arial" w:eastAsia="Arial" w:cs="Arial"/>
          <w:sz w:val="22"/>
          <w:szCs w:val="22"/>
        </w:rPr>
        <w:t>Treating “I need to make back the loss” as a valid reason to select a model.</w:t>
      </w:r>
    </w:p>
    <w:p w14:paraId="4BDE52F5">
      <w:pPr>
        <w:pStyle w:val="16"/>
        <w:numPr>
          <w:ilvl w:val="0"/>
          <w:numId w:val="1"/>
        </w:numPr>
        <w:spacing w:after="120" w:line="276" w:lineRule="auto"/>
      </w:pPr>
      <w:r>
        <w:rPr>
          <w:rFonts w:ascii="Arial" w:hAnsi="Arial" w:eastAsia="Arial" w:cs="Arial"/>
          <w:sz w:val="22"/>
          <w:szCs w:val="22"/>
        </w:rPr>
        <w:t>Ignoring narrative invalidation because the trade is still open and “might come back.”</w:t>
      </w:r>
    </w:p>
    <w:p w14:paraId="56C2310B">
      <w:pPr>
        <w:pStyle w:val="2"/>
        <w:spacing w:before="360" w:after="240"/>
      </w:pPr>
      <w:r>
        <w:rPr>
          <w:rFonts w:ascii="Arial" w:hAnsi="Arial" w:eastAsia="Arial" w:cs="Arial"/>
          <w:b/>
          <w:bCs/>
          <w:sz w:val="32"/>
          <w:szCs w:val="32"/>
        </w:rPr>
        <w:t>13. Evidence Summary</w:t>
      </w:r>
    </w:p>
    <w:p w14:paraId="1EF54BFF">
      <w:pPr>
        <w:spacing w:after="200" w:line="276" w:lineRule="auto"/>
      </w:pPr>
      <w:r>
        <w:rPr>
          <w:rFonts w:ascii="Arial" w:hAnsi="Arial" w:eastAsia="Arial" w:cs="Arial"/>
          <w:sz w:val="22"/>
          <w:szCs w:val="22"/>
        </w:rPr>
        <w:t>Logical, structure- and liquidity-based invalidation, targeting of liquidity pools, and the subordination of risk parameters to narrative quality are consistent with ICT emphasis on delivery and institutional order flow. Specific percentage risk limits, daily loss limits, and the formal ranking of narrative above fixed R:R thresholds are advanced process controls that protect the application of ICT models; they are not themselves ICT price-action doctrine.</w:t>
      </w:r>
    </w:p>
    <w:p w14:paraId="48F0ED75">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Primary orientation: ICT practice of array- and structure-based stops and liquidity targets. Position-sizing formulas, daily limits, and anti-revenge rules are standard professional risk process applied to the ICT narrative framework.</w:t>
      </w:r>
    </w:p>
    <w:p w14:paraId="5647C54A">
      <w:pPr>
        <w:pStyle w:val="2"/>
        <w:spacing w:before="360" w:after="240"/>
      </w:pPr>
      <w:r>
        <w:rPr>
          <w:rFonts w:ascii="Arial" w:hAnsi="Arial" w:eastAsia="Arial" w:cs="Arial"/>
          <w:b/>
          <w:bCs/>
          <w:sz w:val="32"/>
          <w:szCs w:val="32"/>
        </w:rPr>
        <w:t>What You Should Now Be Able to Do</w:t>
      </w:r>
    </w:p>
    <w:p w14:paraId="1F7369FC">
      <w:pPr>
        <w:pStyle w:val="16"/>
        <w:numPr>
          <w:ilvl w:val="0"/>
          <w:numId w:val="1"/>
        </w:numPr>
        <w:spacing w:after="120" w:line="276" w:lineRule="auto"/>
      </w:pPr>
      <w:r>
        <w:rPr>
          <w:rFonts w:ascii="Arial" w:hAnsi="Arial" w:eastAsia="Arial" w:cs="Arial"/>
          <w:sz w:val="22"/>
          <w:szCs w:val="22"/>
        </w:rPr>
        <w:t>Place every stop at a narrative-logical level and size the position from that distance.</w:t>
      </w:r>
    </w:p>
    <w:p w14:paraId="692AF8C6">
      <w:pPr>
        <w:pStyle w:val="16"/>
        <w:numPr>
          <w:ilvl w:val="0"/>
          <w:numId w:val="1"/>
        </w:numPr>
        <w:spacing w:after="120" w:line="276" w:lineRule="auto"/>
      </w:pPr>
      <w:r>
        <w:rPr>
          <w:rFonts w:ascii="Arial" w:hAnsi="Arial" w:eastAsia="Arial" w:cs="Arial"/>
          <w:sz w:val="22"/>
          <w:szCs w:val="22"/>
        </w:rPr>
        <w:t>Enforce a daily risk ceiling and a daily loss limit without exception.</w:t>
      </w:r>
    </w:p>
    <w:p w14:paraId="5D266BAB">
      <w:pPr>
        <w:pStyle w:val="16"/>
        <w:numPr>
          <w:ilvl w:val="0"/>
          <w:numId w:val="1"/>
        </w:numPr>
        <w:spacing w:after="120" w:line="276" w:lineRule="auto"/>
      </w:pPr>
      <w:r>
        <w:rPr>
          <w:rFonts w:ascii="Arial" w:hAnsi="Arial" w:eastAsia="Arial" w:cs="Arial"/>
          <w:sz w:val="22"/>
          <w:szCs w:val="22"/>
        </w:rPr>
        <w:t>Treat R:R as a measured outcome of the narrative, not as a primary acceptance filter.</w:t>
      </w:r>
    </w:p>
    <w:p w14:paraId="3EA74EDF">
      <w:pPr>
        <w:pStyle w:val="16"/>
        <w:numPr>
          <w:ilvl w:val="0"/>
          <w:numId w:val="1"/>
        </w:numPr>
        <w:spacing w:after="120" w:line="276" w:lineRule="auto"/>
      </w:pPr>
      <w:r>
        <w:rPr>
          <w:rFonts w:ascii="Arial" w:hAnsi="Arial" w:eastAsia="Arial" w:cs="Arial"/>
          <w:sz w:val="22"/>
          <w:szCs w:val="22"/>
        </w:rPr>
        <w:t>Take partials at intermediate liquidity and manage the runner according to the still-valid narrative.</w:t>
      </w:r>
    </w:p>
    <w:p w14:paraId="08FA42FF">
      <w:pPr>
        <w:pStyle w:val="16"/>
        <w:numPr>
          <w:ilvl w:val="0"/>
          <w:numId w:val="1"/>
        </w:numPr>
        <w:spacing w:after="120" w:line="276" w:lineRule="auto"/>
      </w:pPr>
      <w:r>
        <w:rPr>
          <w:rFonts w:ascii="Arial" w:hAnsi="Arial" w:eastAsia="Arial" w:cs="Arial"/>
          <w:sz w:val="22"/>
          <w:szCs w:val="22"/>
        </w:rPr>
        <w:t>Retire models and bias the moment narrative invalidation prints.</w:t>
      </w:r>
    </w:p>
    <w:p w14:paraId="1F664258">
      <w:pPr>
        <w:pStyle w:val="16"/>
        <w:numPr>
          <w:ilvl w:val="0"/>
          <w:numId w:val="1"/>
        </w:numPr>
        <w:spacing w:after="120" w:line="276" w:lineRule="auto"/>
      </w:pPr>
      <w:r>
        <w:rPr>
          <w:rFonts w:ascii="Arial" w:hAnsi="Arial" w:eastAsia="Arial" w:cs="Arial"/>
          <w:sz w:val="22"/>
          <w:szCs w:val="22"/>
        </w:rPr>
        <w:t>Recognise overtrading and revenge trading and stop them immediately.</w:t>
      </w:r>
    </w:p>
    <w:p w14:paraId="4824CE26">
      <w:pPr>
        <w:pStyle w:val="16"/>
        <w:numPr>
          <w:ilvl w:val="0"/>
          <w:numId w:val="1"/>
        </w:numPr>
        <w:spacing w:after="120" w:line="276" w:lineRule="auto"/>
      </w:pPr>
      <w:r>
        <w:rPr>
          <w:rFonts w:ascii="Arial" w:hAnsi="Arial" w:eastAsia="Arial" w:cs="Arial"/>
          <w:sz w:val="22"/>
          <w:szCs w:val="22"/>
        </w:rPr>
        <w:t>Accept a zero-trade day as a successful process outcome.</w:t>
      </w:r>
    </w:p>
    <w:p w14:paraId="5A884C8D">
      <w:pPr>
        <w:pStyle w:val="2"/>
        <w:spacing w:before="360" w:after="240"/>
      </w:pPr>
      <w:r>
        <w:rPr>
          <w:rFonts w:ascii="Arial" w:hAnsi="Arial" w:eastAsia="Arial" w:cs="Arial"/>
          <w:b/>
          <w:bCs/>
          <w:sz w:val="32"/>
          <w:szCs w:val="32"/>
        </w:rPr>
        <w:t>Module Review</w:t>
      </w:r>
    </w:p>
    <w:p w14:paraId="5299D426">
      <w:pPr>
        <w:pStyle w:val="3"/>
        <w:spacing w:before="280" w:after="180"/>
      </w:pPr>
      <w:r>
        <w:rPr>
          <w:rFonts w:ascii="Arial" w:hAnsi="Arial" w:eastAsia="Arial" w:cs="Arial"/>
          <w:b/>
          <w:bCs/>
          <w:sz w:val="26"/>
          <w:szCs w:val="26"/>
        </w:rPr>
        <w:t>Key Terms</w:t>
      </w:r>
    </w:p>
    <w:p w14:paraId="3D05D872">
      <w:pPr>
        <w:pStyle w:val="16"/>
        <w:numPr>
          <w:ilvl w:val="0"/>
          <w:numId w:val="1"/>
        </w:numPr>
        <w:spacing w:after="120" w:line="276" w:lineRule="auto"/>
      </w:pPr>
      <w:r>
        <w:rPr>
          <w:rFonts w:ascii="Arial" w:hAnsi="Arial" w:eastAsia="Arial" w:cs="Arial"/>
          <w:sz w:val="22"/>
          <w:szCs w:val="22"/>
        </w:rPr>
        <w:t>Logical stop — invalidation placed at array, displacement origin, or structural failure point.</w:t>
      </w:r>
    </w:p>
    <w:p w14:paraId="080A9DEF">
      <w:pPr>
        <w:pStyle w:val="16"/>
        <w:numPr>
          <w:ilvl w:val="0"/>
          <w:numId w:val="1"/>
        </w:numPr>
        <w:spacing w:after="120" w:line="276" w:lineRule="auto"/>
      </w:pPr>
      <w:r>
        <w:rPr>
          <w:rFonts w:ascii="Arial" w:hAnsi="Arial" w:eastAsia="Arial" w:cs="Arial"/>
          <w:sz w:val="22"/>
          <w:szCs w:val="22"/>
        </w:rPr>
        <w:t>Risk per trade — predetermined fraction of equity risked on a single idea.</w:t>
      </w:r>
    </w:p>
    <w:p w14:paraId="5EDD9072">
      <w:pPr>
        <w:pStyle w:val="16"/>
        <w:numPr>
          <w:ilvl w:val="0"/>
          <w:numId w:val="1"/>
        </w:numPr>
        <w:spacing w:after="120" w:line="276" w:lineRule="auto"/>
      </w:pPr>
      <w:r>
        <w:rPr>
          <w:rFonts w:ascii="Arial" w:hAnsi="Arial" w:eastAsia="Arial" w:cs="Arial"/>
          <w:sz w:val="22"/>
          <w:szCs w:val="22"/>
        </w:rPr>
        <w:t>Daily risk ceiling — maximum sum of risk committed in one session.</w:t>
      </w:r>
    </w:p>
    <w:p w14:paraId="47A98A24">
      <w:pPr>
        <w:pStyle w:val="16"/>
        <w:numPr>
          <w:ilvl w:val="0"/>
          <w:numId w:val="1"/>
        </w:numPr>
        <w:spacing w:after="120" w:line="276" w:lineRule="auto"/>
      </w:pPr>
      <w:r>
        <w:rPr>
          <w:rFonts w:ascii="Arial" w:hAnsi="Arial" w:eastAsia="Arial" w:cs="Arial"/>
          <w:sz w:val="22"/>
          <w:szCs w:val="22"/>
        </w:rPr>
        <w:t>Daily loss limit — maximum realised + unrealised loss that terminates the session.</w:t>
      </w:r>
    </w:p>
    <w:p w14:paraId="0EC31C6E">
      <w:pPr>
        <w:pStyle w:val="16"/>
        <w:numPr>
          <w:ilvl w:val="0"/>
          <w:numId w:val="1"/>
        </w:numPr>
        <w:spacing w:after="120" w:line="276" w:lineRule="auto"/>
      </w:pPr>
      <w:r>
        <w:rPr>
          <w:rFonts w:ascii="Arial" w:hAnsi="Arial" w:eastAsia="Arial" w:cs="Arial"/>
          <w:sz w:val="22"/>
          <w:szCs w:val="22"/>
        </w:rPr>
        <w:t>R:R as outcome — risk/reward measured from narrative geometry, not used as a primary filter.</w:t>
      </w:r>
    </w:p>
    <w:p w14:paraId="160CDDB8">
      <w:pPr>
        <w:pStyle w:val="16"/>
        <w:numPr>
          <w:ilvl w:val="0"/>
          <w:numId w:val="1"/>
        </w:numPr>
        <w:spacing w:after="120" w:line="276" w:lineRule="auto"/>
      </w:pPr>
      <w:r>
        <w:rPr>
          <w:rFonts w:ascii="Arial" w:hAnsi="Arial" w:eastAsia="Arial" w:cs="Arial"/>
          <w:sz w:val="22"/>
          <w:szCs w:val="22"/>
        </w:rPr>
        <w:t>Model invalidation — retirement of a model when its supporting narrative fails.</w:t>
      </w:r>
    </w:p>
    <w:p w14:paraId="0FF0FC3D">
      <w:pPr>
        <w:pStyle w:val="16"/>
        <w:numPr>
          <w:ilvl w:val="0"/>
          <w:numId w:val="1"/>
        </w:numPr>
        <w:spacing w:after="120" w:line="276" w:lineRule="auto"/>
      </w:pPr>
      <w:r>
        <w:rPr>
          <w:rFonts w:ascii="Arial" w:hAnsi="Arial" w:eastAsia="Arial" w:cs="Arial"/>
          <w:sz w:val="22"/>
          <w:szCs w:val="22"/>
        </w:rPr>
        <w:t>Overtrading — taking trades that fail the selection or pre-entry filters.</w:t>
      </w:r>
    </w:p>
    <w:p w14:paraId="01CBA370">
      <w:pPr>
        <w:pStyle w:val="16"/>
        <w:numPr>
          <w:ilvl w:val="0"/>
          <w:numId w:val="1"/>
        </w:numPr>
        <w:spacing w:after="120" w:line="276" w:lineRule="auto"/>
      </w:pPr>
      <w:r>
        <w:rPr>
          <w:rFonts w:ascii="Arial" w:hAnsi="Arial" w:eastAsia="Arial" w:cs="Arial"/>
          <w:sz w:val="22"/>
          <w:szCs w:val="22"/>
        </w:rPr>
        <w:t>Revenge trading — attempting to recover a loss with an unauthorised or oversized trade.</w:t>
      </w:r>
    </w:p>
    <w:p w14:paraId="3AD833C5">
      <w:pPr>
        <w:pStyle w:val="3"/>
        <w:spacing w:before="280" w:after="180"/>
      </w:pPr>
      <w:r>
        <w:rPr>
          <w:rFonts w:ascii="Arial" w:hAnsi="Arial" w:eastAsia="Arial" w:cs="Arial"/>
          <w:b/>
          <w:bCs/>
          <w:sz w:val="26"/>
          <w:szCs w:val="26"/>
        </w:rPr>
        <w:t>Self-Test</w:t>
      </w:r>
    </w:p>
    <w:p w14:paraId="26298709">
      <w:pPr>
        <w:pStyle w:val="16"/>
        <w:numPr>
          <w:ilvl w:val="0"/>
          <w:numId w:val="2"/>
        </w:numPr>
        <w:spacing w:after="120" w:line="276" w:lineRule="auto"/>
      </w:pPr>
      <w:r>
        <w:rPr>
          <w:rFonts w:ascii="Arial" w:hAnsi="Arial" w:eastAsia="Arial" w:cs="Arial"/>
          <w:sz w:val="22"/>
          <w:szCs w:val="22"/>
        </w:rPr>
        <w:t>Where should a logical stop be placed?</w:t>
      </w:r>
    </w:p>
    <w:p w14:paraId="202FCEEA">
      <w:pPr>
        <w:pStyle w:val="16"/>
        <w:numPr>
          <w:ilvl w:val="0"/>
          <w:numId w:val="2"/>
        </w:numPr>
        <w:spacing w:after="120" w:line="276" w:lineRule="auto"/>
      </w:pPr>
      <w:r>
        <w:rPr>
          <w:rFonts w:ascii="Arial" w:hAnsi="Arial" w:eastAsia="Arial" w:cs="Arial"/>
          <w:sz w:val="22"/>
          <w:szCs w:val="22"/>
        </w:rPr>
        <w:t>How is position size determined once invalidation is fixed?</w:t>
      </w:r>
    </w:p>
    <w:p w14:paraId="0DB3D2A1">
      <w:pPr>
        <w:pStyle w:val="16"/>
        <w:numPr>
          <w:ilvl w:val="0"/>
          <w:numId w:val="2"/>
        </w:numPr>
        <w:spacing w:after="120" w:line="276" w:lineRule="auto"/>
      </w:pPr>
      <w:r>
        <w:rPr>
          <w:rFonts w:ascii="Arial" w:hAnsi="Arial" w:eastAsia="Arial" w:cs="Arial"/>
          <w:sz w:val="22"/>
          <w:szCs w:val="22"/>
        </w:rPr>
        <w:t>What is the correct action when the daily loss limit is hit?</w:t>
      </w:r>
    </w:p>
    <w:p w14:paraId="5A004E8D">
      <w:pPr>
        <w:pStyle w:val="16"/>
        <w:numPr>
          <w:ilvl w:val="0"/>
          <w:numId w:val="2"/>
        </w:numPr>
        <w:spacing w:after="120" w:line="276" w:lineRule="auto"/>
      </w:pPr>
      <w:r>
        <w:rPr>
          <w:rFonts w:ascii="Arial" w:hAnsi="Arial" w:eastAsia="Arial" w:cs="Arial"/>
          <w:sz w:val="22"/>
          <w:szCs w:val="22"/>
        </w:rPr>
        <w:t>Why is R:R treated as an outcome rather than a primary filter?</w:t>
      </w:r>
    </w:p>
    <w:p w14:paraId="1EB165FC">
      <w:pPr>
        <w:pStyle w:val="16"/>
        <w:numPr>
          <w:ilvl w:val="0"/>
          <w:numId w:val="2"/>
        </w:numPr>
        <w:spacing w:after="120" w:line="276" w:lineRule="auto"/>
      </w:pPr>
      <w:r>
        <w:rPr>
          <w:rFonts w:ascii="Arial" w:hAnsi="Arial" w:eastAsia="Arial" w:cs="Arial"/>
          <w:sz w:val="22"/>
          <w:szCs w:val="22"/>
        </w:rPr>
        <w:t>What distinguishes a normal subsequent trade after a loss from revenge trading?</w:t>
      </w:r>
    </w:p>
    <w:p w14:paraId="43773D2F">
      <w:pPr>
        <w:pStyle w:val="3"/>
        <w:spacing w:before="280" w:after="180"/>
      </w:pPr>
      <w:r>
        <w:rPr>
          <w:rFonts w:ascii="Arial" w:hAnsi="Arial" w:eastAsia="Arial" w:cs="Arial"/>
          <w:b/>
          <w:bCs/>
          <w:sz w:val="26"/>
          <w:szCs w:val="26"/>
        </w:rPr>
        <w:t>Transition to Module 18</w:t>
      </w:r>
    </w:p>
    <w:p w14:paraId="1E05F72A">
      <w:pPr>
        <w:spacing w:after="200" w:line="276" w:lineRule="auto"/>
      </w:pPr>
      <w:r>
        <w:rPr>
          <w:rFonts w:ascii="Arial" w:hAnsi="Arial" w:eastAsia="Arial" w:cs="Arial"/>
          <w:sz w:val="22"/>
          <w:szCs w:val="22"/>
        </w:rPr>
        <w:t>Module 17 has enclosed the entire narrative-driven process inside a risk framework. Module 18 (ICT Research &amp; Model Validation) will address the conversion of ICT concepts into testable hypotheses, the design of historical tests that avoid hindsight and look-ahead bias, and the statistical evaluation of model robustness — always distinguishing ICT doctrine from empirical research results.</w:t>
      </w:r>
    </w:p>
    <w:p w14:paraId="4DE57067">
      <w:pPr>
        <w:spacing w:after="200" w:line="276" w:lineRule="auto"/>
        <w:rPr>
          <w:rFonts w:ascii="Arial" w:hAnsi="Arial" w:eastAsia="Arial" w:cs="Arial"/>
          <w:sz w:val="22"/>
          <w:szCs w:val="22"/>
        </w:rPr>
      </w:pPr>
    </w:p>
    <w:p w14:paraId="26E5E8A1">
      <w:pPr>
        <w:spacing w:after="200" w:line="276" w:lineRule="auto"/>
        <w:rPr>
          <w:rFonts w:ascii="Arial" w:hAnsi="Arial" w:eastAsia="Arial" w:cs="Arial"/>
          <w:sz w:val="22"/>
          <w:szCs w:val="22"/>
        </w:rPr>
      </w:pPr>
    </w:p>
    <w:p w14:paraId="6476D3F3">
      <w:pPr>
        <w:spacing w:after="200" w:line="276" w:lineRule="auto"/>
        <w:rPr>
          <w:rFonts w:ascii="Arial" w:hAnsi="Arial" w:eastAsia="Arial" w:cs="Arial"/>
          <w:sz w:val="22"/>
          <w:szCs w:val="22"/>
        </w:rPr>
      </w:pPr>
    </w:p>
    <w:p w14:paraId="25AC1D0A">
      <w:pPr>
        <w:spacing w:after="200" w:line="276" w:lineRule="auto"/>
        <w:rPr>
          <w:rFonts w:ascii="Arial" w:hAnsi="Arial" w:eastAsia="Arial" w:cs="Arial"/>
          <w:sz w:val="22"/>
          <w:szCs w:val="22"/>
        </w:rPr>
      </w:pPr>
    </w:p>
    <w:p w14:paraId="5F921982">
      <w:pPr>
        <w:spacing w:after="200" w:line="276" w:lineRule="auto"/>
        <w:rPr>
          <w:rFonts w:ascii="Arial" w:hAnsi="Arial" w:eastAsia="Arial" w:cs="Arial"/>
          <w:sz w:val="22"/>
          <w:szCs w:val="22"/>
        </w:rPr>
      </w:pPr>
    </w:p>
    <w:p w14:paraId="671910AE">
      <w:pPr>
        <w:spacing w:after="200" w:line="276" w:lineRule="auto"/>
        <w:rPr>
          <w:rFonts w:ascii="Arial" w:hAnsi="Arial" w:eastAsia="Arial" w:cs="Arial"/>
          <w:sz w:val="22"/>
          <w:szCs w:val="22"/>
        </w:rPr>
      </w:pPr>
    </w:p>
    <w:p w14:paraId="06D89C22">
      <w:pPr>
        <w:spacing w:after="200" w:line="276" w:lineRule="auto"/>
        <w:rPr>
          <w:rFonts w:ascii="Arial" w:hAnsi="Arial" w:eastAsia="Arial" w:cs="Arial"/>
          <w:sz w:val="22"/>
          <w:szCs w:val="22"/>
        </w:rPr>
      </w:pPr>
    </w:p>
    <w:p w14:paraId="23C5AD44">
      <w:pPr>
        <w:spacing w:after="200" w:line="276" w:lineRule="auto"/>
        <w:rPr>
          <w:rFonts w:ascii="Arial" w:hAnsi="Arial" w:eastAsia="Arial" w:cs="Arial"/>
          <w:sz w:val="22"/>
          <w:szCs w:val="22"/>
        </w:rPr>
      </w:pPr>
    </w:p>
    <w:p w14:paraId="44AF9AC1">
      <w:pPr>
        <w:spacing w:after="200" w:line="276" w:lineRule="auto"/>
        <w:rPr>
          <w:rFonts w:ascii="Arial" w:hAnsi="Arial" w:eastAsia="Arial" w:cs="Arial"/>
          <w:sz w:val="22"/>
          <w:szCs w:val="22"/>
        </w:rPr>
      </w:pPr>
    </w:p>
    <w:p w14:paraId="680335F3">
      <w:pPr>
        <w:spacing w:after="200" w:line="276" w:lineRule="auto"/>
        <w:rPr>
          <w:rFonts w:ascii="Arial" w:hAnsi="Arial" w:eastAsia="Arial" w:cs="Arial"/>
          <w:sz w:val="22"/>
          <w:szCs w:val="22"/>
        </w:rPr>
      </w:pPr>
    </w:p>
    <w:p w14:paraId="4C1836E1">
      <w:pPr>
        <w:spacing w:after="200" w:line="276" w:lineRule="auto"/>
        <w:rPr>
          <w:rFonts w:ascii="Arial" w:hAnsi="Arial" w:eastAsia="Arial" w:cs="Arial"/>
          <w:sz w:val="22"/>
          <w:szCs w:val="22"/>
        </w:rPr>
      </w:pPr>
    </w:p>
    <w:p w14:paraId="65B030FB">
      <w:pPr>
        <w:spacing w:after="200" w:line="276" w:lineRule="auto"/>
        <w:rPr>
          <w:rFonts w:ascii="Arial" w:hAnsi="Arial" w:eastAsia="Arial" w:cs="Arial"/>
          <w:sz w:val="22"/>
          <w:szCs w:val="22"/>
        </w:rPr>
      </w:pPr>
    </w:p>
    <w:p w14:paraId="55EFA165">
      <w:pPr>
        <w:spacing w:after="200" w:line="276" w:lineRule="auto"/>
        <w:rPr>
          <w:rFonts w:ascii="Arial" w:hAnsi="Arial" w:eastAsia="Arial" w:cs="Arial"/>
          <w:sz w:val="22"/>
          <w:szCs w:val="22"/>
        </w:rPr>
      </w:pPr>
    </w:p>
    <w:p w14:paraId="3C6D50EF">
      <w:pPr>
        <w:spacing w:after="200" w:line="276" w:lineRule="auto"/>
        <w:rPr>
          <w:rFonts w:ascii="Arial" w:hAnsi="Arial" w:eastAsia="Arial" w:cs="Arial"/>
          <w:sz w:val="22"/>
          <w:szCs w:val="22"/>
        </w:rPr>
      </w:pPr>
    </w:p>
    <w:p w14:paraId="520DDA34">
      <w:pPr>
        <w:spacing w:after="200" w:line="276" w:lineRule="auto"/>
        <w:rPr>
          <w:rFonts w:ascii="Arial" w:hAnsi="Arial" w:eastAsia="Arial" w:cs="Arial"/>
          <w:sz w:val="22"/>
          <w:szCs w:val="22"/>
        </w:rPr>
      </w:pPr>
    </w:p>
    <w:p w14:paraId="63240801">
      <w:pPr>
        <w:spacing w:after="400"/>
        <w:jc w:val="center"/>
      </w:pPr>
      <w:r>
        <w:rPr>
          <w:rFonts w:ascii="Arial" w:hAnsi="Arial" w:eastAsia="Arial" w:cs="Arial"/>
          <w:b/>
          <w:bCs/>
          <w:sz w:val="36"/>
          <w:szCs w:val="36"/>
        </w:rPr>
        <w:t>MODULE 18</w:t>
      </w:r>
    </w:p>
    <w:p w14:paraId="6E4F4515">
      <w:pPr>
        <w:spacing w:after="200"/>
        <w:jc w:val="center"/>
      </w:pPr>
      <w:r>
        <w:rPr>
          <w:rFonts w:ascii="Arial" w:hAnsi="Arial" w:eastAsia="Arial" w:cs="Arial"/>
          <w:b/>
          <w:bCs/>
          <w:sz w:val="28"/>
          <w:szCs w:val="28"/>
        </w:rPr>
        <w:t>ICT Research &amp; Model Validation</w:t>
      </w:r>
    </w:p>
    <w:p w14:paraId="69C779D2">
      <w:pPr>
        <w:spacing w:after="400"/>
        <w:jc w:val="center"/>
      </w:pPr>
      <w:r>
        <w:rPr>
          <w:rFonts w:ascii="Arial" w:hAnsi="Arial" w:eastAsia="Arial" w:cs="Arial"/>
          <w:i/>
          <w:iCs/>
          <w:sz w:val="20"/>
          <w:szCs w:val="20"/>
        </w:rPr>
        <w:t>Objective Definitions, Testable Rules, Bias Control, Historical / Out-of-Sample / Forward Testing, Statistical Evaluation, Robustness</w:t>
      </w:r>
    </w:p>
    <w:p w14:paraId="34800309">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Modules 1–17. This module is about testing ICT concepts. It does not add non-ICT indicators, oscillators, or systems to ICT methodology. ICT doctrine and empirical research results are kept strictly separate: “ICT teaches X” is not the same statement as “when X is operationalised as A+B+C, the historical sample shows Y.”</w:t>
      </w:r>
    </w:p>
    <w:p w14:paraId="6EE5EE20">
      <w:pPr>
        <w:pStyle w:val="2"/>
        <w:spacing w:before="360" w:after="240"/>
      </w:pPr>
      <w:r>
        <w:rPr>
          <w:rFonts w:ascii="Arial" w:hAnsi="Arial" w:eastAsia="Arial" w:cs="Arial"/>
          <w:b/>
          <w:bCs/>
          <w:sz w:val="32"/>
          <w:szCs w:val="32"/>
        </w:rPr>
        <w:t>Module Objectives</w:t>
      </w:r>
    </w:p>
    <w:p w14:paraId="453FA157">
      <w:pPr>
        <w:spacing w:after="200" w:line="276" w:lineRule="auto"/>
      </w:pPr>
      <w:r>
        <w:rPr>
          <w:rFonts w:ascii="Arial" w:hAnsi="Arial" w:eastAsia="Arial" w:cs="Arial"/>
          <w:sz w:val="22"/>
          <w:szCs w:val="22"/>
        </w:rPr>
        <w:t>By the end of this module the advanced student should be able to:</w:t>
      </w:r>
    </w:p>
    <w:p w14:paraId="2D8BFBEF">
      <w:pPr>
        <w:pStyle w:val="16"/>
        <w:numPr>
          <w:ilvl w:val="0"/>
          <w:numId w:val="1"/>
        </w:numPr>
        <w:spacing w:after="120" w:line="276" w:lineRule="auto"/>
      </w:pPr>
      <w:r>
        <w:rPr>
          <w:rFonts w:ascii="Arial" w:hAnsi="Arial" w:eastAsia="Arial" w:cs="Arial"/>
          <w:sz w:val="22"/>
          <w:szCs w:val="22"/>
        </w:rPr>
        <w:t>Convert a subjective ICT concept into a set of objective, testable rules.</w:t>
      </w:r>
    </w:p>
    <w:p w14:paraId="6A6C7D94">
      <w:pPr>
        <w:pStyle w:val="16"/>
        <w:numPr>
          <w:ilvl w:val="0"/>
          <w:numId w:val="1"/>
        </w:numPr>
        <w:spacing w:after="120" w:line="276" w:lineRule="auto"/>
      </w:pPr>
      <w:r>
        <w:rPr>
          <w:rFonts w:ascii="Arial" w:hAnsi="Arial" w:eastAsia="Arial" w:cs="Arial"/>
          <w:sz w:val="22"/>
          <w:szCs w:val="22"/>
        </w:rPr>
        <w:t>Define liquidity, MSS, displacement, FVG, session, entry, target and invalidation in unambiguous labeling criteria.</w:t>
      </w:r>
    </w:p>
    <w:p w14:paraId="2F9111F5">
      <w:pPr>
        <w:pStyle w:val="16"/>
        <w:numPr>
          <w:ilvl w:val="0"/>
          <w:numId w:val="1"/>
        </w:numPr>
        <w:spacing w:after="120" w:line="276" w:lineRule="auto"/>
      </w:pPr>
      <w:r>
        <w:rPr>
          <w:rFonts w:ascii="Arial" w:hAnsi="Arial" w:eastAsia="Arial" w:cs="Arial"/>
          <w:sz w:val="22"/>
          <w:szCs w:val="22"/>
        </w:rPr>
        <w:t>Design a sample and a testing protocol that minimise hindsight bias and look-ahead bias.</w:t>
      </w:r>
    </w:p>
    <w:p w14:paraId="316D2EAE">
      <w:pPr>
        <w:pStyle w:val="16"/>
        <w:numPr>
          <w:ilvl w:val="0"/>
          <w:numId w:val="1"/>
        </w:numPr>
        <w:spacing w:after="120" w:line="276" w:lineRule="auto"/>
      </w:pPr>
      <w:r>
        <w:rPr>
          <w:rFonts w:ascii="Arial" w:hAnsi="Arial" w:eastAsia="Arial" w:cs="Arial"/>
          <w:sz w:val="22"/>
          <w:szCs w:val="22"/>
        </w:rPr>
        <w:t>Distinguish in-sample, out-of-sample and forward testing.</w:t>
      </w:r>
    </w:p>
    <w:p w14:paraId="1D64CEBA">
      <w:pPr>
        <w:pStyle w:val="16"/>
        <w:numPr>
          <w:ilvl w:val="0"/>
          <w:numId w:val="1"/>
        </w:numPr>
        <w:spacing w:after="120" w:line="276" w:lineRule="auto"/>
      </w:pPr>
      <w:r>
        <w:rPr>
          <w:rFonts w:ascii="Arial" w:hAnsi="Arial" w:eastAsia="Arial" w:cs="Arial"/>
          <w:sz w:val="22"/>
          <w:szCs w:val="22"/>
        </w:rPr>
        <w:t>Compute and interpret expectancy, win rate, distribution of outcomes and maximum drawdown.</w:t>
      </w:r>
    </w:p>
    <w:p w14:paraId="36A72E69">
      <w:pPr>
        <w:pStyle w:val="16"/>
        <w:numPr>
          <w:ilvl w:val="0"/>
          <w:numId w:val="1"/>
        </w:numPr>
        <w:spacing w:after="120" w:line="276" w:lineRule="auto"/>
      </w:pPr>
      <w:r>
        <w:rPr>
          <w:rFonts w:ascii="Arial" w:hAnsi="Arial" w:eastAsia="Arial" w:cs="Arial"/>
          <w:sz w:val="22"/>
          <w:szCs w:val="22"/>
        </w:rPr>
        <w:t>Assess model robustness across regimes and instruments without claiming that statistics “prove” ICT doctrine.</w:t>
      </w:r>
    </w:p>
    <w:p w14:paraId="443B2E07">
      <w:pPr>
        <w:pStyle w:val="16"/>
        <w:numPr>
          <w:ilvl w:val="0"/>
          <w:numId w:val="1"/>
        </w:numPr>
        <w:spacing w:after="120" w:line="276" w:lineRule="auto"/>
      </w:pPr>
      <w:r>
        <w:rPr>
          <w:rFonts w:ascii="Arial" w:hAnsi="Arial" w:eastAsia="Arial" w:cs="Arial"/>
          <w:sz w:val="22"/>
          <w:szCs w:val="22"/>
        </w:rPr>
        <w:t>Maintain a clear written separation between ICT teaching and research findings.</w:t>
      </w:r>
    </w:p>
    <w:p w14:paraId="71BE75F0">
      <w:pPr>
        <w:pStyle w:val="2"/>
        <w:spacing w:before="360" w:after="240"/>
      </w:pPr>
      <w:r>
        <w:rPr>
          <w:rFonts w:ascii="Arial" w:hAnsi="Arial" w:eastAsia="Arial" w:cs="Arial"/>
          <w:b/>
          <w:bCs/>
          <w:sz w:val="32"/>
          <w:szCs w:val="32"/>
        </w:rPr>
        <w:t>1. Doctrine vs Research — The Governing Distinction</w:t>
      </w:r>
    </w:p>
    <w:p w14:paraId="7406E71A">
      <w:pPr>
        <w:pStyle w:val="3"/>
        <w:spacing w:before="280" w:after="180"/>
      </w:pPr>
      <w:r>
        <w:rPr>
          <w:rFonts w:ascii="Arial" w:hAnsi="Arial" w:eastAsia="Arial" w:cs="Arial"/>
          <w:b/>
          <w:bCs/>
          <w:sz w:val="26"/>
          <w:szCs w:val="26"/>
        </w:rPr>
        <w:t>1.1 Two Different Claims</w:t>
      </w:r>
    </w:p>
    <w:p w14:paraId="54FEDB16">
      <w:pPr>
        <w:spacing w:after="200" w:line="276" w:lineRule="auto"/>
      </w:pPr>
      <w:r>
        <w:rPr>
          <w:rFonts w:ascii="Arial" w:hAnsi="Arial" w:eastAsia="Arial" w:cs="Arial"/>
          <w:sz w:val="22"/>
          <w:szCs w:val="22"/>
        </w:rPr>
        <w:t>Claim type A (doctrine): “ICT teaches that price often delivers from a sell-side liquidity pool to a buy-side liquidity pool after displacement and a Market Structure Shift.”</w:t>
      </w:r>
    </w:p>
    <w:p w14:paraId="19CDEFED">
      <w:pPr>
        <w:spacing w:after="200" w:line="276" w:lineRule="auto"/>
      </w:pPr>
      <w:r>
        <w:rPr>
          <w:rFonts w:ascii="Arial" w:hAnsi="Arial" w:eastAsia="Arial" w:cs="Arial"/>
          <w:sz w:val="22"/>
          <w:szCs w:val="22"/>
        </w:rPr>
        <w:t>Claim type B (research): “When the following objective rules are applied to EUR/USD 2018–2024 on the 15-minute chart, the sample of 412 setups shows a mean expectancy of Z and a maximum drawdown of W.”</w:t>
      </w:r>
    </w:p>
    <w:p w14:paraId="465556CC">
      <w:pPr>
        <w:spacing w:after="200" w:line="276" w:lineRule="auto"/>
      </w:pPr>
      <w:r>
        <w:rPr>
          <w:rFonts w:ascii="Arial" w:hAnsi="Arial" w:eastAsia="Arial" w:cs="Arial"/>
          <w:sz w:val="22"/>
          <w:szCs w:val="22"/>
        </w:rPr>
        <w:t>Claim A is about what ICT teaches. Claim B is about what a particular operationalisation produced in a particular sample. Confusing the two is the most common error in ICT research.</w:t>
      </w:r>
    </w:p>
    <w:p w14:paraId="67CBA1DB">
      <w:pPr>
        <w:pStyle w:val="3"/>
        <w:spacing w:before="280" w:after="180"/>
      </w:pPr>
      <w:r>
        <w:rPr>
          <w:rFonts w:ascii="Arial" w:hAnsi="Arial" w:eastAsia="Arial" w:cs="Arial"/>
          <w:b/>
          <w:bCs/>
          <w:sz w:val="26"/>
          <w:szCs w:val="26"/>
        </w:rPr>
        <w:t>1.2 What Research Cannot Do</w:t>
      </w:r>
    </w:p>
    <w:p w14:paraId="1971B76E">
      <w:pPr>
        <w:spacing w:after="200" w:line="276" w:lineRule="auto"/>
      </w:pPr>
      <w:r>
        <w:rPr>
          <w:rFonts w:ascii="Arial" w:hAnsi="Arial" w:eastAsia="Arial" w:cs="Arial"/>
          <w:sz w:val="22"/>
          <w:szCs w:val="22"/>
        </w:rPr>
        <w:t>Empirical testing cannot prove that ICT doctrine is true or false in a philosophical sense. It can only show how a specific, fully specified ruleset behaved in historical and forward data. The advanced student reports research results as research results, not as new ICT doctrine.</w:t>
      </w:r>
    </w:p>
    <w:p w14:paraId="4FFCA38F">
      <w:pPr>
        <w:spacing w:before="80" w:after="160" w:line="276" w:lineRule="auto"/>
      </w:pPr>
      <w:r>
        <w:rPr>
          <w:rFonts w:ascii="Arial" w:hAnsi="Arial" w:eastAsia="Arial" w:cs="Arial"/>
          <w:b/>
          <w:bCs/>
          <w:sz w:val="18"/>
          <w:szCs w:val="18"/>
        </w:rPr>
        <w:t xml:space="preserve">Evidence Classification: </w:t>
      </w:r>
      <w:r>
        <w:rPr>
          <w:rFonts w:ascii="Arial" w:hAnsi="Arial" w:eastAsia="Arial" w:cs="Arial"/>
          <w:i/>
          <w:iCs/>
          <w:color w:val="333333"/>
          <w:sz w:val="18"/>
          <w:szCs w:val="18"/>
        </w:rPr>
        <w:t>C — The doctrine/research separation is a methodological requirement of this textbook, not an ICT lecture topic.</w:t>
      </w:r>
    </w:p>
    <w:p w14:paraId="3714DC24">
      <w:pPr>
        <w:pStyle w:val="2"/>
        <w:spacing w:before="360" w:after="240"/>
      </w:pPr>
      <w:r>
        <w:rPr>
          <w:rFonts w:ascii="Arial" w:hAnsi="Arial" w:eastAsia="Arial" w:cs="Arial"/>
          <w:b/>
          <w:bCs/>
          <w:sz w:val="32"/>
          <w:szCs w:val="32"/>
        </w:rPr>
        <w:t>2. Defining an ICT Setup Objectively</w:t>
      </w:r>
    </w:p>
    <w:p w14:paraId="7A4006E2">
      <w:pPr>
        <w:pStyle w:val="3"/>
        <w:spacing w:before="280" w:after="180"/>
      </w:pPr>
      <w:r>
        <w:rPr>
          <w:rFonts w:ascii="Arial" w:hAnsi="Arial" w:eastAsia="Arial" w:cs="Arial"/>
          <w:b/>
          <w:bCs/>
          <w:sz w:val="26"/>
          <w:szCs w:val="26"/>
        </w:rPr>
        <w:t>2.1 The Problem of Subjectivity</w:t>
      </w:r>
    </w:p>
    <w:p w14:paraId="14BFF47C">
      <w:pPr>
        <w:spacing w:after="200" w:line="276" w:lineRule="auto"/>
      </w:pPr>
      <w:r>
        <w:rPr>
          <w:rFonts w:ascii="Arial" w:hAnsi="Arial" w:eastAsia="Arial" w:cs="Arial"/>
          <w:sz w:val="22"/>
          <w:szCs w:val="22"/>
        </w:rPr>
        <w:t>Many ICT concepts are demonstrated visually and contextually. For research they must be reduced to rules that two independent labelers would apply the same way. Ambiguous rules produce irreproducible results.</w:t>
      </w:r>
    </w:p>
    <w:p w14:paraId="0B8BB838">
      <w:pPr>
        <w:pStyle w:val="3"/>
        <w:spacing w:before="280" w:after="180"/>
      </w:pPr>
      <w:r>
        <w:rPr>
          <w:rFonts w:ascii="Arial" w:hAnsi="Arial" w:eastAsia="Arial" w:cs="Arial"/>
          <w:b/>
          <w:bCs/>
          <w:sz w:val="26"/>
          <w:szCs w:val="26"/>
        </w:rPr>
        <w:t>2.2 Minimum Elements of an Objective Setup Definition</w:t>
      </w:r>
    </w:p>
    <w:p w14:paraId="4181B8BD">
      <w:pPr>
        <w:pStyle w:val="16"/>
        <w:numPr>
          <w:ilvl w:val="0"/>
          <w:numId w:val="1"/>
        </w:numPr>
        <w:spacing w:after="120" w:line="276" w:lineRule="auto"/>
      </w:pPr>
      <w:r>
        <w:rPr>
          <w:rFonts w:ascii="Arial" w:hAnsi="Arial" w:eastAsia="Arial" w:cs="Arial"/>
          <w:sz w:val="22"/>
          <w:szCs w:val="22"/>
        </w:rPr>
        <w:t>Instrument and timeframe(s).</w:t>
      </w:r>
    </w:p>
    <w:p w14:paraId="2BB66584">
      <w:pPr>
        <w:pStyle w:val="16"/>
        <w:numPr>
          <w:ilvl w:val="0"/>
          <w:numId w:val="1"/>
        </w:numPr>
        <w:spacing w:after="120" w:line="276" w:lineRule="auto"/>
      </w:pPr>
      <w:r>
        <w:rPr>
          <w:rFonts w:ascii="Arial" w:hAnsi="Arial" w:eastAsia="Arial" w:cs="Arial"/>
          <w:sz w:val="22"/>
          <w:szCs w:val="22"/>
        </w:rPr>
        <w:t>Higher-timeframe bias rule (how bias is determined from the data without look-ahead).</w:t>
      </w:r>
    </w:p>
    <w:p w14:paraId="21C9CBCD">
      <w:pPr>
        <w:pStyle w:val="16"/>
        <w:numPr>
          <w:ilvl w:val="0"/>
          <w:numId w:val="1"/>
        </w:numPr>
        <w:spacing w:after="120" w:line="276" w:lineRule="auto"/>
      </w:pPr>
      <w:r>
        <w:rPr>
          <w:rFonts w:ascii="Arial" w:hAnsi="Arial" w:eastAsia="Arial" w:cs="Arial"/>
          <w:sz w:val="22"/>
          <w:szCs w:val="22"/>
        </w:rPr>
        <w:t>Liquidity origin rule (how the pool is identified and when it is considered raided).</w:t>
      </w:r>
    </w:p>
    <w:p w14:paraId="2EB5CAEC">
      <w:pPr>
        <w:pStyle w:val="16"/>
        <w:numPr>
          <w:ilvl w:val="0"/>
          <w:numId w:val="1"/>
        </w:numPr>
        <w:spacing w:after="120" w:line="276" w:lineRule="auto"/>
      </w:pPr>
      <w:r>
        <w:rPr>
          <w:rFonts w:ascii="Arial" w:hAnsi="Arial" w:eastAsia="Arial" w:cs="Arial"/>
          <w:sz w:val="22"/>
          <w:szCs w:val="22"/>
        </w:rPr>
        <w:t>Displacement rule (what counts as displacement).</w:t>
      </w:r>
    </w:p>
    <w:p w14:paraId="70254C4F">
      <w:pPr>
        <w:pStyle w:val="16"/>
        <w:numPr>
          <w:ilvl w:val="0"/>
          <w:numId w:val="1"/>
        </w:numPr>
        <w:spacing w:after="120" w:line="276" w:lineRule="auto"/>
      </w:pPr>
      <w:r>
        <w:rPr>
          <w:rFonts w:ascii="Arial" w:hAnsi="Arial" w:eastAsia="Arial" w:cs="Arial"/>
          <w:sz w:val="22"/>
          <w:szCs w:val="22"/>
        </w:rPr>
        <w:t>MSS rule (what swing must be broken and by what kind of close).</w:t>
      </w:r>
    </w:p>
    <w:p w14:paraId="4ECC3502">
      <w:pPr>
        <w:pStyle w:val="16"/>
        <w:numPr>
          <w:ilvl w:val="0"/>
          <w:numId w:val="1"/>
        </w:numPr>
        <w:spacing w:after="120" w:line="276" w:lineRule="auto"/>
      </w:pPr>
      <w:r>
        <w:rPr>
          <w:rFonts w:ascii="Arial" w:hAnsi="Arial" w:eastAsia="Arial" w:cs="Arial"/>
          <w:sz w:val="22"/>
          <w:szCs w:val="22"/>
        </w:rPr>
        <w:t>Entry array rule (FVG, OB, CE, OTE, Breaker — exact geometric definition).</w:t>
      </w:r>
    </w:p>
    <w:p w14:paraId="5597B440">
      <w:pPr>
        <w:pStyle w:val="16"/>
        <w:numPr>
          <w:ilvl w:val="0"/>
          <w:numId w:val="1"/>
        </w:numPr>
        <w:spacing w:after="120" w:line="276" w:lineRule="auto"/>
      </w:pPr>
      <w:r>
        <w:rPr>
          <w:rFonts w:ascii="Arial" w:hAnsi="Arial" w:eastAsia="Arial" w:cs="Arial"/>
          <w:sz w:val="22"/>
          <w:szCs w:val="22"/>
        </w:rPr>
        <w:t>Entry trigger (touch, close inside, etc.).</w:t>
      </w:r>
    </w:p>
    <w:p w14:paraId="3E876BF6">
      <w:pPr>
        <w:pStyle w:val="16"/>
        <w:numPr>
          <w:ilvl w:val="0"/>
          <w:numId w:val="1"/>
        </w:numPr>
        <w:spacing w:after="120" w:line="276" w:lineRule="auto"/>
      </w:pPr>
      <w:r>
        <w:rPr>
          <w:rFonts w:ascii="Arial" w:hAnsi="Arial" w:eastAsia="Arial" w:cs="Arial"/>
          <w:sz w:val="22"/>
          <w:szCs w:val="22"/>
        </w:rPr>
        <w:t>Invalidation rule.</w:t>
      </w:r>
    </w:p>
    <w:p w14:paraId="59B6E934">
      <w:pPr>
        <w:pStyle w:val="16"/>
        <w:numPr>
          <w:ilvl w:val="0"/>
          <w:numId w:val="1"/>
        </w:numPr>
        <w:spacing w:after="120" w:line="276" w:lineRule="auto"/>
      </w:pPr>
      <w:r>
        <w:rPr>
          <w:rFonts w:ascii="Arial" w:hAnsi="Arial" w:eastAsia="Arial" w:cs="Arial"/>
          <w:sz w:val="22"/>
          <w:szCs w:val="22"/>
        </w:rPr>
        <w:t>Target rule(s) (intermediate and terminal).</w:t>
      </w:r>
    </w:p>
    <w:p w14:paraId="6767E0D9">
      <w:pPr>
        <w:pStyle w:val="16"/>
        <w:numPr>
          <w:ilvl w:val="0"/>
          <w:numId w:val="1"/>
        </w:numPr>
        <w:spacing w:after="120" w:line="276" w:lineRule="auto"/>
      </w:pPr>
      <w:r>
        <w:rPr>
          <w:rFonts w:ascii="Arial" w:hAnsi="Arial" w:eastAsia="Arial" w:cs="Arial"/>
          <w:sz w:val="22"/>
          <w:szCs w:val="22"/>
        </w:rPr>
        <w:t>Session or time filter (if any).</w:t>
      </w:r>
    </w:p>
    <w:p w14:paraId="593671B8">
      <w:pPr>
        <w:pStyle w:val="16"/>
        <w:numPr>
          <w:ilvl w:val="0"/>
          <w:numId w:val="1"/>
        </w:numPr>
        <w:spacing w:after="120" w:line="276" w:lineRule="auto"/>
      </w:pPr>
      <w:r>
        <w:rPr>
          <w:rFonts w:ascii="Arial" w:hAnsi="Arial" w:eastAsia="Arial" w:cs="Arial"/>
          <w:sz w:val="22"/>
          <w:szCs w:val="22"/>
        </w:rPr>
        <w:t>Position-sizing and risk rule (for equity-curve statistics).</w:t>
      </w:r>
    </w:p>
    <w:p w14:paraId="23D904E4">
      <w:pPr>
        <w:pStyle w:val="2"/>
        <w:spacing w:before="360" w:after="240"/>
      </w:pPr>
      <w:r>
        <w:rPr>
          <w:rFonts w:ascii="Arial" w:hAnsi="Arial" w:eastAsia="Arial" w:cs="Arial"/>
          <w:b/>
          <w:bCs/>
          <w:sz w:val="32"/>
          <w:szCs w:val="32"/>
        </w:rPr>
        <w:t>3. Labeling Criteria — Core Concepts</w:t>
      </w:r>
    </w:p>
    <w:p w14:paraId="5BF0FB18">
      <w:pPr>
        <w:pStyle w:val="3"/>
        <w:spacing w:before="280" w:after="180"/>
      </w:pPr>
      <w:r>
        <w:rPr>
          <w:rFonts w:ascii="Arial" w:hAnsi="Arial" w:eastAsia="Arial" w:cs="Arial"/>
          <w:b/>
          <w:bCs/>
          <w:sz w:val="26"/>
          <w:szCs w:val="26"/>
        </w:rPr>
        <w:t>3.1 Liquidity</w:t>
      </w:r>
    </w:p>
    <w:p w14:paraId="5006E062">
      <w:pPr>
        <w:spacing w:after="200" w:line="276" w:lineRule="auto"/>
      </w:pPr>
      <w:r>
        <w:rPr>
          <w:rFonts w:ascii="Arial" w:hAnsi="Arial" w:eastAsia="Arial" w:cs="Arial"/>
          <w:sz w:val="22"/>
          <w:szCs w:val="22"/>
        </w:rPr>
        <w:t>Example objective rule (illustrative): “A sell-side liquidity pool is the lowest low of the prior N sessions or a relative equal low within X pips that has not been traded through. It is considered raided when price prints a low at least Y pips beyond it and then closes back above it within Z bars.” Rules must be fixed before testing begins.</w:t>
      </w:r>
    </w:p>
    <w:p w14:paraId="1D059359">
      <w:pPr>
        <w:pStyle w:val="3"/>
        <w:spacing w:before="280" w:after="180"/>
      </w:pPr>
      <w:r>
        <w:rPr>
          <w:rFonts w:ascii="Arial" w:hAnsi="Arial" w:eastAsia="Arial" w:cs="Arial"/>
          <w:b/>
          <w:bCs/>
          <w:sz w:val="26"/>
          <w:szCs w:val="26"/>
        </w:rPr>
        <w:t>3.2 Displacement</w:t>
      </w:r>
    </w:p>
    <w:p w14:paraId="751F2CCA">
      <w:pPr>
        <w:spacing w:after="200" w:line="276" w:lineRule="auto"/>
      </w:pPr>
      <w:r>
        <w:rPr>
          <w:rFonts w:ascii="Arial" w:hAnsi="Arial" w:eastAsia="Arial" w:cs="Arial"/>
          <w:sz w:val="22"/>
          <w:szCs w:val="22"/>
        </w:rPr>
        <w:t>Example: “Displacement is a candle (or sequence) whose range exceeds the 20-period average range by a factor of K and that closes beyond the prior swing high/low.”</w:t>
      </w:r>
    </w:p>
    <w:p w14:paraId="0BF44759">
      <w:pPr>
        <w:pStyle w:val="3"/>
        <w:spacing w:before="280" w:after="180"/>
      </w:pPr>
      <w:r>
        <w:rPr>
          <w:rFonts w:ascii="Arial" w:hAnsi="Arial" w:eastAsia="Arial" w:cs="Arial"/>
          <w:b/>
          <w:bCs/>
          <w:sz w:val="26"/>
          <w:szCs w:val="26"/>
        </w:rPr>
        <w:t>3.3 Market Structure Shift</w:t>
      </w:r>
    </w:p>
    <w:p w14:paraId="38A293AE">
      <w:pPr>
        <w:spacing w:after="200" w:line="276" w:lineRule="auto"/>
      </w:pPr>
      <w:r>
        <w:rPr>
          <w:rFonts w:ascii="Arial" w:hAnsi="Arial" w:eastAsia="Arial" w:cs="Arial"/>
          <w:sz w:val="22"/>
          <w:szCs w:val="22"/>
        </w:rPr>
        <w:t>Example: “A bullish MSS is a close above the most recent swing high that was formed after the liquidity raid, on the execution timeframe.”</w:t>
      </w:r>
    </w:p>
    <w:p w14:paraId="7B9591BA">
      <w:pPr>
        <w:pStyle w:val="3"/>
        <w:spacing w:before="280" w:after="180"/>
      </w:pPr>
      <w:r>
        <w:rPr>
          <w:rFonts w:ascii="Arial" w:hAnsi="Arial" w:eastAsia="Arial" w:cs="Arial"/>
          <w:b/>
          <w:bCs/>
          <w:sz w:val="26"/>
          <w:szCs w:val="26"/>
        </w:rPr>
        <w:t>3.4 Fair Value Gap</w:t>
      </w:r>
    </w:p>
    <w:p w14:paraId="35EBD77C">
      <w:pPr>
        <w:spacing w:after="200" w:line="276" w:lineRule="auto"/>
      </w:pPr>
      <w:r>
        <w:rPr>
          <w:rFonts w:ascii="Arial" w:hAnsi="Arial" w:eastAsia="Arial" w:cs="Arial"/>
          <w:sz w:val="22"/>
          <w:szCs w:val="22"/>
        </w:rPr>
        <w:t>Example: “A bullish FVG exists when the low of candle 3 is higher than the high of candle 1; the zone is the interval [high of candle 1, low of candle 3]. It is mitigated when a subsequent candle’s low enters the zone.”</w:t>
      </w:r>
    </w:p>
    <w:p w14:paraId="34E90B71">
      <w:pPr>
        <w:pStyle w:val="3"/>
        <w:spacing w:before="280" w:after="180"/>
      </w:pPr>
      <w:r>
        <w:rPr>
          <w:rFonts w:ascii="Arial" w:hAnsi="Arial" w:eastAsia="Arial" w:cs="Arial"/>
          <w:b/>
          <w:bCs/>
          <w:sz w:val="26"/>
          <w:szCs w:val="26"/>
        </w:rPr>
        <w:t>3.5 Session Labels</w:t>
      </w:r>
    </w:p>
    <w:p w14:paraId="63955B8F">
      <w:pPr>
        <w:spacing w:after="200" w:line="276" w:lineRule="auto"/>
      </w:pPr>
      <w:r>
        <w:rPr>
          <w:rFonts w:ascii="Arial" w:hAnsi="Arial" w:eastAsia="Arial" w:cs="Arial"/>
          <w:sz w:val="22"/>
          <w:szCs w:val="22"/>
        </w:rPr>
        <w:t>Sessions must be defined in a fixed timezone (usually New York local, with DST rules stated). Asian, London and New York windows are then unambiguous.</w:t>
      </w:r>
    </w:p>
    <w:p w14:paraId="4B7B8DAD">
      <w:pPr>
        <w:spacing w:after="200" w:line="276" w:lineRule="auto"/>
      </w:pPr>
      <w:r>
        <w:rPr>
          <w:rFonts w:ascii="Arial" w:hAnsi="Arial" w:eastAsia="Arial" w:cs="Arial"/>
          <w:sz w:val="22"/>
          <w:szCs w:val="22"/>
        </w:rPr>
        <w:t>Every labeling rule is written down and frozen before any performance number is calculated.</w:t>
      </w:r>
    </w:p>
    <w:p w14:paraId="1DE6B8D2">
      <w:pPr>
        <w:pStyle w:val="2"/>
        <w:spacing w:before="360" w:after="240"/>
      </w:pPr>
      <w:r>
        <w:rPr>
          <w:rFonts w:ascii="Arial" w:hAnsi="Arial" w:eastAsia="Arial" w:cs="Arial"/>
          <w:b/>
          <w:bCs/>
          <w:sz w:val="32"/>
          <w:szCs w:val="32"/>
        </w:rPr>
        <w:t>4. Sample Selection</w:t>
      </w:r>
    </w:p>
    <w:p w14:paraId="759BE54F">
      <w:pPr>
        <w:pStyle w:val="3"/>
        <w:spacing w:before="280" w:after="180"/>
      </w:pPr>
      <w:r>
        <w:rPr>
          <w:rFonts w:ascii="Arial" w:hAnsi="Arial" w:eastAsia="Arial" w:cs="Arial"/>
          <w:b/>
          <w:bCs/>
          <w:sz w:val="26"/>
          <w:szCs w:val="26"/>
        </w:rPr>
        <w:t>4.1 Representativeness</w:t>
      </w:r>
    </w:p>
    <w:p w14:paraId="0BE15BF5">
      <w:pPr>
        <w:spacing w:after="200" w:line="276" w:lineRule="auto"/>
      </w:pPr>
      <w:r>
        <w:rPr>
          <w:rFonts w:ascii="Arial" w:hAnsi="Arial" w:eastAsia="Arial" w:cs="Arial"/>
          <w:sz w:val="22"/>
          <w:szCs w:val="22"/>
        </w:rPr>
        <w:t>The sample should cover multiple market regimes (trending, ranging, high-volatility, low-volatility) and, if claims are to generalise, more than one instrument. Convenience samples of “only the days that looked good” are invalid.</w:t>
      </w:r>
    </w:p>
    <w:p w14:paraId="44E5D04C">
      <w:pPr>
        <w:pStyle w:val="3"/>
        <w:spacing w:before="280" w:after="180"/>
      </w:pPr>
      <w:r>
        <w:rPr>
          <w:rFonts w:ascii="Arial" w:hAnsi="Arial" w:eastAsia="Arial" w:cs="Arial"/>
          <w:b/>
          <w:bCs/>
          <w:sz w:val="26"/>
          <w:szCs w:val="26"/>
        </w:rPr>
        <w:t>4.2 Sample Size</w:t>
      </w:r>
    </w:p>
    <w:p w14:paraId="7A0BCF14">
      <w:pPr>
        <w:spacing w:after="200" w:line="276" w:lineRule="auto"/>
      </w:pPr>
      <w:r>
        <w:rPr>
          <w:rFonts w:ascii="Arial" w:hAnsi="Arial" w:eastAsia="Arial" w:cs="Arial"/>
          <w:sz w:val="22"/>
          <w:szCs w:val="22"/>
        </w:rPr>
        <w:t>Small samples produce unstable statistics. The student states the number of setups, the number of trades, and the calendar span. Extrapolation from a handful of examples is research malpractice.</w:t>
      </w:r>
    </w:p>
    <w:p w14:paraId="704A24B2">
      <w:pPr>
        <w:pStyle w:val="2"/>
        <w:spacing w:before="360" w:after="240"/>
      </w:pPr>
      <w:r>
        <w:rPr>
          <w:rFonts w:ascii="Arial" w:hAnsi="Arial" w:eastAsia="Arial" w:cs="Arial"/>
          <w:b/>
          <w:bCs/>
          <w:sz w:val="32"/>
          <w:szCs w:val="32"/>
        </w:rPr>
        <w:t>5. Bias Control</w:t>
      </w:r>
    </w:p>
    <w:p w14:paraId="03C750A0">
      <w:pPr>
        <w:pStyle w:val="3"/>
        <w:spacing w:before="280" w:after="180"/>
      </w:pPr>
      <w:r>
        <w:rPr>
          <w:rFonts w:ascii="Arial" w:hAnsi="Arial" w:eastAsia="Arial" w:cs="Arial"/>
          <w:b/>
          <w:bCs/>
          <w:sz w:val="26"/>
          <w:szCs w:val="26"/>
        </w:rPr>
        <w:t>5.1 Hindsight Bias</w:t>
      </w:r>
    </w:p>
    <w:p w14:paraId="4196C4D4">
      <w:pPr>
        <w:spacing w:after="200" w:line="276" w:lineRule="auto"/>
      </w:pPr>
      <w:r>
        <w:rPr>
          <w:rFonts w:ascii="Arial" w:hAnsi="Arial" w:eastAsia="Arial" w:cs="Arial"/>
          <w:sz w:val="22"/>
          <w:szCs w:val="22"/>
        </w:rPr>
        <w:t>Hindsight bias is the use of information that would not have been known at the time of the decision. Classic forms: drawing the “obvious” dealing range after seeing the whole move; labeling a swing as “the” liquidity pool only because it later worked; adjusting rules after seeing the equity curve.</w:t>
      </w:r>
    </w:p>
    <w:p w14:paraId="00E46E9A">
      <w:pPr>
        <w:pStyle w:val="3"/>
        <w:spacing w:before="280" w:after="180"/>
      </w:pPr>
      <w:r>
        <w:rPr>
          <w:rFonts w:ascii="Arial" w:hAnsi="Arial" w:eastAsia="Arial" w:cs="Arial"/>
          <w:b/>
          <w:bCs/>
          <w:sz w:val="26"/>
          <w:szCs w:val="26"/>
        </w:rPr>
        <w:t>5.2 Look-Ahead Bias</w:t>
      </w:r>
    </w:p>
    <w:p w14:paraId="71F1CB79">
      <w:pPr>
        <w:spacing w:after="200" w:line="276" w:lineRule="auto"/>
      </w:pPr>
      <w:r>
        <w:rPr>
          <w:rFonts w:ascii="Arial" w:hAnsi="Arial" w:eastAsia="Arial" w:cs="Arial"/>
          <w:sz w:val="22"/>
          <w:szCs w:val="22"/>
        </w:rPr>
        <w:t>Look-ahead bias is the use of future data in a past decision. Classic forms: using a daily bias that is determined from the daily close when the entry occurred during the day; using a weekly DOL that is only identifiable after the week has completed; using indicators or levels that incorporate future bars.</w:t>
      </w:r>
    </w:p>
    <w:p w14:paraId="0F812709">
      <w:pPr>
        <w:pStyle w:val="3"/>
        <w:spacing w:before="280" w:after="180"/>
      </w:pPr>
      <w:r>
        <w:rPr>
          <w:rFonts w:ascii="Arial" w:hAnsi="Arial" w:eastAsia="Arial" w:cs="Arial"/>
          <w:b/>
          <w:bCs/>
          <w:sz w:val="26"/>
          <w:szCs w:val="26"/>
        </w:rPr>
        <w:t>5.3 Controls</w:t>
      </w:r>
    </w:p>
    <w:p w14:paraId="76037ED8">
      <w:pPr>
        <w:spacing w:after="200" w:line="276" w:lineRule="auto"/>
      </w:pPr>
      <w:r>
        <w:rPr>
          <w:rFonts w:ascii="Arial" w:hAnsi="Arial" w:eastAsia="Arial" w:cs="Arial"/>
          <w:sz w:val="22"/>
          <w:szCs w:val="22"/>
        </w:rPr>
        <w:t>All bias, range, DOL and array decisions must be computable from data available at the decision timestamp. Walk-forward or strictly sequential labeling is preferred. Rule changes after seeing results are recorded as new research, not as “the original model.”</w:t>
      </w:r>
    </w:p>
    <w:p w14:paraId="0684E5C5">
      <w:pPr>
        <w:pStyle w:val="2"/>
        <w:spacing w:before="360" w:after="240"/>
      </w:pPr>
      <w:r>
        <w:rPr>
          <w:rFonts w:ascii="Arial" w:hAnsi="Arial" w:eastAsia="Arial" w:cs="Arial"/>
          <w:b/>
          <w:bCs/>
          <w:sz w:val="32"/>
          <w:szCs w:val="32"/>
        </w:rPr>
        <w:t>6. Testing Protocol</w:t>
      </w:r>
    </w:p>
    <w:p w14:paraId="2D6B4674">
      <w:pPr>
        <w:pStyle w:val="3"/>
        <w:spacing w:before="280" w:after="180"/>
      </w:pPr>
      <w:r>
        <w:rPr>
          <w:rFonts w:ascii="Arial" w:hAnsi="Arial" w:eastAsia="Arial" w:cs="Arial"/>
          <w:b/>
          <w:bCs/>
          <w:sz w:val="26"/>
          <w:szCs w:val="26"/>
        </w:rPr>
        <w:t>6.1 Historical (In-Sample) Testing</w:t>
      </w:r>
    </w:p>
    <w:p w14:paraId="0891A91B">
      <w:pPr>
        <w:spacing w:after="200" w:line="276" w:lineRule="auto"/>
      </w:pPr>
      <w:r>
        <w:rPr>
          <w:rFonts w:ascii="Arial" w:hAnsi="Arial" w:eastAsia="Arial" w:cs="Arial"/>
          <w:sz w:val="22"/>
          <w:szCs w:val="22"/>
        </w:rPr>
        <w:t>The ruleset is applied to a defined historical window. Results are descriptive of that window only. In-sample results are the starting point for hypothesis formation, not the final claim.</w:t>
      </w:r>
    </w:p>
    <w:p w14:paraId="17FDADAC">
      <w:pPr>
        <w:pStyle w:val="3"/>
        <w:spacing w:before="280" w:after="180"/>
      </w:pPr>
      <w:r>
        <w:rPr>
          <w:rFonts w:ascii="Arial" w:hAnsi="Arial" w:eastAsia="Arial" w:cs="Arial"/>
          <w:b/>
          <w:bCs/>
          <w:sz w:val="26"/>
          <w:szCs w:val="26"/>
        </w:rPr>
        <w:t>6.2 Out-of-Sample Testing</w:t>
      </w:r>
    </w:p>
    <w:p w14:paraId="5D1B01F9">
      <w:pPr>
        <w:spacing w:after="200" w:line="276" w:lineRule="auto"/>
      </w:pPr>
      <w:r>
        <w:rPr>
          <w:rFonts w:ascii="Arial" w:hAnsi="Arial" w:eastAsia="Arial" w:cs="Arial"/>
          <w:sz w:val="22"/>
          <w:szCs w:val="22"/>
        </w:rPr>
        <w:t>A portion of historical data is held back and never used to adjust rules. The frozen ruleset is then run on the hold-out sample. Degradation from in-sample to out-of-sample is expected; catastrophic degradation suggests overfitting.</w:t>
      </w:r>
    </w:p>
    <w:p w14:paraId="0D791322">
      <w:pPr>
        <w:pStyle w:val="3"/>
        <w:spacing w:before="280" w:after="180"/>
      </w:pPr>
      <w:r>
        <w:rPr>
          <w:rFonts w:ascii="Arial" w:hAnsi="Arial" w:eastAsia="Arial" w:cs="Arial"/>
          <w:b/>
          <w:bCs/>
          <w:sz w:val="26"/>
          <w:szCs w:val="26"/>
        </w:rPr>
        <w:t>6.3 Forward Testing</w:t>
      </w:r>
    </w:p>
    <w:p w14:paraId="5F4F381B">
      <w:pPr>
        <w:spacing w:after="200" w:line="276" w:lineRule="auto"/>
      </w:pPr>
      <w:r>
        <w:rPr>
          <w:rFonts w:ascii="Arial" w:hAnsi="Arial" w:eastAsia="Arial" w:cs="Arial"/>
          <w:sz w:val="22"/>
          <w:szCs w:val="22"/>
        </w:rPr>
        <w:t>The frozen ruleset is applied to new, previously unseen live or paper data. Forward testing is the strongest practical check on whether the operationalisation still behaves as expected.</w:t>
      </w:r>
    </w:p>
    <w:p w14:paraId="2AA2036E">
      <w:pPr>
        <w:pStyle w:val="3"/>
        <w:spacing w:before="280" w:after="180"/>
      </w:pPr>
      <w:r>
        <w:rPr>
          <w:rFonts w:ascii="Arial" w:hAnsi="Arial" w:eastAsia="Arial" w:cs="Arial"/>
          <w:b/>
          <w:bCs/>
          <w:sz w:val="26"/>
          <w:szCs w:val="26"/>
        </w:rPr>
        <w:t>6.4 Order of Operations</w:t>
      </w:r>
    </w:p>
    <w:p w14:paraId="7F0DA94F">
      <w:pPr>
        <w:spacing w:after="200" w:line="276" w:lineRule="auto"/>
      </w:pPr>
      <w:r>
        <w:rPr>
          <w:rFonts w:ascii="Arial" w:hAnsi="Arial" w:eastAsia="Arial" w:cs="Arial"/>
          <w:sz w:val="22"/>
          <w:szCs w:val="22"/>
        </w:rPr>
        <w:t>Define rules → label in-sample → measure → freeze rules → test out-of-sample → freeze again → forward test. Never reverse the order.</w:t>
      </w:r>
    </w:p>
    <w:p w14:paraId="24F170B9">
      <w:pPr>
        <w:pStyle w:val="2"/>
        <w:spacing w:before="360" w:after="240"/>
      </w:pPr>
      <w:r>
        <w:rPr>
          <w:rFonts w:ascii="Arial" w:hAnsi="Arial" w:eastAsia="Arial" w:cs="Arial"/>
          <w:b/>
          <w:bCs/>
          <w:sz w:val="32"/>
          <w:szCs w:val="32"/>
        </w:rPr>
        <w:t>7. Statistical Evaluation</w:t>
      </w:r>
    </w:p>
    <w:p w14:paraId="5D071BF5">
      <w:pPr>
        <w:pStyle w:val="3"/>
        <w:spacing w:before="280" w:after="180"/>
      </w:pPr>
      <w:r>
        <w:rPr>
          <w:rFonts w:ascii="Arial" w:hAnsi="Arial" w:eastAsia="Arial" w:cs="Arial"/>
          <w:b/>
          <w:bCs/>
          <w:sz w:val="26"/>
          <w:szCs w:val="26"/>
        </w:rPr>
        <w:t>7.1 Core Metrics</w:t>
      </w:r>
    </w:p>
    <w:p w14:paraId="2B74B1F8">
      <w:pPr>
        <w:pStyle w:val="16"/>
        <w:numPr>
          <w:ilvl w:val="0"/>
          <w:numId w:val="1"/>
        </w:numPr>
        <w:spacing w:after="120" w:line="276" w:lineRule="auto"/>
      </w:pPr>
      <w:r>
        <w:rPr>
          <w:rFonts w:ascii="Arial" w:hAnsi="Arial" w:eastAsia="Arial" w:cs="Arial"/>
          <w:sz w:val="22"/>
          <w:szCs w:val="22"/>
        </w:rPr>
        <w:t>Number of setups / trades.</w:t>
      </w:r>
    </w:p>
    <w:p w14:paraId="23C22763">
      <w:pPr>
        <w:pStyle w:val="16"/>
        <w:numPr>
          <w:ilvl w:val="0"/>
          <w:numId w:val="1"/>
        </w:numPr>
        <w:spacing w:after="120" w:line="276" w:lineRule="auto"/>
      </w:pPr>
      <w:r>
        <w:rPr>
          <w:rFonts w:ascii="Arial" w:hAnsi="Arial" w:eastAsia="Arial" w:cs="Arial"/>
          <w:sz w:val="22"/>
          <w:szCs w:val="22"/>
        </w:rPr>
        <w:t>Win rate (proportion of trades that reach a predefined success condition).</w:t>
      </w:r>
    </w:p>
    <w:p w14:paraId="468580B9">
      <w:pPr>
        <w:pStyle w:val="16"/>
        <w:numPr>
          <w:ilvl w:val="0"/>
          <w:numId w:val="1"/>
        </w:numPr>
        <w:spacing w:after="120" w:line="276" w:lineRule="auto"/>
      </w:pPr>
      <w:r>
        <w:rPr>
          <w:rFonts w:ascii="Arial" w:hAnsi="Arial" w:eastAsia="Arial" w:cs="Arial"/>
          <w:sz w:val="22"/>
          <w:szCs w:val="22"/>
        </w:rPr>
        <w:t>Average win and average loss (in R units or currency).</w:t>
      </w:r>
    </w:p>
    <w:p w14:paraId="56D7C252">
      <w:pPr>
        <w:pStyle w:val="16"/>
        <w:numPr>
          <w:ilvl w:val="0"/>
          <w:numId w:val="1"/>
        </w:numPr>
        <w:spacing w:after="120" w:line="276" w:lineRule="auto"/>
      </w:pPr>
      <w:r>
        <w:rPr>
          <w:rFonts w:ascii="Arial" w:hAnsi="Arial" w:eastAsia="Arial" w:cs="Arial"/>
          <w:sz w:val="22"/>
          <w:szCs w:val="22"/>
        </w:rPr>
        <w:t>Expectancy = (Win% × Average Win) – (Loss% × Average Loss).</w:t>
      </w:r>
    </w:p>
    <w:p w14:paraId="47A0BDE9">
      <w:pPr>
        <w:pStyle w:val="16"/>
        <w:numPr>
          <w:ilvl w:val="0"/>
          <w:numId w:val="1"/>
        </w:numPr>
        <w:spacing w:after="120" w:line="276" w:lineRule="auto"/>
      </w:pPr>
      <w:r>
        <w:rPr>
          <w:rFonts w:ascii="Arial" w:hAnsi="Arial" w:eastAsia="Arial" w:cs="Arial"/>
          <w:sz w:val="22"/>
          <w:szCs w:val="22"/>
        </w:rPr>
        <w:t>Maximum drawdown (peak-to-trough equity decline under the sizing rule).</w:t>
      </w:r>
    </w:p>
    <w:p w14:paraId="664EAB28">
      <w:pPr>
        <w:pStyle w:val="16"/>
        <w:numPr>
          <w:ilvl w:val="0"/>
          <w:numId w:val="1"/>
        </w:numPr>
        <w:spacing w:after="120" w:line="276" w:lineRule="auto"/>
      </w:pPr>
      <w:r>
        <w:rPr>
          <w:rFonts w:ascii="Arial" w:hAnsi="Arial" w:eastAsia="Arial" w:cs="Arial"/>
          <w:sz w:val="22"/>
          <w:szCs w:val="22"/>
        </w:rPr>
        <w:t>Distribution of outcomes (histogram of R-multiples).</w:t>
      </w:r>
    </w:p>
    <w:p w14:paraId="11B623D1">
      <w:pPr>
        <w:pStyle w:val="16"/>
        <w:numPr>
          <w:ilvl w:val="0"/>
          <w:numId w:val="1"/>
        </w:numPr>
        <w:spacing w:after="120" w:line="276" w:lineRule="auto"/>
      </w:pPr>
      <w:r>
        <w:rPr>
          <w:rFonts w:ascii="Arial" w:hAnsi="Arial" w:eastAsia="Arial" w:cs="Arial"/>
          <w:sz w:val="22"/>
          <w:szCs w:val="22"/>
        </w:rPr>
        <w:t>Time in trade / holding period statistics.</w:t>
      </w:r>
    </w:p>
    <w:p w14:paraId="6EF2C9E9">
      <w:pPr>
        <w:pStyle w:val="3"/>
        <w:spacing w:before="280" w:after="180"/>
      </w:pPr>
      <w:r>
        <w:rPr>
          <w:rFonts w:ascii="Arial" w:hAnsi="Arial" w:eastAsia="Arial" w:cs="Arial"/>
          <w:b/>
          <w:bCs/>
          <w:sz w:val="26"/>
          <w:szCs w:val="26"/>
        </w:rPr>
        <w:t>7.2 Interpretation</w:t>
      </w:r>
    </w:p>
    <w:p w14:paraId="3DA95A16">
      <w:pPr>
        <w:spacing w:after="200" w:line="276" w:lineRule="auto"/>
      </w:pPr>
      <w:r>
        <w:rPr>
          <w:rFonts w:ascii="Arial" w:hAnsi="Arial" w:eastAsia="Arial" w:cs="Arial"/>
          <w:sz w:val="22"/>
          <w:szCs w:val="22"/>
        </w:rPr>
        <w:t>A positive expectancy in one sample does not authorise unlimited size. Maximum drawdown and the left tail of the outcome distribution determine whether the model is survivable. Win rate alone is almost meaningless without the size of wins and losses.</w:t>
      </w:r>
    </w:p>
    <w:p w14:paraId="2FDB67F9">
      <w:pPr>
        <w:pStyle w:val="3"/>
        <w:spacing w:before="280" w:after="180"/>
      </w:pPr>
      <w:r>
        <w:rPr>
          <w:rFonts w:ascii="Arial" w:hAnsi="Arial" w:eastAsia="Arial" w:cs="Arial"/>
          <w:b/>
          <w:bCs/>
          <w:sz w:val="26"/>
          <w:szCs w:val="26"/>
        </w:rPr>
        <w:t>7.3 Robustness</w:t>
      </w:r>
    </w:p>
    <w:p w14:paraId="3843CECC">
      <w:pPr>
        <w:spacing w:after="200" w:line="276" w:lineRule="auto"/>
      </w:pPr>
      <w:r>
        <w:rPr>
          <w:rFonts w:ascii="Arial" w:hAnsi="Arial" w:eastAsia="Arial" w:cs="Arial"/>
          <w:sz w:val="22"/>
          <w:szCs w:val="22"/>
        </w:rPr>
        <w:t>Robustness is examined by: repeating the test on different instruments, different years, different volatility regimes, and small perturbations of the labeling thresholds. A model that works only on one instrument in one two-year window is fragile.</w:t>
      </w:r>
    </w:p>
    <w:p w14:paraId="7D259209">
      <w:pPr>
        <w:pStyle w:val="2"/>
        <w:spacing w:before="360" w:after="240"/>
      </w:pPr>
      <w:r>
        <w:rPr>
          <w:rFonts w:ascii="Arial" w:hAnsi="Arial" w:eastAsia="Arial" w:cs="Arial"/>
          <w:b/>
          <w:bCs/>
          <w:sz w:val="32"/>
          <w:szCs w:val="32"/>
        </w:rPr>
        <w:t>8. Setup Classification</w:t>
      </w:r>
    </w:p>
    <w:p w14:paraId="78320DC7">
      <w:pPr>
        <w:spacing w:after="200" w:line="276" w:lineRule="auto"/>
      </w:pPr>
      <w:r>
        <w:rPr>
          <w:rFonts w:ascii="Arial" w:hAnsi="Arial" w:eastAsia="Arial" w:cs="Arial"/>
          <w:sz w:val="22"/>
          <w:szCs w:val="22"/>
        </w:rPr>
        <w:t>Research is clearer when setups are classified (e.g., by variation A/B/C/D of Modules 11–12, by session, by presence or absence of SMT, by HTF alignment). Stratified results show which conditions carry the edge and which are noise. Classification rules are defined in advance.</w:t>
      </w:r>
    </w:p>
    <w:p w14:paraId="4ADFD06C">
      <w:pPr>
        <w:pStyle w:val="2"/>
        <w:spacing w:before="360" w:after="240"/>
      </w:pPr>
      <w:r>
        <w:rPr>
          <w:rFonts w:ascii="Arial" w:hAnsi="Arial" w:eastAsia="Arial" w:cs="Arial"/>
          <w:b/>
          <w:bCs/>
          <w:sz w:val="32"/>
          <w:szCs w:val="32"/>
        </w:rPr>
        <w:t>9. Reporting Standard</w:t>
      </w:r>
    </w:p>
    <w:p w14:paraId="6F8EEA81">
      <w:pPr>
        <w:spacing w:after="200" w:line="276" w:lineRule="auto"/>
      </w:pPr>
      <w:r>
        <w:rPr>
          <w:rFonts w:ascii="Arial" w:hAnsi="Arial" w:eastAsia="Arial" w:cs="Arial"/>
          <w:sz w:val="22"/>
          <w:szCs w:val="22"/>
        </w:rPr>
        <w:t>A complete research report states:</w:t>
      </w:r>
    </w:p>
    <w:p w14:paraId="2B3F8A06">
      <w:pPr>
        <w:pStyle w:val="16"/>
        <w:numPr>
          <w:ilvl w:val="0"/>
          <w:numId w:val="1"/>
        </w:numPr>
        <w:spacing w:after="120" w:line="276" w:lineRule="auto"/>
      </w:pPr>
      <w:r>
        <w:rPr>
          <w:rFonts w:ascii="Arial" w:hAnsi="Arial" w:eastAsia="Arial" w:cs="Arial"/>
          <w:sz w:val="22"/>
          <w:szCs w:val="22"/>
        </w:rPr>
        <w:t>Exact objective rules (so that another person can replicate the labels).</w:t>
      </w:r>
    </w:p>
    <w:p w14:paraId="79890E9F">
      <w:pPr>
        <w:pStyle w:val="16"/>
        <w:numPr>
          <w:ilvl w:val="0"/>
          <w:numId w:val="1"/>
        </w:numPr>
        <w:spacing w:after="120" w:line="276" w:lineRule="auto"/>
      </w:pPr>
      <w:r>
        <w:rPr>
          <w:rFonts w:ascii="Arial" w:hAnsi="Arial" w:eastAsia="Arial" w:cs="Arial"/>
          <w:sz w:val="22"/>
          <w:szCs w:val="22"/>
        </w:rPr>
        <w:t>Instrument(s), timeframe(s), sample period, number of setups.</w:t>
      </w:r>
    </w:p>
    <w:p w14:paraId="73FE7EBA">
      <w:pPr>
        <w:pStyle w:val="16"/>
        <w:numPr>
          <w:ilvl w:val="0"/>
          <w:numId w:val="1"/>
        </w:numPr>
        <w:spacing w:after="120" w:line="276" w:lineRule="auto"/>
      </w:pPr>
      <w:r>
        <w:rPr>
          <w:rFonts w:ascii="Arial" w:hAnsi="Arial" w:eastAsia="Arial" w:cs="Arial"/>
          <w:sz w:val="22"/>
          <w:szCs w:val="22"/>
        </w:rPr>
        <w:t>In-sample, out-of-sample and (if available) forward results separately.</w:t>
      </w:r>
    </w:p>
    <w:p w14:paraId="0663D224">
      <w:pPr>
        <w:pStyle w:val="16"/>
        <w:numPr>
          <w:ilvl w:val="0"/>
          <w:numId w:val="1"/>
        </w:numPr>
        <w:spacing w:after="120" w:line="276" w:lineRule="auto"/>
      </w:pPr>
      <w:r>
        <w:rPr>
          <w:rFonts w:ascii="Arial" w:hAnsi="Arial" w:eastAsia="Arial" w:cs="Arial"/>
          <w:sz w:val="22"/>
          <w:szCs w:val="22"/>
        </w:rPr>
        <w:t>All metrics listed above.</w:t>
      </w:r>
    </w:p>
    <w:p w14:paraId="71FD6A33">
      <w:pPr>
        <w:pStyle w:val="16"/>
        <w:numPr>
          <w:ilvl w:val="0"/>
          <w:numId w:val="1"/>
        </w:numPr>
        <w:spacing w:after="120" w:line="276" w:lineRule="auto"/>
      </w:pPr>
      <w:r>
        <w:rPr>
          <w:rFonts w:ascii="Arial" w:hAnsi="Arial" w:eastAsia="Arial" w:cs="Arial"/>
          <w:sz w:val="22"/>
          <w:szCs w:val="22"/>
        </w:rPr>
        <w:t>Any rule changes and when they were made.</w:t>
      </w:r>
    </w:p>
    <w:p w14:paraId="57D5B904">
      <w:pPr>
        <w:pStyle w:val="16"/>
        <w:numPr>
          <w:ilvl w:val="0"/>
          <w:numId w:val="1"/>
        </w:numPr>
        <w:spacing w:after="120" w:line="276" w:lineRule="auto"/>
      </w:pPr>
      <w:r>
        <w:rPr>
          <w:rFonts w:ascii="Arial" w:hAnsi="Arial" w:eastAsia="Arial" w:cs="Arial"/>
          <w:sz w:val="22"/>
          <w:szCs w:val="22"/>
        </w:rPr>
        <w:t>Explicit statement: “These results describe the operationalisation above; they do not constitute a proof or disproof of ICT doctrine.”</w:t>
      </w:r>
    </w:p>
    <w:p w14:paraId="40FAAFA1">
      <w:pPr>
        <w:pStyle w:val="2"/>
        <w:spacing w:before="360" w:after="240"/>
      </w:pPr>
      <w:r>
        <w:rPr>
          <w:rFonts w:ascii="Arial" w:hAnsi="Arial" w:eastAsia="Arial" w:cs="Arial"/>
          <w:b/>
          <w:bCs/>
          <w:sz w:val="32"/>
          <w:szCs w:val="32"/>
        </w:rPr>
        <w:t>10. Worked Research Outline (Illustrative)</w:t>
      </w:r>
    </w:p>
    <w:p w14:paraId="29AFC3C0">
      <w:pPr>
        <w:spacing w:after="200" w:line="276" w:lineRule="auto"/>
      </w:pPr>
      <w:r>
        <w:rPr>
          <w:rFonts w:ascii="Arial" w:hAnsi="Arial" w:eastAsia="Arial" w:cs="Arial"/>
          <w:sz w:val="22"/>
          <w:szCs w:val="22"/>
        </w:rPr>
        <w:t>Hypothesis: “When daily bias is defined by a weekly discount + daily SSL raid + displacement + MSS, and entry is the first touch of the CE of the displacement FVG during London or early New York, with invalidation below the displacement origin and first target at the next daily buy-side pool, the ruleset produces positive expectancy on EUR/USD 15-minute data 2019–2023.”</w:t>
      </w:r>
    </w:p>
    <w:p w14:paraId="47C3D659">
      <w:pPr>
        <w:spacing w:after="200" w:line="276" w:lineRule="auto"/>
      </w:pPr>
      <w:r>
        <w:rPr>
          <w:rFonts w:ascii="Arial" w:hAnsi="Arial" w:eastAsia="Arial" w:cs="Arial"/>
          <w:sz w:val="22"/>
          <w:szCs w:val="22"/>
        </w:rPr>
        <w:t>Rules: fully written (bias, raid, displacement, MSS, FVG/CE, session, invalidation, targets, size).</w:t>
      </w:r>
    </w:p>
    <w:p w14:paraId="0F24253B">
      <w:pPr>
        <w:spacing w:after="200" w:line="276" w:lineRule="auto"/>
      </w:pPr>
      <w:r>
        <w:rPr>
          <w:rFonts w:ascii="Arial" w:hAnsi="Arial" w:eastAsia="Arial" w:cs="Arial"/>
          <w:sz w:val="22"/>
          <w:szCs w:val="22"/>
        </w:rPr>
        <w:t>In-sample: 2019–2021. Out-of-sample: 2022–2023. Forward: paper trading 2024.</w:t>
      </w:r>
    </w:p>
    <w:p w14:paraId="193AA293">
      <w:pPr>
        <w:spacing w:after="200" w:line="276" w:lineRule="auto"/>
      </w:pPr>
      <w:r>
        <w:rPr>
          <w:rFonts w:ascii="Arial" w:hAnsi="Arial" w:eastAsia="Arial" w:cs="Arial"/>
          <w:sz w:val="22"/>
          <w:szCs w:val="22"/>
        </w:rPr>
        <w:t>Metrics: reported separately for each window. Robustness: same rules on GBP/USD. Conclusion: research finding only; not a new ICT law.</w:t>
      </w:r>
    </w:p>
    <w:p w14:paraId="4B23302D">
      <w:pPr>
        <w:pStyle w:val="2"/>
        <w:spacing w:before="360" w:after="240"/>
      </w:pPr>
      <w:r>
        <w:rPr>
          <w:rFonts w:ascii="Arial" w:hAnsi="Arial" w:eastAsia="Arial" w:cs="Arial"/>
          <w:b/>
          <w:bCs/>
          <w:sz w:val="32"/>
          <w:szCs w:val="32"/>
        </w:rPr>
        <w:t>Visual Reference — Research Pipeline</w:t>
      </w:r>
    </w:p>
    <w:p w14:paraId="79DA9846">
      <w:pPr>
        <w:spacing w:after="0" w:line="240" w:lineRule="auto"/>
      </w:pPr>
      <w:r>
        <w:rPr>
          <w:rFonts w:ascii="Courier New" w:hAnsi="Courier New" w:eastAsia="Courier New" w:cs="Courier New"/>
          <w:sz w:val="18"/>
          <w:szCs w:val="18"/>
        </w:rPr>
        <w:t>ICT concept (doctrine)</w:t>
      </w:r>
    </w:p>
    <w:p w14:paraId="68AD4E06">
      <w:pPr>
        <w:spacing w:after="0" w:line="240" w:lineRule="auto"/>
      </w:pPr>
      <w:r>
        <w:rPr>
          <w:rFonts w:ascii="Courier New" w:hAnsi="Courier New" w:eastAsia="Courier New" w:cs="Courier New"/>
          <w:sz w:val="18"/>
          <w:szCs w:val="18"/>
        </w:rPr>
        <w:t xml:space="preserve">        │</w:t>
      </w:r>
    </w:p>
    <w:p w14:paraId="16784AA1">
      <w:pPr>
        <w:spacing w:after="0" w:line="240" w:lineRule="auto"/>
      </w:pPr>
      <w:r>
        <w:rPr>
          <w:rFonts w:ascii="Courier New" w:hAnsi="Courier New" w:eastAsia="Courier New" w:cs="Courier New"/>
          <w:sz w:val="18"/>
          <w:szCs w:val="18"/>
        </w:rPr>
        <w:t xml:space="preserve">   Objective rules (frozen)</w:t>
      </w:r>
    </w:p>
    <w:p w14:paraId="48A76EB9">
      <w:pPr>
        <w:spacing w:after="0" w:line="240" w:lineRule="auto"/>
      </w:pPr>
      <w:r>
        <w:rPr>
          <w:rFonts w:ascii="Courier New" w:hAnsi="Courier New" w:eastAsia="Courier New" w:cs="Courier New"/>
          <w:sz w:val="18"/>
          <w:szCs w:val="18"/>
        </w:rPr>
        <w:t xml:space="preserve">        │</w:t>
      </w:r>
    </w:p>
    <w:p w14:paraId="4863952F">
      <w:pPr>
        <w:spacing w:after="0" w:line="240" w:lineRule="auto"/>
      </w:pPr>
      <w:r>
        <w:rPr>
          <w:rFonts w:ascii="Courier New" w:hAnsi="Courier New" w:eastAsia="Courier New" w:cs="Courier New"/>
          <w:sz w:val="18"/>
          <w:szCs w:val="18"/>
        </w:rPr>
        <w:t xml:space="preserve">   Label in-sample (no look-ahead)</w:t>
      </w:r>
    </w:p>
    <w:p w14:paraId="761EBE83">
      <w:pPr>
        <w:spacing w:after="0" w:line="240" w:lineRule="auto"/>
      </w:pPr>
      <w:r>
        <w:rPr>
          <w:rFonts w:ascii="Courier New" w:hAnsi="Courier New" w:eastAsia="Courier New" w:cs="Courier New"/>
          <w:sz w:val="18"/>
          <w:szCs w:val="18"/>
        </w:rPr>
        <w:t xml:space="preserve">        │</w:t>
      </w:r>
    </w:p>
    <w:p w14:paraId="503E5531">
      <w:pPr>
        <w:spacing w:after="0" w:line="240" w:lineRule="auto"/>
      </w:pPr>
      <w:r>
        <w:rPr>
          <w:rFonts w:ascii="Courier New" w:hAnsi="Courier New" w:eastAsia="Courier New" w:cs="Courier New"/>
          <w:sz w:val="18"/>
          <w:szCs w:val="18"/>
        </w:rPr>
        <w:t xml:space="preserve">   Measure → freeze</w:t>
      </w:r>
    </w:p>
    <w:p w14:paraId="00DDC729">
      <w:pPr>
        <w:spacing w:after="0" w:line="240" w:lineRule="auto"/>
      </w:pPr>
      <w:r>
        <w:rPr>
          <w:rFonts w:ascii="Courier New" w:hAnsi="Courier New" w:eastAsia="Courier New" w:cs="Courier New"/>
          <w:sz w:val="18"/>
          <w:szCs w:val="18"/>
        </w:rPr>
        <w:t xml:space="preserve">        │</w:t>
      </w:r>
    </w:p>
    <w:p w14:paraId="5BE1497D">
      <w:pPr>
        <w:spacing w:after="0" w:line="240" w:lineRule="auto"/>
      </w:pPr>
      <w:r>
        <w:rPr>
          <w:rFonts w:ascii="Courier New" w:hAnsi="Courier New" w:eastAsia="Courier New" w:cs="Courier New"/>
          <w:sz w:val="18"/>
          <w:szCs w:val="18"/>
        </w:rPr>
        <w:t xml:space="preserve">   Out-of-sample test</w:t>
      </w:r>
    </w:p>
    <w:p w14:paraId="7296B208">
      <w:pPr>
        <w:spacing w:after="0" w:line="240" w:lineRule="auto"/>
      </w:pPr>
      <w:r>
        <w:rPr>
          <w:rFonts w:ascii="Courier New" w:hAnsi="Courier New" w:eastAsia="Courier New" w:cs="Courier New"/>
          <w:sz w:val="18"/>
          <w:szCs w:val="18"/>
        </w:rPr>
        <w:t xml:space="preserve">        │</w:t>
      </w:r>
    </w:p>
    <w:p w14:paraId="1EE826AA">
      <w:pPr>
        <w:spacing w:after="0" w:line="240" w:lineRule="auto"/>
      </w:pPr>
      <w:r>
        <w:rPr>
          <w:rFonts w:ascii="Courier New" w:hAnsi="Courier New" w:eastAsia="Courier New" w:cs="Courier New"/>
          <w:sz w:val="18"/>
          <w:szCs w:val="18"/>
        </w:rPr>
        <w:t xml:space="preserve">   Forward test</w:t>
      </w:r>
    </w:p>
    <w:p w14:paraId="494BEB57">
      <w:pPr>
        <w:spacing w:after="0" w:line="240" w:lineRule="auto"/>
      </w:pPr>
      <w:r>
        <w:rPr>
          <w:rFonts w:ascii="Courier New" w:hAnsi="Courier New" w:eastAsia="Courier New" w:cs="Courier New"/>
          <w:sz w:val="18"/>
          <w:szCs w:val="18"/>
        </w:rPr>
        <w:t xml:space="preserve">        │</w:t>
      </w:r>
    </w:p>
    <w:p w14:paraId="51678C0A">
      <w:pPr>
        <w:spacing w:after="0" w:line="240" w:lineRule="auto"/>
      </w:pPr>
      <w:r>
        <w:rPr>
          <w:rFonts w:ascii="Courier New" w:hAnsi="Courier New" w:eastAsia="Courier New" w:cs="Courier New"/>
          <w:sz w:val="18"/>
          <w:szCs w:val="18"/>
        </w:rPr>
        <w:t xml:space="preserve">   Report metrics + separation statement</w:t>
      </w:r>
    </w:p>
    <w:p w14:paraId="75D81FA8">
      <w:pPr>
        <w:pStyle w:val="2"/>
        <w:spacing w:before="360" w:after="240"/>
      </w:pPr>
      <w:r>
        <w:rPr>
          <w:rFonts w:ascii="Arial" w:hAnsi="Arial" w:eastAsia="Arial" w:cs="Arial"/>
          <w:b/>
          <w:bCs/>
          <w:sz w:val="32"/>
          <w:szCs w:val="32"/>
        </w:rPr>
        <w:t>11. Common Misinterpretations</w:t>
      </w:r>
    </w:p>
    <w:p w14:paraId="0866B3CC">
      <w:pPr>
        <w:pStyle w:val="16"/>
        <w:numPr>
          <w:ilvl w:val="0"/>
          <w:numId w:val="1"/>
        </w:numPr>
        <w:spacing w:after="120" w:line="276" w:lineRule="auto"/>
      </w:pPr>
      <w:r>
        <w:rPr>
          <w:rFonts w:ascii="Arial" w:hAnsi="Arial" w:eastAsia="Arial" w:cs="Arial"/>
          <w:sz w:val="22"/>
          <w:szCs w:val="22"/>
        </w:rPr>
        <w:t>Treating a favourable backtest as proof that ICT doctrine is correct.</w:t>
      </w:r>
    </w:p>
    <w:p w14:paraId="52C35840">
      <w:pPr>
        <w:pStyle w:val="16"/>
        <w:numPr>
          <w:ilvl w:val="0"/>
          <w:numId w:val="1"/>
        </w:numPr>
        <w:spacing w:after="120" w:line="276" w:lineRule="auto"/>
      </w:pPr>
      <w:r>
        <w:rPr>
          <w:rFonts w:ascii="Arial" w:hAnsi="Arial" w:eastAsia="Arial" w:cs="Arial"/>
          <w:sz w:val="22"/>
          <w:szCs w:val="22"/>
        </w:rPr>
        <w:t>Changing labeling rules after seeing the equity curve and presenting the result as the original model.</w:t>
      </w:r>
    </w:p>
    <w:p w14:paraId="102C4D2D">
      <w:pPr>
        <w:pStyle w:val="16"/>
        <w:numPr>
          <w:ilvl w:val="0"/>
          <w:numId w:val="1"/>
        </w:numPr>
        <w:spacing w:after="120" w:line="276" w:lineRule="auto"/>
      </w:pPr>
      <w:r>
        <w:rPr>
          <w:rFonts w:ascii="Arial" w:hAnsi="Arial" w:eastAsia="Arial" w:cs="Arial"/>
          <w:sz w:val="22"/>
          <w:szCs w:val="22"/>
        </w:rPr>
        <w:t>Using future information to determine past bias or DOL.</w:t>
      </w:r>
    </w:p>
    <w:p w14:paraId="66821876">
      <w:pPr>
        <w:pStyle w:val="16"/>
        <w:numPr>
          <w:ilvl w:val="0"/>
          <w:numId w:val="1"/>
        </w:numPr>
        <w:spacing w:after="120" w:line="276" w:lineRule="auto"/>
      </w:pPr>
      <w:r>
        <w:rPr>
          <w:rFonts w:ascii="Arial" w:hAnsi="Arial" w:eastAsia="Arial" w:cs="Arial"/>
          <w:sz w:val="22"/>
          <w:szCs w:val="22"/>
        </w:rPr>
        <w:t>Reporting win rate without expectancy and drawdown.</w:t>
      </w:r>
    </w:p>
    <w:p w14:paraId="00FF8A3C">
      <w:pPr>
        <w:pStyle w:val="16"/>
        <w:numPr>
          <w:ilvl w:val="0"/>
          <w:numId w:val="1"/>
        </w:numPr>
        <w:spacing w:after="120" w:line="276" w:lineRule="auto"/>
      </w:pPr>
      <w:r>
        <w:rPr>
          <w:rFonts w:ascii="Arial" w:hAnsi="Arial" w:eastAsia="Arial" w:cs="Arial"/>
          <w:sz w:val="22"/>
          <w:szCs w:val="22"/>
        </w:rPr>
        <w:t>Generalising from one instrument and one regime.</w:t>
      </w:r>
    </w:p>
    <w:p w14:paraId="3717DA90">
      <w:pPr>
        <w:pStyle w:val="16"/>
        <w:numPr>
          <w:ilvl w:val="0"/>
          <w:numId w:val="1"/>
        </w:numPr>
        <w:spacing w:after="120" w:line="276" w:lineRule="auto"/>
      </w:pPr>
      <w:r>
        <w:rPr>
          <w:rFonts w:ascii="Arial" w:hAnsi="Arial" w:eastAsia="Arial" w:cs="Arial"/>
          <w:sz w:val="22"/>
          <w:szCs w:val="22"/>
        </w:rPr>
        <w:t>Adding non-ICT filters (moving averages, RSI, etc.) and still calling the system “ICT.”</w:t>
      </w:r>
    </w:p>
    <w:p w14:paraId="65500702">
      <w:pPr>
        <w:pStyle w:val="16"/>
        <w:numPr>
          <w:ilvl w:val="0"/>
          <w:numId w:val="1"/>
        </w:numPr>
        <w:spacing w:after="120" w:line="276" w:lineRule="auto"/>
      </w:pPr>
      <w:r>
        <w:rPr>
          <w:rFonts w:ascii="Arial" w:hAnsi="Arial" w:eastAsia="Arial" w:cs="Arial"/>
          <w:sz w:val="22"/>
          <w:szCs w:val="22"/>
        </w:rPr>
        <w:t>Ignoring the difference between in-sample and out-of-sample performance.</w:t>
      </w:r>
    </w:p>
    <w:p w14:paraId="6E8A017C">
      <w:pPr>
        <w:pStyle w:val="2"/>
        <w:spacing w:before="360" w:after="240"/>
      </w:pPr>
      <w:r>
        <w:rPr>
          <w:rFonts w:ascii="Arial" w:hAnsi="Arial" w:eastAsia="Arial" w:cs="Arial"/>
          <w:b/>
          <w:bCs/>
          <w:sz w:val="32"/>
          <w:szCs w:val="32"/>
        </w:rPr>
        <w:t>12. Evidence Summary</w:t>
      </w:r>
    </w:p>
    <w:p w14:paraId="431BC571">
      <w:pPr>
        <w:spacing w:after="200" w:line="276" w:lineRule="auto"/>
      </w:pPr>
      <w:r>
        <w:rPr>
          <w:rFonts w:ascii="Arial" w:hAnsi="Arial" w:eastAsia="Arial" w:cs="Arial"/>
          <w:sz w:val="22"/>
          <w:szCs w:val="22"/>
        </w:rPr>
        <w:t>This module is methodological. ICT supplies the concepts to be tested; the testing standards (objective rules, bias control, sample discipline, statistical reporting, doctrine/research separation) are research practice applied to those concepts. No claim is made that ICT itself requires statistical validation; the claim is that any student who chooses to research ICT models must meet these standards or produce unreliable conclusions.</w:t>
      </w:r>
    </w:p>
    <w:p w14:paraId="222D03A5">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Methodological framework for converting discretionary ICT concepts into testable rules and evaluating them without hindsight or look-ahead bias. Distinct from ICT price-action teaching itself.</w:t>
      </w:r>
    </w:p>
    <w:p w14:paraId="08F7211F">
      <w:pPr>
        <w:pStyle w:val="2"/>
        <w:spacing w:before="360" w:after="240"/>
      </w:pPr>
      <w:r>
        <w:rPr>
          <w:rFonts w:ascii="Arial" w:hAnsi="Arial" w:eastAsia="Arial" w:cs="Arial"/>
          <w:b/>
          <w:bCs/>
          <w:sz w:val="32"/>
          <w:szCs w:val="32"/>
        </w:rPr>
        <w:t>What You Should Now Be Able to Do</w:t>
      </w:r>
    </w:p>
    <w:p w14:paraId="2410D131">
      <w:pPr>
        <w:pStyle w:val="16"/>
        <w:numPr>
          <w:ilvl w:val="0"/>
          <w:numId w:val="1"/>
        </w:numPr>
        <w:spacing w:after="120" w:line="276" w:lineRule="auto"/>
      </w:pPr>
      <w:r>
        <w:rPr>
          <w:rFonts w:ascii="Arial" w:hAnsi="Arial" w:eastAsia="Arial" w:cs="Arial"/>
          <w:sz w:val="22"/>
          <w:szCs w:val="22"/>
        </w:rPr>
        <w:t>Write a fully objective ruleset for at least one ICT continuation model.</w:t>
      </w:r>
    </w:p>
    <w:p w14:paraId="1154636F">
      <w:pPr>
        <w:pStyle w:val="16"/>
        <w:numPr>
          <w:ilvl w:val="0"/>
          <w:numId w:val="1"/>
        </w:numPr>
        <w:spacing w:after="120" w:line="276" w:lineRule="auto"/>
      </w:pPr>
      <w:r>
        <w:rPr>
          <w:rFonts w:ascii="Arial" w:hAnsi="Arial" w:eastAsia="Arial" w:cs="Arial"/>
          <w:sz w:val="22"/>
          <w:szCs w:val="22"/>
        </w:rPr>
        <w:t>Label a historical sample without using future information.</w:t>
      </w:r>
    </w:p>
    <w:p w14:paraId="14FE34E3">
      <w:pPr>
        <w:pStyle w:val="16"/>
        <w:numPr>
          <w:ilvl w:val="0"/>
          <w:numId w:val="1"/>
        </w:numPr>
        <w:spacing w:after="120" w:line="276" w:lineRule="auto"/>
      </w:pPr>
      <w:r>
        <w:rPr>
          <w:rFonts w:ascii="Arial" w:hAnsi="Arial" w:eastAsia="Arial" w:cs="Arial"/>
          <w:sz w:val="22"/>
          <w:szCs w:val="22"/>
        </w:rPr>
        <w:t>Design an in-sample / out-of-sample / forward testing sequence.</w:t>
      </w:r>
    </w:p>
    <w:p w14:paraId="316EE975">
      <w:pPr>
        <w:pStyle w:val="16"/>
        <w:numPr>
          <w:ilvl w:val="0"/>
          <w:numId w:val="1"/>
        </w:numPr>
        <w:spacing w:after="120" w:line="276" w:lineRule="auto"/>
      </w:pPr>
      <w:r>
        <w:rPr>
          <w:rFonts w:ascii="Arial" w:hAnsi="Arial" w:eastAsia="Arial" w:cs="Arial"/>
          <w:sz w:val="22"/>
          <w:szCs w:val="22"/>
        </w:rPr>
        <w:t>Compute and interpret expectancy, drawdown and outcome distribution.</w:t>
      </w:r>
    </w:p>
    <w:p w14:paraId="7C2F8B1B">
      <w:pPr>
        <w:pStyle w:val="16"/>
        <w:numPr>
          <w:ilvl w:val="0"/>
          <w:numId w:val="1"/>
        </w:numPr>
        <w:spacing w:after="120" w:line="276" w:lineRule="auto"/>
      </w:pPr>
      <w:r>
        <w:rPr>
          <w:rFonts w:ascii="Arial" w:hAnsi="Arial" w:eastAsia="Arial" w:cs="Arial"/>
          <w:sz w:val="22"/>
          <w:szCs w:val="22"/>
        </w:rPr>
        <w:t>Report results with a clear separation between ICT doctrine and research findings.</w:t>
      </w:r>
    </w:p>
    <w:p w14:paraId="0D440148">
      <w:pPr>
        <w:pStyle w:val="16"/>
        <w:numPr>
          <w:ilvl w:val="0"/>
          <w:numId w:val="1"/>
        </w:numPr>
        <w:spacing w:after="120" w:line="276" w:lineRule="auto"/>
      </w:pPr>
      <w:r>
        <w:rPr>
          <w:rFonts w:ascii="Arial" w:hAnsi="Arial" w:eastAsia="Arial" w:cs="Arial"/>
          <w:sz w:val="22"/>
          <w:szCs w:val="22"/>
        </w:rPr>
        <w:t>Detect and reject research that suffers from hindsight bias, look-ahead bias or overfitting.</w:t>
      </w:r>
    </w:p>
    <w:p w14:paraId="5A77E3B0">
      <w:pPr>
        <w:pStyle w:val="2"/>
        <w:spacing w:before="360" w:after="240"/>
      </w:pPr>
      <w:r>
        <w:rPr>
          <w:rFonts w:ascii="Arial" w:hAnsi="Arial" w:eastAsia="Arial" w:cs="Arial"/>
          <w:b/>
          <w:bCs/>
          <w:sz w:val="32"/>
          <w:szCs w:val="32"/>
        </w:rPr>
        <w:t>Module Review</w:t>
      </w:r>
    </w:p>
    <w:p w14:paraId="296A1435">
      <w:pPr>
        <w:pStyle w:val="3"/>
        <w:spacing w:before="280" w:after="180"/>
      </w:pPr>
      <w:r>
        <w:rPr>
          <w:rFonts w:ascii="Arial" w:hAnsi="Arial" w:eastAsia="Arial" w:cs="Arial"/>
          <w:b/>
          <w:bCs/>
          <w:sz w:val="26"/>
          <w:szCs w:val="26"/>
        </w:rPr>
        <w:t>Key Terms</w:t>
      </w:r>
    </w:p>
    <w:p w14:paraId="0EBD91C4">
      <w:pPr>
        <w:pStyle w:val="16"/>
        <w:numPr>
          <w:ilvl w:val="0"/>
          <w:numId w:val="1"/>
        </w:numPr>
        <w:spacing w:after="120" w:line="276" w:lineRule="auto"/>
      </w:pPr>
      <w:r>
        <w:rPr>
          <w:rFonts w:ascii="Arial" w:hAnsi="Arial" w:eastAsia="Arial" w:cs="Arial"/>
          <w:sz w:val="22"/>
          <w:szCs w:val="22"/>
        </w:rPr>
        <w:t>Objective ruleset — unambiguous labeling and decision criteria frozen before measurement.</w:t>
      </w:r>
    </w:p>
    <w:p w14:paraId="66AFBF62">
      <w:pPr>
        <w:pStyle w:val="16"/>
        <w:numPr>
          <w:ilvl w:val="0"/>
          <w:numId w:val="1"/>
        </w:numPr>
        <w:spacing w:after="120" w:line="276" w:lineRule="auto"/>
      </w:pPr>
      <w:r>
        <w:rPr>
          <w:rFonts w:ascii="Arial" w:hAnsi="Arial" w:eastAsia="Arial" w:cs="Arial"/>
          <w:sz w:val="22"/>
          <w:szCs w:val="22"/>
        </w:rPr>
        <w:t>Hindsight bias — using information not available at the decision time.</w:t>
      </w:r>
    </w:p>
    <w:p w14:paraId="721CBFDF">
      <w:pPr>
        <w:pStyle w:val="16"/>
        <w:numPr>
          <w:ilvl w:val="0"/>
          <w:numId w:val="1"/>
        </w:numPr>
        <w:spacing w:after="120" w:line="276" w:lineRule="auto"/>
      </w:pPr>
      <w:r>
        <w:rPr>
          <w:rFonts w:ascii="Arial" w:hAnsi="Arial" w:eastAsia="Arial" w:cs="Arial"/>
          <w:sz w:val="22"/>
          <w:szCs w:val="22"/>
        </w:rPr>
        <w:t>Look-ahead bias — using future data in a past decision.</w:t>
      </w:r>
    </w:p>
    <w:p w14:paraId="03075944">
      <w:pPr>
        <w:pStyle w:val="16"/>
        <w:numPr>
          <w:ilvl w:val="0"/>
          <w:numId w:val="1"/>
        </w:numPr>
        <w:spacing w:after="120" w:line="276" w:lineRule="auto"/>
      </w:pPr>
      <w:r>
        <w:rPr>
          <w:rFonts w:ascii="Arial" w:hAnsi="Arial" w:eastAsia="Arial" w:cs="Arial"/>
          <w:sz w:val="22"/>
          <w:szCs w:val="22"/>
        </w:rPr>
        <w:t>In-sample / out-of-sample / forward testing — the staged evaluation protocol.</w:t>
      </w:r>
    </w:p>
    <w:p w14:paraId="108470B0">
      <w:pPr>
        <w:pStyle w:val="16"/>
        <w:numPr>
          <w:ilvl w:val="0"/>
          <w:numId w:val="1"/>
        </w:numPr>
        <w:spacing w:after="120" w:line="276" w:lineRule="auto"/>
      </w:pPr>
      <w:r>
        <w:rPr>
          <w:rFonts w:ascii="Arial" w:hAnsi="Arial" w:eastAsia="Arial" w:cs="Arial"/>
          <w:sz w:val="22"/>
          <w:szCs w:val="22"/>
        </w:rPr>
        <w:t>Expectancy — average amount won per unit risk under the ruleset.</w:t>
      </w:r>
    </w:p>
    <w:p w14:paraId="3FD21C26">
      <w:pPr>
        <w:pStyle w:val="16"/>
        <w:numPr>
          <w:ilvl w:val="0"/>
          <w:numId w:val="1"/>
        </w:numPr>
        <w:spacing w:after="120" w:line="276" w:lineRule="auto"/>
      </w:pPr>
      <w:r>
        <w:rPr>
          <w:rFonts w:ascii="Arial" w:hAnsi="Arial" w:eastAsia="Arial" w:cs="Arial"/>
          <w:sz w:val="22"/>
          <w:szCs w:val="22"/>
        </w:rPr>
        <w:t>Maximum drawdown — largest peak-to-trough decline in the equity curve.</w:t>
      </w:r>
    </w:p>
    <w:p w14:paraId="01F604A3">
      <w:pPr>
        <w:pStyle w:val="16"/>
        <w:numPr>
          <w:ilvl w:val="0"/>
          <w:numId w:val="1"/>
        </w:numPr>
        <w:spacing w:after="120" w:line="276" w:lineRule="auto"/>
      </w:pPr>
      <w:r>
        <w:rPr>
          <w:rFonts w:ascii="Arial" w:hAnsi="Arial" w:eastAsia="Arial" w:cs="Arial"/>
          <w:sz w:val="22"/>
          <w:szCs w:val="22"/>
        </w:rPr>
        <w:t>Robustness — stability of results across instruments, regimes and small rule perturbations.</w:t>
      </w:r>
    </w:p>
    <w:p w14:paraId="7D4BB238">
      <w:pPr>
        <w:pStyle w:val="16"/>
        <w:numPr>
          <w:ilvl w:val="0"/>
          <w:numId w:val="1"/>
        </w:numPr>
        <w:spacing w:after="120" w:line="276" w:lineRule="auto"/>
      </w:pPr>
      <w:r>
        <w:rPr>
          <w:rFonts w:ascii="Arial" w:hAnsi="Arial" w:eastAsia="Arial" w:cs="Arial"/>
          <w:sz w:val="22"/>
          <w:szCs w:val="22"/>
        </w:rPr>
        <w:t>Doctrine vs research — separation of “ICT teaches X” from “operationalisation Y produced result Z.”</w:t>
      </w:r>
    </w:p>
    <w:p w14:paraId="00F20979">
      <w:pPr>
        <w:pStyle w:val="3"/>
        <w:spacing w:before="280" w:after="180"/>
      </w:pPr>
      <w:r>
        <w:rPr>
          <w:rFonts w:ascii="Arial" w:hAnsi="Arial" w:eastAsia="Arial" w:cs="Arial"/>
          <w:b/>
          <w:bCs/>
          <w:sz w:val="26"/>
          <w:szCs w:val="26"/>
        </w:rPr>
        <w:t>Self-Test</w:t>
      </w:r>
    </w:p>
    <w:p w14:paraId="12F86E00">
      <w:pPr>
        <w:pStyle w:val="16"/>
        <w:numPr>
          <w:ilvl w:val="0"/>
          <w:numId w:val="2"/>
        </w:numPr>
        <w:spacing w:after="120" w:line="276" w:lineRule="auto"/>
      </w:pPr>
      <w:r>
        <w:rPr>
          <w:rFonts w:ascii="Arial" w:hAnsi="Arial" w:eastAsia="Arial" w:cs="Arial"/>
          <w:sz w:val="22"/>
          <w:szCs w:val="22"/>
        </w:rPr>
        <w:t>What is the difference between an ICT doctrine claim and a research claim?</w:t>
      </w:r>
    </w:p>
    <w:p w14:paraId="550B2456">
      <w:pPr>
        <w:pStyle w:val="16"/>
        <w:numPr>
          <w:ilvl w:val="0"/>
          <w:numId w:val="2"/>
        </w:numPr>
        <w:spacing w:after="120" w:line="276" w:lineRule="auto"/>
      </w:pPr>
      <w:r>
        <w:rPr>
          <w:rFonts w:ascii="Arial" w:hAnsi="Arial" w:eastAsia="Arial" w:cs="Arial"/>
          <w:sz w:val="22"/>
          <w:szCs w:val="22"/>
        </w:rPr>
        <w:t>List at least eight elements that belong in an objective setup definition.</w:t>
      </w:r>
    </w:p>
    <w:p w14:paraId="21AA0AE2">
      <w:pPr>
        <w:pStyle w:val="16"/>
        <w:numPr>
          <w:ilvl w:val="0"/>
          <w:numId w:val="2"/>
        </w:numPr>
        <w:spacing w:after="120" w:line="276" w:lineRule="auto"/>
      </w:pPr>
      <w:r>
        <w:rPr>
          <w:rFonts w:ascii="Arial" w:hAnsi="Arial" w:eastAsia="Arial" w:cs="Arial"/>
          <w:sz w:val="22"/>
          <w:szCs w:val="22"/>
        </w:rPr>
        <w:t>How is look-ahead bias avoided when determining daily bias for an intraday entry?</w:t>
      </w:r>
    </w:p>
    <w:p w14:paraId="589FBAE5">
      <w:pPr>
        <w:pStyle w:val="16"/>
        <w:numPr>
          <w:ilvl w:val="0"/>
          <w:numId w:val="2"/>
        </w:numPr>
        <w:spacing w:after="120" w:line="276" w:lineRule="auto"/>
      </w:pPr>
      <w:r>
        <w:rPr>
          <w:rFonts w:ascii="Arial" w:hAnsi="Arial" w:eastAsia="Arial" w:cs="Arial"/>
          <w:sz w:val="22"/>
          <w:szCs w:val="22"/>
        </w:rPr>
        <w:t>Why must rules be frozen before out-of-sample testing?</w:t>
      </w:r>
    </w:p>
    <w:p w14:paraId="0420999A">
      <w:pPr>
        <w:pStyle w:val="16"/>
        <w:numPr>
          <w:ilvl w:val="0"/>
          <w:numId w:val="2"/>
        </w:numPr>
        <w:spacing w:after="120" w:line="276" w:lineRule="auto"/>
      </w:pPr>
      <w:r>
        <w:rPr>
          <w:rFonts w:ascii="Arial" w:hAnsi="Arial" w:eastAsia="Arial" w:cs="Arial"/>
          <w:sz w:val="22"/>
          <w:szCs w:val="22"/>
        </w:rPr>
        <w:t>What must every research report state about the relationship between its results and ICT doctrine?</w:t>
      </w:r>
    </w:p>
    <w:p w14:paraId="3EE3E304">
      <w:pPr>
        <w:pStyle w:val="3"/>
        <w:spacing w:before="280" w:after="180"/>
      </w:pPr>
      <w:r>
        <w:rPr>
          <w:rFonts w:ascii="Arial" w:hAnsi="Arial" w:eastAsia="Arial" w:cs="Arial"/>
          <w:b/>
          <w:bCs/>
          <w:sz w:val="26"/>
          <w:szCs w:val="26"/>
        </w:rPr>
        <w:t>Transition to Module 19</w:t>
      </w:r>
    </w:p>
    <w:p w14:paraId="780297FD">
      <w:pPr>
        <w:spacing w:after="200" w:line="276" w:lineRule="auto"/>
      </w:pPr>
      <w:r>
        <w:rPr>
          <w:rFonts w:ascii="Arial" w:hAnsi="Arial" w:eastAsia="Arial" w:cs="Arial"/>
          <w:sz w:val="22"/>
          <w:szCs w:val="22"/>
        </w:rPr>
        <w:t>Module 18 has supplied the research discipline that keeps empirical work honest. Module 19 (Complete ICT Narrative) is the final conceptual synthesis: the student must be able to receive an unfamiliar chart and construct the entire narrative — from monthly context through execution and post-trade analysis — without being told which setup is present, and must understand why each layer of that narrative exists.</w:t>
      </w:r>
    </w:p>
    <w:p w14:paraId="42170A11">
      <w:pPr>
        <w:spacing w:after="200" w:line="276" w:lineRule="auto"/>
        <w:rPr>
          <w:rFonts w:ascii="Arial" w:hAnsi="Arial" w:eastAsia="Arial" w:cs="Arial"/>
          <w:sz w:val="22"/>
          <w:szCs w:val="22"/>
        </w:rPr>
      </w:pPr>
    </w:p>
    <w:p w14:paraId="20486325">
      <w:pPr>
        <w:spacing w:after="200" w:line="276" w:lineRule="auto"/>
        <w:rPr>
          <w:rFonts w:ascii="Arial" w:hAnsi="Arial" w:eastAsia="Arial" w:cs="Arial"/>
          <w:sz w:val="22"/>
          <w:szCs w:val="22"/>
        </w:rPr>
      </w:pPr>
    </w:p>
    <w:p w14:paraId="1501D762">
      <w:pPr>
        <w:spacing w:after="200" w:line="276" w:lineRule="auto"/>
        <w:rPr>
          <w:rFonts w:ascii="Arial" w:hAnsi="Arial" w:eastAsia="Arial" w:cs="Arial"/>
          <w:sz w:val="22"/>
          <w:szCs w:val="22"/>
        </w:rPr>
      </w:pPr>
    </w:p>
    <w:p w14:paraId="661FBD05">
      <w:pPr>
        <w:spacing w:after="200" w:line="276" w:lineRule="auto"/>
        <w:rPr>
          <w:rFonts w:ascii="Arial" w:hAnsi="Arial" w:eastAsia="Arial" w:cs="Arial"/>
          <w:sz w:val="22"/>
          <w:szCs w:val="22"/>
        </w:rPr>
      </w:pPr>
    </w:p>
    <w:p w14:paraId="32CB7380">
      <w:pPr>
        <w:spacing w:after="200" w:line="276" w:lineRule="auto"/>
        <w:rPr>
          <w:rFonts w:ascii="Arial" w:hAnsi="Arial" w:eastAsia="Arial" w:cs="Arial"/>
          <w:sz w:val="22"/>
          <w:szCs w:val="22"/>
        </w:rPr>
      </w:pPr>
    </w:p>
    <w:p w14:paraId="74BAA30E">
      <w:pPr>
        <w:spacing w:after="200" w:line="276" w:lineRule="auto"/>
        <w:rPr>
          <w:rFonts w:ascii="Arial" w:hAnsi="Arial" w:eastAsia="Arial" w:cs="Arial"/>
          <w:sz w:val="22"/>
          <w:szCs w:val="22"/>
        </w:rPr>
      </w:pPr>
    </w:p>
    <w:p w14:paraId="197C954A">
      <w:pPr>
        <w:spacing w:after="200" w:line="276" w:lineRule="auto"/>
        <w:rPr>
          <w:rFonts w:ascii="Arial" w:hAnsi="Arial" w:eastAsia="Arial" w:cs="Arial"/>
          <w:sz w:val="22"/>
          <w:szCs w:val="22"/>
        </w:rPr>
      </w:pPr>
    </w:p>
    <w:p w14:paraId="5EEA61F9">
      <w:pPr>
        <w:spacing w:after="200" w:line="276" w:lineRule="auto"/>
        <w:rPr>
          <w:rFonts w:ascii="Arial" w:hAnsi="Arial" w:eastAsia="Arial" w:cs="Arial"/>
          <w:sz w:val="22"/>
          <w:szCs w:val="22"/>
        </w:rPr>
      </w:pPr>
    </w:p>
    <w:p w14:paraId="5FBC46C3">
      <w:pPr>
        <w:spacing w:after="200" w:line="276" w:lineRule="auto"/>
        <w:rPr>
          <w:rFonts w:ascii="Arial" w:hAnsi="Arial" w:eastAsia="Arial" w:cs="Arial"/>
          <w:sz w:val="22"/>
          <w:szCs w:val="22"/>
        </w:rPr>
      </w:pPr>
    </w:p>
    <w:p w14:paraId="5DE9061C">
      <w:pPr>
        <w:spacing w:after="200" w:line="276" w:lineRule="auto"/>
        <w:rPr>
          <w:rFonts w:ascii="Arial" w:hAnsi="Arial" w:eastAsia="Arial" w:cs="Arial"/>
          <w:sz w:val="22"/>
          <w:szCs w:val="22"/>
        </w:rPr>
      </w:pPr>
    </w:p>
    <w:p w14:paraId="78ADA1E5">
      <w:pPr>
        <w:spacing w:after="200" w:line="276" w:lineRule="auto"/>
        <w:rPr>
          <w:rFonts w:ascii="Arial" w:hAnsi="Arial" w:eastAsia="Arial" w:cs="Arial"/>
          <w:sz w:val="22"/>
          <w:szCs w:val="22"/>
        </w:rPr>
      </w:pPr>
    </w:p>
    <w:p w14:paraId="1BE7675C">
      <w:pPr>
        <w:spacing w:after="200" w:line="276" w:lineRule="auto"/>
        <w:rPr>
          <w:rFonts w:ascii="Arial" w:hAnsi="Arial" w:eastAsia="Arial" w:cs="Arial"/>
          <w:sz w:val="22"/>
          <w:szCs w:val="22"/>
        </w:rPr>
      </w:pPr>
    </w:p>
    <w:p w14:paraId="2000EF07">
      <w:pPr>
        <w:spacing w:after="200" w:line="276" w:lineRule="auto"/>
        <w:rPr>
          <w:rFonts w:ascii="Arial" w:hAnsi="Arial" w:eastAsia="Arial" w:cs="Arial"/>
          <w:sz w:val="22"/>
          <w:szCs w:val="22"/>
        </w:rPr>
      </w:pPr>
    </w:p>
    <w:p w14:paraId="3547ED33">
      <w:pPr>
        <w:spacing w:after="200" w:line="276" w:lineRule="auto"/>
        <w:rPr>
          <w:rFonts w:ascii="Arial" w:hAnsi="Arial" w:eastAsia="Arial" w:cs="Arial"/>
          <w:sz w:val="22"/>
          <w:szCs w:val="22"/>
        </w:rPr>
      </w:pPr>
    </w:p>
    <w:p w14:paraId="3DCB944F">
      <w:pPr>
        <w:spacing w:after="200" w:line="276" w:lineRule="auto"/>
        <w:rPr>
          <w:rFonts w:ascii="Arial" w:hAnsi="Arial" w:eastAsia="Arial" w:cs="Arial"/>
          <w:sz w:val="22"/>
          <w:szCs w:val="22"/>
        </w:rPr>
      </w:pPr>
    </w:p>
    <w:p w14:paraId="7B3C9C51">
      <w:pPr>
        <w:spacing w:after="200" w:line="276" w:lineRule="auto"/>
        <w:rPr>
          <w:rFonts w:ascii="Arial" w:hAnsi="Arial" w:eastAsia="Arial" w:cs="Arial"/>
          <w:sz w:val="22"/>
          <w:szCs w:val="22"/>
        </w:rPr>
      </w:pPr>
    </w:p>
    <w:p w14:paraId="532D0268">
      <w:pPr>
        <w:spacing w:after="200" w:line="276" w:lineRule="auto"/>
        <w:rPr>
          <w:rFonts w:ascii="Arial" w:hAnsi="Arial" w:eastAsia="Arial" w:cs="Arial"/>
          <w:sz w:val="22"/>
          <w:szCs w:val="22"/>
        </w:rPr>
      </w:pPr>
    </w:p>
    <w:p w14:paraId="7E88337A">
      <w:pPr>
        <w:spacing w:after="200" w:line="276" w:lineRule="auto"/>
        <w:rPr>
          <w:rFonts w:ascii="Arial" w:hAnsi="Arial" w:eastAsia="Arial" w:cs="Arial"/>
          <w:sz w:val="22"/>
          <w:szCs w:val="22"/>
        </w:rPr>
      </w:pPr>
    </w:p>
    <w:p w14:paraId="39C54CE1">
      <w:pPr>
        <w:spacing w:after="200" w:line="276" w:lineRule="auto"/>
        <w:rPr>
          <w:rFonts w:ascii="Arial" w:hAnsi="Arial" w:eastAsia="Arial" w:cs="Arial"/>
          <w:sz w:val="22"/>
          <w:szCs w:val="22"/>
        </w:rPr>
      </w:pPr>
    </w:p>
    <w:p w14:paraId="3AD9E7A9">
      <w:pPr>
        <w:spacing w:after="200" w:line="276" w:lineRule="auto"/>
        <w:rPr>
          <w:rFonts w:ascii="Arial" w:hAnsi="Arial" w:eastAsia="Arial" w:cs="Arial"/>
          <w:sz w:val="22"/>
          <w:szCs w:val="22"/>
        </w:rPr>
      </w:pPr>
    </w:p>
    <w:p w14:paraId="5D67BB09">
      <w:pPr>
        <w:spacing w:after="200" w:line="276" w:lineRule="auto"/>
        <w:rPr>
          <w:rFonts w:ascii="Arial" w:hAnsi="Arial" w:eastAsia="Arial" w:cs="Arial"/>
          <w:sz w:val="22"/>
          <w:szCs w:val="22"/>
        </w:rPr>
      </w:pPr>
    </w:p>
    <w:p w14:paraId="25B2EF03">
      <w:pPr>
        <w:spacing w:after="200" w:line="276" w:lineRule="auto"/>
        <w:rPr>
          <w:rFonts w:ascii="Arial" w:hAnsi="Arial" w:eastAsia="Arial" w:cs="Arial"/>
          <w:sz w:val="22"/>
          <w:szCs w:val="22"/>
        </w:rPr>
      </w:pPr>
    </w:p>
    <w:p w14:paraId="782A96F1">
      <w:pPr>
        <w:spacing w:after="200" w:line="276" w:lineRule="auto"/>
        <w:rPr>
          <w:rFonts w:ascii="Arial" w:hAnsi="Arial" w:eastAsia="Arial" w:cs="Arial"/>
          <w:sz w:val="22"/>
          <w:szCs w:val="22"/>
        </w:rPr>
      </w:pPr>
    </w:p>
    <w:p w14:paraId="7E6DCD50">
      <w:pPr>
        <w:spacing w:after="200" w:line="276" w:lineRule="auto"/>
        <w:rPr>
          <w:rFonts w:ascii="Arial" w:hAnsi="Arial" w:eastAsia="Arial" w:cs="Arial"/>
          <w:sz w:val="22"/>
          <w:szCs w:val="22"/>
        </w:rPr>
      </w:pPr>
    </w:p>
    <w:p w14:paraId="6944675C">
      <w:pPr>
        <w:spacing w:after="200" w:line="276" w:lineRule="auto"/>
        <w:rPr>
          <w:rFonts w:ascii="Arial" w:hAnsi="Arial" w:eastAsia="Arial" w:cs="Arial"/>
          <w:sz w:val="22"/>
          <w:szCs w:val="22"/>
        </w:rPr>
      </w:pPr>
    </w:p>
    <w:p w14:paraId="76F0A912">
      <w:pPr>
        <w:spacing w:after="400"/>
        <w:jc w:val="center"/>
      </w:pPr>
      <w:r>
        <w:rPr>
          <w:rFonts w:ascii="Arial" w:hAnsi="Arial" w:eastAsia="Arial" w:cs="Arial"/>
          <w:b/>
          <w:bCs/>
          <w:sz w:val="36"/>
          <w:szCs w:val="36"/>
        </w:rPr>
        <w:t>MODULE 19</w:t>
      </w:r>
    </w:p>
    <w:p w14:paraId="5EF8FCF6">
      <w:pPr>
        <w:spacing w:after="200"/>
        <w:jc w:val="center"/>
      </w:pPr>
      <w:r>
        <w:rPr>
          <w:rFonts w:ascii="Arial" w:hAnsi="Arial" w:eastAsia="Arial" w:cs="Arial"/>
          <w:b/>
          <w:bCs/>
          <w:sz w:val="28"/>
          <w:szCs w:val="28"/>
        </w:rPr>
        <w:t>Complete ICT Narrative</w:t>
      </w:r>
    </w:p>
    <w:p w14:paraId="3177483D">
      <w:pPr>
        <w:spacing w:after="400"/>
        <w:jc w:val="center"/>
      </w:pPr>
      <w:r>
        <w:rPr>
          <w:rFonts w:ascii="Arial" w:hAnsi="Arial" w:eastAsia="Arial" w:cs="Arial"/>
          <w:i/>
          <w:iCs/>
          <w:sz w:val="20"/>
          <w:szCs w:val="20"/>
        </w:rPr>
        <w:t>The Full Delivery Stack from Monthly Context to Post-Trade Analysis; Final Competency &amp; Capstone Project</w:t>
      </w:r>
    </w:p>
    <w:p w14:paraId="08E28FBC">
      <w:pPr>
        <w:pBdr>
          <w:left w:val="single" w:color="2E75B6" w:sz="24" w:space="8"/>
        </w:pBdr>
        <w:shd w:val="clear" w:fill="F5F5F5"/>
        <w:spacing w:before="120" w:after="200" w:line="276" w:lineRule="auto"/>
        <w:ind w:left="120"/>
      </w:pPr>
      <w:r>
        <w:rPr>
          <w:rFonts w:ascii="Arial" w:hAnsi="Arial" w:eastAsia="Arial" w:cs="Arial"/>
          <w:i/>
          <w:iCs/>
          <w:sz w:val="20"/>
          <w:szCs w:val="20"/>
        </w:rPr>
        <w:t>Prerequisite: Advanced Modules 1–18. This is the final synthesis. The student must be able to receive an unfamiliar chart and construct the entire narrative without being told which setup is present, and must be able to explain why each layer of that narrative exists.</w:t>
      </w:r>
    </w:p>
    <w:p w14:paraId="0429D8BC">
      <w:pPr>
        <w:pStyle w:val="2"/>
        <w:spacing w:before="360" w:after="240"/>
      </w:pPr>
      <w:r>
        <w:rPr>
          <w:rFonts w:ascii="Arial" w:hAnsi="Arial" w:eastAsia="Arial" w:cs="Arial"/>
          <w:b/>
          <w:bCs/>
          <w:sz w:val="32"/>
          <w:szCs w:val="32"/>
        </w:rPr>
        <w:t>Module Objectives</w:t>
      </w:r>
    </w:p>
    <w:p w14:paraId="27185072">
      <w:pPr>
        <w:spacing w:after="200" w:line="276" w:lineRule="auto"/>
      </w:pPr>
      <w:r>
        <w:rPr>
          <w:rFonts w:ascii="Arial" w:hAnsi="Arial" w:eastAsia="Arial" w:cs="Arial"/>
          <w:sz w:val="22"/>
          <w:szCs w:val="22"/>
        </w:rPr>
        <w:t>By the end of this module the advanced student should be able to:</w:t>
      </w:r>
    </w:p>
    <w:p w14:paraId="74016B26">
      <w:pPr>
        <w:pStyle w:val="16"/>
        <w:numPr>
          <w:ilvl w:val="0"/>
          <w:numId w:val="1"/>
        </w:numPr>
        <w:spacing w:after="120" w:line="276" w:lineRule="auto"/>
      </w:pPr>
      <w:r>
        <w:rPr>
          <w:rFonts w:ascii="Arial" w:hAnsi="Arial" w:eastAsia="Arial" w:cs="Arial"/>
          <w:sz w:val="22"/>
          <w:szCs w:val="22"/>
        </w:rPr>
        <w:t>Construct the complete ICT narrative stack on any liquid instrument without external prompting.</w:t>
      </w:r>
    </w:p>
    <w:p w14:paraId="1578CA0A">
      <w:pPr>
        <w:pStyle w:val="16"/>
        <w:numPr>
          <w:ilvl w:val="0"/>
          <w:numId w:val="1"/>
        </w:numPr>
        <w:spacing w:after="120" w:line="276" w:lineRule="auto"/>
      </w:pPr>
      <w:r>
        <w:rPr>
          <w:rFonts w:ascii="Arial" w:hAnsi="Arial" w:eastAsia="Arial" w:cs="Arial"/>
          <w:sz w:val="22"/>
          <w:szCs w:val="22"/>
        </w:rPr>
        <w:t>Explain the purpose of every layer from monthly context through post-trade analysis.</w:t>
      </w:r>
    </w:p>
    <w:p w14:paraId="727F936C">
      <w:pPr>
        <w:pStyle w:val="16"/>
        <w:numPr>
          <w:ilvl w:val="0"/>
          <w:numId w:val="1"/>
        </w:numPr>
        <w:spacing w:after="120" w:line="276" w:lineRule="auto"/>
      </w:pPr>
      <w:r>
        <w:rPr>
          <w:rFonts w:ascii="Arial" w:hAnsi="Arial" w:eastAsia="Arial" w:cs="Arial"/>
          <w:sz w:val="22"/>
          <w:szCs w:val="22"/>
        </w:rPr>
        <w:t>Move from narrative to bias to model selection to precision execution to risk management in a single continuous process.</w:t>
      </w:r>
    </w:p>
    <w:p w14:paraId="5D54C928">
      <w:pPr>
        <w:pStyle w:val="16"/>
        <w:numPr>
          <w:ilvl w:val="0"/>
          <w:numId w:val="1"/>
        </w:numPr>
        <w:spacing w:after="120" w:line="276" w:lineRule="auto"/>
      </w:pPr>
      <w:r>
        <w:rPr>
          <w:rFonts w:ascii="Arial" w:hAnsi="Arial" w:eastAsia="Arial" w:cs="Arial"/>
          <w:sz w:val="22"/>
          <w:szCs w:val="22"/>
        </w:rPr>
        <w:t>Recognise when the stack is incomplete or conflicted and stand aside.</w:t>
      </w:r>
    </w:p>
    <w:p w14:paraId="4F58496A">
      <w:pPr>
        <w:pStyle w:val="16"/>
        <w:numPr>
          <w:ilvl w:val="0"/>
          <w:numId w:val="1"/>
        </w:numPr>
        <w:spacing w:after="120" w:line="276" w:lineRule="auto"/>
      </w:pPr>
      <w:r>
        <w:rPr>
          <w:rFonts w:ascii="Arial" w:hAnsi="Arial" w:eastAsia="Arial" w:cs="Arial"/>
          <w:sz w:val="22"/>
          <w:szCs w:val="22"/>
        </w:rPr>
        <w:t>Complete the capstone project requirements as the demonstration of advanced competency.</w:t>
      </w:r>
    </w:p>
    <w:p w14:paraId="41EC634E">
      <w:pPr>
        <w:pStyle w:val="2"/>
        <w:spacing w:before="360" w:after="240"/>
      </w:pPr>
      <w:r>
        <w:rPr>
          <w:rFonts w:ascii="Arial" w:hAnsi="Arial" w:eastAsia="Arial" w:cs="Arial"/>
          <w:b/>
          <w:bCs/>
          <w:sz w:val="32"/>
          <w:szCs w:val="32"/>
        </w:rPr>
        <w:t>1. The Complete Narrative Stack</w:t>
      </w:r>
    </w:p>
    <w:p w14:paraId="2479AF90">
      <w:pPr>
        <w:spacing w:after="200" w:line="276" w:lineRule="auto"/>
      </w:pPr>
      <w:r>
        <w:rPr>
          <w:rFonts w:ascii="Arial" w:hAnsi="Arial" w:eastAsia="Arial" w:cs="Arial"/>
          <w:sz w:val="22"/>
          <w:szCs w:val="22"/>
        </w:rPr>
        <w:t>The advanced narrative is a single descending chain. Each layer constrains the next. No layer is optional when the information is available.</w:t>
      </w:r>
    </w:p>
    <w:p w14:paraId="17C03DE9">
      <w:pPr>
        <w:spacing w:after="0" w:line="240" w:lineRule="auto"/>
      </w:pPr>
      <w:r>
        <w:rPr>
          <w:rFonts w:ascii="Courier New" w:hAnsi="Courier New" w:eastAsia="Courier New" w:cs="Courier New"/>
          <w:sz w:val="18"/>
          <w:szCs w:val="18"/>
        </w:rPr>
        <w:t>MONTHLY CONTEXT</w:t>
      </w:r>
    </w:p>
    <w:p w14:paraId="035E67F8">
      <w:pPr>
        <w:spacing w:after="0" w:line="240" w:lineRule="auto"/>
      </w:pPr>
      <w:r>
        <w:rPr>
          <w:rFonts w:ascii="Courier New" w:hAnsi="Courier New" w:eastAsia="Courier New" w:cs="Courier New"/>
          <w:sz w:val="18"/>
          <w:szCs w:val="18"/>
        </w:rPr>
        <w:t xml:space="preserve">        ↓</w:t>
      </w:r>
    </w:p>
    <w:p w14:paraId="513659BA">
      <w:pPr>
        <w:spacing w:after="0" w:line="240" w:lineRule="auto"/>
      </w:pPr>
      <w:r>
        <w:rPr>
          <w:rFonts w:ascii="Courier New" w:hAnsi="Courier New" w:eastAsia="Courier New" w:cs="Courier New"/>
          <w:sz w:val="18"/>
          <w:szCs w:val="18"/>
        </w:rPr>
        <w:t>WEEKLY CONTEXT</w:t>
      </w:r>
    </w:p>
    <w:p w14:paraId="0D21CF0A">
      <w:pPr>
        <w:spacing w:after="0" w:line="240" w:lineRule="auto"/>
      </w:pPr>
      <w:r>
        <w:rPr>
          <w:rFonts w:ascii="Courier New" w:hAnsi="Courier New" w:eastAsia="Courier New" w:cs="Courier New"/>
          <w:sz w:val="18"/>
          <w:szCs w:val="18"/>
        </w:rPr>
        <w:t xml:space="preserve">        ↓</w:t>
      </w:r>
    </w:p>
    <w:p w14:paraId="3027B472">
      <w:pPr>
        <w:spacing w:after="0" w:line="240" w:lineRule="auto"/>
      </w:pPr>
      <w:r>
        <w:rPr>
          <w:rFonts w:ascii="Courier New" w:hAnsi="Courier New" w:eastAsia="Courier New" w:cs="Courier New"/>
          <w:sz w:val="18"/>
          <w:szCs w:val="18"/>
        </w:rPr>
        <w:t>DAILY CONTEXT</w:t>
      </w:r>
    </w:p>
    <w:p w14:paraId="50AB6463">
      <w:pPr>
        <w:spacing w:after="0" w:line="240" w:lineRule="auto"/>
      </w:pPr>
      <w:r>
        <w:rPr>
          <w:rFonts w:ascii="Courier New" w:hAnsi="Courier New" w:eastAsia="Courier New" w:cs="Courier New"/>
          <w:sz w:val="18"/>
          <w:szCs w:val="18"/>
        </w:rPr>
        <w:t xml:space="preserve">        ↓</w:t>
      </w:r>
    </w:p>
    <w:p w14:paraId="2C6515C6">
      <w:pPr>
        <w:spacing w:after="0" w:line="240" w:lineRule="auto"/>
      </w:pPr>
      <w:r>
        <w:rPr>
          <w:rFonts w:ascii="Courier New" w:hAnsi="Courier New" w:eastAsia="Courier New" w:cs="Courier New"/>
          <w:sz w:val="18"/>
          <w:szCs w:val="18"/>
        </w:rPr>
        <w:t>DRAW ON LIQUIDITY</w:t>
      </w:r>
    </w:p>
    <w:p w14:paraId="3DADA7AD">
      <w:pPr>
        <w:spacing w:after="0" w:line="240" w:lineRule="auto"/>
      </w:pPr>
      <w:r>
        <w:rPr>
          <w:rFonts w:ascii="Courier New" w:hAnsi="Courier New" w:eastAsia="Courier New" w:cs="Courier New"/>
          <w:sz w:val="18"/>
          <w:szCs w:val="18"/>
        </w:rPr>
        <w:t xml:space="preserve">        ↓</w:t>
      </w:r>
    </w:p>
    <w:p w14:paraId="0B7E9EED">
      <w:pPr>
        <w:spacing w:after="0" w:line="240" w:lineRule="auto"/>
      </w:pPr>
      <w:r>
        <w:rPr>
          <w:rFonts w:ascii="Courier New" w:hAnsi="Courier New" w:eastAsia="Courier New" w:cs="Courier New"/>
          <w:sz w:val="18"/>
          <w:szCs w:val="18"/>
        </w:rPr>
        <w:t>DEALING RANGE</w:t>
      </w:r>
    </w:p>
    <w:p w14:paraId="5A15DBE8">
      <w:pPr>
        <w:spacing w:after="0" w:line="240" w:lineRule="auto"/>
      </w:pPr>
      <w:r>
        <w:rPr>
          <w:rFonts w:ascii="Courier New" w:hAnsi="Courier New" w:eastAsia="Courier New" w:cs="Courier New"/>
          <w:sz w:val="18"/>
          <w:szCs w:val="18"/>
        </w:rPr>
        <w:t xml:space="preserve">        ↓</w:t>
      </w:r>
    </w:p>
    <w:p w14:paraId="077EAB9F">
      <w:pPr>
        <w:spacing w:after="0" w:line="240" w:lineRule="auto"/>
      </w:pPr>
      <w:r>
        <w:rPr>
          <w:rFonts w:ascii="Courier New" w:hAnsi="Courier New" w:eastAsia="Courier New" w:cs="Courier New"/>
          <w:sz w:val="18"/>
          <w:szCs w:val="18"/>
        </w:rPr>
        <w:t>PREMIUM / DISCOUNT</w:t>
      </w:r>
    </w:p>
    <w:p w14:paraId="3A17CFDB">
      <w:pPr>
        <w:spacing w:after="0" w:line="240" w:lineRule="auto"/>
      </w:pPr>
      <w:r>
        <w:rPr>
          <w:rFonts w:ascii="Courier New" w:hAnsi="Courier New" w:eastAsia="Courier New" w:cs="Courier New"/>
          <w:sz w:val="18"/>
          <w:szCs w:val="18"/>
        </w:rPr>
        <w:t xml:space="preserve">        ↓</w:t>
      </w:r>
    </w:p>
    <w:p w14:paraId="63BBC79F">
      <w:pPr>
        <w:spacing w:after="0" w:line="240" w:lineRule="auto"/>
      </w:pPr>
      <w:r>
        <w:rPr>
          <w:rFonts w:ascii="Courier New" w:hAnsi="Courier New" w:eastAsia="Courier New" w:cs="Courier New"/>
          <w:sz w:val="18"/>
          <w:szCs w:val="18"/>
        </w:rPr>
        <w:t>SESSION EXPECTATION</w:t>
      </w:r>
    </w:p>
    <w:p w14:paraId="3CC93F53">
      <w:pPr>
        <w:spacing w:after="0" w:line="240" w:lineRule="auto"/>
      </w:pPr>
      <w:r>
        <w:rPr>
          <w:rFonts w:ascii="Courier New" w:hAnsi="Courier New" w:eastAsia="Courier New" w:cs="Courier New"/>
          <w:sz w:val="18"/>
          <w:szCs w:val="18"/>
        </w:rPr>
        <w:t xml:space="preserve">        ↓</w:t>
      </w:r>
    </w:p>
    <w:p w14:paraId="45B7654C">
      <w:pPr>
        <w:spacing w:after="0" w:line="240" w:lineRule="auto"/>
      </w:pPr>
      <w:r>
        <w:rPr>
          <w:rFonts w:ascii="Courier New" w:hAnsi="Courier New" w:eastAsia="Courier New" w:cs="Courier New"/>
          <w:sz w:val="18"/>
          <w:szCs w:val="18"/>
        </w:rPr>
        <w:t>LIQUIDITY EVENT</w:t>
      </w:r>
    </w:p>
    <w:p w14:paraId="6C52FB99">
      <w:pPr>
        <w:spacing w:after="0" w:line="240" w:lineRule="auto"/>
      </w:pPr>
      <w:r>
        <w:rPr>
          <w:rFonts w:ascii="Courier New" w:hAnsi="Courier New" w:eastAsia="Courier New" w:cs="Courier New"/>
          <w:sz w:val="18"/>
          <w:szCs w:val="18"/>
        </w:rPr>
        <w:t xml:space="preserve">        ↓</w:t>
      </w:r>
    </w:p>
    <w:p w14:paraId="036619F1">
      <w:pPr>
        <w:spacing w:after="0" w:line="240" w:lineRule="auto"/>
      </w:pPr>
      <w:r>
        <w:rPr>
          <w:rFonts w:ascii="Courier New" w:hAnsi="Courier New" w:eastAsia="Courier New" w:cs="Courier New"/>
          <w:sz w:val="18"/>
          <w:szCs w:val="18"/>
        </w:rPr>
        <w:t>DISPLACEMENT</w:t>
      </w:r>
    </w:p>
    <w:p w14:paraId="5F1F1C16">
      <w:pPr>
        <w:spacing w:after="0" w:line="240" w:lineRule="auto"/>
      </w:pPr>
      <w:r>
        <w:rPr>
          <w:rFonts w:ascii="Courier New" w:hAnsi="Courier New" w:eastAsia="Courier New" w:cs="Courier New"/>
          <w:sz w:val="18"/>
          <w:szCs w:val="18"/>
        </w:rPr>
        <w:t xml:space="preserve">        ↓</w:t>
      </w:r>
    </w:p>
    <w:p w14:paraId="03780315">
      <w:pPr>
        <w:spacing w:after="0" w:line="240" w:lineRule="auto"/>
      </w:pPr>
      <w:r>
        <w:rPr>
          <w:rFonts w:ascii="Courier New" w:hAnsi="Courier New" w:eastAsia="Courier New" w:cs="Courier New"/>
          <w:sz w:val="18"/>
          <w:szCs w:val="18"/>
        </w:rPr>
        <w:t>STRUCTURE (MSS)</w:t>
      </w:r>
    </w:p>
    <w:p w14:paraId="46D141A1">
      <w:pPr>
        <w:spacing w:after="0" w:line="240" w:lineRule="auto"/>
      </w:pPr>
      <w:r>
        <w:rPr>
          <w:rFonts w:ascii="Courier New" w:hAnsi="Courier New" w:eastAsia="Courier New" w:cs="Courier New"/>
          <w:sz w:val="18"/>
          <w:szCs w:val="18"/>
        </w:rPr>
        <w:t xml:space="preserve">        ↓</w:t>
      </w:r>
    </w:p>
    <w:p w14:paraId="0B2BAEAB">
      <w:pPr>
        <w:spacing w:after="0" w:line="240" w:lineRule="auto"/>
      </w:pPr>
      <w:r>
        <w:rPr>
          <w:rFonts w:ascii="Courier New" w:hAnsi="Courier New" w:eastAsia="Courier New" w:cs="Courier New"/>
          <w:sz w:val="18"/>
          <w:szCs w:val="18"/>
        </w:rPr>
        <w:t>PD ARRAY</w:t>
      </w:r>
    </w:p>
    <w:p w14:paraId="47546464">
      <w:pPr>
        <w:spacing w:after="0" w:line="240" w:lineRule="auto"/>
      </w:pPr>
      <w:r>
        <w:rPr>
          <w:rFonts w:ascii="Courier New" w:hAnsi="Courier New" w:eastAsia="Courier New" w:cs="Courier New"/>
          <w:sz w:val="18"/>
          <w:szCs w:val="18"/>
        </w:rPr>
        <w:t xml:space="preserve">        ↓</w:t>
      </w:r>
    </w:p>
    <w:p w14:paraId="083FA5D9">
      <w:pPr>
        <w:spacing w:after="0" w:line="240" w:lineRule="auto"/>
      </w:pPr>
      <w:r>
        <w:rPr>
          <w:rFonts w:ascii="Courier New" w:hAnsi="Courier New" w:eastAsia="Courier New" w:cs="Courier New"/>
          <w:sz w:val="18"/>
          <w:szCs w:val="18"/>
        </w:rPr>
        <w:t>RETRACEMENT</w:t>
      </w:r>
    </w:p>
    <w:p w14:paraId="103C963E">
      <w:pPr>
        <w:spacing w:after="0" w:line="240" w:lineRule="auto"/>
      </w:pPr>
      <w:r>
        <w:rPr>
          <w:rFonts w:ascii="Courier New" w:hAnsi="Courier New" w:eastAsia="Courier New" w:cs="Courier New"/>
          <w:sz w:val="18"/>
          <w:szCs w:val="18"/>
        </w:rPr>
        <w:t xml:space="preserve">        ↓</w:t>
      </w:r>
    </w:p>
    <w:p w14:paraId="44BEB6CE">
      <w:pPr>
        <w:spacing w:after="0" w:line="240" w:lineRule="auto"/>
      </w:pPr>
      <w:r>
        <w:rPr>
          <w:rFonts w:ascii="Courier New" w:hAnsi="Courier New" w:eastAsia="Courier New" w:cs="Courier New"/>
          <w:sz w:val="18"/>
          <w:szCs w:val="18"/>
        </w:rPr>
        <w:t>LTF CONFIRMATION</w:t>
      </w:r>
    </w:p>
    <w:p w14:paraId="206FBA8C">
      <w:pPr>
        <w:spacing w:after="0" w:line="240" w:lineRule="auto"/>
      </w:pPr>
      <w:r>
        <w:rPr>
          <w:rFonts w:ascii="Courier New" w:hAnsi="Courier New" w:eastAsia="Courier New" w:cs="Courier New"/>
          <w:sz w:val="18"/>
          <w:szCs w:val="18"/>
        </w:rPr>
        <w:t xml:space="preserve">        ↓</w:t>
      </w:r>
    </w:p>
    <w:p w14:paraId="118FF67F">
      <w:pPr>
        <w:spacing w:after="0" w:line="240" w:lineRule="auto"/>
      </w:pPr>
      <w:r>
        <w:rPr>
          <w:rFonts w:ascii="Courier New" w:hAnsi="Courier New" w:eastAsia="Courier New" w:cs="Courier New"/>
          <w:sz w:val="18"/>
          <w:szCs w:val="18"/>
        </w:rPr>
        <w:t>EXECUTION</w:t>
      </w:r>
    </w:p>
    <w:p w14:paraId="0DD231B8">
      <w:pPr>
        <w:spacing w:after="0" w:line="240" w:lineRule="auto"/>
      </w:pPr>
      <w:r>
        <w:rPr>
          <w:rFonts w:ascii="Courier New" w:hAnsi="Courier New" w:eastAsia="Courier New" w:cs="Courier New"/>
          <w:sz w:val="18"/>
          <w:szCs w:val="18"/>
        </w:rPr>
        <w:t xml:space="preserve">        ↓</w:t>
      </w:r>
    </w:p>
    <w:p w14:paraId="5203DEED">
      <w:pPr>
        <w:spacing w:after="0" w:line="240" w:lineRule="auto"/>
      </w:pPr>
      <w:r>
        <w:rPr>
          <w:rFonts w:ascii="Courier New" w:hAnsi="Courier New" w:eastAsia="Courier New" w:cs="Courier New"/>
          <w:sz w:val="18"/>
          <w:szCs w:val="18"/>
        </w:rPr>
        <w:t>TARGET LIQUIDITY</w:t>
      </w:r>
    </w:p>
    <w:p w14:paraId="126FBEFD">
      <w:pPr>
        <w:spacing w:after="0" w:line="240" w:lineRule="auto"/>
      </w:pPr>
      <w:r>
        <w:rPr>
          <w:rFonts w:ascii="Courier New" w:hAnsi="Courier New" w:eastAsia="Courier New" w:cs="Courier New"/>
          <w:sz w:val="18"/>
          <w:szCs w:val="18"/>
        </w:rPr>
        <w:t xml:space="preserve">        ↓</w:t>
      </w:r>
    </w:p>
    <w:p w14:paraId="197B6C89">
      <w:pPr>
        <w:spacing w:after="0" w:line="240" w:lineRule="auto"/>
      </w:pPr>
      <w:r>
        <w:rPr>
          <w:rFonts w:ascii="Courier New" w:hAnsi="Courier New" w:eastAsia="Courier New" w:cs="Courier New"/>
          <w:sz w:val="18"/>
          <w:szCs w:val="18"/>
        </w:rPr>
        <w:t>POST-TRADE ANALYSIS</w:t>
      </w:r>
    </w:p>
    <w:p w14:paraId="108D47A5">
      <w:pPr>
        <w:pStyle w:val="2"/>
        <w:spacing w:before="360" w:after="240"/>
      </w:pPr>
      <w:r>
        <w:rPr>
          <w:rFonts w:ascii="Arial" w:hAnsi="Arial" w:eastAsia="Arial" w:cs="Arial"/>
          <w:b/>
          <w:bCs/>
          <w:sz w:val="32"/>
          <w:szCs w:val="32"/>
        </w:rPr>
        <w:t>2. Why Each Layer Exists</w:t>
      </w:r>
    </w:p>
    <w:p w14:paraId="74422116">
      <w:pPr>
        <w:pStyle w:val="3"/>
        <w:spacing w:before="280" w:after="180"/>
      </w:pPr>
      <w:r>
        <w:rPr>
          <w:rFonts w:ascii="Arial" w:hAnsi="Arial" w:eastAsia="Arial" w:cs="Arial"/>
          <w:b/>
          <w:bCs/>
          <w:sz w:val="26"/>
          <w:szCs w:val="26"/>
        </w:rPr>
        <w:t>2.1 Monthly Context</w:t>
      </w:r>
    </w:p>
    <w:p w14:paraId="2EB80C9B">
      <w:pPr>
        <w:spacing w:after="200" w:line="276" w:lineRule="auto"/>
      </w:pPr>
      <w:r>
        <w:rPr>
          <w:rFonts w:ascii="Arial" w:hAnsi="Arial" w:eastAsia="Arial" w:cs="Arial"/>
          <w:sz w:val="22"/>
          <w:szCs w:val="22"/>
        </w:rPr>
        <w:t>Sets the slowest, highest-authority directional frame and the long-term Draw on Liquidity. Prevents the student from treating a strong daily move as a change in macro delivery when the monthly objective remains intact. Invalidation at this scale is rare and decisive.</w:t>
      </w:r>
    </w:p>
    <w:p w14:paraId="156870F6">
      <w:pPr>
        <w:pStyle w:val="3"/>
        <w:spacing w:before="280" w:after="180"/>
      </w:pPr>
      <w:r>
        <w:rPr>
          <w:rFonts w:ascii="Arial" w:hAnsi="Arial" w:eastAsia="Arial" w:cs="Arial"/>
          <w:b/>
          <w:bCs/>
          <w:sz w:val="26"/>
          <w:szCs w:val="26"/>
        </w:rPr>
        <w:t>2.2 Weekly Context</w:t>
      </w:r>
    </w:p>
    <w:p w14:paraId="67877A9F">
      <w:pPr>
        <w:spacing w:after="200" w:line="276" w:lineRule="auto"/>
      </w:pPr>
      <w:r>
        <w:rPr>
          <w:rFonts w:ascii="Arial" w:hAnsi="Arial" w:eastAsia="Arial" w:cs="Arial"/>
          <w:sz w:val="22"/>
          <w:szCs w:val="22"/>
        </w:rPr>
        <w:t>Translates monthly direction into the primary swing frame. Supplies the weekly dealing range, weekly DOL, and weekly PO3 phase. Most day-trading decisions are made inside an intact weekly narrative.</w:t>
      </w:r>
    </w:p>
    <w:p w14:paraId="7847055D">
      <w:pPr>
        <w:pStyle w:val="3"/>
        <w:spacing w:before="280" w:after="180"/>
      </w:pPr>
      <w:r>
        <w:rPr>
          <w:rFonts w:ascii="Arial" w:hAnsi="Arial" w:eastAsia="Arial" w:cs="Arial"/>
          <w:b/>
          <w:bCs/>
          <w:sz w:val="26"/>
          <w:szCs w:val="26"/>
        </w:rPr>
        <w:t>2.3 Daily Context</w:t>
      </w:r>
    </w:p>
    <w:p w14:paraId="095B88E7">
      <w:pPr>
        <w:spacing w:after="200" w:line="276" w:lineRule="auto"/>
      </w:pPr>
      <w:r>
        <w:rPr>
          <w:rFonts w:ascii="Arial" w:hAnsi="Arial" w:eastAsia="Arial" w:cs="Arial"/>
          <w:sz w:val="22"/>
          <w:szCs w:val="22"/>
        </w:rPr>
        <w:t>The working frame for execution. States daily structure, daily range, expected daily PO3 path, and the kill zone that should advance delivery. Written before the primary session.</w:t>
      </w:r>
    </w:p>
    <w:p w14:paraId="638D81F6">
      <w:pPr>
        <w:pStyle w:val="3"/>
        <w:spacing w:before="280" w:after="180"/>
      </w:pPr>
      <w:r>
        <w:rPr>
          <w:rFonts w:ascii="Arial" w:hAnsi="Arial" w:eastAsia="Arial" w:cs="Arial"/>
          <w:b/>
          <w:bCs/>
          <w:sz w:val="26"/>
          <w:szCs w:val="26"/>
        </w:rPr>
        <w:t>2.4 Draw on Liquidity</w:t>
      </w:r>
    </w:p>
    <w:p w14:paraId="33313055">
      <w:pPr>
        <w:spacing w:after="200" w:line="276" w:lineRule="auto"/>
      </w:pPr>
      <w:r>
        <w:rPr>
          <w:rFonts w:ascii="Arial" w:hAnsi="Arial" w:eastAsia="Arial" w:cs="Arial"/>
          <w:sz w:val="22"/>
          <w:szCs w:val="22"/>
        </w:rPr>
        <w:t>The concrete objective of delivery. Without a named pool, “bullish” or “bearish” is an unfinished sentence. Intermediate pools are milestones; the terminal pool is the narrative destination.</w:t>
      </w:r>
    </w:p>
    <w:p w14:paraId="60D11D15">
      <w:pPr>
        <w:pStyle w:val="3"/>
        <w:spacing w:before="280" w:after="180"/>
      </w:pPr>
      <w:r>
        <w:rPr>
          <w:rFonts w:ascii="Arial" w:hAnsi="Arial" w:eastAsia="Arial" w:cs="Arial"/>
          <w:b/>
          <w:bCs/>
          <w:sz w:val="26"/>
          <w:szCs w:val="26"/>
        </w:rPr>
        <w:t>2.5 Dealing Range</w:t>
      </w:r>
    </w:p>
    <w:p w14:paraId="1AE2E35D">
      <w:pPr>
        <w:spacing w:after="200" w:line="276" w:lineRule="auto"/>
      </w:pPr>
      <w:r>
        <w:rPr>
          <w:rFonts w:ascii="Arial" w:hAnsi="Arial" w:eastAsia="Arial" w:cs="Arial"/>
          <w:sz w:val="22"/>
          <w:szCs w:val="22"/>
        </w:rPr>
        <w:t>The price container in which delivery is measured. Nested ranges (weekly containing daily containing session) keep lower-timeframe activity inside higher-timeframe location logic.</w:t>
      </w:r>
    </w:p>
    <w:p w14:paraId="0652CFC4">
      <w:pPr>
        <w:pStyle w:val="3"/>
        <w:spacing w:before="280" w:after="180"/>
      </w:pPr>
      <w:r>
        <w:rPr>
          <w:rFonts w:ascii="Arial" w:hAnsi="Arial" w:eastAsia="Arial" w:cs="Arial"/>
          <w:b/>
          <w:bCs/>
          <w:sz w:val="26"/>
          <w:szCs w:val="26"/>
        </w:rPr>
        <w:t>2.6 Premium / Discount</w:t>
      </w:r>
    </w:p>
    <w:p w14:paraId="779A4817">
      <w:pPr>
        <w:spacing w:after="200" w:line="276" w:lineRule="auto"/>
      </w:pPr>
      <w:r>
        <w:rPr>
          <w:rFonts w:ascii="Arial" w:hAnsi="Arial" w:eastAsia="Arial" w:cs="Arial"/>
          <w:sz w:val="22"/>
          <w:szCs w:val="22"/>
        </w:rPr>
        <w:t>The location filter that decides which PD arrays are high-probability participants. Longs are preferred in discount; shorts in premium; relative to the controlling range.</w:t>
      </w:r>
    </w:p>
    <w:p w14:paraId="08D9D4DF">
      <w:pPr>
        <w:pStyle w:val="3"/>
        <w:spacing w:before="280" w:after="180"/>
      </w:pPr>
      <w:r>
        <w:rPr>
          <w:rFonts w:ascii="Arial" w:hAnsi="Arial" w:eastAsia="Arial" w:cs="Arial"/>
          <w:b/>
          <w:bCs/>
          <w:sz w:val="26"/>
          <w:szCs w:val="26"/>
        </w:rPr>
        <w:t>2.7 Session Expectation</w:t>
      </w:r>
    </w:p>
    <w:p w14:paraId="6CA87C3B">
      <w:pPr>
        <w:spacing w:after="200" w:line="276" w:lineRule="auto"/>
      </w:pPr>
      <w:r>
        <w:rPr>
          <w:rFonts w:ascii="Arial" w:hAnsi="Arial" w:eastAsia="Arial" w:cs="Arial"/>
          <w:sz w:val="22"/>
          <w:szCs w:val="22"/>
        </w:rPr>
        <w:t>The time map of the day’s delivery path (Asian accumulation → London manipulation → New York distribution, or an explicit alternative). Prevents trading the right idea at the wrong time.</w:t>
      </w:r>
    </w:p>
    <w:p w14:paraId="52C4A902">
      <w:pPr>
        <w:pStyle w:val="3"/>
        <w:spacing w:before="280" w:after="180"/>
      </w:pPr>
      <w:r>
        <w:rPr>
          <w:rFonts w:ascii="Arial" w:hAnsi="Arial" w:eastAsia="Arial" w:cs="Arial"/>
          <w:b/>
          <w:bCs/>
          <w:sz w:val="26"/>
          <w:szCs w:val="26"/>
        </w:rPr>
        <w:t>2.8 Liquidity Event</w:t>
      </w:r>
    </w:p>
    <w:p w14:paraId="18987BFB">
      <w:pPr>
        <w:spacing w:after="200" w:line="276" w:lineRule="auto"/>
      </w:pPr>
      <w:r>
        <w:rPr>
          <w:rFonts w:ascii="Arial" w:hAnsi="Arial" w:eastAsia="Arial" w:cs="Arial"/>
          <w:sz w:val="22"/>
          <w:szCs w:val="22"/>
        </w:rPr>
        <w:t>The origin of the delivery leg — the raid of the pool that fuels the subsequent expansion. Most high-quality legs begin with a liquidity event.</w:t>
      </w:r>
    </w:p>
    <w:p w14:paraId="6950CE1F">
      <w:pPr>
        <w:pStyle w:val="3"/>
        <w:spacing w:before="280" w:after="180"/>
      </w:pPr>
      <w:r>
        <w:rPr>
          <w:rFonts w:ascii="Arial" w:hAnsi="Arial" w:eastAsia="Arial" w:cs="Arial"/>
          <w:b/>
          <w:bCs/>
          <w:sz w:val="26"/>
          <w:szCs w:val="26"/>
        </w:rPr>
        <w:t>2.9 Displacement</w:t>
      </w:r>
    </w:p>
    <w:p w14:paraId="5F92FB3A">
      <w:pPr>
        <w:spacing w:after="200" w:line="276" w:lineRule="auto"/>
      </w:pPr>
      <w:r>
        <w:rPr>
          <w:rFonts w:ascii="Arial" w:hAnsi="Arial" w:eastAsia="Arial" w:cs="Arial"/>
          <w:sz w:val="22"/>
          <w:szCs w:val="22"/>
        </w:rPr>
        <w:t>The energetic movement that demonstrates commitment, leaves imbalance, and breaks structure. Without displacement the narrative remains a hypothesis.</w:t>
      </w:r>
    </w:p>
    <w:p w14:paraId="67CACF53">
      <w:pPr>
        <w:pStyle w:val="3"/>
        <w:spacing w:before="280" w:after="180"/>
      </w:pPr>
      <w:r>
        <w:rPr>
          <w:rFonts w:ascii="Arial" w:hAnsi="Arial" w:eastAsia="Arial" w:cs="Arial"/>
          <w:b/>
          <w:bCs/>
          <w:sz w:val="26"/>
          <w:szCs w:val="26"/>
        </w:rPr>
        <w:t>2.10 Structure (MSS)</w:t>
      </w:r>
    </w:p>
    <w:p w14:paraId="5B29DD3A">
      <w:pPr>
        <w:spacing w:after="200" w:line="276" w:lineRule="auto"/>
      </w:pPr>
      <w:r>
        <w:rPr>
          <w:rFonts w:ascii="Arial" w:hAnsi="Arial" w:eastAsia="Arial" w:cs="Arial"/>
          <w:sz w:val="22"/>
          <w:szCs w:val="22"/>
        </w:rPr>
        <w:t>The confirmation that the market has accepted the new or resumed delivery direction. Internal MSS often confirms continuation; external MSS may expand or reverse the leg.</w:t>
      </w:r>
    </w:p>
    <w:p w14:paraId="562049E8">
      <w:pPr>
        <w:pStyle w:val="3"/>
        <w:spacing w:before="280" w:after="180"/>
      </w:pPr>
      <w:r>
        <w:rPr>
          <w:rFonts w:ascii="Arial" w:hAnsi="Arial" w:eastAsia="Arial" w:cs="Arial"/>
          <w:b/>
          <w:bCs/>
          <w:sz w:val="26"/>
          <w:szCs w:val="26"/>
        </w:rPr>
        <w:t>2.11 PD Array</w:t>
      </w:r>
    </w:p>
    <w:p w14:paraId="757430DB">
      <w:pPr>
        <w:spacing w:after="200" w:line="276" w:lineRule="auto"/>
      </w:pPr>
      <w:r>
        <w:rPr>
          <w:rFonts w:ascii="Arial" w:hAnsi="Arial" w:eastAsia="Arial" w:cs="Arial"/>
          <w:sz w:val="22"/>
          <w:szCs w:val="22"/>
        </w:rPr>
        <w:t>The precise price level at which the trader may enter in the direction of the narrative (FVG, CE, OB, Breaker, OTE, IFVG). Arrays are selected by hierarchy, location and narrative alignment.</w:t>
      </w:r>
    </w:p>
    <w:p w14:paraId="4674DE02">
      <w:pPr>
        <w:pStyle w:val="3"/>
        <w:spacing w:before="280" w:after="180"/>
      </w:pPr>
      <w:r>
        <w:rPr>
          <w:rFonts w:ascii="Arial" w:hAnsi="Arial" w:eastAsia="Arial" w:cs="Arial"/>
          <w:b/>
          <w:bCs/>
          <w:sz w:val="26"/>
          <w:szCs w:val="26"/>
        </w:rPr>
        <w:t>2.12 Retracement</w:t>
      </w:r>
    </w:p>
    <w:p w14:paraId="0244F93B">
      <w:pPr>
        <w:spacing w:after="200" w:line="276" w:lineRule="auto"/>
      </w:pPr>
      <w:r>
        <w:rPr>
          <w:rFonts w:ascii="Arial" w:hAnsi="Arial" w:eastAsia="Arial" w:cs="Arial"/>
          <w:sz w:val="22"/>
          <w:szCs w:val="22"/>
        </w:rPr>
        <w:t>The return into the array that offers the entry. Retracement is expected after displacement; it is not automatically a reversal.</w:t>
      </w:r>
    </w:p>
    <w:p w14:paraId="5119F594">
      <w:pPr>
        <w:pStyle w:val="3"/>
        <w:spacing w:before="280" w:after="180"/>
      </w:pPr>
      <w:r>
        <w:rPr>
          <w:rFonts w:ascii="Arial" w:hAnsi="Arial" w:eastAsia="Arial" w:cs="Arial"/>
          <w:b/>
          <w:bCs/>
          <w:sz w:val="26"/>
          <w:szCs w:val="26"/>
        </w:rPr>
        <w:t>2.13 LTF Confirmation</w:t>
      </w:r>
    </w:p>
    <w:p w14:paraId="3471A705">
      <w:pPr>
        <w:spacing w:after="200" w:line="276" w:lineRule="auto"/>
      </w:pPr>
      <w:r>
        <w:rPr>
          <w:rFonts w:ascii="Arial" w:hAnsi="Arial" w:eastAsia="Arial" w:cs="Arial"/>
          <w:sz w:val="22"/>
          <w:szCs w:val="22"/>
        </w:rPr>
        <w:t>The final execution-timeframe sequence (raid, displacement, MSS, array interaction) that authorises the order. Premature entry is the most common process failure.</w:t>
      </w:r>
    </w:p>
    <w:p w14:paraId="75E35D82">
      <w:pPr>
        <w:pStyle w:val="3"/>
        <w:spacing w:before="280" w:after="180"/>
      </w:pPr>
      <w:r>
        <w:rPr>
          <w:rFonts w:ascii="Arial" w:hAnsi="Arial" w:eastAsia="Arial" w:cs="Arial"/>
          <w:b/>
          <w:bCs/>
          <w:sz w:val="26"/>
          <w:szCs w:val="26"/>
        </w:rPr>
        <w:t>2.14 Execution</w:t>
      </w:r>
    </w:p>
    <w:p w14:paraId="538A9764">
      <w:pPr>
        <w:spacing w:after="200" w:line="276" w:lineRule="auto"/>
      </w:pPr>
      <w:r>
        <w:rPr>
          <w:rFonts w:ascii="Arial" w:hAnsi="Arial" w:eastAsia="Arial" w:cs="Arial"/>
          <w:sz w:val="22"/>
          <w:szCs w:val="22"/>
        </w:rPr>
        <w:t>The placement of the order at the refined array, with predefined trade invalidation, partial targets and runner plan, inside the authorised time window, and inside the risk limits of Module 17.</w:t>
      </w:r>
    </w:p>
    <w:p w14:paraId="4886076B">
      <w:pPr>
        <w:pStyle w:val="3"/>
        <w:spacing w:before="280" w:after="180"/>
      </w:pPr>
      <w:r>
        <w:rPr>
          <w:rFonts w:ascii="Arial" w:hAnsi="Arial" w:eastAsia="Arial" w:cs="Arial"/>
          <w:b/>
          <w:bCs/>
          <w:sz w:val="26"/>
          <w:szCs w:val="26"/>
        </w:rPr>
        <w:t>2.15 Target Liquidity</w:t>
      </w:r>
    </w:p>
    <w:p w14:paraId="0AFDC80D">
      <w:pPr>
        <w:spacing w:after="200" w:line="276" w:lineRule="auto"/>
      </w:pPr>
      <w:r>
        <w:rPr>
          <w:rFonts w:ascii="Arial" w:hAnsi="Arial" w:eastAsia="Arial" w:cs="Arial"/>
          <w:sz w:val="22"/>
          <w:szCs w:val="22"/>
        </w:rPr>
        <w:t>Intermediate pools for partials; terminal Draw on Liquidity for the runner. Targets are drawn from the liquidity hierarchy, not from arbitrary round numbers.</w:t>
      </w:r>
    </w:p>
    <w:p w14:paraId="4A34E5A5">
      <w:pPr>
        <w:pStyle w:val="3"/>
        <w:spacing w:before="280" w:after="180"/>
      </w:pPr>
      <w:r>
        <w:rPr>
          <w:rFonts w:ascii="Arial" w:hAnsi="Arial" w:eastAsia="Arial" w:cs="Arial"/>
          <w:b/>
          <w:bCs/>
          <w:sz w:val="26"/>
          <w:szCs w:val="26"/>
        </w:rPr>
        <w:t>2.16 Post-Trade Analysis</w:t>
      </w:r>
    </w:p>
    <w:p w14:paraId="7ABF6511">
      <w:pPr>
        <w:spacing w:after="200" w:line="276" w:lineRule="auto"/>
      </w:pPr>
      <w:r>
        <w:rPr>
          <w:rFonts w:ascii="Arial" w:hAnsi="Arial" w:eastAsia="Arial" w:cs="Arial"/>
          <w:sz w:val="22"/>
          <w:szCs w:val="22"/>
        </w:rPr>
        <w:t>Recording of the full stack, the outcome, whether trade and/or narrative invalidation was hit, and the lessons for the next narrative construction. Closes the loop and feeds research (Module 18).</w:t>
      </w:r>
    </w:p>
    <w:p w14:paraId="76BAF0B6">
      <w:pPr>
        <w:pStyle w:val="2"/>
        <w:spacing w:before="360" w:after="240"/>
      </w:pPr>
      <w:r>
        <w:rPr>
          <w:rFonts w:ascii="Arial" w:hAnsi="Arial" w:eastAsia="Arial" w:cs="Arial"/>
          <w:b/>
          <w:bCs/>
          <w:sz w:val="32"/>
          <w:szCs w:val="32"/>
        </w:rPr>
        <w:t>3. The Continuous Process</w:t>
      </w:r>
    </w:p>
    <w:p w14:paraId="34F1DAA8">
      <w:pPr>
        <w:spacing w:after="200" w:line="276" w:lineRule="auto"/>
      </w:pPr>
      <w:r>
        <w:rPr>
          <w:rFonts w:ascii="Arial" w:hAnsi="Arial" w:eastAsia="Arial" w:cs="Arial"/>
          <w:sz w:val="22"/>
          <w:szCs w:val="22"/>
        </w:rPr>
        <w:t>In live application the layers are not a rigid checklist executed once. They are a continuous process:</w:t>
      </w:r>
    </w:p>
    <w:p w14:paraId="6B2326FE">
      <w:pPr>
        <w:pStyle w:val="16"/>
        <w:numPr>
          <w:ilvl w:val="0"/>
          <w:numId w:val="2"/>
        </w:numPr>
        <w:spacing w:after="120" w:line="276" w:lineRule="auto"/>
      </w:pPr>
      <w:r>
        <w:rPr>
          <w:rFonts w:ascii="Arial" w:hAnsi="Arial" w:eastAsia="Arial" w:cs="Arial"/>
          <w:sz w:val="22"/>
          <w:szCs w:val="22"/>
        </w:rPr>
        <w:t>Before the session: construct or update monthly → weekly → daily narrative; extract bias; select the authorised model family; define invalidation and risk limits.</w:t>
      </w:r>
    </w:p>
    <w:p w14:paraId="27814ACD">
      <w:pPr>
        <w:pStyle w:val="16"/>
        <w:numPr>
          <w:ilvl w:val="0"/>
          <w:numId w:val="2"/>
        </w:numPr>
        <w:spacing w:after="120" w:line="276" w:lineRule="auto"/>
      </w:pPr>
      <w:r>
        <w:rPr>
          <w:rFonts w:ascii="Arial" w:hAnsi="Arial" w:eastAsia="Arial" w:cs="Arial"/>
          <w:sz w:val="22"/>
          <w:szCs w:val="22"/>
        </w:rPr>
        <w:t>During the session: wait for the liquidity event and LTF confirmation; refine entry; execute only if the pre-entry checklist passes.</w:t>
      </w:r>
    </w:p>
    <w:p w14:paraId="2F10FC65">
      <w:pPr>
        <w:pStyle w:val="16"/>
        <w:numPr>
          <w:ilvl w:val="0"/>
          <w:numId w:val="2"/>
        </w:numPr>
        <w:spacing w:after="120" w:line="276" w:lineRule="auto"/>
      </w:pPr>
      <w:r>
        <w:rPr>
          <w:rFonts w:ascii="Arial" w:hAnsi="Arial" w:eastAsia="Arial" w:cs="Arial"/>
          <w:sz w:val="22"/>
          <w:szCs w:val="22"/>
        </w:rPr>
        <w:t>While in the trade: manage according to the still-valid narrative; take partials at intermediate liquidity; hold or exit the runner according to narrative status.</w:t>
      </w:r>
    </w:p>
    <w:p w14:paraId="3E67558B">
      <w:pPr>
        <w:pStyle w:val="16"/>
        <w:numPr>
          <w:ilvl w:val="0"/>
          <w:numId w:val="2"/>
        </w:numPr>
        <w:spacing w:after="120" w:line="276" w:lineRule="auto"/>
      </w:pPr>
      <w:r>
        <w:rPr>
          <w:rFonts w:ascii="Arial" w:hAnsi="Arial" w:eastAsia="Arial" w:cs="Arial"/>
          <w:sz w:val="22"/>
          <w:szCs w:val="22"/>
        </w:rPr>
        <w:t>After the trade or at session end: update every layer that has changed; retire invalid narratives; prepare the next day’s daily narrative; record for research.</w:t>
      </w:r>
    </w:p>
    <w:p w14:paraId="7D01D886">
      <w:pPr>
        <w:spacing w:after="200" w:line="276" w:lineRule="auto"/>
      </w:pPr>
      <w:r>
        <w:rPr>
          <w:rFonts w:ascii="Arial" w:hAnsi="Arial" w:eastAsia="Arial" w:cs="Arial"/>
          <w:sz w:val="22"/>
          <w:szCs w:val="22"/>
        </w:rPr>
        <w:t>When any higher layer is invalidated, all dependent lower decisions are retired until a new higher layer is constructed.</w:t>
      </w:r>
    </w:p>
    <w:p w14:paraId="57A14D46">
      <w:pPr>
        <w:pStyle w:val="2"/>
        <w:spacing w:before="360" w:after="240"/>
      </w:pPr>
      <w:r>
        <w:rPr>
          <w:rFonts w:ascii="Arial" w:hAnsi="Arial" w:eastAsia="Arial" w:cs="Arial"/>
          <w:b/>
          <w:bCs/>
          <w:sz w:val="32"/>
          <w:szCs w:val="32"/>
        </w:rPr>
        <w:t>4. Final Advanced Competency</w:t>
      </w:r>
    </w:p>
    <w:p w14:paraId="49580CED">
      <w:pPr>
        <w:spacing w:after="200" w:line="276" w:lineRule="auto"/>
      </w:pPr>
      <w:r>
        <w:rPr>
          <w:rFonts w:ascii="Arial" w:hAnsi="Arial" w:eastAsia="Arial" w:cs="Arial"/>
          <w:sz w:val="22"/>
          <w:szCs w:val="22"/>
        </w:rPr>
        <w:t>The advanced student, given an unfamiliar chart and no hint about which setup is present, can independently produce:</w:t>
      </w:r>
    </w:p>
    <w:p w14:paraId="7DCA1086">
      <w:pPr>
        <w:pStyle w:val="16"/>
        <w:numPr>
          <w:ilvl w:val="0"/>
          <w:numId w:val="2"/>
        </w:numPr>
        <w:spacing w:after="120" w:line="276" w:lineRule="auto"/>
      </w:pPr>
      <w:r>
        <w:rPr>
          <w:rFonts w:ascii="Arial" w:hAnsi="Arial" w:eastAsia="Arial" w:cs="Arial"/>
          <w:sz w:val="22"/>
          <w:szCs w:val="22"/>
        </w:rPr>
        <w:t>Higher-timeframe (monthly/weekly) narrative.</w:t>
      </w:r>
    </w:p>
    <w:p w14:paraId="4A89272A">
      <w:pPr>
        <w:pStyle w:val="16"/>
        <w:numPr>
          <w:ilvl w:val="0"/>
          <w:numId w:val="2"/>
        </w:numPr>
        <w:spacing w:after="120" w:line="276" w:lineRule="auto"/>
      </w:pPr>
      <w:r>
        <w:rPr>
          <w:rFonts w:ascii="Arial" w:hAnsi="Arial" w:eastAsia="Arial" w:cs="Arial"/>
          <w:sz w:val="22"/>
          <w:szCs w:val="22"/>
        </w:rPr>
        <w:t>Draw on Liquidity (named pool and timeframe).</w:t>
      </w:r>
    </w:p>
    <w:p w14:paraId="6D013962">
      <w:pPr>
        <w:pStyle w:val="16"/>
        <w:numPr>
          <w:ilvl w:val="0"/>
          <w:numId w:val="2"/>
        </w:numPr>
        <w:spacing w:after="120" w:line="276" w:lineRule="auto"/>
      </w:pPr>
      <w:r>
        <w:rPr>
          <w:rFonts w:ascii="Arial" w:hAnsi="Arial" w:eastAsia="Arial" w:cs="Arial"/>
          <w:sz w:val="22"/>
          <w:szCs w:val="22"/>
        </w:rPr>
        <w:t>Relevant dealing range(s) and controlling range.</w:t>
      </w:r>
    </w:p>
    <w:p w14:paraId="76252FBE">
      <w:pPr>
        <w:pStyle w:val="16"/>
        <w:numPr>
          <w:ilvl w:val="0"/>
          <w:numId w:val="2"/>
        </w:numPr>
        <w:spacing w:after="120" w:line="276" w:lineRule="auto"/>
      </w:pPr>
      <w:r>
        <w:rPr>
          <w:rFonts w:ascii="Arial" w:hAnsi="Arial" w:eastAsia="Arial" w:cs="Arial"/>
          <w:sz w:val="22"/>
          <w:szCs w:val="22"/>
        </w:rPr>
        <w:t>Premium / discount location.</w:t>
      </w:r>
    </w:p>
    <w:p w14:paraId="480B1842">
      <w:pPr>
        <w:pStyle w:val="16"/>
        <w:numPr>
          <w:ilvl w:val="0"/>
          <w:numId w:val="2"/>
        </w:numPr>
        <w:spacing w:after="120" w:line="276" w:lineRule="auto"/>
      </w:pPr>
      <w:r>
        <w:rPr>
          <w:rFonts w:ascii="Arial" w:hAnsi="Arial" w:eastAsia="Arial" w:cs="Arial"/>
          <w:sz w:val="22"/>
          <w:szCs w:val="22"/>
        </w:rPr>
        <w:t>Expected session behaviour.</w:t>
      </w:r>
    </w:p>
    <w:p w14:paraId="519623E1">
      <w:pPr>
        <w:pStyle w:val="16"/>
        <w:numPr>
          <w:ilvl w:val="0"/>
          <w:numId w:val="2"/>
        </w:numPr>
        <w:spacing w:after="120" w:line="276" w:lineRule="auto"/>
      </w:pPr>
      <w:r>
        <w:rPr>
          <w:rFonts w:ascii="Arial" w:hAnsi="Arial" w:eastAsia="Arial" w:cs="Arial"/>
          <w:sz w:val="22"/>
          <w:szCs w:val="22"/>
        </w:rPr>
        <w:t>Anticipated liquidity event.</w:t>
      </w:r>
    </w:p>
    <w:p w14:paraId="1809F1D2">
      <w:pPr>
        <w:pStyle w:val="16"/>
        <w:numPr>
          <w:ilvl w:val="0"/>
          <w:numId w:val="2"/>
        </w:numPr>
        <w:spacing w:after="120" w:line="276" w:lineRule="auto"/>
      </w:pPr>
      <w:r>
        <w:rPr>
          <w:rFonts w:ascii="Arial" w:hAnsi="Arial" w:eastAsia="Arial" w:cs="Arial"/>
          <w:sz w:val="22"/>
          <w:szCs w:val="22"/>
        </w:rPr>
        <w:t>Structure confirmation criteria (what MSS would confirm).</w:t>
      </w:r>
    </w:p>
    <w:p w14:paraId="0E78B8D7">
      <w:pPr>
        <w:pStyle w:val="16"/>
        <w:numPr>
          <w:ilvl w:val="0"/>
          <w:numId w:val="2"/>
        </w:numPr>
        <w:spacing w:after="120" w:line="276" w:lineRule="auto"/>
      </w:pPr>
      <w:r>
        <w:rPr>
          <w:rFonts w:ascii="Arial" w:hAnsi="Arial" w:eastAsia="Arial" w:cs="Arial"/>
          <w:sz w:val="22"/>
          <w:szCs w:val="22"/>
        </w:rPr>
        <w:t>Candidate PD array(s) for entry.</w:t>
      </w:r>
    </w:p>
    <w:p w14:paraId="3B6B556C">
      <w:pPr>
        <w:pStyle w:val="16"/>
        <w:numPr>
          <w:ilvl w:val="0"/>
          <w:numId w:val="2"/>
        </w:numPr>
        <w:spacing w:after="120" w:line="276" w:lineRule="auto"/>
      </w:pPr>
      <w:r>
        <w:rPr>
          <w:rFonts w:ascii="Arial" w:hAnsi="Arial" w:eastAsia="Arial" w:cs="Arial"/>
          <w:sz w:val="22"/>
          <w:szCs w:val="22"/>
        </w:rPr>
        <w:t>Authorised execution model (or explicit stand-aside).</w:t>
      </w:r>
    </w:p>
    <w:p w14:paraId="41CA28FC">
      <w:pPr>
        <w:pStyle w:val="16"/>
        <w:numPr>
          <w:ilvl w:val="0"/>
          <w:numId w:val="2"/>
        </w:numPr>
        <w:spacing w:after="120" w:line="276" w:lineRule="auto"/>
      </w:pPr>
      <w:r>
        <w:rPr>
          <w:rFonts w:ascii="Arial" w:hAnsi="Arial" w:eastAsia="Arial" w:cs="Arial"/>
          <w:sz w:val="22"/>
          <w:szCs w:val="22"/>
        </w:rPr>
        <w:t>Target hierarchy (intermediate and terminal).</w:t>
      </w:r>
    </w:p>
    <w:p w14:paraId="22020BF3">
      <w:pPr>
        <w:pStyle w:val="16"/>
        <w:numPr>
          <w:ilvl w:val="0"/>
          <w:numId w:val="2"/>
        </w:numPr>
        <w:spacing w:after="120" w:line="276" w:lineRule="auto"/>
      </w:pPr>
      <w:r>
        <w:rPr>
          <w:rFonts w:ascii="Arial" w:hAnsi="Arial" w:eastAsia="Arial" w:cs="Arial"/>
          <w:sz w:val="22"/>
          <w:szCs w:val="22"/>
        </w:rPr>
        <w:t>Trade invalidation and narrative invalidation.</w:t>
      </w:r>
    </w:p>
    <w:p w14:paraId="40109968">
      <w:pPr>
        <w:spacing w:after="200" w:line="276" w:lineRule="auto"/>
      </w:pPr>
      <w:r>
        <w:rPr>
          <w:rFonts w:ascii="Arial" w:hAnsi="Arial" w:eastAsia="Arial" w:cs="Arial"/>
          <w:sz w:val="22"/>
          <w:szCs w:val="22"/>
        </w:rPr>
        <w:t>If any of these cannot be stated clearly, the correct action is to stand aside until they can.</w:t>
      </w:r>
    </w:p>
    <w:p w14:paraId="5D93801B">
      <w:pPr>
        <w:pStyle w:val="2"/>
        <w:spacing w:before="360" w:after="240"/>
      </w:pPr>
      <w:r>
        <w:rPr>
          <w:rFonts w:ascii="Arial" w:hAnsi="Arial" w:eastAsia="Arial" w:cs="Arial"/>
          <w:b/>
          <w:bCs/>
          <w:sz w:val="32"/>
          <w:szCs w:val="32"/>
        </w:rPr>
        <w:t>5. Capstone Project — Demonstration of Competency</w:t>
      </w:r>
    </w:p>
    <w:p w14:paraId="62BCA2CF">
      <w:pPr>
        <w:pStyle w:val="3"/>
        <w:spacing w:before="280" w:after="180"/>
      </w:pPr>
      <w:r>
        <w:rPr>
          <w:rFonts w:ascii="Arial" w:hAnsi="Arial" w:eastAsia="Arial" w:cs="Arial"/>
          <w:b/>
          <w:bCs/>
          <w:sz w:val="26"/>
          <w:szCs w:val="26"/>
        </w:rPr>
        <w:t>5.1 Requirements</w:t>
      </w:r>
    </w:p>
    <w:p w14:paraId="51F0A0B2">
      <w:pPr>
        <w:spacing w:after="200" w:line="276" w:lineRule="auto"/>
      </w:pPr>
      <w:r>
        <w:rPr>
          <w:rFonts w:ascii="Arial" w:hAnsi="Arial" w:eastAsia="Arial" w:cs="Arial"/>
          <w:sz w:val="22"/>
          <w:szCs w:val="22"/>
        </w:rPr>
        <w:t>To complete the Advanced Level the student must produce a documented study that satisfies the following:</w:t>
      </w:r>
    </w:p>
    <w:p w14:paraId="426C77A7">
      <w:pPr>
        <w:pStyle w:val="16"/>
        <w:numPr>
          <w:ilvl w:val="0"/>
          <w:numId w:val="2"/>
        </w:numPr>
        <w:spacing w:after="120" w:line="276" w:lineRule="auto"/>
      </w:pPr>
      <w:r>
        <w:rPr>
          <w:rFonts w:ascii="Arial" w:hAnsi="Arial" w:eastAsia="Arial" w:cs="Arial"/>
          <w:sz w:val="22"/>
          <w:szCs w:val="22"/>
        </w:rPr>
        <w:t>One hundred (100) historical trading days on at least one liquid instrument (FX major, index future, or equivalent).</w:t>
      </w:r>
    </w:p>
    <w:p w14:paraId="583BFE1B">
      <w:pPr>
        <w:pStyle w:val="16"/>
        <w:numPr>
          <w:ilvl w:val="0"/>
          <w:numId w:val="2"/>
        </w:numPr>
        <w:spacing w:after="120" w:line="276" w:lineRule="auto"/>
      </w:pPr>
      <w:r>
        <w:rPr>
          <w:rFonts w:ascii="Arial" w:hAnsi="Arial" w:eastAsia="Arial" w:cs="Arial"/>
          <w:sz w:val="22"/>
          <w:szCs w:val="22"/>
        </w:rPr>
        <w:t>Fifty (50) complete ICT setups extracted from those days (or from a larger sample if 50 high-quality setups are not present in 100 days).</w:t>
      </w:r>
    </w:p>
    <w:p w14:paraId="6BD93236">
      <w:pPr>
        <w:pStyle w:val="16"/>
        <w:numPr>
          <w:ilvl w:val="0"/>
          <w:numId w:val="2"/>
        </w:numPr>
        <w:spacing w:after="120" w:line="276" w:lineRule="auto"/>
      </w:pPr>
      <w:r>
        <w:rPr>
          <w:rFonts w:ascii="Arial" w:hAnsi="Arial" w:eastAsia="Arial" w:cs="Arial"/>
          <w:sz w:val="22"/>
          <w:szCs w:val="22"/>
        </w:rPr>
        <w:t>For every setup, a written record of:</w:t>
      </w:r>
    </w:p>
    <w:p w14:paraId="227F1BA0">
      <w:pPr>
        <w:pStyle w:val="16"/>
        <w:numPr>
          <w:ilvl w:val="0"/>
          <w:numId w:val="1"/>
        </w:numPr>
        <w:spacing w:after="120" w:line="276" w:lineRule="auto"/>
      </w:pPr>
      <w:r>
        <w:rPr>
          <w:rFonts w:ascii="Arial" w:hAnsi="Arial" w:eastAsia="Arial" w:cs="Arial"/>
          <w:sz w:val="22"/>
          <w:szCs w:val="22"/>
        </w:rPr>
        <w:t>HTF narrative (monthly/weekly)</w:t>
      </w:r>
    </w:p>
    <w:p w14:paraId="4AACCB93">
      <w:pPr>
        <w:pStyle w:val="16"/>
        <w:numPr>
          <w:ilvl w:val="0"/>
          <w:numId w:val="1"/>
        </w:numPr>
        <w:spacing w:after="120" w:line="276" w:lineRule="auto"/>
      </w:pPr>
      <w:r>
        <w:rPr>
          <w:rFonts w:ascii="Arial" w:hAnsi="Arial" w:eastAsia="Arial" w:cs="Arial"/>
          <w:sz w:val="22"/>
          <w:szCs w:val="22"/>
        </w:rPr>
        <w:t>Daily narrative</w:t>
      </w:r>
    </w:p>
    <w:p w14:paraId="1787D001">
      <w:pPr>
        <w:pStyle w:val="16"/>
        <w:numPr>
          <w:ilvl w:val="0"/>
          <w:numId w:val="1"/>
        </w:numPr>
        <w:spacing w:after="120" w:line="276" w:lineRule="auto"/>
      </w:pPr>
      <w:r>
        <w:rPr>
          <w:rFonts w:ascii="Arial" w:hAnsi="Arial" w:eastAsia="Arial" w:cs="Arial"/>
          <w:sz w:val="22"/>
          <w:szCs w:val="22"/>
        </w:rPr>
        <w:t>Draw on Liquidity</w:t>
      </w:r>
    </w:p>
    <w:p w14:paraId="1002DF12">
      <w:pPr>
        <w:pStyle w:val="16"/>
        <w:numPr>
          <w:ilvl w:val="0"/>
          <w:numId w:val="1"/>
        </w:numPr>
        <w:spacing w:after="120" w:line="276" w:lineRule="auto"/>
      </w:pPr>
      <w:r>
        <w:rPr>
          <w:rFonts w:ascii="Arial" w:hAnsi="Arial" w:eastAsia="Arial" w:cs="Arial"/>
          <w:sz w:val="22"/>
          <w:szCs w:val="22"/>
        </w:rPr>
        <w:t>Dealing range and premium/discount</w:t>
      </w:r>
    </w:p>
    <w:p w14:paraId="1F80FDA2">
      <w:pPr>
        <w:pStyle w:val="16"/>
        <w:numPr>
          <w:ilvl w:val="0"/>
          <w:numId w:val="1"/>
        </w:numPr>
        <w:spacing w:after="120" w:line="276" w:lineRule="auto"/>
      </w:pPr>
      <w:r>
        <w:rPr>
          <w:rFonts w:ascii="Arial" w:hAnsi="Arial" w:eastAsia="Arial" w:cs="Arial"/>
          <w:sz w:val="22"/>
          <w:szCs w:val="22"/>
        </w:rPr>
        <w:t>Session expectation and actual path</w:t>
      </w:r>
    </w:p>
    <w:p w14:paraId="78653AB9">
      <w:pPr>
        <w:pStyle w:val="16"/>
        <w:numPr>
          <w:ilvl w:val="0"/>
          <w:numId w:val="1"/>
        </w:numPr>
        <w:spacing w:after="120" w:line="276" w:lineRule="auto"/>
      </w:pPr>
      <w:r>
        <w:rPr>
          <w:rFonts w:ascii="Arial" w:hAnsi="Arial" w:eastAsia="Arial" w:cs="Arial"/>
          <w:sz w:val="22"/>
          <w:szCs w:val="22"/>
        </w:rPr>
        <w:t>PO3 phase (or alternative)</w:t>
      </w:r>
    </w:p>
    <w:p w14:paraId="2E1D05E5">
      <w:pPr>
        <w:pStyle w:val="16"/>
        <w:numPr>
          <w:ilvl w:val="0"/>
          <w:numId w:val="1"/>
        </w:numPr>
        <w:spacing w:after="120" w:line="276" w:lineRule="auto"/>
      </w:pPr>
      <w:r>
        <w:rPr>
          <w:rFonts w:ascii="Arial" w:hAnsi="Arial" w:eastAsia="Arial" w:cs="Arial"/>
          <w:sz w:val="22"/>
          <w:szCs w:val="22"/>
        </w:rPr>
        <w:t>Liquidity event</w:t>
      </w:r>
    </w:p>
    <w:p w14:paraId="20A68230">
      <w:pPr>
        <w:pStyle w:val="16"/>
        <w:numPr>
          <w:ilvl w:val="0"/>
          <w:numId w:val="1"/>
        </w:numPr>
        <w:spacing w:after="120" w:line="276" w:lineRule="auto"/>
      </w:pPr>
      <w:r>
        <w:rPr>
          <w:rFonts w:ascii="Arial" w:hAnsi="Arial" w:eastAsia="Arial" w:cs="Arial"/>
          <w:sz w:val="22"/>
          <w:szCs w:val="22"/>
        </w:rPr>
        <w:t>Displacement and MSS</w:t>
      </w:r>
    </w:p>
    <w:p w14:paraId="6F69B9B0">
      <w:pPr>
        <w:pStyle w:val="16"/>
        <w:numPr>
          <w:ilvl w:val="0"/>
          <w:numId w:val="1"/>
        </w:numPr>
        <w:spacing w:after="120" w:line="276" w:lineRule="auto"/>
      </w:pPr>
      <w:r>
        <w:rPr>
          <w:rFonts w:ascii="Arial" w:hAnsi="Arial" w:eastAsia="Arial" w:cs="Arial"/>
          <w:sz w:val="22"/>
          <w:szCs w:val="22"/>
        </w:rPr>
        <w:t>PD array and entry refinement</w:t>
      </w:r>
    </w:p>
    <w:p w14:paraId="12BD88F5">
      <w:pPr>
        <w:pStyle w:val="16"/>
        <w:numPr>
          <w:ilvl w:val="0"/>
          <w:numId w:val="1"/>
        </w:numPr>
        <w:spacing w:after="120" w:line="276" w:lineRule="auto"/>
      </w:pPr>
      <w:r>
        <w:rPr>
          <w:rFonts w:ascii="Arial" w:hAnsi="Arial" w:eastAsia="Arial" w:cs="Arial"/>
          <w:sz w:val="22"/>
          <w:szCs w:val="22"/>
        </w:rPr>
        <w:t>Model selected</w:t>
      </w:r>
    </w:p>
    <w:p w14:paraId="5212F4D7">
      <w:pPr>
        <w:pStyle w:val="16"/>
        <w:numPr>
          <w:ilvl w:val="0"/>
          <w:numId w:val="1"/>
        </w:numPr>
        <w:spacing w:after="120" w:line="276" w:lineRule="auto"/>
      </w:pPr>
      <w:r>
        <w:rPr>
          <w:rFonts w:ascii="Arial" w:hAnsi="Arial" w:eastAsia="Arial" w:cs="Arial"/>
          <w:sz w:val="22"/>
          <w:szCs w:val="22"/>
        </w:rPr>
        <w:t>Entry, trade invalidation, targets</w:t>
      </w:r>
    </w:p>
    <w:p w14:paraId="5D02FC91">
      <w:pPr>
        <w:pStyle w:val="16"/>
        <w:numPr>
          <w:ilvl w:val="0"/>
          <w:numId w:val="1"/>
        </w:numPr>
        <w:spacing w:after="120" w:line="276" w:lineRule="auto"/>
      </w:pPr>
      <w:r>
        <w:rPr>
          <w:rFonts w:ascii="Arial" w:hAnsi="Arial" w:eastAsia="Arial" w:cs="Arial"/>
          <w:sz w:val="22"/>
          <w:szCs w:val="22"/>
        </w:rPr>
        <w:t>Outcome (hit target / stopped / narrative invalidated)</w:t>
      </w:r>
    </w:p>
    <w:p w14:paraId="233CB49C">
      <w:pPr>
        <w:pStyle w:val="16"/>
        <w:numPr>
          <w:ilvl w:val="0"/>
          <w:numId w:val="1"/>
        </w:numPr>
        <w:spacing w:after="120" w:line="276" w:lineRule="auto"/>
      </w:pPr>
      <w:r>
        <w:rPr>
          <w:rFonts w:ascii="Arial" w:hAnsi="Arial" w:eastAsia="Arial" w:cs="Arial"/>
          <w:sz w:val="22"/>
          <w:szCs w:val="22"/>
        </w:rPr>
        <w:t>Post-trade notes and process adherence</w:t>
      </w:r>
    </w:p>
    <w:p w14:paraId="3B21AEE6">
      <w:pPr>
        <w:pStyle w:val="16"/>
        <w:numPr>
          <w:ilvl w:val="0"/>
          <w:numId w:val="2"/>
        </w:numPr>
        <w:spacing w:after="120" w:line="276" w:lineRule="auto"/>
      </w:pPr>
      <w:r>
        <w:rPr>
          <w:rFonts w:ascii="Arial" w:hAnsi="Arial" w:eastAsia="Arial" w:cs="Arial"/>
          <w:sz w:val="22"/>
          <w:szCs w:val="22"/>
        </w:rPr>
        <w:t>Blind chart analysis component: a subset of charts analysed without first looking at the right-hand side of the chart (or with future bars hidden), to demonstrate that the narrative can be constructed without hindsight.</w:t>
      </w:r>
    </w:p>
    <w:p w14:paraId="4E318ABC">
      <w:pPr>
        <w:pStyle w:val="16"/>
        <w:numPr>
          <w:ilvl w:val="0"/>
          <w:numId w:val="2"/>
        </w:numPr>
        <w:spacing w:after="120" w:line="276" w:lineRule="auto"/>
      </w:pPr>
      <w:r>
        <w:rPr>
          <w:rFonts w:ascii="Arial" w:hAnsi="Arial" w:eastAsia="Arial" w:cs="Arial"/>
          <w:sz w:val="22"/>
          <w:szCs w:val="22"/>
        </w:rPr>
        <w:t>A short research appendix (optional but recommended) that operationalises one model family and reports in-sample / out-of-sample metrics with the doctrine/research separation required by Module 18.</w:t>
      </w:r>
    </w:p>
    <w:p w14:paraId="0FA0AD2B">
      <w:pPr>
        <w:pStyle w:val="3"/>
        <w:spacing w:before="280" w:after="180"/>
      </w:pPr>
      <w:r>
        <w:rPr>
          <w:rFonts w:ascii="Arial" w:hAnsi="Arial" w:eastAsia="Arial" w:cs="Arial"/>
          <w:b/>
          <w:bCs/>
          <w:sz w:val="26"/>
          <w:szCs w:val="26"/>
        </w:rPr>
        <w:t>5.2 Purpose of the Project</w:t>
      </w:r>
    </w:p>
    <w:p w14:paraId="3F2139EB">
      <w:pPr>
        <w:spacing w:after="200" w:line="276" w:lineRule="auto"/>
      </w:pPr>
      <w:r>
        <w:rPr>
          <w:rFonts w:ascii="Arial" w:hAnsi="Arial" w:eastAsia="Arial" w:cs="Arial"/>
          <w:sz w:val="22"/>
          <w:szCs w:val="22"/>
        </w:rPr>
        <w:t>The project is not a claim of profitability. It is a demonstration that the student can consistently construct the complete narrative, select models under that narrative, execute with precision, and review process without self-deception. Quantity (100 days / 50 setups) forces exposure to alternative profiles, failed narratives and stand-aside days — the conditions in which process is most often abandoned.</w:t>
      </w:r>
    </w:p>
    <w:p w14:paraId="57CF8F2A">
      <w:pPr>
        <w:pStyle w:val="2"/>
        <w:spacing w:before="360" w:after="240"/>
      </w:pPr>
      <w:r>
        <w:rPr>
          <w:rFonts w:ascii="Arial" w:hAnsi="Arial" w:eastAsia="Arial" w:cs="Arial"/>
          <w:b/>
          <w:bCs/>
          <w:sz w:val="32"/>
          <w:szCs w:val="32"/>
        </w:rPr>
        <w:t>6. Worked Complete Narrative (End-to-End)</w:t>
      </w:r>
    </w:p>
    <w:p w14:paraId="1A53E50D">
      <w:pPr>
        <w:spacing w:after="200" w:line="276" w:lineRule="auto"/>
      </w:pPr>
      <w:r>
        <w:rPr>
          <w:rFonts w:ascii="Arial" w:hAnsi="Arial" w:eastAsia="Arial" w:cs="Arial"/>
          <w:sz w:val="22"/>
          <w:szCs w:val="22"/>
        </w:rPr>
        <w:t>Instrument: EUR/USD. Date context: a mid-week session inside a bullish weekly narrative.</w:t>
      </w:r>
    </w:p>
    <w:p w14:paraId="039E5A64">
      <w:pPr>
        <w:spacing w:after="200" w:line="276" w:lineRule="auto"/>
      </w:pPr>
      <w:r>
        <w:rPr>
          <w:rFonts w:ascii="Arial" w:hAnsi="Arial" w:eastAsia="Arial" w:cs="Arial"/>
          <w:sz w:val="22"/>
          <w:szCs w:val="22"/>
        </w:rPr>
        <w:t>Monthly: Bullish sequence intact; long-term DOL = multi-month buy-side; invalidation = monthly close below last monthly bullish origin.</w:t>
      </w:r>
    </w:p>
    <w:p w14:paraId="256DEEAC">
      <w:pPr>
        <w:spacing w:after="200" w:line="276" w:lineRule="auto"/>
      </w:pPr>
      <w:r>
        <w:rPr>
          <w:rFonts w:ascii="Arial" w:hAnsi="Arial" w:eastAsia="Arial" w:cs="Arial"/>
          <w:sz w:val="22"/>
          <w:szCs w:val="22"/>
        </w:rPr>
        <w:t>Weekly: Aligned bullish; range 1.0500–1.1200; equilibrium 1.0850; price in discount; weekly DOL = 1.1200; mid-week SSL manipulation already taken; distribution phase active; invalidation = weekly close below manipulation extreme.</w:t>
      </w:r>
    </w:p>
    <w:p w14:paraId="07E539CD">
      <w:pPr>
        <w:spacing w:after="200" w:line="276" w:lineRule="auto"/>
      </w:pPr>
      <w:r>
        <w:rPr>
          <w:rFonts w:ascii="Arial" w:hAnsi="Arial" w:eastAsia="Arial" w:cs="Arial"/>
          <w:sz w:val="22"/>
          <w:szCs w:val="22"/>
        </w:rPr>
        <w:t>Daily: Aligned; daily range nested in weekly discount; expect London raid of Asian SSL → displacement → FVG in discount → New York continuation toward daily intermediate buy-side then 1.1200; daily invalidation = close below daily displacement origin.</w:t>
      </w:r>
    </w:p>
    <w:p w14:paraId="4DFD1ACA">
      <w:pPr>
        <w:spacing w:after="200" w:line="276" w:lineRule="auto"/>
      </w:pPr>
      <w:r>
        <w:rPr>
          <w:rFonts w:ascii="Arial" w:hAnsi="Arial" w:eastAsia="Arial" w:cs="Arial"/>
          <w:sz w:val="22"/>
          <w:szCs w:val="22"/>
        </w:rPr>
        <w:t>Session expectation: Classic path. Asian range 1.0620–1.0680.</w:t>
      </w:r>
    </w:p>
    <w:p w14:paraId="60646C97">
      <w:pPr>
        <w:spacing w:after="200" w:line="276" w:lineRule="auto"/>
      </w:pPr>
      <w:r>
        <w:rPr>
          <w:rFonts w:ascii="Arial" w:hAnsi="Arial" w:eastAsia="Arial" w:cs="Arial"/>
          <w:sz w:val="22"/>
          <w:szCs w:val="22"/>
        </w:rPr>
        <w:t>Liquidity event: London sweeps Asian low and relative equal lows.</w:t>
      </w:r>
    </w:p>
    <w:p w14:paraId="5E75BD58">
      <w:pPr>
        <w:spacing w:after="200" w:line="276" w:lineRule="auto"/>
      </w:pPr>
      <w:r>
        <w:rPr>
          <w:rFonts w:ascii="Arial" w:hAnsi="Arial" w:eastAsia="Arial" w:cs="Arial"/>
          <w:sz w:val="22"/>
          <w:szCs w:val="22"/>
        </w:rPr>
        <w:t>Displacement + Structure: Bullish displacement; 15-minute and daily MSS.</w:t>
      </w:r>
    </w:p>
    <w:p w14:paraId="1EBFA0AB">
      <w:pPr>
        <w:spacing w:after="200" w:line="276" w:lineRule="auto"/>
      </w:pPr>
      <w:r>
        <w:rPr>
          <w:rFonts w:ascii="Arial" w:hAnsi="Arial" w:eastAsia="Arial" w:cs="Arial"/>
          <w:sz w:val="22"/>
          <w:szCs w:val="22"/>
        </w:rPr>
        <w:t>PD Array: FVG 1.0635–1.0665; CE 1.0650; OTE overlap.</w:t>
      </w:r>
    </w:p>
    <w:p w14:paraId="4A970C74">
      <w:pPr>
        <w:spacing w:after="200" w:line="276" w:lineRule="auto"/>
      </w:pPr>
      <w:r>
        <w:rPr>
          <w:rFonts w:ascii="Arial" w:hAnsi="Arial" w:eastAsia="Arial" w:cs="Arial"/>
          <w:sz w:val="22"/>
          <w:szCs w:val="22"/>
        </w:rPr>
        <w:t>LTF confirmation: Present. SMT optional confirmation on GBP/USD (higher low).</w:t>
      </w:r>
    </w:p>
    <w:p w14:paraId="693869F6">
      <w:pPr>
        <w:spacing w:after="200" w:line="276" w:lineRule="auto"/>
      </w:pPr>
      <w:r>
        <w:rPr>
          <w:rFonts w:ascii="Arial" w:hAnsi="Arial" w:eastAsia="Arial" w:cs="Arial"/>
          <w:sz w:val="22"/>
          <w:szCs w:val="22"/>
        </w:rPr>
        <w:t>Execution: Entry at CE/OTE ~1.0650; trade invalidation below 1.0620; risk sized to 0.5 % equity.</w:t>
      </w:r>
    </w:p>
    <w:p w14:paraId="6C01C575">
      <w:pPr>
        <w:spacing w:after="200" w:line="276" w:lineRule="auto"/>
      </w:pPr>
      <w:r>
        <w:rPr>
          <w:rFonts w:ascii="Arial" w:hAnsi="Arial" w:eastAsia="Arial" w:cs="Arial"/>
          <w:sz w:val="22"/>
          <w:szCs w:val="22"/>
        </w:rPr>
        <w:t>Targets: Partial at daily intermediate buy-side ~1.0780; runner toward 1.1200.</w:t>
      </w:r>
    </w:p>
    <w:p w14:paraId="1B81031F">
      <w:pPr>
        <w:spacing w:after="200" w:line="276" w:lineRule="auto"/>
      </w:pPr>
      <w:r>
        <w:rPr>
          <w:rFonts w:ascii="Arial" w:hAnsi="Arial" w:eastAsia="Arial" w:cs="Arial"/>
          <w:sz w:val="22"/>
          <w:szCs w:val="22"/>
        </w:rPr>
        <w:t>Post-trade: Partial filled; runner managed under intact weekly narrative; outcome recorded; process adherence confirmed; next day’s daily narrative prepared inside the still-valid weekly frame.</w:t>
      </w:r>
    </w:p>
    <w:p w14:paraId="5840DC30">
      <w:pPr>
        <w:spacing w:after="200" w:line="276" w:lineRule="auto"/>
      </w:pPr>
      <w:r>
        <w:rPr>
          <w:rFonts w:ascii="Arial" w:hAnsi="Arial" w:eastAsia="Arial" w:cs="Arial"/>
          <w:sz w:val="22"/>
          <w:szCs w:val="22"/>
        </w:rPr>
        <w:t>This is the complete ICT narrative in operation.</w:t>
      </w:r>
    </w:p>
    <w:p w14:paraId="74341FC5">
      <w:pPr>
        <w:pStyle w:val="2"/>
        <w:spacing w:before="360" w:after="240"/>
      </w:pPr>
      <w:r>
        <w:rPr>
          <w:rFonts w:ascii="Arial" w:hAnsi="Arial" w:eastAsia="Arial" w:cs="Arial"/>
          <w:b/>
          <w:bCs/>
          <w:sz w:val="32"/>
          <w:szCs w:val="32"/>
        </w:rPr>
        <w:t>7. Common Final-Stage Failures</w:t>
      </w:r>
    </w:p>
    <w:p w14:paraId="3A7015B3">
      <w:pPr>
        <w:pStyle w:val="16"/>
        <w:numPr>
          <w:ilvl w:val="0"/>
          <w:numId w:val="1"/>
        </w:numPr>
        <w:spacing w:after="120" w:line="276" w:lineRule="auto"/>
      </w:pPr>
      <w:r>
        <w:rPr>
          <w:rFonts w:ascii="Arial" w:hAnsi="Arial" w:eastAsia="Arial" w:cs="Arial"/>
          <w:sz w:val="22"/>
          <w:szCs w:val="22"/>
        </w:rPr>
        <w:t>Constructing only a daily narrative and ignoring weekly/monthly constraints.</w:t>
      </w:r>
    </w:p>
    <w:p w14:paraId="5CF1338D">
      <w:pPr>
        <w:pStyle w:val="16"/>
        <w:numPr>
          <w:ilvl w:val="0"/>
          <w:numId w:val="1"/>
        </w:numPr>
        <w:spacing w:after="120" w:line="276" w:lineRule="auto"/>
      </w:pPr>
      <w:r>
        <w:rPr>
          <w:rFonts w:ascii="Arial" w:hAnsi="Arial" w:eastAsia="Arial" w:cs="Arial"/>
          <w:sz w:val="22"/>
          <w:szCs w:val="22"/>
        </w:rPr>
        <w:t>Naming a direction without a concrete Draw on Liquidity.</w:t>
      </w:r>
    </w:p>
    <w:p w14:paraId="7D8BCA97">
      <w:pPr>
        <w:pStyle w:val="16"/>
        <w:numPr>
          <w:ilvl w:val="0"/>
          <w:numId w:val="1"/>
        </w:numPr>
        <w:spacing w:after="120" w:line="276" w:lineRule="auto"/>
      </w:pPr>
      <w:r>
        <w:rPr>
          <w:rFonts w:ascii="Arial" w:hAnsi="Arial" w:eastAsia="Arial" w:cs="Arial"/>
          <w:sz w:val="22"/>
          <w:szCs w:val="22"/>
        </w:rPr>
        <w:t>Selecting a model before the narrative stack is written.</w:t>
      </w:r>
    </w:p>
    <w:p w14:paraId="191E7EE6">
      <w:pPr>
        <w:pStyle w:val="16"/>
        <w:numPr>
          <w:ilvl w:val="0"/>
          <w:numId w:val="1"/>
        </w:numPr>
        <w:spacing w:after="120" w:line="276" w:lineRule="auto"/>
      </w:pPr>
      <w:r>
        <w:rPr>
          <w:rFonts w:ascii="Arial" w:hAnsi="Arial" w:eastAsia="Arial" w:cs="Arial"/>
          <w:sz w:val="22"/>
          <w:szCs w:val="22"/>
        </w:rPr>
        <w:t>Entering before LTF confirmation.</w:t>
      </w:r>
    </w:p>
    <w:p w14:paraId="3F17221E">
      <w:pPr>
        <w:pStyle w:val="16"/>
        <w:numPr>
          <w:ilvl w:val="0"/>
          <w:numId w:val="1"/>
        </w:numPr>
        <w:spacing w:after="120" w:line="276" w:lineRule="auto"/>
      </w:pPr>
      <w:r>
        <w:rPr>
          <w:rFonts w:ascii="Arial" w:hAnsi="Arial" w:eastAsia="Arial" w:cs="Arial"/>
          <w:sz w:val="22"/>
          <w:szCs w:val="22"/>
        </w:rPr>
        <w:t>Abandoning process after a sequence of stand-aside days or losses.</w:t>
      </w:r>
    </w:p>
    <w:p w14:paraId="5370AF3F">
      <w:pPr>
        <w:pStyle w:val="16"/>
        <w:numPr>
          <w:ilvl w:val="0"/>
          <w:numId w:val="1"/>
        </w:numPr>
        <w:spacing w:after="120" w:line="276" w:lineRule="auto"/>
      </w:pPr>
      <w:r>
        <w:rPr>
          <w:rFonts w:ascii="Arial" w:hAnsi="Arial" w:eastAsia="Arial" w:cs="Arial"/>
          <w:sz w:val="22"/>
          <w:szCs w:val="22"/>
        </w:rPr>
        <w:t>Treating the capstone project as a search for winning trades rather than as a demonstration of narrative construction and process fidelity.</w:t>
      </w:r>
    </w:p>
    <w:p w14:paraId="16203F2C">
      <w:pPr>
        <w:pStyle w:val="16"/>
        <w:numPr>
          <w:ilvl w:val="0"/>
          <w:numId w:val="1"/>
        </w:numPr>
        <w:spacing w:after="120" w:line="276" w:lineRule="auto"/>
      </w:pPr>
      <w:r>
        <w:rPr>
          <w:rFonts w:ascii="Arial" w:hAnsi="Arial" w:eastAsia="Arial" w:cs="Arial"/>
          <w:sz w:val="22"/>
          <w:szCs w:val="22"/>
        </w:rPr>
        <w:t>Confusing a favourable research appendix with a licence to increase size beyond risk rules.</w:t>
      </w:r>
    </w:p>
    <w:p w14:paraId="05A9A13C">
      <w:pPr>
        <w:pStyle w:val="2"/>
        <w:spacing w:before="360" w:after="240"/>
      </w:pPr>
      <w:r>
        <w:rPr>
          <w:rFonts w:ascii="Arial" w:hAnsi="Arial" w:eastAsia="Arial" w:cs="Arial"/>
          <w:b/>
          <w:bCs/>
          <w:sz w:val="32"/>
          <w:szCs w:val="32"/>
        </w:rPr>
        <w:t>8. Evidence Summary</w:t>
      </w:r>
    </w:p>
    <w:p w14:paraId="01764212">
      <w:pPr>
        <w:spacing w:after="200" w:line="276" w:lineRule="auto"/>
      </w:pPr>
      <w:r>
        <w:rPr>
          <w:rFonts w:ascii="Arial" w:hAnsi="Arial" w:eastAsia="Arial" w:cs="Arial"/>
          <w:sz w:val="22"/>
          <w:szCs w:val="22"/>
        </w:rPr>
        <w:t>Every layer of the complete narrative is drawn from the preceding modules, which themselves rest on ICT teaching of delivery, liquidity, structure, PD arrays, time, PO3, multi-timeframe analysis, bias, model variations, SMT, session behaviour, execution refinement and risk discipline. The stack and the competency standard are the advanced synthesis of that teaching into a single, repeatable process.</w:t>
      </w:r>
    </w:p>
    <w:p w14:paraId="1794CD78">
      <w:pPr>
        <w:spacing w:before="80" w:after="160" w:line="276" w:lineRule="auto"/>
      </w:pPr>
      <w:r>
        <w:rPr>
          <w:rFonts w:ascii="Arial" w:hAnsi="Arial" w:eastAsia="Arial" w:cs="Arial"/>
          <w:b/>
          <w:bCs/>
          <w:i/>
          <w:iCs/>
          <w:sz w:val="18"/>
          <w:szCs w:val="18"/>
        </w:rPr>
        <w:t xml:space="preserve">Source / Research note: </w:t>
      </w:r>
      <w:r>
        <w:rPr>
          <w:rFonts w:ascii="Arial" w:hAnsi="Arial" w:eastAsia="Arial" w:cs="Arial"/>
          <w:i/>
          <w:iCs/>
          <w:color w:val="555555"/>
          <w:sz w:val="18"/>
          <w:szCs w:val="18"/>
        </w:rPr>
        <w:t>Synthesis of Advanced Modules 1–18. Capstone project design is a pedagogical requirement of this textbook for demonstrating independent narrative construction.</w:t>
      </w:r>
    </w:p>
    <w:p w14:paraId="23B1B5A8">
      <w:pPr>
        <w:pStyle w:val="2"/>
        <w:spacing w:before="360" w:after="240"/>
      </w:pPr>
      <w:r>
        <w:rPr>
          <w:rFonts w:ascii="Arial" w:hAnsi="Arial" w:eastAsia="Arial" w:cs="Arial"/>
          <w:b/>
          <w:bCs/>
          <w:sz w:val="32"/>
          <w:szCs w:val="32"/>
        </w:rPr>
        <w:t>What You Should Now Be Able to Do</w:t>
      </w:r>
    </w:p>
    <w:p w14:paraId="794FFB2E">
      <w:pPr>
        <w:pStyle w:val="16"/>
        <w:numPr>
          <w:ilvl w:val="0"/>
          <w:numId w:val="1"/>
        </w:numPr>
        <w:spacing w:after="120" w:line="276" w:lineRule="auto"/>
      </w:pPr>
      <w:r>
        <w:rPr>
          <w:rFonts w:ascii="Arial" w:hAnsi="Arial" w:eastAsia="Arial" w:cs="Arial"/>
          <w:sz w:val="22"/>
          <w:szCs w:val="22"/>
        </w:rPr>
        <w:t>Produce the full narrative stack on an unfamiliar chart in a single sitting.</w:t>
      </w:r>
    </w:p>
    <w:p w14:paraId="1ADA0A4D">
      <w:pPr>
        <w:pStyle w:val="16"/>
        <w:numPr>
          <w:ilvl w:val="0"/>
          <w:numId w:val="1"/>
        </w:numPr>
        <w:spacing w:after="120" w:line="276" w:lineRule="auto"/>
      </w:pPr>
      <w:r>
        <w:rPr>
          <w:rFonts w:ascii="Arial" w:hAnsi="Arial" w:eastAsia="Arial" w:cs="Arial"/>
          <w:sz w:val="22"/>
          <w:szCs w:val="22"/>
        </w:rPr>
        <w:t>Explain the purpose of each layer to another trader or to yourself in review.</w:t>
      </w:r>
    </w:p>
    <w:p w14:paraId="0DC1F226">
      <w:pPr>
        <w:pStyle w:val="16"/>
        <w:numPr>
          <w:ilvl w:val="0"/>
          <w:numId w:val="1"/>
        </w:numPr>
        <w:spacing w:after="120" w:line="276" w:lineRule="auto"/>
      </w:pPr>
      <w:r>
        <w:rPr>
          <w:rFonts w:ascii="Arial" w:hAnsi="Arial" w:eastAsia="Arial" w:cs="Arial"/>
          <w:sz w:val="22"/>
          <w:szCs w:val="22"/>
        </w:rPr>
        <w:t>Move continuously from narrative to bias to model to execution to risk control to post-trade analysis.</w:t>
      </w:r>
    </w:p>
    <w:p w14:paraId="0AC8EB27">
      <w:pPr>
        <w:pStyle w:val="16"/>
        <w:numPr>
          <w:ilvl w:val="0"/>
          <w:numId w:val="1"/>
        </w:numPr>
        <w:spacing w:after="120" w:line="276" w:lineRule="auto"/>
      </w:pPr>
      <w:r>
        <w:rPr>
          <w:rFonts w:ascii="Arial" w:hAnsi="Arial" w:eastAsia="Arial" w:cs="Arial"/>
          <w:sz w:val="22"/>
          <w:szCs w:val="22"/>
        </w:rPr>
        <w:t>Stand aside cleanly when the stack cannot be completed or is conflicted.</w:t>
      </w:r>
    </w:p>
    <w:p w14:paraId="5E502EF5">
      <w:pPr>
        <w:pStyle w:val="16"/>
        <w:numPr>
          <w:ilvl w:val="0"/>
          <w:numId w:val="1"/>
        </w:numPr>
        <w:spacing w:after="120" w:line="276" w:lineRule="auto"/>
      </w:pPr>
      <w:r>
        <w:rPr>
          <w:rFonts w:ascii="Arial" w:hAnsi="Arial" w:eastAsia="Arial" w:cs="Arial"/>
          <w:sz w:val="22"/>
          <w:szCs w:val="22"/>
        </w:rPr>
        <w:t>Complete the capstone project as evidence of advanced competency.</w:t>
      </w:r>
    </w:p>
    <w:p w14:paraId="1C102784">
      <w:pPr>
        <w:pStyle w:val="16"/>
        <w:numPr>
          <w:ilvl w:val="0"/>
          <w:numId w:val="1"/>
        </w:numPr>
        <w:spacing w:after="120" w:line="276" w:lineRule="auto"/>
      </w:pPr>
      <w:r>
        <w:rPr>
          <w:rFonts w:ascii="Arial" w:hAnsi="Arial" w:eastAsia="Arial" w:cs="Arial"/>
          <w:sz w:val="22"/>
          <w:szCs w:val="22"/>
        </w:rPr>
        <w:t>Maintain the separation between ICT doctrine, personal process, and any research results.</w:t>
      </w:r>
    </w:p>
    <w:p w14:paraId="17736E40">
      <w:pPr>
        <w:pStyle w:val="2"/>
        <w:spacing w:before="360" w:after="240"/>
      </w:pPr>
      <w:r>
        <w:rPr>
          <w:rFonts w:ascii="Arial" w:hAnsi="Arial" w:eastAsia="Arial" w:cs="Arial"/>
          <w:b/>
          <w:bCs/>
          <w:sz w:val="32"/>
          <w:szCs w:val="32"/>
        </w:rPr>
        <w:t>Module Review</w:t>
      </w:r>
    </w:p>
    <w:p w14:paraId="1ADA68C2">
      <w:pPr>
        <w:pStyle w:val="3"/>
        <w:spacing w:before="280" w:after="180"/>
      </w:pPr>
      <w:r>
        <w:rPr>
          <w:rFonts w:ascii="Arial" w:hAnsi="Arial" w:eastAsia="Arial" w:cs="Arial"/>
          <w:b/>
          <w:bCs/>
          <w:sz w:val="26"/>
          <w:szCs w:val="26"/>
        </w:rPr>
        <w:t>Key Terms</w:t>
      </w:r>
    </w:p>
    <w:p w14:paraId="2E96E033">
      <w:pPr>
        <w:pStyle w:val="16"/>
        <w:numPr>
          <w:ilvl w:val="0"/>
          <w:numId w:val="1"/>
        </w:numPr>
        <w:spacing w:after="120" w:line="276" w:lineRule="auto"/>
      </w:pPr>
      <w:r>
        <w:rPr>
          <w:rFonts w:ascii="Arial" w:hAnsi="Arial" w:eastAsia="Arial" w:cs="Arial"/>
          <w:sz w:val="22"/>
          <w:szCs w:val="22"/>
        </w:rPr>
        <w:t>Complete narrative stack — the ordered chain from monthly context through post-trade analysis.</w:t>
      </w:r>
    </w:p>
    <w:p w14:paraId="08D2DC2C">
      <w:pPr>
        <w:pStyle w:val="16"/>
        <w:numPr>
          <w:ilvl w:val="0"/>
          <w:numId w:val="1"/>
        </w:numPr>
        <w:spacing w:after="120" w:line="276" w:lineRule="auto"/>
      </w:pPr>
      <w:r>
        <w:rPr>
          <w:rFonts w:ascii="Arial" w:hAnsi="Arial" w:eastAsia="Arial" w:cs="Arial"/>
          <w:sz w:val="22"/>
          <w:szCs w:val="22"/>
        </w:rPr>
        <w:t>Final advanced competency — the ability to construct the entire stack on an unfamiliar chart without prompting.</w:t>
      </w:r>
    </w:p>
    <w:p w14:paraId="73B25F66">
      <w:pPr>
        <w:pStyle w:val="16"/>
        <w:numPr>
          <w:ilvl w:val="0"/>
          <w:numId w:val="1"/>
        </w:numPr>
        <w:spacing w:after="120" w:line="276" w:lineRule="auto"/>
      </w:pPr>
      <w:r>
        <w:rPr>
          <w:rFonts w:ascii="Arial" w:hAnsi="Arial" w:eastAsia="Arial" w:cs="Arial"/>
          <w:sz w:val="22"/>
          <w:szCs w:val="22"/>
        </w:rPr>
        <w:t>Capstone project — 100 historical days, 50 complete setups, blind-chart component, full written records.</w:t>
      </w:r>
    </w:p>
    <w:p w14:paraId="686410D8">
      <w:pPr>
        <w:pStyle w:val="16"/>
        <w:numPr>
          <w:ilvl w:val="0"/>
          <w:numId w:val="1"/>
        </w:numPr>
        <w:spacing w:after="120" w:line="276" w:lineRule="auto"/>
      </w:pPr>
      <w:r>
        <w:rPr>
          <w:rFonts w:ascii="Arial" w:hAnsi="Arial" w:eastAsia="Arial" w:cs="Arial"/>
          <w:sz w:val="22"/>
          <w:szCs w:val="22"/>
        </w:rPr>
        <w:t>Process fidelity — adherence to the stack, the filters, the checklists and the risk rules regardless of short-term outcome.</w:t>
      </w:r>
    </w:p>
    <w:p w14:paraId="33C25861">
      <w:pPr>
        <w:pStyle w:val="3"/>
        <w:spacing w:before="280" w:after="180"/>
      </w:pPr>
      <w:r>
        <w:rPr>
          <w:rFonts w:ascii="Arial" w:hAnsi="Arial" w:eastAsia="Arial" w:cs="Arial"/>
          <w:b/>
          <w:bCs/>
          <w:sz w:val="26"/>
          <w:szCs w:val="26"/>
        </w:rPr>
        <w:t>Self-Test</w:t>
      </w:r>
    </w:p>
    <w:p w14:paraId="3022009D">
      <w:pPr>
        <w:pStyle w:val="16"/>
        <w:numPr>
          <w:ilvl w:val="0"/>
          <w:numId w:val="2"/>
        </w:numPr>
        <w:spacing w:after="120" w:line="276" w:lineRule="auto"/>
      </w:pPr>
      <w:r>
        <w:rPr>
          <w:rFonts w:ascii="Arial" w:hAnsi="Arial" w:eastAsia="Arial" w:cs="Arial"/>
          <w:sz w:val="22"/>
          <w:szCs w:val="22"/>
        </w:rPr>
        <w:t>List the layers of the complete narrative stack in order.</w:t>
      </w:r>
    </w:p>
    <w:p w14:paraId="29EA475F">
      <w:pPr>
        <w:pStyle w:val="16"/>
        <w:numPr>
          <w:ilvl w:val="0"/>
          <w:numId w:val="2"/>
        </w:numPr>
        <w:spacing w:after="120" w:line="276" w:lineRule="auto"/>
      </w:pPr>
      <w:r>
        <w:rPr>
          <w:rFonts w:ascii="Arial" w:hAnsi="Arial" w:eastAsia="Arial" w:cs="Arial"/>
          <w:sz w:val="22"/>
          <w:szCs w:val="22"/>
        </w:rPr>
        <w:t>Why does the monthly layer exist if most trades are intraday?</w:t>
      </w:r>
    </w:p>
    <w:p w14:paraId="04799DB7">
      <w:pPr>
        <w:pStyle w:val="16"/>
        <w:numPr>
          <w:ilvl w:val="0"/>
          <w:numId w:val="2"/>
        </w:numPr>
        <w:spacing w:after="120" w:line="276" w:lineRule="auto"/>
      </w:pPr>
      <w:r>
        <w:rPr>
          <w:rFonts w:ascii="Arial" w:hAnsi="Arial" w:eastAsia="Arial" w:cs="Arial"/>
          <w:sz w:val="22"/>
          <w:szCs w:val="22"/>
        </w:rPr>
        <w:t>What eleven elements must the student be able to produce on an unfamiliar chart?</w:t>
      </w:r>
    </w:p>
    <w:p w14:paraId="3321D6CD">
      <w:pPr>
        <w:pStyle w:val="16"/>
        <w:numPr>
          <w:ilvl w:val="0"/>
          <w:numId w:val="2"/>
        </w:numPr>
        <w:spacing w:after="120" w:line="276" w:lineRule="auto"/>
      </w:pPr>
      <w:r>
        <w:rPr>
          <w:rFonts w:ascii="Arial" w:hAnsi="Arial" w:eastAsia="Arial" w:cs="Arial"/>
          <w:sz w:val="22"/>
          <w:szCs w:val="22"/>
        </w:rPr>
        <w:t>What are the quantitative requirements of the capstone project?</w:t>
      </w:r>
    </w:p>
    <w:p w14:paraId="2CAFE18B">
      <w:pPr>
        <w:pStyle w:val="16"/>
        <w:numPr>
          <w:ilvl w:val="0"/>
          <w:numId w:val="2"/>
        </w:numPr>
        <w:spacing w:after="120" w:line="276" w:lineRule="auto"/>
      </w:pPr>
      <w:r>
        <w:rPr>
          <w:rFonts w:ascii="Arial" w:hAnsi="Arial" w:eastAsia="Arial" w:cs="Arial"/>
          <w:sz w:val="22"/>
          <w:szCs w:val="22"/>
        </w:rPr>
        <w:t>What is the correct action when the narrative stack cannot be completed clearly?</w:t>
      </w:r>
    </w:p>
    <w:p w14:paraId="25406262">
      <w:pPr>
        <w:pStyle w:val="2"/>
        <w:spacing w:before="360" w:after="240"/>
      </w:pPr>
      <w:r>
        <w:rPr>
          <w:rFonts w:ascii="Arial" w:hAnsi="Arial" w:eastAsia="Arial" w:cs="Arial"/>
          <w:b/>
          <w:bCs/>
          <w:sz w:val="32"/>
          <w:szCs w:val="32"/>
        </w:rPr>
        <w:t>Closing of the Advanced Level</w:t>
      </w:r>
    </w:p>
    <w:p w14:paraId="223849C5">
      <w:pPr>
        <w:spacing w:after="200" w:line="276" w:lineRule="auto"/>
      </w:pPr>
      <w:r>
        <w:rPr>
          <w:rFonts w:ascii="Arial" w:hAnsi="Arial" w:eastAsia="Arial" w:cs="Arial"/>
          <w:sz w:val="22"/>
          <w:szCs w:val="22"/>
        </w:rPr>
        <w:t>The Advanced Level began with the premise that price is delivered from one liquidity pool to another under algorithmic and institutional constraints of time, structure and imbalance. It ends with a single requirement: that the student can see that delivery, in full hierarchical detail, on a chart that has never been seen before, and can act or stand aside according to a process that does not depend on hope, hindsight or narrative convenience.</w:t>
      </w:r>
    </w:p>
    <w:p w14:paraId="47E6E3A8">
      <w:pPr>
        <w:spacing w:after="200" w:line="276" w:lineRule="auto"/>
      </w:pPr>
      <w:r>
        <w:rPr>
          <w:rFonts w:ascii="Arial" w:hAnsi="Arial" w:eastAsia="Arial" w:cs="Arial"/>
          <w:sz w:val="22"/>
          <w:szCs w:val="22"/>
        </w:rPr>
        <w:t>The models, arrays, sessions and risk rules are tools. The narrative is the craft. When the narrative is clear, the tools are applied with precision. When the narrative is unclear, the tools stay in the box.</w:t>
      </w:r>
    </w:p>
    <w:p w14:paraId="4517D55C">
      <w:pPr>
        <w:spacing w:after="200" w:line="276" w:lineRule="auto"/>
      </w:pPr>
      <w:r>
        <w:rPr>
          <w:rFonts w:ascii="Arial" w:hAnsi="Arial" w:eastAsia="Arial" w:cs="Arial"/>
          <w:sz w:val="22"/>
          <w:szCs w:val="22"/>
        </w:rPr>
        <w:t>That is the end of the Advanced Level textbook.</w:t>
      </w:r>
    </w:p>
    <w:p w14:paraId="06CD5D2F">
      <w:pPr>
        <w:spacing w:after="200" w:line="276" w:lineRule="auto"/>
        <w:rPr>
          <w:rFonts w:ascii="Arial" w:hAnsi="Arial" w:eastAsia="Arial" w:cs="Arial"/>
          <w:sz w:val="22"/>
          <w:szCs w:val="22"/>
        </w:rPr>
      </w:pPr>
    </w:p>
    <w:p w14:paraId="2808A149">
      <w:pPr>
        <w:pStyle w:val="16"/>
        <w:numPr>
          <w:ilvl w:val="0"/>
          <w:numId w:val="0"/>
        </w:numPr>
        <w:spacing w:after="80" w:line="276" w:lineRule="auto"/>
        <w:rPr>
          <w:sz w:val="22"/>
          <w:szCs w:val="22"/>
        </w:rPr>
      </w:pPr>
      <w:bookmarkStart w:id="0" w:name="_GoBack"/>
      <w:bookmarkEnd w:id="0"/>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FD072">
    <w:pPr>
      <w:jc w:val="center"/>
    </w:pPr>
    <w:r>
      <w:rPr>
        <w:color w:val="555555"/>
        <w:sz w:val="16"/>
        <w:szCs w:val="16"/>
      </w:rPr>
      <w:t xml:space="preserve">Page </w:t>
    </w:r>
    <w:r>
      <w:rPr>
        <w:color w:val="555555"/>
        <w:sz w:val="16"/>
        <w:szCs w:val="16"/>
      </w:rPr>
      <w:fldChar w:fldCharType="begin"/>
    </w:r>
    <w:r>
      <w:rPr>
        <w:color w:val="555555"/>
        <w:sz w:val="16"/>
        <w:szCs w:val="16"/>
      </w:rPr>
      <w:instrText xml:space="preserve">PAGE</w:instrText>
    </w:r>
    <w:r>
      <w:rPr>
        <w:color w:val="555555"/>
        <w:sz w:val="16"/>
        <w:szCs w:val="16"/>
      </w:rPr>
      <w:fldChar w:fldCharType="separate"/>
    </w:r>
    <w:r>
      <w:rPr>
        <w:color w:val="555555"/>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720" w:hanging="360"/>
      </w:pPr>
    </w:lvl>
  </w:abstractNum>
  <w:abstractNum w:abstractNumId="1">
    <w:nsid w:val="0053208E"/>
    <w:multiLevelType w:val="multilevel"/>
    <w:tmpl w:val="0053208E"/>
    <w:lvl w:ilvl="0" w:tentative="0">
      <w:start w:val="1"/>
      <w:numFmt w:val="decimal"/>
      <w:lvlText w:val="%1."/>
      <w:lvlJc w:val="left"/>
      <w:pPr>
        <w:ind w:left="460" w:hanging="260"/>
      </w:pPr>
    </w:lvl>
    <w:lvl w:ilvl="1" w:tentative="0">
      <w:start w:val="1"/>
      <w:numFmt w:val="bullet"/>
      <w:lvlText w:val="◦"/>
      <w:lvlJc w:val="left"/>
      <w:pPr>
        <w:ind w:left="920" w:hanging="260"/>
      </w:pPr>
    </w:lvl>
  </w:abstractNum>
  <w:abstractNum w:abstractNumId="2">
    <w:nsid w:val="0248C179"/>
    <w:multiLevelType w:val="singleLevel"/>
    <w:tmpl w:val="0248C179"/>
    <w:lvl w:ilvl="0" w:tentative="0">
      <w:start w:val="1"/>
      <w:numFmt w:val="decimal"/>
      <w:lvlText w:val="%1."/>
      <w:lvlJc w:val="left"/>
      <w:pPr>
        <w:ind w:left="720" w:hanging="360"/>
      </w:pPr>
    </w:lvl>
  </w:abstractNum>
  <w:abstractNum w:abstractNumId="3">
    <w:nsid w:val="25B654F3"/>
    <w:multiLevelType w:val="singleLevel"/>
    <w:tmpl w:val="25B654F3"/>
    <w:lvl w:ilvl="0" w:tentative="0">
      <w:start w:val="1"/>
      <w:numFmt w:val="decimal"/>
      <w:lvlText w:val="%1."/>
      <w:lvlJc w:val="left"/>
      <w:pPr>
        <w:ind w:left="720" w:hanging="360"/>
      </w:pPr>
    </w:lvl>
  </w:abstractNum>
  <w:abstractNum w:abstractNumId="4">
    <w:nsid w:val="2A8F537B"/>
    <w:multiLevelType w:val="singleLevel"/>
    <w:tmpl w:val="2A8F537B"/>
    <w:lvl w:ilvl="0" w:tentative="0">
      <w:start w:val="1"/>
      <w:numFmt w:val="decimal"/>
      <w:lvlText w:val="%1."/>
      <w:lvlJc w:val="left"/>
      <w:pPr>
        <w:ind w:left="720" w:hanging="360"/>
      </w:pPr>
    </w:lvl>
  </w:abstractNum>
  <w:abstractNum w:abstractNumId="5">
    <w:nsid w:val="59ADCABA"/>
    <w:multiLevelType w:val="multilevel"/>
    <w:tmpl w:val="59ADCABA"/>
    <w:lvl w:ilvl="0" w:tentative="0">
      <w:start w:val="1"/>
      <w:numFmt w:val="bullet"/>
      <w:lvlText w:val="•"/>
      <w:lvlJc w:val="left"/>
      <w:pPr>
        <w:ind w:left="460" w:hanging="260"/>
      </w:pPr>
    </w:lvl>
    <w:lvl w:ilvl="1" w:tentative="0">
      <w:start w:val="1"/>
      <w:numFmt w:val="bullet"/>
      <w:lvlText w:val="◦"/>
      <w:lvlJc w:val="left"/>
      <w:pPr>
        <w:ind w:left="920" w:hanging="260"/>
      </w:pPr>
    </w:lvl>
  </w:abstractNum>
  <w:num w:numId="1">
    <w:abstractNumId w:val="1"/>
    <w:lvlOverride w:ilvl="0">
      <w:startOverride w:val="1"/>
    </w:lvlOverride>
  </w:num>
  <w:num w:numId="2">
    <w:abstractNumId w:val="5"/>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18DE470E"/>
    <w:rsid w:val="200607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512</Pages>
  <Words>90</Words>
  <Characters>513</Characters>
  <TotalTime>0</TotalTime>
  <ScaleCrop>false</ScaleCrop>
  <LinksUpToDate>false</LinksUpToDate>
  <CharactersWithSpaces>598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2026-08-22T14:33:00Z</dcterms:created>
  <dc:creator>Un-named</dc:creator>
  <cp:lastModifiedBy>Efatha Kanafunzi</cp:lastModifiedBy>
  <dcterms:modified xsi:type="dcterms:W3CDTF">2026-09-08T05:16:19Z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eyJoZGlkIjoiOTdlNjA3ZDFmYWU5MzcwNTcwODY4ZTI1ODc1MmYyOGQiLCJ1c2VySWQiOiIxNDcyMzU0NTg3NzYyNCJ9</vt:lpwstr>
  </property>
  <property fmtid="{D5CDD505-2E9C-101B-9397-08002B2CF9AE}" pid="3" name="KSOProductBuildVer">
    <vt:lpwstr>1033-12.1.0.28485</vt:lpwstr>
  </property>
  <property fmtid="{D5CDD505-2E9C-101B-9397-08002B2CF9AE}" pid="4" name="ICV">
    <vt:lpwstr>BCACC93040204B56ABC4055E3E580605_13</vt:lpwstr>
  </property>
</Properties>
</file>