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 Long-Document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and publish the resulting exclusion ledger, which retains 5,164 records.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The best system reports R^2=0.549 under random folds, 0.536 once franchises are held together, and 0.309 when the test set lies in the future.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The usual answer — slide a window, embed each window, average the results — is cheap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Franchises share vocabulary and structure across installments, and remakes reuse plot and dialogue wholesale. Under a random partition, a near-copy in the training set makes its twin in the test set trivially predictable. The second hazard is time.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chunking is almost always specified in words; truncation always happens in subword tokens, and nobody is told when the budget is exceeded. This paper is an audit, not a leaderboard entry. We take an existing SBERT-plus-gradient-boosting pipeline and ask what its reported performance is actually made of. Three contributions follow.</w:t>
      </w:r>
    </w:p>
    <w:p>
      <w:pPr>
        <w:pStyle w:val="ListBullet"/>
      </w:pPr>
      <w:r>
        <w:rPr>
          <w:rFonts w:ascii="Times New Roman" w:hAnsi="Times New Roman"/>
          <w:sz w:val="20"/>
        </w:rPr>
        <w:t>C1 — A record-identity protocol and its exclusion ledger. We define film identity through four keys — content SHA-256 digest, IMDb identifier, title×year, and a normalised title-family stem — audit all 5,204 joined records against each, and report every exclusion (Section III).</w:t>
      </w:r>
    </w:p>
    <w:p>
      <w:pPr>
        <w:pStyle w:val="ListBullet"/>
      </w:pPr>
      <w:r>
        <w:rPr>
          <w:rFonts w:ascii="Times New Roman" w:hAnsi="Times New Roman"/>
          <w:sz w:val="20"/>
        </w:rPr>
        <w:t>C2 — A measurement of silent truncation. Running the encoder's own tokeniser over the pipeline's own windows, we find that 98.45% of 256-word windows exceed the 254-token content budget and that 31.60% of WordPiece tokens are discarded before the encoder sees them (Section IV-B).</w:t>
      </w:r>
    </w:p>
    <w:p>
      <w:pPr>
        <w:pStyle w:val="ListBullet"/>
      </w:pPr>
      <w:r>
        <w:rPr>
          <w:rFonts w:ascii="Times New Roman" w:hAnsi="Times New Roman"/>
          <w:sz w:val="20"/>
        </w:rPr>
        <w:t>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0" w:after="60"/>
        <w:ind w:firstLine="288"/>
      </w:pPr>
      <w:r>
        <w:rPr>
          <w:b w:val="0"/>
          <w:i w:val="0"/>
          <w:sz w:val="20"/>
        </w:rPr>
        <w:t>Screenplays and film outcomes. Early work treated the script as a feature source for commercial forecasting, predicting return on investment or box-office revenue from genre, content, and semantic descriptors [3, 4]. A second strand reads narrative structure rather than commercial outcome: emotional arc shapes [5, 9], character portrayal [6], MPAA age-suitability and severity rating [7, 25, 8], and tag assignment from plot synopses [26]. Screenplay quality assessment in the awards-nomination framing [27] is the closest analogue to rating regression, and it shares our target's central difficulty: the label is an aggregate social judgement, only partly a function of the text. Outside the script itself, forecasting has drawn on production metadata [10], social-media and Wikipedia activity [15, 16, 17, 18], trailer content [11], and review sentiment [13, 22]; IMDb rating regression from tabular and textual metadata is by now a standard applied exercise [12, 20, 21, 23,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0" w:after="60"/>
        <w:ind w:firstLine="288"/>
      </w:pPr>
      <w:r>
        <w:rPr>
          <w:b w:val="0"/>
          <w:i w:val="0"/>
          <w:sz w:val="20"/>
        </w:rPr>
        <w:t>Representations for long documents. 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w:t>
      </w:r>
    </w:p>
    <w:p>
      <w:pPr>
        <w:spacing w:before="0" w:after="60"/>
        <w:ind w:firstLine="288"/>
      </w:pPr>
      <w:r>
        <w:rPr>
          <w:b w:val="0"/>
          <w:i w:val="0"/>
          <w:sz w:val="20"/>
        </w:rPr>
        <w:t>Leakage and split design. The methodological literature we lean on is not about films. System rankings reorder under alternative random splits, and split designs should stress the generalisation actually claimed [28, 29]; train–test overlap has been measured and formalised for NLP benchmarks [30, 31], and leakage taxonomies across disciplines argue for pre-registration of the split [32]. Temporal generalisation has its own line [33], as does documentation of corpus provenance [34, 35]. Applying these instruments to a screenplay corpus is, to our knowledge, new.</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identity keys</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w:t>
      </w:r>
    </w:p>
    <w:p>
      <w:pPr>
        <w:spacing w:before="0" w:after="60"/>
        <w:ind w:firstLine="288"/>
      </w:pPr>
      <w:r>
        <w:rPr>
          <w:b w:val="0"/>
          <w:i w:val="0"/>
          <w:sz w:val="20"/>
        </w:rPr>
        <w:t>Deduplication is only as good as the notion of identity behind it, so we audit four keys of decreasing strictness. Content digest: for a script file with byte content b, the key is SHA256(b), which catches the re-upload-under-a-new-name case that no metadata key can see; collisions are resolved by retaining the earliest record in load order. IMDb identifier: the canonical film key. Title×year: a fallback for records whose identifier is missing or malformed. Title family: the loosest key, and the one that matters for split design. We normalise a title t by case-folding, stripping non-alphanumeric characters, removing a leading article, and iteratively deleting a trailing sequel marker — an Arabic numeral, a Roman numeral up to X, or a part n construction — to a fixed point. Toy Story and Toy Story 2 therefore map to the single family toy story, the grouping variable for Section IV-D.</w:t>
      </w:r>
    </w:p>
    <w:p>
      <w:pPr>
        <w:spacing w:before="120" w:after="40"/>
        <w:ind w:firstLine="0"/>
      </w:pPr>
      <w:r>
        <w:rPr>
          <w:b w:val="0"/>
          <w:i/>
          <w:sz w:val="20"/>
        </w:rPr>
        <w:t>B. The exclusion flow</w:t>
      </w:r>
    </w:p>
    <w:p>
      <w:pPr>
        <w:spacing w:before="0" w:after="60"/>
        <w:ind w:firstLine="288"/>
      </w:pPr>
      <w:r>
        <w:rPr>
          <w:b w:val="0"/>
          <w:i w:val="0"/>
          <w:sz w:val="20"/>
        </w:rPr>
        <w:t>Let R_0 be the joined record set, |R_0| = 5,204. The pipeline is a composition of four filters applied in a fixed order, each defined by a predicate on a record r:</w:t>
      </w:r>
    </w:p>
    <w:p>
      <w:pPr>
        <w:spacing w:before="80" w:after="80"/>
        <w:ind w:firstLine="0"/>
        <w:jc w:val="center"/>
      </w:pPr>
      <w:r>
        <w:rPr>
          <w:b w:val="0"/>
          <w:i/>
          <w:sz w:val="20"/>
        </w:rPr>
        <w:t>pi_len(r) &amp;= |text(r)| &gt;= 1000 characters, pi_hash(r) &amp;= SHA256\bigl(bytes(r)\bigr) not in H_&lt;r, pi_year(r) &amp;= yr(r) in [1900, 2025], pi_id(r) &amp;= positional identity of r is unique,</w:t>
      </w:r>
    </w:p>
    <w:p>
      <w:pPr>
        <w:spacing w:before="0" w:after="60"/>
        <w:ind w:firstLine="288"/>
      </w:pPr>
      <w:r>
        <w:rPr>
          <w:b w:val="0"/>
          <w:i w:val="0"/>
          <w:sz w:val="20"/>
        </w:rPr>
        <w:t>where H_&lt;r is the set of digests already seen in load order. The surviving sets are nested, R_k = \ r in R_k-1 : pi_k(r) \, and the realised cardinality chain on this corpus is</w:t>
      </w:r>
    </w:p>
    <w:p>
      <w:pPr>
        <w:spacing w:before="80" w:after="80"/>
        <w:ind w:firstLine="0"/>
        <w:jc w:val="center"/>
      </w:pPr>
      <w:r>
        <w:rPr>
          <w:b w:val="0"/>
          <w:i/>
          <w:sz w:val="20"/>
        </w:rPr>
        <w:t>5,204 \xrightarrow pi_len 5,195 \xrightarrow pi_hash 5,195 \xrightarrow pi_year 5,191 \xrightarrow pi_id 5,164 .</w:t>
      </w:r>
    </w:p>
    <w:p>
      <w:pPr>
        <w:spacing w:before="0" w:after="60"/>
        <w:ind w:firstLine="288"/>
      </w:pPr>
      <w:r>
        <w:rPr>
          <w:b w:val="0"/>
          <w:i w:val="0"/>
          <w:sz w:val="20"/>
        </w:rPr>
        <w:t>The second arrow is an identity map on the subset over which the digest could be evaluated, not a corpus-wide null result: content hashing requires the raw text, and 356 of the 5,204 files are distributed with the code. The metadata keys, computable for all records, bound — without eliminating — the residual duplication that a full-corpus pass could still uncover.</w:t>
      </w:r>
    </w:p>
    <w:p>
      <w:pPr>
        <w:spacing w:before="120" w:after="40"/>
        <w:ind w:firstLine="0"/>
      </w:pPr>
      <w:r>
        <w:rPr>
          <w:b w:val="0"/>
          <w:i/>
          <w:sz w:val="20"/>
        </w:rPr>
        <w:t>C. Audit results</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other year)</w:t>
            </w:r>
          </w:p>
        </w:tc>
        <w:tc>
          <w:tcPr>
            <w:tcW w:type="dxa" w:w="3365"/>
          </w:tcPr>
          <w:p>
            <w:pPr>
              <w:ind w:firstLine="0"/>
              <w:jc w:val="center"/>
            </w:pPr>
            <w:r>
              <w:rPr>
                <w:rFonts w:ascii="Times New Roman" w:hAnsi="Times New Roman"/>
                <w:sz w:val="16"/>
              </w:rPr>
              <w:t>80 / 165 rec.</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 digests (audited subset)</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Analysis corpus</w:t>
            </w:r>
          </w:p>
        </w:tc>
        <w:tc>
          <w:tcPr>
            <w:tcW w:type="dxa" w:w="3365"/>
          </w:tcPr>
          <w:p>
            <w:pPr>
              <w:ind w:firstLine="0"/>
              <w:jc w:val="center"/>
            </w:pPr>
            <w:r>
              <w:rPr>
                <w:rFonts w:ascii="Times New Roman" w:hAnsi="Times New Roman"/>
                <w:sz w:val="16"/>
              </w:rPr>
              <w:t>5,164</w:t>
            </w:r>
          </w:p>
        </w:tc>
        <w:tc>
          <w:tcPr>
            <w:tcW w:type="dxa" w:w="3365"/>
          </w:tcPr>
          <w:p>
            <w:pPr>
              <w:ind w:firstLine="0"/>
              <w:jc w:val="center"/>
            </w:pPr>
            <w:r>
              <w:rPr>
                <w:rFonts w:ascii="Times New Roman" w:hAnsi="Times New Roman"/>
                <w:sz w:val="16"/>
              </w:rPr>
              <w:t>99.23</w:t>
            </w:r>
          </w:p>
        </w:tc>
      </w:tr>
      <w:tr>
        <w:tc>
          <w:tcPr>
            <w:tcW w:type="dxa" w:w="3365"/>
          </w:tcPr>
          <w:p>
            <w:pPr>
              <w:ind w:firstLine="0"/>
              <w:jc w:val="left"/>
            </w:pPr>
            <w:r>
              <w:rPr>
                <w:rFonts w:ascii="Times New Roman" w:hAnsi="Times New Roman"/>
                <w:sz w:val="16"/>
              </w:rPr>
              <w:t>Title families / multi-member</w:t>
            </w:r>
          </w:p>
        </w:tc>
        <w:tc>
          <w:tcPr>
            <w:tcW w:type="dxa" w:w="3365"/>
          </w:tcPr>
          <w:p>
            <w:pPr>
              <w:ind w:firstLine="0"/>
              <w:jc w:val="center"/>
            </w:pPr>
            <w:r>
              <w:rPr>
                <w:rFonts w:ascii="Times New Roman" w:hAnsi="Times New Roman"/>
                <w:sz w:val="16"/>
              </w:rPr>
              <w:t>4,979 / 164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Table I is the full ledger for the flow of Section III-B. All 5,204 identifiers are distinct and no title×year pair repeats. This is a genuinely clean join, and it means the leakage channel in this corpus is not naive record duplication. Eighty titles appear more than once, spanning 165 records, but every collision pairs distinct identifiers and distinct years — these are remakes and same-title unrelated films, not duplicates. We retain them in a shared family. Four records carry release years of 1080 or 1088, transparently mis-typed 1980 and 1988; we drop them rather than silently repair them. The derived decade column is worse: the shipped label encoder holds 14 decade strings, among them 1080s and 1996s, encoded as an ordinal integer.</w:t>
      </w:r>
    </w:p>
    <w:p>
      <w:pPr>
        <w:spacing w:before="0" w:after="60"/>
        <w:ind w:firstLine="288"/>
      </w:pPr>
      <w:r>
        <w:rPr>
          <w:b w:val="0"/>
          <w:i w:val="0"/>
          <w:sz w:val="20"/>
        </w:rPr>
        <w:t>Twenty-seven further records are excluded for a reproducibility reason. The archived embedding matrix stores rows in loader order without a record key, so row i of the matrix is not record i of the spreadsheet. We reconstruct the offset function from 1,559 anchors in the committed split bookkeeping; twenty-seven positions inside the reconstruction gaps admit more than one consistent assignment, and we drop them rather than guess.</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the share of lines that match an ALL-CAPS speaker-cue pattern, and unique_characters); two emotional proxies (exclamation_ratio, question_ratio); and one stage-direction proxy (action_density). Two of the sixteen are close to degenerate on this corpus.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w:t>
      </w:r>
    </w:p>
    <w:p>
      <w:pPr>
        <w:spacing w:before="120" w:after="40"/>
        <w:ind w:firstLine="0"/>
      </w:pPr>
      <w:r>
        <w:rPr>
          <w:b w:val="0"/>
          <w:i/>
          <w:sz w:val="20"/>
        </w:rPr>
        <w:t>B. Token-aligned chunking and mean pooling</w:t>
      </w:r>
    </w:p>
    <w:p>
      <w:pPr>
        <w:spacing w:before="0" w:after="60"/>
        <w:ind w:firstLine="288"/>
      </w:pPr>
      <w:r>
        <w:rPr>
          <w:b w:val="0"/>
          <w:i w:val="0"/>
          <w:sz w:val="20"/>
        </w:rPr>
        <w:t>Let a screenplay be a word sequence D = (w_1, ..., w_N) obtained by whitespace splitting after light normalisation that removes bracketed stage directions, ALL-CAPS speaker cues, INT./EXT. markers, and timestamps. With window length L = 256 and overlap o = 50, the stride is s = L - o = 206, and the j-th window is</w:t>
      </w:r>
    </w:p>
    <w:p>
      <w:pPr>
        <w:spacing w:before="80" w:after="80"/>
        <w:ind w:firstLine="0"/>
        <w:jc w:val="center"/>
      </w:pPr>
      <w:r>
        <w:rPr>
          <w:b w:val="0"/>
          <w:i/>
          <w:sz w:val="20"/>
        </w:rPr>
        <w:t>C_j = \bigl(w_(j-1)s+1, ..., w_\min\(j-1)s+L, N bigr),</w:t>
      </w:r>
    </w:p>
    <w:p>
      <w:pPr>
        <w:spacing w:before="0" w:after="60"/>
        <w:ind w:firstLine="288"/>
      </w:pPr>
      <w:r>
        <w:rPr>
          <w:b w:val="0"/>
          <w:i w:val="0"/>
          <w:sz w:val="20"/>
        </w:rPr>
        <w:t>for j = 1, ..., M with M = 1 if N &lt;= L and M = (N - L)/s + 1 otherwise. Each window is encoded by f: C -&gt; ^d with d = 384, and the document representation is the arithmetic mean</w:t>
      </w:r>
    </w:p>
    <w:p>
      <w:pPr>
        <w:spacing w:before="80" w:after="80"/>
        <w:ind w:firstLine="0"/>
        <w:jc w:val="center"/>
      </w:pPr>
      <w:r>
        <w:rPr>
          <w:b w:val="0"/>
          <w:i/>
          <w:sz w:val="20"/>
        </w:rPr>
        <w:t>e(D) = (1)/(M) \sum_j=1^M f(C_j) .</w:t>
      </w:r>
    </w:p>
    <w:p>
      <w:pPr>
        <w:spacing w:before="0" w:after="60"/>
        <w:ind w:firstLine="288"/>
      </w:pPr>
      <w:r>
        <w:rPr>
          <w:b w:val="0"/>
          <w:i w:val="0"/>
          <w:sz w:val="20"/>
        </w:rPr>
        <w:t>Because the encoder L2-normalises its output, every f(C_j) lies on the unit sphere, so</w:t>
      </w:r>
    </w:p>
    <w:p>
      <w:pPr>
        <w:spacing w:before="80" w:after="80"/>
        <w:ind w:firstLine="0"/>
        <w:jc w:val="center"/>
      </w:pPr>
      <w:r>
        <w:rPr>
          <w:b w:val="0"/>
          <w:i/>
          <w:sz w:val="20"/>
        </w:rPr>
        <w:t>\bigl\| e(D) \bigr\|_2^2 = \frac1M^2\Bigl( M + 2\sum_1 &lt;= i &lt; j &lt;= M \langle f(C_i), f(C_j)\rangle \Bigr),</w:t>
      </w:r>
    </w:p>
    <w:p>
      <w:pPr>
        <w:spacing w:before="0" w:after="60"/>
        <w:ind w:firstLine="288"/>
      </w:pPr>
      <w:r>
        <w:rPr>
          <w:b w:val="0"/>
          <w:i w:val="0"/>
          <w:sz w:val="20"/>
        </w:rPr>
        <w:t>which equals 1 only when all windows embed identically and falls toward 1/ as they decorrelate. With a median of 36 windows per script, no scene survives pooling as a distinguishable signal.</w:t>
      </w:r>
    </w:p>
    <w:p>
      <w:pPr>
        <w:spacing w:before="0" w:after="60"/>
        <w:ind w:firstLine="288"/>
      </w:pPr>
      <w:r>
        <w:rPr>
          <w:b w:val="0"/>
          <w:i w:val="0"/>
          <w:sz w:val="20"/>
        </w:rPr>
        <w:t>The word/token mismatch. The encoder's transformer accepts T_ = 256 positions, two of which are consumed by [CLS] and [SEP]. The content budget is therefore B = T_ - 2 = 254 WordPiece tokens, while C_j is defined by a count of 256 words. Writing tau(·) for the tokeniser, the encoder in fact sees tau(C_j) truncated to its first B entries, and the discarded fraction for a document is</w:t>
      </w:r>
    </w:p>
    <w:p>
      <w:pPr>
        <w:spacing w:before="80" w:after="80"/>
        <w:ind w:firstLine="0"/>
        <w:jc w:val="center"/>
      </w:pPr>
      <w:r>
        <w:rPr>
          <w:b w:val="0"/>
          <w:i/>
          <w:sz w:val="20"/>
        </w:rPr>
        <w:t>rho(D) = 1 - \frac\sum_j=1^M \min\bigl\|tau(C_j)|, B\bigr\ \sum_j=1^M |tau(C_j)| .</w:t>
      </w:r>
    </w:p>
    <w:p>
      <w:pPr>
        <w:spacing w:before="0" w:after="60"/>
        <w:ind w:firstLine="288"/>
      </w:pPr>
      <w:r>
        <w:rPr>
          <w:b w:val="0"/>
          <w:i w:val="0"/>
          <w:sz w:val="20"/>
        </w:rPr>
        <w:t>Running the encoder's own tokeniser over the pipeline's own windows on the 356 available scripts yields 14,558 windows with median length 371 tokens, 90th percentile 405, and maximum 613. The consequences: 98.45% of windows exceed B, and rho evaluated corpus-wide is 0.3160, with a worst case of 0.4443. Roughly one word in three is written to a window that the encoder never reads. Nothing in the pipeline reports this.</w:t>
      </w:r>
    </w:p>
    <w:p>
      <w:pPr>
        <w:spacing w:before="120" w:after="40"/>
        <w:ind w:firstLine="0"/>
      </w:pPr>
      <w:r>
        <w:rPr>
          <w:b w:val="0"/>
          <w:i/>
          <w:sz w:val="20"/>
        </w:rPr>
        <w:t>C. Lexical control and learners</w:t>
      </w:r>
    </w:p>
    <w:p>
      <w:pPr>
        <w:spacing w:before="0" w:after="60"/>
        <w:ind w:firstLine="288"/>
      </w:pPr>
      <w:r>
        <w:rPr>
          <w:b w:val="0"/>
          <w:i w:val="0"/>
          <w:sz w:val="20"/>
        </w:rPr>
        <w:t>The lexical control is TF-IDF over unigrams and bigrams, capped at 8,000 features, with English stop words removed, minimum document frequency 3, maximum document frequency 0.85, and sublinear term frequency 1 + tf. It is fed to the same gradient-boosted regressor as the semantic arm. This pairing is deliberate: SBERT and TF-IDF differ in representation and in nothing else, so their gap is attributable to semantics rather than to the learner.</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 For the stacked ensemble, a ridge meta-regressor is fitted over four base models — metadata OLS, structural OLS, TF-IDF+XGBoost, SBERT+XGBoost — using inner five-fold out-of-fold meta-features nested within each outer fold.</w:t>
      </w:r>
    </w:p>
    <w:p>
      <w:pPr>
        <w:spacing w:before="120" w:after="40"/>
        <w:ind w:firstLine="0"/>
      </w:pPr>
      <w:r>
        <w:rPr>
          <w:b w:val="0"/>
          <w:i/>
          <w:sz w:val="20"/>
        </w:rPr>
        <w:t>D. Partition protocols</w:t>
      </w:r>
    </w:p>
    <w:p>
      <w:pPr>
        <w:spacing w:before="0" w:after="60"/>
        <w:ind w:firstLine="288"/>
      </w:pPr>
      <w:r>
        <w:rPr>
          <w:b w:val="0"/>
          <w:i w:val="0"/>
          <w:sz w:val="20"/>
        </w:rPr>
        <w:t>Let I = \1, ..., n\ index the analysis corpus, n = 5,164.</w:t>
      </w:r>
    </w:p>
    <w:p>
      <w:pPr>
        <w:spacing w:before="0" w:after="60"/>
        <w:ind w:firstLine="288"/>
      </w:pPr>
      <w:r>
        <w:rPr>
          <w:b w:val="0"/>
          <w:i w:val="0"/>
          <w:sz w:val="20"/>
        </w:rPr>
        <w:t>P1, random. A shuffled K-fold partition, K = 5: disjoint F_1, ..., F_K with \bigcup_k F_k = I, assignment independent of every record attribute.</w:t>
      </w:r>
    </w:p>
    <w:p>
      <w:pPr>
        <w:spacing w:before="0" w:after="60"/>
        <w:ind w:firstLine="288"/>
      </w:pPr>
      <w:r>
        <w:rPr>
          <w:b w:val="0"/>
          <w:i w:val="0"/>
          <w:sz w:val="20"/>
        </w:rPr>
        <w:t>P2, grouped. Let gamma: I -&gt; G map each record to its title family, |G| = 4,979. GroupKFold constructs disjoint folds subject to the group constraint</w:t>
      </w:r>
    </w:p>
    <w:p>
      <w:pPr>
        <w:spacing w:before="80" w:after="80"/>
        <w:ind w:firstLine="0"/>
        <w:jc w:val="center"/>
      </w:pPr>
      <w:r>
        <w:rPr>
          <w:b w:val="0"/>
          <w:i/>
          <w:sz w:val="20"/>
        </w:rPr>
        <w:t>for all g in G exists! k in \1,...,K\: gamma^-1(g) ⊆ F_k ,</w:t>
      </w:r>
    </w:p>
    <w:p>
      <w:pPr>
        <w:spacing w:before="0" w:after="60"/>
        <w:ind w:firstLine="288"/>
      </w:pPr>
      <w:r>
        <w:rPr>
          <w:b w:val="0"/>
          <w:i w:val="0"/>
          <w:sz w:val="20"/>
        </w:rPr>
        <w:t>so no family is split across the boundary. Because 4,979 families cover 5,164 records, the constraint is nearly free: realised fold sizes are 1,032–1,033, identical to P1.</w:t>
      </w:r>
    </w:p>
    <w:p>
      <w:pPr>
        <w:spacing w:before="0" w:after="60"/>
        <w:ind w:firstLine="288"/>
      </w:pPr>
      <w:r>
        <w:rPr>
          <w:b w:val="0"/>
          <w:i w:val="0"/>
          <w:sz w:val="20"/>
        </w:rPr>
        <w:t>P3, chronological. With yr(i) the release year, the test set is 2020 &lt;= yr(i) &lt;= 2025, validation c &lt;= yr(i) &lt;= 2019, and training yr(i) &lt; c, 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w:r>
        <w:rPr>
          <w:b w:val="0"/>
          <w:i/>
          <w:sz w:val="20"/>
        </w:rPr>
        <w:t>lambda(F_k) = (1)/(|F_k|) \bigl|\ i in F_k : gamma(i) in gamma(I \setminus F_k) bigr| .</w:t>
      </w:r>
    </w:p>
    <w:p>
      <w:pPr>
        <w:spacing w:before="0" w:after="60"/>
        <w:ind w:firstLine="288"/>
      </w:pPr>
      <w:r>
        <w:rPr>
          <w:b w:val="0"/>
          <w:i w:val="0"/>
          <w:sz w:val="20"/>
        </w:rPr>
        <w:t>Averaged over folds, lambda = 5.50% under P1 and, by construction, lambda = 0 under P2. The chronological holdout sits at lambda = 6.41% — a sequel released in 2021 may well have a parent film in the training years.</w:t>
      </w:r>
    </w:p>
    <w:p>
      <w:pPr>
        <w:spacing w:before="120" w:after="40"/>
        <w:ind w:firstLine="0"/>
      </w:pPr>
      <w:r>
        <w:rPr>
          <w:b w:val="0"/>
          <w:i/>
          <w:sz w:val="20"/>
        </w:rPr>
        <w:t>E. Inference</w:t>
      </w:r>
    </w:p>
    <w:p>
      <w:pPr>
        <w:spacing w:before="0" w:after="60"/>
        <w:ind w:firstLine="288"/>
      </w:pPr>
      <w:r>
        <w:rPr>
          <w:b w:val="0"/>
          <w:i w:val="0"/>
          <w:sz w:val="20"/>
        </w:rPr>
        <w:t>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p>
    <w:p>
      <w:pPr>
        <w:spacing w:before="80" w:after="80"/>
        <w:ind w:firstLine="0"/>
        <w:jc w:val="center"/>
      </w:pPr>
      <w:r>
        <w:rPr>
          <w:b w:val="0"/>
          <w:i/>
          <w:sz w:val="20"/>
        </w:rPr>
        <w:t>R^+ = \sum_i: d_i &gt; 0 rank(|d_i|), \qquad R^- = \sum_i: d_i &lt; 0 rank(|d_i|) ,</w:t>
      </w:r>
    </w:p>
    <w:p>
      <w:pPr>
        <w:spacing w:before="0" w:after="60"/>
        <w:ind w:firstLine="288"/>
      </w:pPr>
      <w:r>
        <w:rPr>
          <w:b w:val="0"/>
          <w:i w:val="0"/>
          <w:sz w:val="20"/>
        </w:rPr>
        <w:t>with test statistic W = (R^+, R^-). The signed-rank test is non-parametric and has no degrees-of-freedom parameter; the reporting quantities are the number of pairs n, the number of non-tied pairs n - n_0, the statistic W, and the matched-pairs rank-biserial effect size</w:t>
      </w:r>
    </w:p>
    <w:p>
      <w:pPr>
        <w:spacing w:before="80" w:after="80"/>
        <w:ind w:firstLine="0"/>
        <w:jc w:val="center"/>
      </w:pPr>
      <w:r>
        <w:rPr>
          <w:b w:val="0"/>
          <w:i/>
          <w:sz w:val="20"/>
        </w:rPr>
        <w:t>r = (R^+ - R^-)/(R^+ + R^-) in [-1, 1] ,</w:t>
      </w:r>
    </w:p>
    <w:p>
      <w:pPr>
        <w:spacing w:before="0" w:after="60"/>
        <w:ind w:firstLine="288"/>
      </w:pPr>
      <w:r>
        <w:rPr>
          <w:b w:val="0"/>
          <w:i w:val="0"/>
          <w:sz w:val="20"/>
        </w:rPr>
        <w:t>which we report alongside p so that a small effect at large n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Grouped five-fold results. P1 shuffles records; P2 enforces the title-family constraint (7). Pooled out-of-fold point estimates over 5,164 records. Delta R^2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t>P1 random k-fold (lambda = 5.50%)</w:t>
            </w:r>
          </w:p>
        </w:tc>
        <w:tc>
          <w:tcPr>
            <w:tcW w:type="dxa" w:w="1262"/>
            <w:shd w:val="clear" w:fill="D9E2F3"/>
          </w:tcPr>
          <w:p>
            <w:pPr>
              <w:ind w:firstLine="0"/>
              <w:jc w:val="center"/>
            </w:pPr>
            <w:r>
              <w:rPr>
                <w:rFonts w:ascii="Times New Roman" w:hAnsi="Times New Roman"/>
                <w:b/>
                <w:sz w:val="16"/>
              </w:rPr>
              <w:t>P2 grouped by family (lambda = 0%)</w:t>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r>
      <w:tr>
        <w:tc>
          <w:tcPr>
            <w:tcW w:type="dxa" w:w="1262"/>
          </w:tcPr>
          <w:p>
            <w:pPr>
              <w:ind w:firstLine="0"/>
              <w:jc w:val="left"/>
            </w:pPr>
            <w:r>
              <w:rPr>
                <w:rFonts w:ascii="Times New Roman" w:hAnsi="Times New Roman"/>
                <w:sz w:val="16"/>
              </w:rPr>
              <w:t>System</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Delta R^2</w:t>
            </w:r>
          </w:p>
        </w:tc>
      </w:tr>
      <w:tr>
        <w:tc>
          <w:tcPr>
            <w:tcW w:type="dxa" w:w="1262"/>
          </w:tcPr>
          <w:p>
            <w:pPr>
              <w:ind w:firstLine="0"/>
              <w:jc w:val="left"/>
            </w:pPr>
            <w:r>
              <w:rPr>
                <w:rFonts w:ascii="Times New Roman" w:hAnsi="Times New Roman"/>
                <w:sz w:val="16"/>
              </w:rPr>
              <w:t>Constant mean</w:t>
            </w:r>
          </w:p>
        </w:tc>
        <w:tc>
          <w:tcPr>
            <w:tcW w:type="dxa" w:w="1262"/>
          </w:tcPr>
          <w:p>
            <w:pPr>
              <w:ind w:firstLine="0"/>
              <w:jc w:val="center"/>
            </w:pPr>
            <w:r>
              <w:rPr>
                <w:rFonts w:ascii="Times New Roman" w:hAnsi="Times New Roman"/>
                <w:sz w:val="16"/>
              </w:rPr>
              <w:t>1.4373</w:t>
            </w:r>
          </w:p>
        </w:tc>
        <w:tc>
          <w:tcPr>
            <w:tcW w:type="dxa" w:w="1262"/>
          </w:tcPr>
          <w:p>
            <w:pPr>
              <w:ind w:firstLine="0"/>
              <w:jc w:val="center"/>
            </w:pPr>
            <w:r>
              <w:rPr>
                <w:rFonts w:ascii="Times New Roman" w:hAnsi="Times New Roman"/>
                <w:sz w:val="16"/>
              </w:rPr>
              <w:t>1.1761</w:t>
            </w:r>
          </w:p>
        </w:tc>
        <w:tc>
          <w:tcPr>
            <w:tcW w:type="dxa" w:w="1262"/>
          </w:tcPr>
          <w:p>
            <w:pPr>
              <w:ind w:firstLine="0"/>
              <w:jc w:val="center"/>
            </w:pPr>
            <w:r>
              <w:rPr>
                <w:rFonts w:ascii="Times New Roman" w:hAnsi="Times New Roman"/>
                <w:sz w:val="16"/>
              </w:rPr>
              <w:t>-0.0000</w:t>
            </w:r>
          </w:p>
        </w:tc>
        <w:tc>
          <w:tcPr>
            <w:tcW w:type="dxa" w:w="1262"/>
          </w:tcPr>
          <w:p>
            <w:pPr>
              <w:ind w:firstLine="0"/>
              <w:jc w:val="center"/>
            </w:pPr>
            <w:r>
              <w:rPr>
                <w:rFonts w:ascii="Times New Roman" w:hAnsi="Times New Roman"/>
                <w:sz w:val="16"/>
              </w:rPr>
              <w:t>1.4375</w:t>
            </w:r>
          </w:p>
        </w:tc>
        <w:tc>
          <w:tcPr>
            <w:tcW w:type="dxa" w:w="1262"/>
          </w:tcPr>
          <w:p>
            <w:pPr>
              <w:ind w:firstLine="0"/>
              <w:jc w:val="center"/>
            </w:pPr>
            <w:r>
              <w:rPr>
                <w:rFonts w:ascii="Times New Roman" w:hAnsi="Times New Roman"/>
                <w:sz w:val="16"/>
              </w:rPr>
              <w:t>1.1765</w:t>
            </w:r>
          </w:p>
        </w:tc>
        <w:tc>
          <w:tcPr>
            <w:tcW w:type="dxa" w:w="1262"/>
          </w:tcPr>
          <w:p>
            <w:pPr>
              <w:ind w:firstLine="0"/>
              <w:jc w:val="center"/>
            </w:pPr>
            <w:r>
              <w:rPr>
                <w:rFonts w:ascii="Times New Roman" w:hAnsi="Times New Roman"/>
                <w:sz w:val="16"/>
              </w:rPr>
              <w:t>-0.0004</w:t>
            </w:r>
          </w:p>
        </w:tc>
        <w:tc>
          <w:tcPr>
            <w:tcW w:type="dxa" w:w="1262"/>
          </w:tcPr>
          <w:p>
            <w:pPr>
              <w:ind w:firstLine="0"/>
              <w:jc w:val="center"/>
            </w:pPr>
            <w:r>
              <w:rPr>
                <w:rFonts w:ascii="Times New Roman" w:hAnsi="Times New Roman"/>
                <w:sz w:val="16"/>
              </w:rPr>
              <w:t>-0.0004</w:t>
            </w:r>
          </w:p>
        </w:tc>
      </w:tr>
      <w:tr>
        <w:tc>
          <w:tcPr>
            <w:tcW w:type="dxa" w:w="1262"/>
          </w:tcPr>
          <w:p>
            <w:pPr>
              <w:ind w:firstLine="0"/>
              <w:jc w:val="left"/>
            </w:pPr>
            <w:r>
              <w:rPr>
                <w:rFonts w:ascii="Times New Roman" w:hAnsi="Times New Roman"/>
                <w:sz w:val="16"/>
              </w:rPr>
              <w:t>Metadata OLS</w:t>
            </w:r>
          </w:p>
        </w:tc>
        <w:tc>
          <w:tcPr>
            <w:tcW w:type="dxa" w:w="1262"/>
          </w:tcPr>
          <w:p>
            <w:pPr>
              <w:ind w:firstLine="0"/>
              <w:jc w:val="center"/>
            </w:pPr>
            <w:r>
              <w:rPr>
                <w:rFonts w:ascii="Times New Roman" w:hAnsi="Times New Roman"/>
                <w:sz w:val="16"/>
              </w:rPr>
              <w:t>1.1237</w:t>
            </w:r>
          </w:p>
        </w:tc>
        <w:tc>
          <w:tcPr>
            <w:tcW w:type="dxa" w:w="1262"/>
          </w:tcPr>
          <w:p>
            <w:pPr>
              <w:ind w:firstLine="0"/>
              <w:jc w:val="center"/>
            </w:pPr>
            <w:r>
              <w:rPr>
                <w:rFonts w:ascii="Times New Roman" w:hAnsi="Times New Roman"/>
                <w:sz w:val="16"/>
              </w:rPr>
              <w:t>0.8701</w:t>
            </w:r>
          </w:p>
        </w:tc>
        <w:tc>
          <w:tcPr>
            <w:tcW w:type="dxa" w:w="1262"/>
          </w:tcPr>
          <w:p>
            <w:pPr>
              <w:ind w:firstLine="0"/>
              <w:jc w:val="center"/>
            </w:pPr>
            <w:r>
              <w:rPr>
                <w:rFonts w:ascii="Times New Roman" w:hAnsi="Times New Roman"/>
                <w:sz w:val="16"/>
              </w:rPr>
              <w:t>0.3888</w:t>
            </w:r>
          </w:p>
        </w:tc>
        <w:tc>
          <w:tcPr>
            <w:tcW w:type="dxa" w:w="1262"/>
          </w:tcPr>
          <w:p>
            <w:pPr>
              <w:ind w:firstLine="0"/>
              <w:jc w:val="center"/>
            </w:pPr>
            <w:r>
              <w:rPr>
                <w:rFonts w:ascii="Times New Roman" w:hAnsi="Times New Roman"/>
                <w:sz w:val="16"/>
              </w:rPr>
              <w:t>1.1236</w:t>
            </w:r>
          </w:p>
        </w:tc>
        <w:tc>
          <w:tcPr>
            <w:tcW w:type="dxa" w:w="1262"/>
          </w:tcPr>
          <w:p>
            <w:pPr>
              <w:ind w:firstLine="0"/>
              <w:jc w:val="center"/>
            </w:pPr>
            <w:r>
              <w:rPr>
                <w:rFonts w:ascii="Times New Roman" w:hAnsi="Times New Roman"/>
                <w:sz w:val="16"/>
              </w:rPr>
              <w:t>0.8695</w:t>
            </w:r>
          </w:p>
        </w:tc>
        <w:tc>
          <w:tcPr>
            <w:tcW w:type="dxa" w:w="1262"/>
          </w:tcPr>
          <w:p>
            <w:pPr>
              <w:ind w:firstLine="0"/>
              <w:jc w:val="center"/>
            </w:pPr>
            <w:r>
              <w:rPr>
                <w:rFonts w:ascii="Times New Roman" w:hAnsi="Times New Roman"/>
                <w:sz w:val="16"/>
              </w:rPr>
              <w:t>0.3889</w:t>
            </w:r>
          </w:p>
        </w:tc>
        <w:tc>
          <w:tcPr>
            <w:tcW w:type="dxa" w:w="1262"/>
          </w:tcPr>
          <w:p>
            <w:pPr>
              <w:ind w:firstLine="0"/>
              <w:jc w:val="center"/>
            </w:pPr>
            <w:r>
              <w:rPr>
                <w:rFonts w:ascii="Times New Roman" w:hAnsi="Times New Roman"/>
                <w:sz w:val="16"/>
              </w:rPr>
              <w:t>+0.0001</w:t>
            </w:r>
          </w:p>
        </w:tc>
      </w:tr>
      <w:tr>
        <w:tc>
          <w:tcPr>
            <w:tcW w:type="dxa" w:w="1262"/>
          </w:tcPr>
          <w:p>
            <w:pPr>
              <w:ind w:firstLine="0"/>
              <w:jc w:val="left"/>
            </w:pPr>
            <w:r>
              <w:rPr>
                <w:rFonts w:ascii="Times New Roman" w:hAnsi="Times New Roman"/>
                <w:sz w:val="16"/>
              </w:rPr>
              <w:t>SBERT ridge</w:t>
            </w:r>
          </w:p>
        </w:tc>
        <w:tc>
          <w:tcPr>
            <w:tcW w:type="dxa" w:w="1262"/>
          </w:tcPr>
          <w:p>
            <w:pPr>
              <w:ind w:firstLine="0"/>
              <w:jc w:val="center"/>
            </w:pPr>
            <w:r>
              <w:rPr>
                <w:rFonts w:ascii="Times New Roman" w:hAnsi="Times New Roman"/>
                <w:sz w:val="16"/>
              </w:rPr>
              <w:t>1.1122</w:t>
            </w:r>
          </w:p>
        </w:tc>
        <w:tc>
          <w:tcPr>
            <w:tcW w:type="dxa" w:w="1262"/>
          </w:tcPr>
          <w:p>
            <w:pPr>
              <w:ind w:firstLine="0"/>
              <w:jc w:val="center"/>
            </w:pPr>
            <w:r>
              <w:rPr>
                <w:rFonts w:ascii="Times New Roman" w:hAnsi="Times New Roman"/>
                <w:sz w:val="16"/>
              </w:rPr>
              <w:t>0.8618</w:t>
            </w:r>
          </w:p>
        </w:tc>
        <w:tc>
          <w:tcPr>
            <w:tcW w:type="dxa" w:w="1262"/>
          </w:tcPr>
          <w:p>
            <w:pPr>
              <w:ind w:firstLine="0"/>
              <w:jc w:val="center"/>
            </w:pPr>
            <w:r>
              <w:rPr>
                <w:rFonts w:ascii="Times New Roman" w:hAnsi="Times New Roman"/>
                <w:sz w:val="16"/>
              </w:rPr>
              <w:t>0.4012</w:t>
            </w:r>
          </w:p>
        </w:tc>
        <w:tc>
          <w:tcPr>
            <w:tcW w:type="dxa" w:w="1262"/>
          </w:tcPr>
          <w:p>
            <w:pPr>
              <w:ind w:firstLine="0"/>
              <w:jc w:val="center"/>
            </w:pPr>
            <w:r>
              <w:rPr>
                <w:rFonts w:ascii="Times New Roman" w:hAnsi="Times New Roman"/>
                <w:sz w:val="16"/>
              </w:rPr>
              <w:t>1.1238</w:t>
            </w:r>
          </w:p>
        </w:tc>
        <w:tc>
          <w:tcPr>
            <w:tcW w:type="dxa" w:w="1262"/>
          </w:tcPr>
          <w:p>
            <w:pPr>
              <w:ind w:firstLine="0"/>
              <w:jc w:val="center"/>
            </w:pPr>
            <w:r>
              <w:rPr>
                <w:rFonts w:ascii="Times New Roman" w:hAnsi="Times New Roman"/>
                <w:sz w:val="16"/>
              </w:rPr>
              <w:t>0.8742</w:t>
            </w:r>
          </w:p>
        </w:tc>
        <w:tc>
          <w:tcPr>
            <w:tcW w:type="dxa" w:w="1262"/>
          </w:tcPr>
          <w:p>
            <w:pPr>
              <w:ind w:firstLine="0"/>
              <w:jc w:val="center"/>
            </w:pPr>
            <w:r>
              <w:rPr>
                <w:rFonts w:ascii="Times New Roman" w:hAnsi="Times New Roman"/>
                <w:sz w:val="16"/>
              </w:rPr>
              <w:t>0.3887</w:t>
            </w:r>
          </w:p>
        </w:tc>
        <w:tc>
          <w:tcPr>
            <w:tcW w:type="dxa" w:w="1262"/>
          </w:tcPr>
          <w:p>
            <w:pPr>
              <w:ind w:firstLine="0"/>
              <w:jc w:val="center"/>
            </w:pPr>
            <w:r>
              <w:rPr>
                <w:rFonts w:ascii="Times New Roman" w:hAnsi="Times New Roman"/>
                <w:sz w:val="16"/>
              </w:rPr>
              <w:t>-0.0125</w:t>
            </w:r>
          </w:p>
        </w:tc>
      </w:tr>
      <w:tr>
        <w:tc>
          <w:tcPr>
            <w:tcW w:type="dxa" w:w="1262"/>
          </w:tcPr>
          <w:p>
            <w:pPr>
              <w:ind w:firstLine="0"/>
              <w:jc w:val="left"/>
            </w:pPr>
            <w:r>
              <w:rPr>
                <w:rFonts w:ascii="Times New Roman" w:hAnsi="Times New Roman"/>
                <w:sz w:val="16"/>
              </w:rPr>
              <w:t>SBERT + XGBoost</w:t>
            </w:r>
          </w:p>
        </w:tc>
        <w:tc>
          <w:tcPr>
            <w:tcW w:type="dxa" w:w="1262"/>
          </w:tcPr>
          <w:p>
            <w:pPr>
              <w:ind w:firstLine="0"/>
              <w:jc w:val="center"/>
            </w:pPr>
            <w:r>
              <w:rPr>
                <w:rFonts w:ascii="Times New Roman" w:hAnsi="Times New Roman"/>
                <w:sz w:val="16"/>
              </w:rPr>
              <w:t>1.0907</w:t>
            </w:r>
          </w:p>
        </w:tc>
        <w:tc>
          <w:tcPr>
            <w:tcW w:type="dxa" w:w="1262"/>
          </w:tcPr>
          <w:p>
            <w:pPr>
              <w:ind w:firstLine="0"/>
              <w:jc w:val="center"/>
            </w:pPr>
            <w:r>
              <w:rPr>
                <w:rFonts w:ascii="Times New Roman" w:hAnsi="Times New Roman"/>
                <w:sz w:val="16"/>
              </w:rPr>
              <w:t>0.8355</w:t>
            </w:r>
          </w:p>
        </w:tc>
        <w:tc>
          <w:tcPr>
            <w:tcW w:type="dxa" w:w="1262"/>
          </w:tcPr>
          <w:p>
            <w:pPr>
              <w:ind w:firstLine="0"/>
              <w:jc w:val="center"/>
            </w:pPr>
            <w:r>
              <w:rPr>
                <w:rFonts w:ascii="Times New Roman" w:hAnsi="Times New Roman"/>
                <w:sz w:val="16"/>
              </w:rPr>
              <w:t>0.4241</w:t>
            </w:r>
          </w:p>
        </w:tc>
        <w:tc>
          <w:tcPr>
            <w:tcW w:type="dxa" w:w="1262"/>
          </w:tcPr>
          <w:p>
            <w:pPr>
              <w:ind w:firstLine="0"/>
              <w:jc w:val="center"/>
            </w:pPr>
            <w:r>
              <w:rPr>
                <w:rFonts w:ascii="Times New Roman" w:hAnsi="Times New Roman"/>
                <w:sz w:val="16"/>
              </w:rPr>
              <w:t>1.1026</w:t>
            </w:r>
          </w:p>
        </w:tc>
        <w:tc>
          <w:tcPr>
            <w:tcW w:type="dxa" w:w="1262"/>
          </w:tcPr>
          <w:p>
            <w:pPr>
              <w:ind w:firstLine="0"/>
              <w:jc w:val="center"/>
            </w:pPr>
            <w:r>
              <w:rPr>
                <w:rFonts w:ascii="Times New Roman" w:hAnsi="Times New Roman"/>
                <w:sz w:val="16"/>
              </w:rPr>
              <w:t>0.8445</w:t>
            </w:r>
          </w:p>
        </w:tc>
        <w:tc>
          <w:tcPr>
            <w:tcW w:type="dxa" w:w="1262"/>
          </w:tcPr>
          <w:p>
            <w:pPr>
              <w:ind w:firstLine="0"/>
              <w:jc w:val="center"/>
            </w:pPr>
            <w:r>
              <w:rPr>
                <w:rFonts w:ascii="Times New Roman" w:hAnsi="Times New Roman"/>
                <w:sz w:val="16"/>
              </w:rPr>
              <w:t>0.4114</w:t>
            </w:r>
          </w:p>
        </w:tc>
        <w:tc>
          <w:tcPr>
            <w:tcW w:type="dxa" w:w="1262"/>
          </w:tcPr>
          <w:p>
            <w:pPr>
              <w:ind w:firstLine="0"/>
              <w:jc w:val="center"/>
            </w:pPr>
            <w:r>
              <w:rPr>
                <w:rFonts w:ascii="Times New Roman" w:hAnsi="Times New Roman"/>
                <w:sz w:val="16"/>
              </w:rPr>
              <w:t>-0.0127</w:t>
            </w:r>
          </w:p>
        </w:tc>
      </w:tr>
      <w:tr>
        <w:tc>
          <w:tcPr>
            <w:tcW w:type="dxa" w:w="1262"/>
          </w:tcPr>
          <w:p>
            <w:pPr>
              <w:ind w:firstLine="0"/>
              <w:jc w:val="left"/>
            </w:pPr>
            <w:r>
              <w:rPr>
                <w:rFonts w:ascii="Times New Roman" w:hAnsi="Times New Roman"/>
                <w:sz w:val="16"/>
              </w:rPr>
              <w:t>SBERT + meta + XGBoost</w:t>
            </w:r>
          </w:p>
        </w:tc>
        <w:tc>
          <w:tcPr>
            <w:tcW w:type="dxa" w:w="1262"/>
          </w:tcPr>
          <w:p>
            <w:pPr>
              <w:ind w:firstLine="0"/>
              <w:jc w:val="center"/>
            </w:pPr>
            <w:r>
              <w:rPr>
                <w:rFonts w:ascii="Times New Roman" w:hAnsi="Times New Roman"/>
                <w:sz w:val="16"/>
              </w:rPr>
              <w:t>0.9652</w:t>
            </w:r>
          </w:p>
        </w:tc>
        <w:tc>
          <w:tcPr>
            <w:tcW w:type="dxa" w:w="1262"/>
          </w:tcPr>
          <w:p>
            <w:pPr>
              <w:ind w:firstLine="0"/>
              <w:jc w:val="center"/>
            </w:pPr>
            <w:r>
              <w:rPr>
                <w:rFonts w:ascii="Times New Roman" w:hAnsi="Times New Roman"/>
                <w:sz w:val="16"/>
              </w:rPr>
              <w:t>0.7276</w:t>
            </w:r>
          </w:p>
        </w:tc>
        <w:tc>
          <w:tcPr>
            <w:tcW w:type="dxa" w:w="1262"/>
          </w:tcPr>
          <w:p>
            <w:pPr>
              <w:ind w:firstLine="0"/>
              <w:jc w:val="center"/>
            </w:pPr>
            <w:r>
              <w:rPr>
                <w:rFonts w:ascii="Times New Roman" w:hAnsi="Times New Roman"/>
                <w:sz w:val="16"/>
              </w:rPr>
              <w:t>0.5490</w:t>
            </w:r>
          </w:p>
        </w:tc>
        <w:tc>
          <w:tcPr>
            <w:tcW w:type="dxa" w:w="1262"/>
          </w:tcPr>
          <w:p>
            <w:pPr>
              <w:ind w:firstLine="0"/>
              <w:jc w:val="center"/>
            </w:pPr>
            <w:r>
              <w:rPr>
                <w:rFonts w:ascii="Times New Roman" w:hAnsi="Times New Roman"/>
                <w:sz w:val="16"/>
              </w:rPr>
              <w:t>0.9791</w:t>
            </w:r>
          </w:p>
        </w:tc>
        <w:tc>
          <w:tcPr>
            <w:tcW w:type="dxa" w:w="1262"/>
          </w:tcPr>
          <w:p>
            <w:pPr>
              <w:ind w:firstLine="0"/>
              <w:jc w:val="center"/>
            </w:pPr>
            <w:r>
              <w:rPr>
                <w:rFonts w:ascii="Times New Roman" w:hAnsi="Times New Roman"/>
                <w:sz w:val="16"/>
              </w:rPr>
              <w:t>0.7309</w:t>
            </w:r>
          </w:p>
        </w:tc>
        <w:tc>
          <w:tcPr>
            <w:tcW w:type="dxa" w:w="1262"/>
          </w:tcPr>
          <w:p>
            <w:pPr>
              <w:ind w:firstLine="0"/>
              <w:jc w:val="center"/>
            </w:pPr>
            <w:r>
              <w:rPr>
                <w:rFonts w:ascii="Times New Roman" w:hAnsi="Times New Roman"/>
                <w:sz w:val="16"/>
              </w:rPr>
              <w:t>0.5359</w:t>
            </w:r>
          </w:p>
        </w:tc>
        <w:tc>
          <w:tcPr>
            <w:tcW w:type="dxa" w:w="1262"/>
          </w:tcPr>
          <w:p>
            <w:pPr>
              <w:ind w:firstLine="0"/>
              <w:jc w:val="center"/>
            </w:pPr>
            <w:r>
              <w:rPr>
                <w:rFonts w:ascii="Times New Roman" w:hAnsi="Times New Roman"/>
                <w:sz w:val="16"/>
              </w:rPr>
              <w:t>-0.0131</w:t>
            </w:r>
          </w:p>
        </w:tc>
      </w:tr>
      <w:tr>
        <w:tc>
          <w:tcPr>
            <w:tcW w:type="dxa" w:w="1262"/>
          </w:tcPr>
          <w:p>
            <w:pPr>
              <w:ind w:firstLine="0"/>
              <w:jc w:val="left"/>
            </w:pPr>
            <w:r>
              <w:rPr>
                <w:rFonts w:ascii="Times New Roman" w:hAnsi="Times New Roman"/>
                <w:sz w:val="16"/>
              </w:rPr>
              <w:t>Best system: P1 R^2in[0.5298,0.5671], P2 R^2in[0.5162,0.5537]. Every arm that reads text loses R^2; the metadata-only probe does not.</w:t>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w:t>
            </w:r>
          </w:p>
        </w:tc>
      </w:tr>
      <w:tr>
        <w:tc>
          <w:tcPr>
            <w:tcW w:type="dxa" w:w="2524"/>
          </w:tcPr>
          <w:p>
            <w:pPr>
              <w:ind w:firstLine="0"/>
              <w:jc w:val="left"/>
            </w:pPr>
            <w:r>
              <w:rPr>
                <w:rFonts w:ascii="Times New Roman" w:hAnsi="Times New Roman"/>
                <w:sz w:val="16"/>
              </w:rPr>
              <w:t>SBERT + meta + XGBoost</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0.3089</w:t>
            </w:r>
          </w:p>
        </w:tc>
      </w:tr>
      <w:tr>
        <w:tc>
          <w:tcPr>
            <w:tcW w:type="dxa" w:w="2524"/>
          </w:tcPr>
          <w:p>
            <w:pPr>
              <w:ind w:firstLine="0"/>
              <w:jc w:val="left"/>
            </w:pPr>
            <w:r>
              <w:rPr>
                <w:rFonts w:ascii="Times New Roman" w:hAnsi="Times New Roman"/>
                <w:sz w:val="16"/>
              </w:rPr>
              <w:t>Best system R^2in[0.1985,0.4038]; lambda = 6.41%.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Target: train 6.0119 ± 1.4619, holdout 5.7546 ± 1.1701.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Grouping costs little. The best system moves from R^2 = 0.5490 to 0.5359, a drop of 0.0131, and the two bootstrap intervals overlap substantially. That is the expected result for a corpus in which only 164 families have more than one member and the largest has four. The interesting part is that the effect is consistently negative across every system that reads text — SBERT ridge loses 0.0125 R^2, SBERT+XGBoost loses 0.0127 — while the metadata-only probe is unmoved (0.3888 -&gt; 0.3889). Franchise leakage is a textual channel, and a metadata model cannot exploit it because it never sees the words.</w:t>
      </w:r>
    </w:p>
    <w:p>
      <w:pPr>
        <w:spacing w:before="0" w:after="60"/>
        <w:ind w:firstLine="288"/>
      </w:pPr>
      <w:r>
        <w:rPr>
          <w:b w:val="0"/>
          <w:i w:val="0"/>
          <w:sz w:val="20"/>
        </w:rPr>
        <w:t>Chronology costs a great deal. The same best system falls to R^2 = 0.3089, and the interval [0.1985, 0.4038] no longer overlaps either in-corpus estimate. The constant-mean predictor goes from R^2 ≈ 0 to -0.0947, which is a pure distribution-shift effect: the training mean (6.11) is simply wrong for the holdout (5.75). And the metadata probe collapses hardest of all, from 0.3889 to 0.1473, losing 62% of its explanatory power, while the text-only SBERT model loses 35% (0.4114 -&gt; 0.2671). The representation that generalises worst across time is the one that was never about the film.</w:t>
      </w: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Paired comparison against SBERT + metadata + XGBoost. DeltaMAE is positive when the reference system has lower error. p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w:t>
            </w:r>
          </w:p>
        </w:tc>
        <w:tc>
          <w:tcPr>
            <w:tcW w:type="dxa" w:w="2019"/>
            <w:shd w:val="clear" w:fill="D9E2F3"/>
          </w:tcPr>
          <w:p>
            <w:pPr>
              <w:ind w:firstLine="0"/>
              <w:jc w:val="center"/>
            </w:pPr>
            <w:r>
              <w:rPr>
                <w:rFonts w:ascii="Times New Roman" w:hAnsi="Times New Roman"/>
                <w:b/>
                <w:sz w:val="16"/>
              </w:rPr>
              <w:t>DeltaMAE</w:t>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t>p</w:t>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+0.4485</w:t>
            </w:r>
          </w:p>
        </w:tc>
        <w:tc>
          <w:tcPr>
            <w:tcW w:type="dxa" w:w="2019"/>
          </w:tcPr>
          <w:p>
            <w:pPr>
              <w:ind w:firstLine="0"/>
              <w:jc w:val="center"/>
            </w:pPr>
            <w:r>
              <w:rPr>
                <w:rFonts w:ascii="Times New Roman" w:hAnsi="Times New Roman"/>
                <w:sz w:val="16"/>
              </w:rPr>
              <w:t>[+0.427, +0.471]</w:t>
            </w:r>
          </w:p>
        </w:tc>
        <w:tc>
          <w:tcPr>
            <w:tcW w:type="dxa" w:w="2019"/>
          </w:tcPr>
          <w:p>
            <w:pPr>
              <w:ind w:firstLine="0"/>
              <w:jc w:val="center"/>
            </w:pPr>
            <w:r>
              <w:rPr>
                <w:rFonts w:ascii="Times New Roman" w:hAnsi="Times New Roman"/>
                <w:sz w:val="16"/>
              </w:rPr>
              <w:t>2.2×10^-281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+0.4456</w:t>
            </w:r>
          </w:p>
        </w:tc>
        <w:tc>
          <w:tcPr>
            <w:tcW w:type="dxa" w:w="2019"/>
          </w:tcPr>
          <w:p>
            <w:pPr>
              <w:ind w:firstLine="0"/>
              <w:jc w:val="center"/>
            </w:pPr>
            <w:r>
              <w:rPr>
                <w:rFonts w:ascii="Times New Roman" w:hAnsi="Times New Roman"/>
                <w:sz w:val="16"/>
              </w:rPr>
              <w:t>[+0.424, +0.466]</w:t>
            </w:r>
          </w:p>
        </w:tc>
        <w:tc>
          <w:tcPr>
            <w:tcW w:type="dxa" w:w="2019"/>
          </w:tcPr>
          <w:p>
            <w:pPr>
              <w:ind w:firstLine="0"/>
              <w:jc w:val="center"/>
            </w:pPr>
            <w:r>
              <w:rPr>
                <w:rFonts w:ascii="Times New Roman" w:hAnsi="Times New Roman"/>
                <w:sz w:val="16"/>
              </w:rPr>
              <w:t>2.9×10^-280</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+0.2530</w:t>
            </w:r>
          </w:p>
        </w:tc>
        <w:tc>
          <w:tcPr>
            <w:tcW w:type="dxa" w:w="2019"/>
          </w:tcPr>
          <w:p>
            <w:pPr>
              <w:ind w:firstLine="0"/>
              <w:jc w:val="center"/>
            </w:pPr>
            <w:r>
              <w:rPr>
                <w:rFonts w:ascii="Times New Roman" w:hAnsi="Times New Roman"/>
                <w:sz w:val="16"/>
              </w:rPr>
              <w:t>[+0.195, +0.313]</w:t>
            </w:r>
          </w:p>
        </w:tc>
        <w:tc>
          <w:tcPr>
            <w:tcW w:type="dxa" w:w="2019"/>
          </w:tcPr>
          <w:p>
            <w:pPr>
              <w:ind w:firstLine="0"/>
              <w:jc w:val="center"/>
            </w:pPr>
            <w:r>
              <w:rPr>
                <w:rFonts w:ascii="Times New Roman" w:hAnsi="Times New Roman"/>
                <w:sz w:val="16"/>
              </w:rPr>
              <w:t>5.7×10^-15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0.273</w:t>
            </w:r>
          </w:p>
        </w:tc>
      </w:tr>
    </w:tbl>
    <w:p>
      <w:pPr>
        <w:spacing w:before="0" w:after="120"/>
        <w:ind w:firstLine="0"/>
      </w:pPr>
      <w:r>
        <w:rPr>
          <w:b w:val="0"/>
          <w:i w:val="0"/>
          <w:sz w:val="12"/>
        </w:rPr>
      </w:r>
    </w:p>
    <w:p>
      <w:pPr>
        <w:spacing w:before="0" w:after="60"/>
        <w:ind w:firstLine="288"/>
      </w:pPr>
      <w:r>
        <w:rPr>
          <w:b w:val="0"/>
          <w:i w:val="0"/>
          <w:sz w:val="20"/>
        </w:rPr>
        <w:t>The final row is the one that changes the story. Under P1 and P2, adding the three metadata columns to the embedding buys a highly significant 0.108–0.114 rating points of mean absolute error. Under P3 the same addition buys 0.0236 points, with an interval straddling zero and p = 0.273; the full statistics are W = 62,734 over n = 515 pairs with no ties, rank-biserial r = +0.056. An effect size of 0.056 is negligible by any convention. The metadata block, worth two orders of magnitude in p-value under a random split, is not measurably useful when the test films are genuinely unseen.</w:t>
      </w:r>
    </w:p>
    <w:p>
      <w:pPr>
        <w:spacing w:before="120" w:after="40"/>
        <w:ind w:firstLine="0"/>
      </w:pPr>
      <w:r>
        <w:rPr>
          <w:b w:val="0"/>
          <w:i/>
          <w:sz w:val="20"/>
        </w:rPr>
        <w:t>C. The lexical and structural arms</w:t>
      </w:r>
    </w:p>
    <w:p>
      <w:pPr>
        <w:spacing w:before="0" w:after="60"/>
        <w:ind w:firstLine="288"/>
      </w:pPr>
      <w:r>
        <w:rPr>
          <w:b w:val="0"/>
          <w:i w:val="0"/>
          <w:sz w:val="20"/>
        </w:rPr>
        <w:t>The lexical control and the structural-feature model can be evaluated only under the random protocol on this corpus, because reconstructing either representation requires the raw script text; the figures below are from archived 5-fold runs over 5,195 records and are not comparable to Tables II– III. Structural OLS reaches R^2 = 0.440 ± 0.007 and TF-IDF+XGBoost 0.433 ± 0.014 — 8,000 TF-IDF weights buy almost exactly what sixteen hand-counted statistics buy. The semantic arm beats the lexical one by DeltaMAE = 0.0514 [0.034, 0.067], p = 2.6×10^-5, a real but modest margin. Inverse-frequency sample weighting, applied in the original pipeline to compensate for the rating imbalance, hurts: removing it improves MAE by 0.0482 [0.039, 0.057] at p = 2.5×10^-26. The nested ridge stack (R^2 = 0.577 ± 0.010) improves on its own strongest base by DeltaMAE = 0.0134 [0.008, 0.019], p = 4.2×10^-6, and a 100-trial TPE search on a single 80/20 split over the boosting head reaches test R^2 = 0.5811 [0.5471, 0.6182]. Both gains are real and both are small next to the 0.240 R^2 that separates the random and chronological protocols. Ensembling and tuning move the third decimal; the split moves the first.</w:t>
      </w:r>
    </w:p>
    <w:p>
      <w:pPr>
        <w:spacing w:before="120" w:after="40"/>
        <w:ind w:firstLine="0"/>
      </w:pPr>
      <w:r>
        <w:rPr>
          <w:b w:val="0"/>
          <w:i/>
          <w:sz w:val="20"/>
        </w:rPr>
        <w:t>D. Temporal shift in detail</w:t>
      </w:r>
    </w:p>
    <w:p>
      <w:pPr>
        <w:spacing w:before="0" w:after="60"/>
        <w:ind w:firstLine="288"/>
      </w:pPr>
      <w:r>
        <w:rPr>
          <w:b w:val="0"/>
          <w:i w:val="0"/>
          <w:sz w:val="20"/>
        </w:rPr>
        <w:t>The holdout target is compressed relative to the training pool: standard deviation falls from 1.4619 to 1.1701, while the mean falls from 6.0119 to 5.7546. Part of the R^2 collapse is therefore arithmetic — the same absolute error against a narrower target yields a smaller R^2 — and part is genuine degradation. Mean absolute error separates them: it is 0.7276 under P1 and 0.7232 under P3, statistically indistinguishable. What collapses is how much of the (now narrower) variance it can order. Regressing prediction on truth over the holdout gives slope 0.4634 (s.e. 0.0278) and intercept 3.1745, against an ideal slope of 1. The system is heavily shrunk toward the centre — it identifies which films are above or below average and declines to commit to how far.</w:t>
      </w: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In the shipped model's total split gain,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120" w:after="40"/>
        <w:ind w:firstLine="0"/>
      </w:pPr>
      <w:r>
        <w:rPr>
          <w:b w:val="0"/>
          <w:i/>
          <w:sz w:val="20"/>
        </w:rPr>
        <w:t>B. Block permutation on the temporal holdout</w:t>
      </w:r>
    </w:p>
    <w:p>
      <w:pPr>
        <w:spacing w:before="0" w:after="60"/>
        <w:ind w:firstLine="288"/>
      </w:pPr>
      <w:r>
        <w:rPr>
          <w:b w:val="0"/>
          <w:i w:val="0"/>
          <w:sz w:val="20"/>
        </w:rPr>
        <w:t>Gain is computed on training splits and therefore inherits every in-sample advantage. Permutation on the holdout does not. We shuffle each feature block across the 515 holdout films, re-predict, and record the increase in MAE over 20 repetitions; the baseline is MAE = 0.7232:</w:t>
      </w:r>
    </w:p>
    <w:p>
      <w:pPr>
        <w:pStyle w:val="ListBullet"/>
      </w:pPr>
      <w:r>
        <w:rPr>
          <w:rFonts w:ascii="Times New Roman" w:hAnsi="Times New Roman"/>
          <w:sz w:val="20"/>
        </w:rPr>
        <w:t>permuting all three metadata columns: +0.2168 ± 0.0250;</w:t>
      </w:r>
    </w:p>
    <w:p>
      <w:pPr>
        <w:pStyle w:val="ListBullet"/>
      </w:pPr>
      <w:r>
        <w:rPr>
          <w:rFonts w:ascii="Times New Roman" w:hAnsi="Times New Roman"/>
          <w:sz w:val="20"/>
        </w:rPr>
        <w:t>permuting movie_length alone: +0.1988 ± 0.0185;</w:t>
      </w:r>
    </w:p>
    <w:p>
      <w:pPr>
        <w:pStyle w:val="ListBullet"/>
      </w:pPr>
      <w:r>
        <w:rPr>
          <w:rFonts w:ascii="Times New Roman" w:hAnsi="Times New Roman"/>
          <w:sz w:val="20"/>
        </w:rPr>
        <w:t>permuting the entire 384-dimensional embedding: +0.1950 ± 0.0217;</w:t>
      </w:r>
    </w:p>
    <w:p>
      <w:pPr>
        <w:pStyle w:val="ListBullet"/>
      </w:pPr>
      <w:r>
        <w:rPr>
          <w:rFonts w:ascii="Times New Roman" w:hAnsi="Times New Roman"/>
          <w:sz w:val="20"/>
        </w:rPr>
        <w:t>permuting year: +0.0000 ± 0.0000;</w:t>
      </w:r>
    </w:p>
    <w:p>
      <w:pPr>
        <w:pStyle w:val="ListBullet"/>
      </w:pPr>
      <w:r>
        <w:rPr>
          <w:rFonts w:ascii="Times New Roman" w:hAnsi="Times New Roman"/>
          <w:sz w:val="20"/>
        </w:rPr>
        <w:t>permuting decade_encoded: +0.0000 ± 0.0000.</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 That the embedding block contributes as much as it does, after 31.6% truncation and the smoothing of Eq. (5), is the more surprising half of the result.</w:t>
      </w:r>
    </w:p>
    <w:p>
      <w:pPr>
        <w:spacing w:before="200" w:after="80"/>
        <w:ind w:firstLine="0"/>
        <w:jc w:val="center"/>
      </w:pPr>
      <w:r>
        <w:rPr>
          <w:b w:val="0"/>
          <w:i w:val="0"/>
          <w:sz w:val="20"/>
        </w:rPr>
        <w:t>VII. THREATS TO VALIDITY AND LIMITATIONS</w:t>
      </w:r>
    </w:p>
    <w:p>
      <w:pPr>
        <w:spacing w:before="0" w:after="60"/>
        <w:ind w:firstLine="288"/>
      </w:pPr>
      <w:r>
        <w:rPr>
          <w:b w:val="0"/>
          <w:i w:val="0"/>
          <w:sz w:val="20"/>
        </w:rPr>
        <w:t>TF-IDF and the structural statistics require raw text and were evaluated only under P1. Selection effects in IMSDb are severe and not correctable: the mean rating falls monotonically from 7.87 in the 1920s to 5.48 in the 2010s, which is a statement about who uploads what, not about film quality, and P3 is the protocol that refuses to reward it. The holdout is one window; rolling-origin evaluation would estimate the decay rate. A screenplay-stage predictor does not know the runtime, because the film has not been cut — or shot. Finally, we audit only mean-pooled all-MiniLM-L6-v2;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but to carry 164 multi-member title families, four corrupt release years, and a corrupt ordinal decade vocabulary that reaches the feature matrix intact. The chunking configuration turned out to discard 31.60% of WordPiece tokens without warning. And the headline metric turned out to depend on the partition far more than on the model: R^2 = 0.549 under random folds, 0.536 once franchises are kept together, 0.309 when the test films are drawn from years the model never saw. Runtime transfers; semantics transfer; the calendar does not. For anyone building a screenplay-stage predictor, the operational recommendations are narrow and concrete: group by title family, hold out by release year, report MAE next to R^2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All audit and evaluation code is released with the paper; every number is regenerated from the committed JSON artifacts. The random seed is 42 throughout.</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Systems with Applications,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Symposium,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