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Conflicting</w:t>
      </w:r>
      <w:r>
        <w:t xml:space="preserve"> </w:t>
      </w:r>
      <w:r>
        <w:t xml:space="preserve">climate-linked</w:t>
      </w:r>
      <w:r>
        <w:t xml:space="preserve"> </w:t>
      </w:r>
      <w:r>
        <w:t xml:space="preserve">pressures</w:t>
      </w:r>
      <w:r>
        <w:t xml:space="preserve"> </w:t>
      </w:r>
      <w:r>
        <w:t xml:space="preserve">on</w:t>
      </w:r>
      <w:r>
        <w:t xml:space="preserve"> </w:t>
      </w:r>
      <w:r>
        <w:t xml:space="preserve">tropical</w:t>
      </w:r>
      <w:r>
        <w:t xml:space="preserve"> </w:t>
      </w:r>
      <w:r>
        <w:t xml:space="preserve">pelagic</w:t>
      </w:r>
      <w:r>
        <w:t xml:space="preserve"> </w:t>
      </w:r>
      <w:r>
        <w:t xml:space="preserve">seabirds</w:t>
      </w:r>
    </w:p>
    <w:p>
      <w:pPr>
        <w:pStyle w:val="FirstParagraph"/>
      </w:pPr>
      <w:r>
        <w:t xml:space="preserve">E. Fernando Cagua</w:t>
      </w:r>
      <w:r>
        <w:rPr>
          <w:vertAlign w:val="superscript"/>
        </w:rPr>
        <w:t xml:space="preserve">1,2</w:t>
      </w:r>
      <w:r>
        <w:t xml:space="preserve">, April J. Burt</w:t>
      </w:r>
      <w:r>
        <w:rPr>
          <w:vertAlign w:val="superscript"/>
        </w:rPr>
        <w:t xml:space="preserve">1</w:t>
      </w:r>
      <w:r>
        <w:t xml:space="preserve">, Nancy Bunbury</w:t>
      </w:r>
      <w:r>
        <w:rPr>
          <w:vertAlign w:val="superscript"/>
        </w:rPr>
        <w:t xml:space="preserve">1</w:t>
      </w:r>
    </w:p>
    <w:p>
      <w:pPr>
        <w:pStyle w:val="BodyText"/>
      </w:pPr>
      <w:r>
        <w:rPr>
          <w:vertAlign w:val="superscript"/>
        </w:rPr>
        <w:t xml:space="preserve">1</w:t>
      </w:r>
      <w:r>
        <w:t xml:space="preserve"> </w:t>
      </w:r>
      <w:r>
        <w:t xml:space="preserve">Seyehelles Island Foundation, La Ciotat Building, Mont Fleuri, Victoria, Mahe, Seychelles</w:t>
      </w:r>
    </w:p>
    <w:p>
      <w:pPr>
        <w:pStyle w:val="BodyText"/>
      </w:pPr>
      <w:r>
        <w:rPr>
          <w:vertAlign w:val="superscript"/>
        </w:rPr>
        <w:t xml:space="preserve">2</w:t>
      </w:r>
      <w:r>
        <w:t xml:space="preserve"> </w:t>
      </w:r>
      <w:r>
        <w:t xml:space="preserve">Centre for Integrative Ecology, School of Biological Sciences, University of Canterbury, Private Bag 4800, Christchurch 8041, New Zealand</w:t>
      </w:r>
    </w:p>
    <w:p>
      <w:pPr>
        <w:pStyle w:val="BodyText"/>
      </w:pPr>
      <w:r>
        <w:rPr>
          <w:b/>
        </w:rPr>
        <w:t xml:space="preserve">Correspondence to:</w:t>
      </w:r>
      <w:r>
        <w:t xml:space="preserve"> </w:t>
      </w:r>
      <w:r>
        <w:t xml:space="preserve">Nancy Bunbury (</w:t>
      </w:r>
      <w:hyperlink r:id="rId21">
        <w:r>
          <w:rPr>
            <w:rStyle w:val="Hyperlink"/>
          </w:rPr>
          <w:t xml:space="preserve">nancy@sif.sc</w:t>
        </w:r>
      </w:hyperlink>
      <w:r>
        <w:t xml:space="preserve">) - + 248 432 1735 - Seyehelles Island Foundation, La Ciotat Building, Mont Fleuri, Victoria, Mahe, Seychelles</w:t>
      </w:r>
    </w:p>
    <w:p>
      <w:pPr>
        <w:pStyle w:val="BodyText"/>
      </w:pPr>
      <w:r>
        <w:rPr>
          <w:b/>
        </w:rPr>
        <w:t xml:space="preserve">Running title:</w:t>
      </w:r>
      <w:r>
        <w:t xml:space="preserve"> </w:t>
      </w:r>
      <w:r>
        <w:t xml:space="preserve">45 characters max.</w:t>
      </w:r>
    </w:p>
    <w:p>
      <w:pPr>
        <w:pStyle w:val="Heading1"/>
      </w:pPr>
      <w:bookmarkStart w:id="22" w:name="summary"/>
      <w:bookmarkEnd w:id="22"/>
      <w:r>
        <w:t xml:space="preserve">Summary</w:t>
      </w:r>
    </w:p>
    <w:p>
      <w:pPr>
        <w:pStyle w:val="FirstParagraph"/>
      </w:pPr>
      <w:r>
        <w:t xml:space="preserve">(Less than 350 words)</w:t>
      </w:r>
    </w:p>
    <w:p>
      <w:pPr>
        <w:pStyle w:val="Compact"/>
        <w:numPr>
          <w:numId w:val="1001"/>
          <w:ilvl w:val="0"/>
        </w:numPr>
      </w:pPr>
      <w:r>
        <w:t xml:space="preserve">Broad conceptual question</w:t>
      </w:r>
    </w:p>
    <w:p>
      <w:pPr>
        <w:pStyle w:val="Compact"/>
        <w:numPr>
          <w:numId w:val="1001"/>
          <w:ilvl w:val="0"/>
        </w:numPr>
      </w:pPr>
      <w:r>
        <w:t xml:space="preserve">Study system and specific question</w:t>
      </w:r>
    </w:p>
    <w:p>
      <w:pPr>
        <w:pStyle w:val="Compact"/>
        <w:numPr>
          <w:numId w:val="1001"/>
          <w:ilvl w:val="0"/>
        </w:numPr>
      </w:pPr>
      <w:r>
        <w:t xml:space="preserve">Methods + Results</w:t>
      </w:r>
    </w:p>
    <w:p>
      <w:pPr>
        <w:pStyle w:val="Compact"/>
        <w:numPr>
          <w:numId w:val="1001"/>
          <w:ilvl w:val="0"/>
        </w:numPr>
      </w:pPr>
      <w:r>
        <w:t xml:space="preserve">Conclusions</w:t>
      </w:r>
    </w:p>
    <w:p>
      <w:pPr>
        <w:pStyle w:val="Compact"/>
        <w:numPr>
          <w:numId w:val="1001"/>
          <w:ilvl w:val="0"/>
        </w:numPr>
      </w:pPr>
      <w:r>
        <w:t xml:space="preserve">Broader conceptual advance</w:t>
      </w:r>
    </w:p>
    <w:p>
      <w:pPr>
        <w:pStyle w:val="FirstParagraph"/>
      </w:pPr>
      <w:r>
        <w:rPr>
          <w:b/>
        </w:rPr>
        <w:t xml:space="preserve">Key words:</w:t>
      </w:r>
      <w:r>
        <w:t xml:space="preserve"> </w:t>
      </w:r>
      <w:r>
        <w:t xml:space="preserve">Max 8 in alphabethical order</w:t>
      </w:r>
    </w:p>
    <w:p>
      <w:pPr>
        <w:pStyle w:val="Heading1"/>
      </w:pPr>
      <w:bookmarkStart w:id="23" w:name="introduction"/>
      <w:bookmarkEnd w:id="23"/>
      <w:r>
        <w:t xml:space="preserve">Introduction</w:t>
      </w:r>
    </w:p>
    <w:p>
      <w:pPr>
        <w:pStyle w:val="Heading1"/>
      </w:pPr>
      <w:bookmarkStart w:id="24" w:name="methods"/>
      <w:bookmarkEnd w:id="24"/>
      <w:r>
        <w:t xml:space="preserve">Methods</w:t>
      </w:r>
    </w:p>
    <w:p>
      <w:pPr>
        <w:pStyle w:val="Heading1"/>
      </w:pPr>
      <w:bookmarkStart w:id="25" w:name="results"/>
      <w:bookmarkEnd w:id="25"/>
      <w:r>
        <w:t xml:space="preserve">Results</w:t>
      </w:r>
    </w:p>
    <w:p>
      <w:pPr>
        <w:pStyle w:val="FigureWithCaption"/>
      </w:pPr>
      <w:r>
        <w:drawing>
          <wp:inline>
            <wp:extent cx="1524000" cy="1524000"/>
            <wp:effectExtent b="0" l="0" r="0" t="0"/>
            <wp:docPr descr="" id="1" name="Picture"/>
            <a:graphic>
              <a:graphicData uri="http://schemas.openxmlformats.org/drawingml/2006/picture">
                <pic:pic>
                  <pic:nvPicPr>
                    <pic:cNvPr descr="../figs/periodogram.pdf" id="0" name="Picture"/>
                    <pic:cNvPicPr>
                      <a:picLocks noChangeArrowheads="1" noChangeAspect="1"/>
                    </pic:cNvPicPr>
                  </pic:nvPicPr>
                  <pic:blipFill>
                    <a:blip r:embed="rId26"/>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Wavelet decomposition of the number of new nests established by the focal species. The different colours indicate how the power of a particular period (y axis) changes during the study period (x axis). Shades of red indicate a higher power relative to blue shades. Dashed lines indicate the cone of influence, above which results should not be interpreted. The black contours indicate the regions in which periodicity was significantly different from the random expectation at the 0.05 level.</w:t>
      </w:r>
    </w:p>
    <w:p>
      <w:pPr>
        <w:pStyle w:val="Heading1"/>
      </w:pPr>
      <w:bookmarkStart w:id="27" w:name="discussion"/>
      <w:bookmarkEnd w:id="27"/>
      <w:r>
        <w:t xml:space="preserve">Discussion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1df1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ba6e6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df" /><Relationship Type="http://schemas.openxmlformats.org/officeDocument/2006/relationships/hyperlink" Id="rId21" Target="mailto:nancy@sif.sc" TargetMode="External" /></Relationships>
</file>

<file path=word/_rels/footnotes.xml.rels><?xml version="1.0" encoding="UTF-8"?>
<Relationships xmlns="http://schemas.openxmlformats.org/package/2006/relationships"><Relationship Type="http://schemas.openxmlformats.org/officeDocument/2006/relationships/hyperlink" Id="rId21" Target="mailto:nancy@sif.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Conflicting climate-linked pressures on tropical pelagic seabirds</dc:title>
  <dc:creator/>
</cp:coreProperties>
</file>