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360" w:after="8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/>
          <w:bCs/>
          <w:sz w:val="52"/>
          <w:szCs w:val="52"/>
        </w:rPr>
        <w:t>İST268-01 İstatistiksel Yöntemler I Dönem Ödevi</w:t>
      </w:r>
    </w:p>
    <w:p>
      <w:pPr>
        <w:pStyle w:val="Normal"/>
        <w:spacing w:lineRule="auto" w:line="240"/>
        <w:rPr>
          <w:rFonts w:ascii="Liberation Serif" w:hAnsi="Liberation Serif" w:eastAsia="Times New Roman" w:cs="Times New Roman" w:cstheme="minorAscii" w:eastAsiaTheme="minorAscii"/>
          <w:b/>
          <w:bCs/>
          <w:sz w:val="28"/>
          <w:szCs w:val="28"/>
        </w:rPr>
      </w:pPr>
      <w:r>
        <w:rPr>
          <w:rFonts w:eastAsia="Times New Roman" w:cs="Times New Roman" w:cstheme="minorAscii" w:eastAsiaTheme="minorAscii" w:ascii="Liberation Serif" w:hAnsi="Liberation Serif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/>
          <w:bCs/>
          <w:sz w:val="28"/>
          <w:szCs w:val="28"/>
        </w:rPr>
        <w:t xml:space="preserve">Dersin Sorumluları: 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Prof. Dr. Sevil BACANLI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Doç. Dr. Özge KARADAĞ ATAŞ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Arş. Gör. Dr. Ceren ÜNAL AKDENİZ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/>
          <w:bCs/>
          <w:sz w:val="28"/>
          <w:szCs w:val="28"/>
        </w:rPr>
        <w:t xml:space="preserve">Ödev Konusu: 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sz w:val="28"/>
          <w:szCs w:val="28"/>
        </w:rPr>
        <w:t>İki Örneklem Hipotez Testleri (Hipotez Testleri, Güven Aralığı, Bağımlı İki Örneklem İncelenmesi) ve Ki-Kare Çözümlemeleri (Uyum İyiliği Testi, Gruplar Arası Fark ve Bağımsızlık Kontrolü)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/>
          <w:bCs/>
          <w:sz w:val="28"/>
          <w:szCs w:val="28"/>
        </w:rPr>
        <w:t xml:space="preserve">Hazırlayanlar: 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Hasan Efe Kocasu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2240329066</w:t>
      </w:r>
    </w:p>
    <w:p>
      <w:pPr>
        <w:pStyle w:val="Normal"/>
        <w:spacing w:lineRule="auto" w:line="240"/>
        <w:rPr>
          <w:rFonts w:ascii="Liberation Serif" w:hAnsi="Liberation Serif" w:eastAsia="Times New Roman" w:cs="Times New Roman" w:cstheme="minorAscii" w:eastAsiaTheme="minorAscii"/>
          <w:b/>
          <w:bCs/>
          <w:sz w:val="28"/>
          <w:szCs w:val="28"/>
        </w:rPr>
      </w:pPr>
      <w:r>
        <w:rPr>
          <w:rFonts w:eastAsia="Times New Roman" w:cs="Times New Roman" w:cstheme="minorAscii" w:eastAsiaTheme="minorAscii" w:ascii="Liberation Serif" w:hAnsi="Liberation Serif"/>
          <w:b/>
          <w:bCs/>
          <w:sz w:val="28"/>
          <w:szCs w:val="28"/>
        </w:rPr>
      </w:r>
    </w:p>
    <w:p>
      <w:pPr>
        <w:pStyle w:val="Heading2"/>
        <w:numPr>
          <w:ilvl w:val="1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Giriş</w:t>
      </w:r>
    </w:p>
    <w:p>
      <w:pPr>
        <w:pStyle w:val="Normal"/>
        <w:spacing w:lineRule="auto" w:line="240"/>
        <w:ind w:firstLine="708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>İST268 İstatistiksel Yöntemler I dersi dönem proje ödevi kapsamında 2 ve 2’den fazla değişken barındıran veri setleri iki başlık altında incelenecek, birinci kısımda: iki örneklem hipotez testleri, güven aralıkları ve verilerin basit istatistikleri incelenecektir. İkinci kısımda ise: Ki-kare çözümlemesinde verilen; uyum iyiliği testi, gruplar arası fark ve bağımsızlık kontrolüne ilişkin çözümlemeler yapılacaktır.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Kullanılacak Veri Setleri:</w:t>
      </w:r>
    </w:p>
    <w:p>
      <w:pPr>
        <w:pStyle w:val="Normal"/>
        <w:spacing w:lineRule="auto" w:line="240"/>
        <w:ind w:hanging="0" w:left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ab/>
        <w:t xml:space="preserve">Bu analiz için R’da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/>
          <w:iCs/>
        </w:rPr>
        <w:t>default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gelen </w:t>
      </w:r>
      <w:r>
        <w:rPr>
          <w:rFonts w:eastAsia="Times New Roman" w:cs="Times New Roman" w:ascii="Liberation Serif" w:hAnsi="Liberation Serif" w:cstheme="minorAscii" w:eastAsiaTheme="minorAscii"/>
          <w:b/>
          <w:bCs/>
        </w:rPr>
        <w:t>“mtcars”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veri seti üzerinde çalışılacaktır. Bağımlı 2 örneklem analizi içinse yine R’da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/>
          <w:iCs/>
        </w:rPr>
        <w:t>default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gelen </w:t>
      </w:r>
      <w:r>
        <w:rPr>
          <w:rFonts w:eastAsia="Times New Roman" w:cs="Times New Roman" w:ascii="Liberation Serif" w:hAnsi="Liberation Serif" w:cstheme="minorAscii" w:eastAsiaTheme="minorAscii"/>
          <w:b/>
          <w:bCs/>
        </w:rPr>
        <w:t>“sleep”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veri seti üzerinden analiz yapılacaktır. İki örneklem oran testi içinse yine R’da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/>
          <w:iCs/>
        </w:rPr>
        <w:t>default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gelen </w:t>
      </w:r>
      <w:r>
        <w:rPr>
          <w:rFonts w:eastAsia="Times New Roman" w:cs="Times New Roman" w:ascii="Liberation Serif" w:hAnsi="Liberation Serif" w:cstheme="minorAscii" w:eastAsiaTheme="minorAscii"/>
          <w:b/>
          <w:bCs/>
        </w:rPr>
        <w:t>“Titanic”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</w:rPr>
        <w:t xml:space="preserve"> veri seti üzerinde analiz yapılacaktır.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mtcars” Veri Seti: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sz w:val="24"/>
          <w:szCs w:val="24"/>
          <w:lang w:val="en-US"/>
        </w:rPr>
        <w:tab/>
        <w:t xml:space="preserve">“mtcars" veri seti 1972-1974 model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32 araba için 11 değişkenli bir veri barındırıyor. Bu veri seti Motor Trend US dergisinde 1974 yılında yayımlanmıştır. </w:t>
      </w:r>
    </w:p>
    <w:p>
      <w:pPr>
        <w:pStyle w:val="Normal"/>
        <w:spacing w:lineRule="auto" w:line="240"/>
        <w:ind w:hanging="0"/>
        <w:rPr/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(Henderson HV, Velleman PF (1981). “Building Multiple Regression Models Interactively.”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/>
          <w:iCs/>
          <w:caps w:val="false"/>
          <w:smallCaps w:val="false"/>
          <w:color w:themeColor="text1" w:val="000000"/>
          <w:sz w:val="24"/>
          <w:szCs w:val="24"/>
          <w:lang w:val="en-US"/>
        </w:rPr>
        <w:t>Biometrics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, </w:t>
      </w:r>
      <w:r>
        <w:rPr>
          <w:rFonts w:eastAsia="Times New Roman" w:cs="Times New Roman" w:ascii="Liberation Serif" w:hAnsi="Liberation Serif" w:cstheme="minorAscii" w:eastAsiaTheme="minorAscii"/>
          <w:b/>
          <w:bCs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37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 xml:space="preserve">(2), 391–411.),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(</w:t>
      </w:r>
      <w:hyperlink r:id="rId2">
        <w:r>
          <w:rPr>
            <w:rStyle w:val="Hyperlink"/>
            <w:rFonts w:eastAsia="Times New Roman" w:cs="Times New Roman" w:ascii="Liberation Serif" w:hAnsi="Liberation Serif" w:cstheme="minorAscii" w:eastAsiaTheme="minorAscii"/>
            <w:b w:val="false"/>
            <w:bCs w:val="false"/>
            <w:i w:val="false"/>
            <w:iCs w:val="false"/>
            <w:caps w:val="false"/>
            <w:smallCaps w:val="false"/>
            <w:sz w:val="24"/>
            <w:szCs w:val="24"/>
            <w:lang w:val="en-US"/>
          </w:rPr>
          <w:t>https://www.jstor.org/stable/2530428?origin=crossref&amp;seq=5</w:t>
        </w:r>
      </w:hyperlink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)</w:t>
      </w:r>
    </w:p>
    <w:p>
      <w:pPr>
        <w:pStyle w:val="Normal"/>
        <w:spacing w:lineRule="auto" w:line="240"/>
        <w:ind w:hanging="0" w:left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ab/>
        <w:t>“mtcars” veri seti içerisinde iki örneklem analizleri incelenirken arabalar “transmission” yani vites sistemlerine göre  iki gruba ayırarak incelenmiştir. (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/>
          <w:iCs/>
          <w:caps w:val="false"/>
          <w:smallCaps w:val="false"/>
          <w:sz w:val="24"/>
          <w:szCs w:val="24"/>
          <w:lang w:val="en-US"/>
        </w:rPr>
        <w:t>0 = automatic, 1 = manuel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) Gruplar “mpg” değişkenine bakılarak incelenecekler, mpg değişkeni araçların mil başına tükettikleri galon miktarını içermektedir.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Titanic” Veri Seti: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ab/>
        <w:t xml:space="preserve">“Titanic” veri seti Titanic gemisindeki her bir yolcunun sınıfı, cinsiyeti, yaşı ve hayatta kalma durumunu kaydeden bir veri seti sunmaktadır. Veri 4 kategori altında yapılandırılmıştır. 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Bu veri, aslen İngiliz Ticaret Bakanlığı tarafından toplanmış ve şu eserde yeniden basılmış verilere dayanmaktadır: 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(British Government (1990). Report on the Loss of the SS Titanic. Allan Sutton Publishing, Gloucester, UK. ISBN 978-0862997236.)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Bu veri seti üzerine R’da yapılan araştırmanın kaynağı ise: </w:t>
      </w:r>
    </w:p>
    <w:p>
      <w:pPr>
        <w:pStyle w:val="Normal"/>
        <w:spacing w:lineRule="auto" w:line="240"/>
        <w:ind w:hanging="0"/>
        <w:rPr/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Dawson RJM (1995). “The “Unusual Episode” Data Revisited.” Journal of Statistics Education, 3(3). (</w:t>
      </w:r>
      <w:hyperlink r:id="rId3">
        <w:r>
          <w:rPr>
            <w:rStyle w:val="Hyperlink"/>
            <w:rFonts w:eastAsia="Times New Roman" w:cs="Times New Roman" w:ascii="Liberation Serif" w:hAnsi="Liberation Serif" w:cstheme="minorAscii" w:eastAsiaTheme="minorAscii"/>
            <w:b w:val="false"/>
            <w:bCs w:val="false"/>
            <w:i w:val="false"/>
            <w:iCs w:val="false"/>
            <w:caps w:val="false"/>
            <w:smallCaps w:val="false"/>
            <w:sz w:val="24"/>
            <w:szCs w:val="24"/>
            <w:lang w:val="en-US"/>
          </w:rPr>
          <w:t>https://www.tandfonline.com/doi/full/10.1080/10691898.1995.11910499</w:t>
        </w:r>
      </w:hyperlink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)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sleep” Veri Seti: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“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sleep” veri seti 2 farklı ilacın uyku sürelerine etkisi üzerine veri içermektedir. 3 değişken barındırmaktadır ve bunlar sırasıyla “d”, “group”, “ID”. “d” 2 ilaçtan birisinin ilaç verildikten sonra öğrencilerde meydana gelen uyku sürelerindeki artış miktarıdır yani farkıdır (sonra – önce). “group” aynı öğrencilere verilen farklı 2 ilaç etkisi ölçüldüğünden dolayı 2 farklı ilacı temsil eder ve 2 ilaç “1” ve “2” değerleri ile ayrıştırılmıştır. “ID” değişkeni ise verilerin, öğrencilerin sırasıyla numaralandırılarak eşlenmesi sağlanmıştır. Aynı ID ye sahip öğrenciler 2 grupta da aynı kişiyi/deneği temsil etmektedir.</w:t>
      </w:r>
    </w:p>
    <w:p>
      <w:pPr>
        <w:pStyle w:val="Normal"/>
        <w:spacing w:lineRule="auto" w:line="240"/>
        <w:ind w:hanging="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Uyarı! Burada ilaç sonrası oluşan artış miktarı doğrudan d olan analiz de kullanacağımız fark değişkeni değildir. 2 ayrı ilacın aynı öğrenciler üzerinde yapmış olduğu uyku süresinde artışı göstermektedir.</w:t>
      </w:r>
    </w:p>
    <w:p>
      <w:pPr>
        <w:pStyle w:val="Heading1"/>
        <w:rPr/>
      </w:pPr>
      <w:r>
        <w:rPr>
          <w:rStyle w:val="Heading2Char"/>
          <w:rFonts w:ascii="Liberation Serif" w:hAnsi="Liberation Serif"/>
          <w:sz w:val="40"/>
          <w:szCs w:val="40"/>
        </w:rPr>
        <w:t>1. İki Örneklem Analizleri</w:t>
      </w:r>
      <w:r>
        <w:rPr>
          <w:rFonts w:ascii="Liberation Serif" w:hAnsi="Liberation Serif"/>
        </w:rPr>
        <w:tab/>
      </w:r>
    </w:p>
    <w:p>
      <w:pPr>
        <w:pStyle w:val="Normal"/>
        <w:spacing w:lineRule="auto" w:line="240"/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ab/>
        <w:t>Bu başlık altında veri setleri üzerinde iki örneklem; hipotez testlerini, güven aralıklarını ve verilerin basit istatistikleri elde edilerek yorumlanacaktır.</w:t>
      </w:r>
    </w:p>
    <w:p>
      <w:pPr>
        <w:pStyle w:val="Heading2"/>
        <w:numPr>
          <w:ilvl w:val="1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1.1 Kitle Ortalaması Analizi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Bu başlık altında kitle ortalaması (</w:t>
      </w:r>
      <w:r>
        <w:rPr>
          <w:rFonts w:eastAsia="Times New Roman" w:cs="" w:ascii="Liberation Serif" w:hAnsi="Liberation Serif"/>
        </w:rPr>
        <w:t>µ)’na dair hipotez testi, güven aralığı ve verilerin basit istatistikleri analiz edilecektir.  Bu analiz için daha önceden tanıtımı yapılan “mtcars” verisi kullanılacaktır. Verideki 2 grubu sırasıyla 0(automatic) ve 1(manuel) olan verileri labelları atamak için factor fonksiyonunu kullanılmıştır. “mpg” değişkeni de daha kolay kullanım için “yakit” değişkeni olarak tanımlanmıştır.</w:t>
      </w:r>
    </w:p>
    <w:p>
      <w:pPr>
        <w:pStyle w:val="BodyText"/>
        <w:rPr>
          <w:rFonts w:ascii="Liberation Serif" w:hAnsi="Liberation Serif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9090"/>
            <wp:effectExtent l="0" t="0" r="0" b="0"/>
            <wp:wrapSquare wrapText="largest"/>
            <wp:docPr id="1" name="Görünt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örüntü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" w:ascii="Liberation Serif" w:hAnsi="Liberation Serif"/>
        </w:rPr>
        <w:t xml:space="preserve"> </w:t>
      </w:r>
    </w:p>
    <w:p>
      <w:pPr>
        <w:pStyle w:val="Normal"/>
        <w:spacing w:lineRule="auto" w:line="240"/>
        <w:rPr>
          <w:rFonts w:ascii="Liberation Serif" w:hAnsi="Liberation Serif" w:eastAsia="Times New Roman" w:cs="Times New Roman" w:cstheme="minorAscii" w:eastAsiaTheme="minorAscii"/>
          <w:b/>
          <w:bCs/>
          <w:sz w:val="28"/>
          <w:szCs w:val="28"/>
        </w:rPr>
      </w:pPr>
      <w:r>
        <w:rPr>
          <w:rFonts w:eastAsia="Times New Roman" w:cs="Times New Roman" w:cstheme="minorAscii" w:eastAsiaTheme="minorAscii" w:ascii="Liberation Serif" w:hAnsi="Liberation Serif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 w:eastAsia="Times New Roman" w:cs="Times New Roman" w:cstheme="minorAscii" w:eastAsiaTheme="minorAscii"/>
          <w:b/>
          <w:bCs/>
          <w:sz w:val="28"/>
          <w:szCs w:val="28"/>
        </w:rPr>
      </w:pPr>
      <w:r>
        <w:rPr>
          <w:rFonts w:eastAsia="Times New Roman" w:cs="Times New Roman" w:cstheme="minorAscii" w:eastAsiaTheme="minorAscii" w:ascii="Liberation Serif" w:hAnsi="Liberation Serif"/>
          <w:b/>
          <w:bCs/>
          <w:sz w:val="28"/>
          <w:szCs w:val="28"/>
        </w:rPr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/>
          <w:bCs/>
          <w:sz w:val="28"/>
          <w:szCs w:val="28"/>
        </w:rPr>
        <w:t>Verinin Basit İstatistikleri:</w:t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>“</w:t>
      </w:r>
      <w:r>
        <w:rPr>
          <w:rFonts w:eastAsia="Times New Roman" w:cs="Times New Roman" w:ascii="Liberation Serif" w:hAnsi="Liberation Serif" w:cstheme="minorAscii" w:eastAsiaTheme="minorAscii"/>
        </w:rPr>
        <w:t>automatic” ve “manuel” araçların yakıt tüketimlerinin örneklem ortalamaları, örneklem büyüklükleri ve örneklem varyansları aşağıdaki kod ile hesaplanmış ve verilmiştir.</w:t>
      </w:r>
    </w:p>
    <w:p>
      <w:pPr>
        <w:pStyle w:val="Normal"/>
        <w:spacing w:lineRule="auto" w:line="240"/>
        <w:rPr>
          <w:rFonts w:ascii="Liberation Serif" w:hAnsi="Liberation Serif" w:eastAsia="Times New Roman" w:cs="Times New Roman" w:cstheme="minorAscii" w:eastAsiaTheme="minorAscii"/>
        </w:rPr>
      </w:pPr>
      <w:r>
        <w:rPr>
          <w:rFonts w:eastAsia="Times New Roman" w:cs="Times New Roman" w:cstheme="minorAscii" w:eastAsiaTheme="minorAscii" w:ascii="Liberation Serif" w:hAnsi="Liberation Serif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-66040</wp:posOffset>
            </wp:positionH>
            <wp:positionV relativeFrom="paragraph">
              <wp:posOffset>161290</wp:posOffset>
            </wp:positionV>
            <wp:extent cx="2352040" cy="1466850"/>
            <wp:effectExtent l="0" t="0" r="0" b="0"/>
            <wp:wrapSquare wrapText="largest"/>
            <wp:docPr id="2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04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 xml:space="preserve">  </w:t>
      </w:r>
      <w:r>
        <w:rPr>
          <w:rFonts w:eastAsia="Times New Roman" w:cs="Times New Roman" w:ascii="Liberation Serif" w:hAnsi="Liberation Serif" w:cstheme="minorAscii" w:eastAsiaTheme="minorAscii"/>
        </w:rPr>
        <w:tab/>
        <w:t>Otomatik vitesli araçların istatistikleri :</w:t>
      </w:r>
      <w:r>
        <w:rPr>
          <w:rFonts w:ascii="Liberation Serif" w:hAnsi="Liberation Serif"/>
        </w:rPr>
        <w:br/>
        <w:t xml:space="preserve">    </w:t>
        <w:tab/>
      </w:r>
      <w:r>
        <w:rPr>
          <w:rFonts w:ascii="Liberation Serif" w:hAnsi="Liberation Serif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o</m:t>
                </m:r>
              </m:sub>
            </m:sSub>
          </m:e>
        </m:ba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17,14737</m:t>
        </m:r>
      </m:oMath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19</m:t>
        </m:r>
      </m:oMath>
      <w:r>
        <w:rPr>
          <w:rFonts w:ascii="Liberation Serif" w:hAnsi="Liberation Serif"/>
        </w:rPr>
        <w:t xml:space="preserve">   </w:t>
      </w:r>
      <w:r>
        <w:rPr>
          <w:rFonts w:ascii="Liberation Serif" w:hAnsi="Liberation Serif"/>
        </w:rPr>
      </w:r>
      <m:oMath xmlns:m="http://schemas.openxmlformats.org/officeDocument/2006/math">
        <m:sSup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o</m:t>
                </m:r>
              </m:sub>
            </m:sSub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14,69937</m:t>
        </m:r>
      </m:oMath>
    </w:p>
    <w:p>
      <w:pPr>
        <w:pStyle w:val="Normal"/>
        <w:spacing w:lineRule="auto" w:line="240" w:before="0" w:after="16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</w:rPr>
        <w:t xml:space="preserve"> </w:t>
      </w:r>
      <w:r>
        <w:rPr>
          <w:rFonts w:eastAsia="Times New Roman" w:cs="Times New Roman" w:ascii="Liberation Serif" w:hAnsi="Liberation Serif" w:cstheme="minorAscii" w:eastAsiaTheme="minorAscii"/>
        </w:rPr>
        <w:tab/>
        <w:t>Manuel vitesli araçların istatistikleri :</w:t>
      </w:r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ab/>
      </w:r>
      <w:r>
        <w:rPr>
          <w:rFonts w:ascii="Liberation Serif" w:hAnsi="Liberation Serif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e>
        </m:ba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24.39231</m:t>
        </m:r>
      </m:oMath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13</m:t>
        </m:r>
      </m:oMath>
      <w:r>
        <w:rPr>
          <w:rFonts w:ascii="Liberation Serif" w:hAnsi="Liberation Serif"/>
        </w:rPr>
        <w:t xml:space="preserve">  </w:t>
      </w:r>
      <w:r>
        <w:rPr>
          <w:rFonts w:ascii="Liberation Serif" w:hAnsi="Liberation Serif"/>
        </w:rPr>
      </w:r>
      <m:oMath xmlns:m="http://schemas.openxmlformats.org/officeDocument/2006/math">
        <m:sSup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m</m:t>
                </m:r>
              </m:sub>
            </m:sSub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38.02577</m:t>
        </m:r>
      </m:oMath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tapply” fonksiyonu ile birden fazla değişkene gerekli fonksiyonlar uygulanmıştır.</w:t>
      </w:r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mean” fonksiyonu ile örneklemin ortalaması, “var” fonksiyonu ile varyans, “length” fonksiyonu ile örneklem büyüklüğü bulunmuştur.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İki Örneklem Kitle Ortalaması Hipotez Testi</w:t>
      </w:r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t>Otomatik vitesli araçlar ile manuel vitesli araçların yakıt tüketimlerinin ortalamalarının eşit olup olmadığı %95 güven düzeyinde test edilecektir. O halde hipotezimiz :</w:t>
      </w:r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µ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µ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</m:oMath>
      </m:oMathPara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µ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</m:sSub>
          <m:r>
            <w:rPr>
              <w:rFonts w:ascii="Cambria Math" w:hAnsi="Cambria Math"/>
            </w:rPr>
            <m:t xml:space="preserve">≠</m:t>
          </m:r>
          <m:sSub>
            <m:e>
              <m:r>
                <w:rPr>
                  <w:rFonts w:ascii="Cambria Math" w:hAnsi="Cambria Math"/>
                </w:rPr>
                <m:t xml:space="preserve">µ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</m:sSub>
        </m:oMath>
      </m:oMathPara>
    </w:p>
    <w:p>
      <w:pPr>
        <w:pStyle w:val="Normal"/>
        <w:spacing w:lineRule="auto" w:line="240" w:before="0" w:after="160"/>
        <w:jc w:val="left"/>
        <w:rPr>
          <w:rFonts w:ascii="Liberation Serif" w:hAnsi="Liberation Serif"/>
        </w:rPr>
      </w:pPr>
      <w:r>
        <w:rPr>
          <w:rFonts w:eastAsia="Times New Roman" w:cs="" w:ascii="Liberation Serif" w:hAnsi="Liberation Serif"/>
        </w:rPr>
        <w:t>Kitle varyansları bilinmiyor. Örneklem büyüklükleri 30 dan küçük, sırasıyla 19 ve 13 olduğundan dolayı MLT de kullanılamaz. Kitle varyanslarının homojenliğine göre hangi t testi yapılması gerektiği belirlenecektir. (Bu sayede kitle varyansları hipotez testi de bir yandan incelenecektir.)</w:t>
      </w:r>
    </w:p>
    <w:p>
      <w:pPr>
        <w:pStyle w:val="Heading3"/>
        <w:numPr>
          <w:ilvl w:val="2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(1.2 Kitle Varyansı Analizi)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Kitle varyansları homojenlik hipotez testi (F-testi) :</w:t>
      </w:r>
    </w:p>
    <w:p>
      <w:pPr>
        <w:pStyle w:val="BodyText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1388745</wp:posOffset>
            </wp:positionH>
            <wp:positionV relativeFrom="paragraph">
              <wp:posOffset>5715</wp:posOffset>
            </wp:positionV>
            <wp:extent cx="2971165" cy="161925"/>
            <wp:effectExtent l="0" t="0" r="0" b="0"/>
            <wp:wrapSquare wrapText="largest"/>
            <wp:docPr id="3" name="Görüntü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örüntü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1366520</wp:posOffset>
            </wp:positionH>
            <wp:positionV relativeFrom="paragraph">
              <wp:posOffset>210185</wp:posOffset>
            </wp:positionV>
            <wp:extent cx="5019040" cy="1676400"/>
            <wp:effectExtent l="0" t="0" r="0" b="0"/>
            <wp:wrapSquare wrapText="largest"/>
            <wp:docPr id="4" name="Görüntü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örüntü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:</m:t>
          </m:r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pPr>
        <w:pStyle w:val="BodyText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w:rPr>
              <w:rFonts w:ascii="Cambria Math" w:hAnsi="Cambria Math"/>
            </w:rPr>
            <m:t xml:space="preserve">:</m:t>
          </m:r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≠</m:t>
          </m:r>
          <m:sSubSup>
            <m:e>
              <m:r>
                <w:rPr>
                  <w:rFonts w:ascii="Cambria Math" w:hAnsi="Cambria Math"/>
                </w:rPr>
                <m:t xml:space="preserve">σ</m:t>
              </m:r>
            </m:e>
            <m:sub>
              <m:r>
                <w:rPr>
                  <w:rFonts w:ascii="Cambria Math" w:hAnsi="Cambria Math"/>
                </w:rPr>
                <m:t xml:space="preserve">m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“</w:t>
      </w:r>
      <w:r>
        <w:rPr>
          <w:rFonts w:ascii="Liberation Serif" w:hAnsi="Liberation Serif"/>
        </w:rPr>
        <w:t>var.test” fonksiyonu ile F-testi’i sonuçları yukarıda görüldüğü gibidir. F oranı 0.38656’dır.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p değeri 0.06691’dir. p değeri alfa değeri olan 0.05 den büyük olduğu için </w:t>
      </w:r>
      <w:r>
        <w:rPr>
          <w:rFonts w:ascii="Liberation Serif" w:hAnsi="Liberation Serif"/>
        </w:rPr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0.05</m:t>
        </m:r>
      </m:oMath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 reddedilemez. Varyanların eşit olduğu, homojen olduğu kabul edilmiştir.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Varyansların homojen olduğu varsayılabildiğine göre </w:t>
      </w:r>
      <w:r>
        <w:rPr>
          <w:rFonts w:ascii="Liberation Serif" w:hAnsi="Liberation Serif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ascii="Liberation Serif" w:hAnsi="Liberation Serif"/>
        </w:rPr>
        <w:t>’li, ortak örneklem varyansı t-testi kullanılacaktır.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379085" cy="152400"/>
            <wp:effectExtent l="0" t="0" r="0" b="0"/>
            <wp:docPr id="5" name="Görüntü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örüntü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85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     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731510" cy="1318260"/>
            <wp:effectExtent l="0" t="0" r="0" b="0"/>
            <wp:docPr id="6" name="Görüntü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örüntü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Bulgular ve Sonuç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rPr>
          <w:rFonts w:ascii="Liberation Serif" w:hAnsi="Liberation Serif"/>
        </w:rPr>
        <w:t>’</w:t>
      </w:r>
      <w:r>
        <w:rPr>
          <w:rFonts w:ascii="Liberation Serif" w:hAnsi="Liberation Serif"/>
        </w:rPr>
        <w:t xml:space="preserve">li t-testi sonucuna göre p değeri 0.000285’dir. p değeri alfa değeri olan 0.05 değerinden küçük olduğu için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 RED’dir. Aynı zamanda test sonucunda güven aralığı sonucuna bakarak da bu sonuca ulaşabiliriz. Güven aralığının alt sınırı -10.84837’dir, üst sınırı ise -3.64151’dir.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 aynı zamanda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µ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µ</m:t>
            </m:r>
          </m:e>
          <m:sub>
            <m:r>
              <w:rPr>
                <w:rFonts w:ascii="Cambria Math" w:hAnsi="Cambria Math"/>
              </w:rPr>
              <m:t xml:space="preserve">m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Liberation Serif" w:hAnsi="Liberation Serif"/>
        </w:rPr>
        <w:t xml:space="preserve"> olduğu bilinmektedir. 0 değeri güven aralığı içerisinde yer almadığından dolayı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 bu şekilde değerlendirildiğinde de reddedilebilir.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Elde edilen sonuç; iki grup arasındaki ortalama yakıt tüketimi eşit miktarda olmadığı %95 güven düzeyinde söylenebilir.</w:t>
      </w:r>
    </w:p>
    <w:p>
      <w:pPr>
        <w:pStyle w:val="Heading2"/>
        <w:numPr>
          <w:ilvl w:val="0"/>
          <w:numId w:val="0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1.3 Kitle Oranı Analizi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Kitledeki belirli bir özelliğe dair oran analizi için “Titanic” veri seti kullanılacaktır. Daha önce verinin tanıtımı yapılmıştır. Kısaca bahsetmek gerekirse veri doğrudan </w:t>
      </w:r>
      <w:r>
        <w:rPr>
          <w:rFonts w:ascii="Liberation Serif" w:hAnsi="Liberation Serif"/>
          <w:i/>
          <w:iCs/>
        </w:rPr>
        <w:t>raw</w:t>
      </w:r>
      <w:r>
        <w:rPr>
          <w:rFonts w:ascii="Liberation Serif" w:hAnsi="Liberation Serif"/>
        </w:rPr>
        <w:t xml:space="preserve"> formatta değildir. Kategorik şekilde bazı özelliklere göre frekanslar verilmiştir. Titanic gemi kazasında hayatta kalan yetişkin kadınlar ile yetişkin erkeklerin hayatta kalma oranları kıyaslanıcaktır.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Veride çocukların da verileri olduğu için R da sadece yetişkin insanların verilerini elde etmek için aşağıdaki kod kullanılmıştır. Ve yetişkinlere dair cinsiyetlerine göre hayatta kalma oranları aşağıdaki gibidir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1856740" cy="2999740"/>
            <wp:effectExtent l="0" t="0" r="0" b="0"/>
            <wp:docPr id="7" name="Görüntü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örüntü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drawing>
          <wp:inline distT="0" distB="0" distL="0" distR="0">
            <wp:extent cx="2482215" cy="1009650"/>
            <wp:effectExtent l="0" t="0" r="0" b="0"/>
            <wp:docPr id="8" name="Görüntü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21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Hayatta kalan kadınların tüm kadınlara oranı yani kadınların hayatta kalma oranı = 0,7435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Hayatta kalan erkeklerin tüm erkeklere oranı yani erkeklerin hayatta kalma oranı = 0,2027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Hipotez :</w:t>
      </w:r>
    </w:p>
    <w:p>
      <w:pPr>
        <w:pStyle w:val="BodyText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pPr>
        <w:pStyle w:val="BodyText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w:rPr>
              <w:rFonts w:ascii="Cambria Math" w:hAnsi="Cambria Math"/>
            </w:rPr>
            <m:t xml:space="preserve">≠</m:t>
          </m:r>
          <m:sSub>
            <m:e>
              <m:r>
                <w:rPr>
                  <w:rFonts w:ascii="Cambria Math" w:hAnsi="Cambria Math"/>
                </w:rPr>
                <m:t xml:space="preserve">p</m:t>
              </m:r>
            </m:e>
            <m:sub>
              <m: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>R’da oran testi yapmak için “prop.test” fonksiyonu kullanılmıştır.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3228340" cy="227965"/>
            <wp:effectExtent l="0" t="0" r="0" b="0"/>
            <wp:docPr id="9" name="Görüntü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örüntü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22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inline distT="0" distB="0" distL="0" distR="0">
            <wp:extent cx="5731510" cy="1645920"/>
            <wp:effectExtent l="0" t="0" r="0" b="0"/>
            <wp:docPr id="10" name="Görüntü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örüntü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>Bulgular ve Sonuç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p değeri çok çok küşük bir değer olan 2.2e-16 dan daha kğçğk bir değer çıktı yani alfa değerimiz olan 0.05 den çok ama çok küçük bir değermiş p değeri. P değeri alfa değerinden küçük olduğundan </w:t>
      </w:r>
      <w:r>
        <w:rPr>
          <w:rFonts w:ascii="Liberation Serif" w:hAnsi="Liberation Serif"/>
        </w:rPr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0.05</m:t>
        </m:r>
      </m:oMath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hipotezini %95 güven düzeyinde reddedilmiştir. Güven aralığından yorumlayacak olursak alt sınır olan 0.4935 ile üst sınır olan 0.580 değer aralığı 0 değerini içermediğinden </w:t>
      </w:r>
      <w:r>
        <w:rPr>
          <w:rFonts w:ascii="Liberation Serif" w:hAnsi="Liberation Serif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ascii="Liberation Serif" w:hAnsi="Liberation Serif"/>
        </w:rPr>
        <w:t xml:space="preserve"> hipotezi reddedilmiştir. %95 güven düzeyinde yetişkin kadınların ve yetişkin erkeklerin hayatta kalma oranları aynı değildir diyebiliriz.</w:t>
      </w:r>
    </w:p>
    <w:p>
      <w:pPr>
        <w:pStyle w:val="Heading2"/>
        <w:numPr>
          <w:ilvl w:val="1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1.4 Bağımlı İki Örneklem Analizi</w:t>
      </w:r>
    </w:p>
    <w:p>
      <w:pPr>
        <w:pStyle w:val="BodyTex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Bağımlı iki örneklem analizi için veri seti olarak “sleep” kullanılacaktır. Daha önce verinin tanıtımı yapılmıştır.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“sleep” veri seti 2 grup öğrenci denek arasında yapılan 2 ilacın uyku sürelerine etkisi üzerine bilgi içermektedir.</w:t>
      </w:r>
    </w:p>
    <w:p>
      <w:pPr>
        <w:pStyle w:val="Normal"/>
        <w:rPr>
          <w:rFonts w:eastAsia="Times New Roman" w:cs="Times New Roman" w:cstheme="minorAscii" w:eastAsiaTheme="minorAscii"/>
          <w:i w:val="false"/>
          <w:iCs w:val="false"/>
          <w:caps w:val="false"/>
          <w:smallCaps w:val="false"/>
          <w:lang w:val="en-US"/>
        </w:rPr>
      </w:pPr>
      <w:r>
        <w:rPr>
          <w:rFonts w:ascii="Liberation Serif" w:hAnsi="Liberation Serif"/>
          <w:b/>
          <w:bCs/>
          <w:sz w:val="28"/>
          <w:szCs w:val="28"/>
        </w:rPr>
        <w:t>Verinin basit istatistikleri :</w:t>
      </w:r>
    </w:p>
    <w:p>
      <w:pPr>
        <w:pStyle w:val="BodyText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1.İlaca ait veriler : 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ba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0.75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ab/>
        <w:tab/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</w:t>
        <w:tab/>
        <w:tab/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3.20</m:t>
        </m:r>
      </m:oMath>
    </w:p>
    <w:p>
      <w:pPr>
        <w:pStyle w:val="BodyText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2.İlaca ait veriler :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2.33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ab/>
        <w:tab/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ab/>
        <w:tab/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4.01</m:t>
        </m:r>
      </m:oMath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drawing>
          <wp:inline distT="0" distB="0" distL="0" distR="0">
            <wp:extent cx="3075940" cy="571500"/>
            <wp:effectExtent l="0" t="0" r="0" b="0"/>
            <wp:docPr id="11" name="Görüntü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örüntü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drawing>
          <wp:inline distT="0" distB="0" distL="0" distR="0">
            <wp:extent cx="2499360" cy="1086485"/>
            <wp:effectExtent l="0" t="0" r="0" b="0"/>
            <wp:docPr id="12" name="Görüntü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örüntü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08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140"/>
        <w:rPr>
          <w:rFonts w:ascii="Liberation Serif" w:hAnsi="Liberation Serif"/>
        </w:rPr>
      </w:pP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Bağımlı iki örneklem t-testine geçilmeden önce grupların betimleyici istatistikleri incelenmiştir. Yapılan incelemede, 1. ilacı alan 10 hastanın uyku süresindeki ortalama artış 0.75 saat (</w:t>
      </w:r>
      <w:r>
        <w:rPr>
          <w:rFonts w:ascii="Liberation Serif" w:hAnsi="Liberation Serif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3.20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) olarak gözlemlenirken; aynı 10 hastanın 2. ilacı aldığındaki ortalama uyku süresi artışının 2.33 saate (</w:t>
      </w:r>
      <w:r>
        <w:rPr>
          <w:rFonts w:ascii="Liberation Serif" w:hAnsi="Liberation Serif"/>
        </w:rPr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4.01</m:t>
        </m:r>
      </m:oMath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) yükseldiği tespit edilmiştir. Bu betimleyici farkın istatistiksel olarak anlamlı olup olmadığını belirlemek amacıyla eşleştirilmiş t-testi (paired t-test) uygulan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a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c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a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k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t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ı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r</w:t>
      </w:r>
      <w:r>
        <w:rPr>
          <w:rFonts w:eastAsia="Times New Roman" w:cs="Times New Roman" w:ascii="Liberation Serif" w:hAnsi="Liberation Serif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.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2. uyku ilacının 1.uyku ilacından farklı 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olup olmadığına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dair hipotez :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: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S</m:t>
              </m:r>
            </m:sub>
          </m:sSub>
          <m:r>
            <w:rPr>
              <w:rFonts w:ascii="Cambria Math" w:hAnsi="Cambria Math"/>
            </w:rPr>
            <m:t xml:space="preserve">:</m:t>
          </m:r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≠</m:t>
          </m:r>
          <m:sSub>
            <m:e>
              <m:r>
                <w:rPr>
                  <w:rFonts w:ascii="Cambria Math" w:hAnsi="Cambria Math"/>
                </w:rPr>
                <m:t xml:space="preserve">μ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</m:oMath>
      </m:oMathPara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drawing>
          <wp:inline distT="0" distB="0" distL="0" distR="0">
            <wp:extent cx="3009265" cy="381000"/>
            <wp:effectExtent l="0" t="0" r="0" b="0"/>
            <wp:docPr id="13" name="Görüntü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örüntü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drawing>
          <wp:inline distT="0" distB="0" distL="0" distR="0">
            <wp:extent cx="2790190" cy="247015"/>
            <wp:effectExtent l="0" t="0" r="0" b="0"/>
            <wp:docPr id="14" name="Görüntü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örüntü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90" cy="24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drawing>
          <wp:inline distT="0" distB="0" distL="0" distR="0">
            <wp:extent cx="4819015" cy="1666240"/>
            <wp:effectExtent l="0" t="0" r="0" b="0"/>
            <wp:docPr id="15" name="Görüntü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örüntü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166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Gruplar öncelikle ayrılarak ilac1 ve ilac2 değişkenlerine atandı. t.test fonskiyonunda paired=TRUE parametresi ile bağımlı t testi yapıldı.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/>
          <w:bCs/>
          <w:i w:val="false"/>
          <w:iCs w:val="false"/>
          <w:caps w:val="false"/>
          <w:smallCaps w:val="false"/>
          <w:sz w:val="28"/>
          <w:szCs w:val="28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/>
          <w:bCs/>
          <w:i w:val="false"/>
          <w:iCs w:val="false"/>
          <w:caps w:val="false"/>
          <w:smallCaps w:val="false"/>
          <w:sz w:val="28"/>
          <w:szCs w:val="28"/>
          <w:lang w:val="en-US"/>
        </w:rPr>
        <w:t>Bulgular ve Sonuç</w:t>
      </w:r>
    </w:p>
    <w:p>
      <w:pPr>
        <w:pStyle w:val="BodyText"/>
        <w:spacing w:before="0" w:after="140"/>
        <w:rPr>
          <w:rFonts w:ascii="Liberation Serif" w:hAnsi="Liberation Serif" w:eastAsia="Times New Roman" w:cs="Times New Roman" w:cstheme="minorAscii" w:eastAsiaTheme="minorAscii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pP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p değeri 0.0028 olduğu görülmektedir. p değeri alfa değeri olan 0.05’ten daha küçük olduğundan dolayı 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hipotezi reddedilir. Güven aralığı yorumlanacak olursa; alt sınır -2.4598, üst sınır ise -0.7001’dir. 0 değeri bu aralıkta yer almadığı için 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H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hipotezi reddedilir. Sonuç olarak %95 güven düzeyinde ilaçlar arasında fark vardır, 2.ilacı aldıktan sonra uyku süresindeki 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>artış miktarı</w:t>
      </w:r>
      <w:r>
        <w:rPr>
          <w:rFonts w:eastAsia="Times New Roman" w:cs="Times New Roman" w:cstheme="minorAscii" w:eastAsiaTheme="minorAscii" w:ascii="Liberation Serif" w:hAnsi="Liberation Serif"/>
          <w:b w:val="false"/>
          <w:bCs w:val="false"/>
          <w:i w:val="false"/>
          <w:iCs w:val="false"/>
          <w:caps w:val="false"/>
          <w:smallCaps w:val="false"/>
          <w:sz w:val="24"/>
          <w:szCs w:val="24"/>
          <w:lang w:val="en-US"/>
        </w:rPr>
        <w:t xml:space="preserve"> 1.ilaca göre farklılık gösterdiğini söyleyebiliriz.</w:t>
      </w:r>
    </w:p>
    <w:p>
      <w:pPr>
        <w:pStyle w:val="Heading1"/>
        <w:rPr>
          <w:rFonts w:ascii="Liberation Serif" w:hAnsi="Liberation Serif"/>
        </w:rPr>
      </w:pPr>
      <w:r>
        <w:rPr>
          <w:rFonts w:ascii="Liberation Serif" w:hAnsi="Liberation Serif"/>
        </w:rPr>
        <w:t>2.Uyum İyiliği Testi, Gruplar Arası Fark ve Bağımsızlık Kontrolü</w:t>
      </w:r>
    </w:p>
    <w:p>
      <w:pPr>
        <w:pStyle w:val="Normal"/>
        <w:spacing w:lineRule="auto" w:line="240"/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ab/>
        <w:t>Bu başlık altında veri setleri üzerinde Ki-kare çözümlemesinde verilen; uyum iyiliği testi, gruplar arası fark ve bağımsızlık kontrolüne ilişkin çözümleri ya</w:t>
      </w:r>
      <w:r>
        <w:rPr>
          <w:rFonts w:ascii="Liberation Serif" w:hAnsi="Liberation Serif"/>
        </w:rPr>
        <w:t>pılacaktır.</w:t>
      </w:r>
    </w:p>
    <w:p>
      <w:pPr>
        <w:pStyle w:val="Heading2"/>
        <w:numPr>
          <w:ilvl w:val="1"/>
          <w:numId w:val="2"/>
        </w:numPr>
        <w:ind w:hanging="0" w:left="0"/>
        <w:rPr>
          <w:rFonts w:ascii="Liberation Serif" w:hAnsi="Liberation Serif"/>
        </w:rPr>
      </w:pPr>
      <w:r>
        <w:rPr>
          <w:rFonts w:ascii="Liberation Serif" w:hAnsi="Liberation Serif"/>
        </w:rPr>
        <w:t>2.1 Uyum İyiliği Testi</w:t>
      </w:r>
    </w:p>
    <w:p>
      <w:pPr>
        <w:pStyle w:val="BodyText"/>
        <w:spacing w:before="0" w:after="140"/>
        <w:rPr>
          <w:rFonts w:ascii="Liberation Serif" w:hAnsi="Liberation Serif"/>
        </w:rPr>
      </w:pPr>
      <w:r>
        <w:rPr>
          <w:rFonts w:ascii="Liberation Serif" w:hAnsi="Liberation Serif"/>
        </w:rPr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4"/>
        <w:szCs w:val="24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4"/>
      <w:szCs w:val="24"/>
      <w:lang w:val="tr-TR" w:eastAsia="en-US" w:bidi="ar-SA"/>
    </w:rPr>
  </w:style>
  <w:style w:type="paragraph" w:styleId="Heading1">
    <w:name w:val="heading 1"/>
    <w:basedOn w:val="Normal"/>
    <w:next w:val="Normal"/>
    <w:uiPriority w:val="9"/>
    <w:qFormat/>
    <w:rsid w:val="1f3bcbd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Balk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Balk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Balk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sid w:val="0f90d0ed"/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f90d0ed"/>
    <w:rPr>
      <w:color w:val="467886"/>
      <w:u w:val="single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Free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f90d0ed"/>
    <w:pPr>
      <w:spacing w:before="0" w:after="160"/>
      <w:ind w:left="720"/>
      <w:contextualSpacing/>
    </w:pPr>
    <w:rPr/>
  </w:style>
  <w:style w:type="paragraph" w:styleId="ereveerii">
    <w:name w:val="Çerçeve İçeriği"/>
    <w:basedOn w:val="Normal"/>
    <w:qFormat/>
    <w:pPr/>
    <w:rPr/>
  </w:style>
  <w:style w:type="numbering" w:styleId="ListeYokuser" w:default="1">
    <w:name w:val="Liste Yok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jstor.org/stable/2530428?origin=crossref&amp;seq=5" TargetMode="External"/><Relationship Id="rId3" Type="http://schemas.openxmlformats.org/officeDocument/2006/relationships/hyperlink" Target="https://www.tandfonline.com/doi/full/10.1080/10691898.1995.11910499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Application>LibreOffice/26.2.3.2$Linux_X86_64 LibreOffice_project/a31940f583db492bb69b3a601caf6d1b0ecf61f1</Application>
  <AppVersion>15.0000</AppVersion>
  <Pages>7</Pages>
  <Words>1183</Words>
  <Characters>7927</Characters>
  <CharactersWithSpaces>9110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EFE KOCASU</dc:creator>
  <dc:description/>
  <dc:language>tr-TR</dc:language>
  <cp:lastModifiedBy/>
  <dcterms:modified xsi:type="dcterms:W3CDTF">2026-05-11T20:50:35Z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