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240" w:before="360" w:after="8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/>
          <w:bCs/>
          <w:sz w:val="52"/>
          <w:szCs w:val="52"/>
        </w:rPr>
        <w:t>İST268-01 İstatistiksel Yöntemler I Dönem Ödevi</w:t>
      </w:r>
    </w:p>
    <w:p>
      <w:pPr>
        <w:pStyle w:val="Normal"/>
        <w:spacing w:lineRule="auto" w:line="240"/>
        <w:rPr>
          <w:rFonts w:ascii="Liberation Serif" w:hAnsi="Liberation Serif" w:eastAsia="Times New Roman" w:cs="Times New Roman" w:cstheme="minorAscii" w:eastAsiaTheme="minorAscii"/>
          <w:b/>
          <w:bCs/>
          <w:sz w:val="28"/>
          <w:szCs w:val="28"/>
        </w:rPr>
      </w:pPr>
      <w:r>
        <w:rPr>
          <w:rFonts w:eastAsia="Times New Roman" w:cs="Times New Roman" w:cstheme="minorAscii" w:eastAsiaTheme="minorAscii" w:ascii="Liberation Serif" w:hAnsi="Liberation Serif"/>
          <w:b/>
          <w:bCs/>
          <w:sz w:val="28"/>
          <w:szCs w:val="28"/>
        </w:rPr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/>
          <w:bCs/>
          <w:sz w:val="28"/>
          <w:szCs w:val="28"/>
        </w:rPr>
        <w:t xml:space="preserve">Dersin Sorumluları: 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>Prof. Dr. Sevil BACANLI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>Doç. Dr. Özge KARADAĞ ATAŞ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>Arş. Gör. Dr. Ceren ÜNAL AKDENİZ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/>
          <w:bCs/>
          <w:sz w:val="28"/>
          <w:szCs w:val="28"/>
        </w:rPr>
        <w:t xml:space="preserve">Ödev Konusu: 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sz w:val="28"/>
          <w:szCs w:val="28"/>
        </w:rPr>
        <w:t>İki Örneklem Hipotez Testleri (Hipotez Testleri, Güven Aralığı, Bağımlı İki Örneklem İncelenmesi) ve Ki-Kare Çözümlemeleri (Uyum İyiliği Testi, Gruplar Arası Fark ve Bağımsızlık Kontrolü)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/>
          <w:bCs/>
          <w:sz w:val="28"/>
          <w:szCs w:val="28"/>
        </w:rPr>
        <w:t xml:space="preserve">Hazırlayanlar: 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>Hasan Efe Kocasu</w:t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>2240329066</w:t>
      </w:r>
    </w:p>
    <w:p>
      <w:pPr>
        <w:pStyle w:val="Normal"/>
        <w:spacing w:lineRule="auto" w:line="240"/>
        <w:rPr>
          <w:rFonts w:ascii="Liberation Serif" w:hAnsi="Liberation Serif" w:eastAsia="Times New Roman" w:cs="Times New Roman" w:cstheme="minorAscii" w:eastAsiaTheme="minorAscii"/>
          <w:b/>
          <w:bCs/>
          <w:sz w:val="28"/>
          <w:szCs w:val="28"/>
        </w:rPr>
      </w:pPr>
      <w:r>
        <w:rPr>
          <w:rFonts w:eastAsia="Times New Roman" w:cs="Times New Roman" w:cstheme="minorAscii" w:eastAsiaTheme="minorAscii" w:ascii="Liberation Serif" w:hAnsi="Liberation Serif"/>
          <w:b/>
          <w:bCs/>
          <w:sz w:val="28"/>
          <w:szCs w:val="28"/>
        </w:rPr>
      </w:r>
    </w:p>
    <w:p>
      <w:pPr>
        <w:pStyle w:val="Heading2"/>
        <w:numPr>
          <w:ilvl w:val="1"/>
          <w:numId w:val="2"/>
        </w:numPr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>Giriş</w:t>
      </w:r>
    </w:p>
    <w:p>
      <w:pPr>
        <w:pStyle w:val="Normal"/>
        <w:spacing w:lineRule="auto" w:line="240"/>
        <w:ind w:firstLine="708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>İST268 İstatistiksel Yöntemler I dersi dönem proje ödevi kapsamında 2 ve 2’den fazla değişken barındıran veri setleri iki başlık altında incelenecek, birinci kısımda: iki örneklem hipotez testleri, güven aralıkları ve verilerin basit istatistikleri incelenecektir. İkinci kısımda ise: Ki-kare çözümlemesinde verilen; uyum iyiliği testi, gruplar arası fark ve bağımsızlık kontrolüne ilişkin çözümlemeler yapılacaktır.</w:t>
      </w:r>
    </w:p>
    <w:p>
      <w:pPr>
        <w:pStyle w:val="Heading3"/>
        <w:numPr>
          <w:ilvl w:val="2"/>
          <w:numId w:val="2"/>
        </w:numPr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>Kullanılacak Veri Setleri:</w:t>
      </w:r>
    </w:p>
    <w:p>
      <w:pPr>
        <w:pStyle w:val="Normal"/>
        <w:spacing w:lineRule="auto" w:line="240"/>
        <w:ind w:hanging="0" w:left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ab/>
        <w:t xml:space="preserve">Bu analiz için R’da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/>
          <w:iCs/>
        </w:rPr>
        <w:t>default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 xml:space="preserve"> gelen </w:t>
      </w:r>
      <w:r>
        <w:rPr>
          <w:rFonts w:eastAsia="Times New Roman" w:cs="Times New Roman" w:ascii="Liberation Serif" w:hAnsi="Liberation Serif" w:cstheme="minorAscii" w:eastAsiaTheme="minorAscii"/>
          <w:b/>
          <w:bCs/>
        </w:rPr>
        <w:t>“mtcars”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 xml:space="preserve"> veri seti üzerinde çalışılacaktır. Bağımlı 2 örneklem analizi içinse yine R’da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/>
          <w:iCs/>
        </w:rPr>
        <w:t>default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 xml:space="preserve"> gelen </w:t>
      </w:r>
      <w:r>
        <w:rPr>
          <w:rFonts w:eastAsia="Times New Roman" w:cs="Times New Roman" w:ascii="Liberation Serif" w:hAnsi="Liberation Serif" w:cstheme="minorAscii" w:eastAsiaTheme="minorAscii"/>
          <w:b/>
          <w:bCs/>
        </w:rPr>
        <w:t>“sleep”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 xml:space="preserve"> veri seti üzerinden analiz yapılacaktır. İki örneklem oran testi içinse yine R’da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/>
          <w:iCs/>
        </w:rPr>
        <w:t>default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 xml:space="preserve"> gelen </w:t>
      </w:r>
      <w:r>
        <w:rPr>
          <w:rFonts w:eastAsia="Times New Roman" w:cs="Times New Roman" w:ascii="Liberation Serif" w:hAnsi="Liberation Serif" w:cstheme="minorAscii" w:eastAsiaTheme="minorAscii"/>
          <w:b/>
          <w:bCs/>
        </w:rPr>
        <w:t>“Titanic”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</w:rPr>
        <w:t xml:space="preserve"> veri seti üzerinde analiz yapılacaktır.</w:t>
      </w:r>
    </w:p>
    <w:p>
      <w:pPr>
        <w:pStyle w:val="Heading3"/>
        <w:numPr>
          <w:ilvl w:val="2"/>
          <w:numId w:val="2"/>
        </w:numPr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>“</w:t>
      </w:r>
      <w:r>
        <w:rPr>
          <w:rFonts w:ascii="Liberation Serif" w:hAnsi="Liberation Serif"/>
        </w:rPr>
        <w:t>mtcars” Veri Seti:</w:t>
      </w:r>
    </w:p>
    <w:p>
      <w:pPr>
        <w:pStyle w:val="Normal"/>
        <w:spacing w:lineRule="auto" w:line="240"/>
        <w:ind w:hanging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sz w:val="24"/>
          <w:szCs w:val="24"/>
          <w:lang w:val="en-US"/>
        </w:rPr>
        <w:t xml:space="preserve">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sz w:val="24"/>
          <w:szCs w:val="24"/>
          <w:lang w:val="en-US"/>
        </w:rPr>
        <w:tab/>
        <w:t xml:space="preserve">“mtcars" veri seti 1972-1974 model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n-US"/>
        </w:rPr>
        <w:t xml:space="preserve">32 araba için 11 değişkenli bir veri barındırıyor. Bu veri seti Motor Trend US dergisinde 1974 yılında yayımlanmıştır. </w:t>
      </w:r>
    </w:p>
    <w:p>
      <w:pPr>
        <w:pStyle w:val="Normal"/>
        <w:spacing w:lineRule="auto" w:line="240"/>
        <w:ind w:hanging="0"/>
        <w:rPr/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n-US"/>
        </w:rPr>
        <w:t xml:space="preserve">(Henderson HV, Velleman PF (1981). “Building Multiple Regression Models Interactively.”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/>
          <w:iCs/>
          <w:caps w:val="false"/>
          <w:smallCaps w:val="false"/>
          <w:color w:themeColor="text1" w:val="000000"/>
          <w:sz w:val="24"/>
          <w:szCs w:val="24"/>
          <w:lang w:val="en-US"/>
        </w:rPr>
        <w:t>Biometrics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n-US"/>
        </w:rPr>
        <w:t xml:space="preserve">, </w:t>
      </w:r>
      <w:r>
        <w:rPr>
          <w:rFonts w:eastAsia="Times New Roman" w:cs="Times New Roman" w:ascii="Liberation Serif" w:hAnsi="Liberation Serif" w:cstheme="minorAscii" w:eastAsiaTheme="minorAscii"/>
          <w:b/>
          <w:bCs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n-US"/>
        </w:rPr>
        <w:t>37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color w:themeColor="text1" w:val="000000"/>
          <w:sz w:val="24"/>
          <w:szCs w:val="24"/>
          <w:lang w:val="en-US"/>
        </w:rPr>
        <w:t xml:space="preserve">(2), 391–411.), 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(</w:t>
      </w:r>
      <w:hyperlink r:id="rId2">
        <w:r>
          <w:rPr>
            <w:rStyle w:val="Hyperlink"/>
            <w:rFonts w:eastAsia="Times New Roman" w:cs="Times New Roman" w:ascii="Liberation Serif" w:hAnsi="Liberation Serif" w:cstheme="minorAscii" w:eastAsiaTheme="minorAscii"/>
            <w:b w:val="false"/>
            <w:bCs w:val="false"/>
            <w:i w:val="false"/>
            <w:iCs w:val="false"/>
            <w:caps w:val="false"/>
            <w:smallCaps w:val="false"/>
            <w:sz w:val="24"/>
            <w:szCs w:val="24"/>
            <w:lang w:val="en-US"/>
          </w:rPr>
          <w:t>https://www.jstor.org/stable/2530428?origin=crossref&amp;seq=5</w:t>
        </w:r>
      </w:hyperlink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)</w:t>
      </w:r>
    </w:p>
    <w:p>
      <w:pPr>
        <w:pStyle w:val="Normal"/>
        <w:spacing w:lineRule="auto" w:line="240"/>
        <w:ind w:hanging="0" w:left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ab/>
        <w:t>“mtcars” veri seti içerisinde iki örneklem analizleri incelenirken arabalar “transmission” yani vites sistemlerine göre  iki gruba ayırarak incelenmiştir. (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/>
          <w:iCs/>
          <w:caps w:val="false"/>
          <w:smallCaps w:val="false"/>
          <w:sz w:val="24"/>
          <w:szCs w:val="24"/>
          <w:lang w:val="en-US"/>
        </w:rPr>
        <w:t>0 = automatic, 1 = manuel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) Gruplar “mpg” değişkenine bakılarak incelenecekler, mpg değişkeni araçların mil başına tükettikleri galon miktarını içermektedir.</w:t>
      </w:r>
    </w:p>
    <w:p>
      <w:pPr>
        <w:pStyle w:val="Heading3"/>
        <w:numPr>
          <w:ilvl w:val="2"/>
          <w:numId w:val="2"/>
        </w:numPr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>“</w:t>
      </w:r>
      <w:r>
        <w:rPr>
          <w:rFonts w:ascii="Liberation Serif" w:hAnsi="Liberation Serif"/>
        </w:rPr>
        <w:t>Titanic” Veri Seti:</w:t>
      </w:r>
    </w:p>
    <w:p>
      <w:pPr>
        <w:pStyle w:val="Normal"/>
        <w:spacing w:lineRule="auto" w:line="240"/>
        <w:ind w:hanging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ab/>
        <w:t xml:space="preserve">“Titanic” veri seti Titanic gemisindeki her bir yolcunun sınıfı, cinsiyeti, yaşı ve hayatta kalma durumunu kaydeden bir veri seti sunmaktadır. Veri 4 kategori altında yapılandırılmıştır. </w:t>
      </w:r>
    </w:p>
    <w:p>
      <w:pPr>
        <w:pStyle w:val="Normal"/>
        <w:spacing w:lineRule="auto" w:line="240"/>
        <w:ind w:hanging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Bu veri, aslen İngiliz Ticaret Bakanlığı tarafından toplanmış ve şu eserde yeniden basılmış verilere dayanmaktadır: </w:t>
      </w:r>
    </w:p>
    <w:p>
      <w:pPr>
        <w:pStyle w:val="Normal"/>
        <w:spacing w:lineRule="auto" w:line="240"/>
        <w:ind w:hanging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(British Government (1990). Report on the Loss of the SS Titanic. Allan Sutton Publishing, Gloucester, UK. ISBN 978-0862997236.)</w:t>
      </w:r>
    </w:p>
    <w:p>
      <w:pPr>
        <w:pStyle w:val="Normal"/>
        <w:spacing w:lineRule="auto" w:line="240"/>
        <w:ind w:hanging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 xml:space="preserve">Bu veri seti üzerine R’da yapılan araştırmanın kaynağı ise: </w:t>
      </w:r>
    </w:p>
    <w:p>
      <w:pPr>
        <w:pStyle w:val="Normal"/>
        <w:spacing w:lineRule="auto" w:line="240"/>
        <w:ind w:hanging="0"/>
        <w:rPr/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Dawson RJM (1995). “The “Unusual Episode” Data Revisited.” Journal of Statistics Education, 3(3). (</w:t>
      </w:r>
      <w:hyperlink r:id="rId3">
        <w:r>
          <w:rPr>
            <w:rStyle w:val="Hyperlink"/>
            <w:rFonts w:eastAsia="Times New Roman" w:cs="Times New Roman" w:ascii="Liberation Serif" w:hAnsi="Liberation Serif" w:cstheme="minorAscii" w:eastAsiaTheme="minorAscii"/>
            <w:b w:val="false"/>
            <w:bCs w:val="false"/>
            <w:i w:val="false"/>
            <w:iCs w:val="false"/>
            <w:caps w:val="false"/>
            <w:smallCaps w:val="false"/>
            <w:sz w:val="24"/>
            <w:szCs w:val="24"/>
            <w:lang w:val="en-US"/>
          </w:rPr>
          <w:t>https://www.tandfonline.com/doi/full/10.1080/10691898.1995.11910499</w:t>
        </w:r>
      </w:hyperlink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)</w:t>
      </w:r>
    </w:p>
    <w:p>
      <w:pPr>
        <w:pStyle w:val="Heading3"/>
        <w:numPr>
          <w:ilvl w:val="2"/>
          <w:numId w:val="2"/>
        </w:numPr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>“</w:t>
      </w:r>
      <w:r>
        <w:rPr>
          <w:rFonts w:ascii="Liberation Serif" w:hAnsi="Liberation Serif"/>
        </w:rPr>
        <w:t>sleep” Veri Seti:</w:t>
      </w:r>
    </w:p>
    <w:p>
      <w:pPr>
        <w:pStyle w:val="Normal"/>
        <w:spacing w:lineRule="auto" w:line="240"/>
        <w:ind w:hanging="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“</w:t>
      </w:r>
      <w:r>
        <w:rPr>
          <w:rFonts w:eastAsia="Times New Roman" w:cs="Times New Roman" w:ascii="Liberation Serif" w:hAnsi="Liberation Serif" w:cstheme="minorAscii" w:eastAsiaTheme="minorAscii"/>
          <w:b w:val="false"/>
          <w:bCs w:val="false"/>
          <w:i w:val="false"/>
          <w:iCs w:val="false"/>
          <w:caps w:val="false"/>
          <w:smallCaps w:val="false"/>
          <w:sz w:val="24"/>
          <w:szCs w:val="24"/>
          <w:lang w:val="en-US"/>
        </w:rPr>
        <w:t>sleep” veri seti 2 grup öğrenci denek arasında yapılan 2 ilacın uyku sürelerine etkisi üzerine bilgi içermektedir. 3 değişken barındırmaktadır ve bunlar sırasıyla “d”, “group”, “ID”. “d” ilaç verildikten sonra öğrencilerde meydana gelen uyku sürelerindeki artış miktarıdır yani farkıdır (sonra – önce). “group” 2 gruba ayrılan öğrenci gruplarını temsil eder ve gruplar “1” ve “2” değerleri ile ayrıştırılmıştır. “ID” değişkeni ise verilerin, öğrencilerin sırasıyla numaralandırılarak eşlenmesi sağlanmıştır.</w:t>
      </w:r>
    </w:p>
    <w:p>
      <w:pPr>
        <w:pStyle w:val="Heading1"/>
        <w:rPr/>
      </w:pPr>
      <w:r>
        <w:rPr>
          <w:rStyle w:val="Heading2Char"/>
          <w:rFonts w:ascii="Liberation Serif" w:hAnsi="Liberation Serif"/>
          <w:sz w:val="40"/>
          <w:szCs w:val="40"/>
        </w:rPr>
        <w:t>1. İki Örneklem Analizleri</w:t>
      </w:r>
      <w:r>
        <w:rPr>
          <w:rFonts w:ascii="Liberation Serif" w:hAnsi="Liberation Serif"/>
        </w:rPr>
        <w:tab/>
      </w:r>
    </w:p>
    <w:p>
      <w:pPr>
        <w:pStyle w:val="Normal"/>
        <w:spacing w:lineRule="auto" w:line="240"/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ab/>
        <w:t>Bu başlık altında veri setleri üzerinde iki örneklem; hipotez testlerini, güven aralıklarını ve verilerin basit istatistikleri elde edilerek yorumlanacaktır.</w:t>
      </w:r>
    </w:p>
    <w:p>
      <w:pPr>
        <w:pStyle w:val="Heading2"/>
        <w:numPr>
          <w:ilvl w:val="1"/>
          <w:numId w:val="2"/>
        </w:numPr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1.1 </w:t>
      </w:r>
      <w:r>
        <w:rPr>
          <w:rFonts w:ascii="Liberation Serif" w:hAnsi="Liberation Serif"/>
        </w:rPr>
        <w:t>Kitle Ortalaması Analizi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Bu başlık altında kitle ortalaması (</w:t>
      </w:r>
      <w:r>
        <w:rPr>
          <w:rFonts w:eastAsia="Times New Roman" w:cs="" w:ascii="Liberation Serif" w:hAnsi="Liberation Serif"/>
        </w:rPr>
        <w:t xml:space="preserve">µ)’na dair hipotez testi, güven aralığı ve verilerin basit istatistikleri analiz edilecektir.  Bu analiz için daha önceden tanıtımı yapılan “mtcars” verisi kullanılacaktır. </w:t>
      </w:r>
      <w:r>
        <w:rPr>
          <w:rFonts w:eastAsia="Times New Roman" w:cs="" w:ascii="Liberation Serif" w:hAnsi="Liberation Serif"/>
        </w:rPr>
        <w:t>Verideki 2 grubu sırasıyla 0(automatic) ve 1(manuel) olan verileri labelları atamak için factor fonksiyonunu kullanılmıştır. “mpg” değişkeni de daha kolay kullanım için “yakit” değişkeni olarak tanımlanmıştır.</w:t>
      </w:r>
    </w:p>
    <w:p>
      <w:pPr>
        <w:pStyle w:val="BodyText"/>
        <w:rPr>
          <w:rFonts w:ascii="Liberation Serif" w:hAnsi="Liberation Serif" w:eastAsia="Times New Roman" w:cs=""/>
        </w:rPr>
      </w:pPr>
      <w:r>
        <w:rPr>
          <w:rFonts w:eastAsia="Times New Roman" w:cs="" w:ascii="Liberation Serif" w:hAnsi="Liberation Serif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39090"/>
            <wp:effectExtent l="0" t="0" r="0" b="0"/>
            <wp:wrapSquare wrapText="largest"/>
            <wp:docPr id="1" name="Görüntü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örüntü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9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" w:ascii="Liberation Serif" w:hAnsi="Liberation Serif"/>
        </w:rPr>
        <w:t xml:space="preserve"> </w:t>
      </w:r>
    </w:p>
    <w:p>
      <w:pPr>
        <w:pStyle w:val="Normal"/>
        <w:spacing w:lineRule="auto" w:line="240"/>
        <w:rPr>
          <w:rFonts w:ascii="Liberation Serif" w:hAnsi="Liberation Serif" w:eastAsia="Times New Roman" w:cs="Times New Roman" w:cstheme="minorAscii" w:eastAsiaTheme="minorAscii"/>
          <w:b/>
          <w:bCs/>
          <w:sz w:val="28"/>
          <w:szCs w:val="28"/>
        </w:rPr>
      </w:pPr>
      <w:r>
        <w:rPr>
          <w:rFonts w:eastAsia="Times New Roman" w:cs="Times New Roman" w:cstheme="minorAscii" w:eastAsiaTheme="minorAscii" w:ascii="Liberation Serif" w:hAnsi="Liberation Serif"/>
          <w:b/>
          <w:bCs/>
          <w:sz w:val="28"/>
          <w:szCs w:val="28"/>
        </w:rPr>
      </w:r>
    </w:p>
    <w:p>
      <w:pPr>
        <w:pStyle w:val="Normal"/>
        <w:spacing w:lineRule="auto" w:line="240"/>
        <w:rPr>
          <w:rFonts w:ascii="Liberation Serif" w:hAnsi="Liberation Serif" w:eastAsia="Times New Roman" w:cs="Times New Roman" w:cstheme="minorAscii" w:eastAsiaTheme="minorAscii"/>
          <w:b/>
          <w:bCs/>
          <w:sz w:val="28"/>
          <w:szCs w:val="28"/>
        </w:rPr>
      </w:pPr>
      <w:r>
        <w:rPr>
          <w:rFonts w:eastAsia="Times New Roman" w:cs="Times New Roman" w:cstheme="minorAscii" w:eastAsiaTheme="minorAscii" w:ascii="Liberation Serif" w:hAnsi="Liberation Serif"/>
          <w:b/>
          <w:bCs/>
          <w:sz w:val="28"/>
          <w:szCs w:val="28"/>
        </w:rPr>
      </w:r>
    </w:p>
    <w:p>
      <w:pPr>
        <w:pStyle w:val="Normal"/>
        <w:spacing w:lineRule="auto" w:line="240"/>
        <w:rPr>
          <w:rFonts w:ascii="Liberation Serif" w:hAnsi="Liberation Serif" w:eastAsia="Times New Roman" w:cs="Times New Roman" w:cstheme="minorAscii" w:eastAsiaTheme="minorAscii"/>
          <w:b/>
          <w:bCs/>
          <w:sz w:val="28"/>
          <w:szCs w:val="28"/>
        </w:rPr>
      </w:pPr>
      <w:r>
        <w:rPr>
          <w:rFonts w:eastAsia="Times New Roman" w:cs="Times New Roman" w:cstheme="minorAscii" w:eastAsiaTheme="minorAscii" w:ascii="Liberation Serif" w:hAnsi="Liberation Serif"/>
          <w:b/>
          <w:bCs/>
          <w:sz w:val="28"/>
          <w:szCs w:val="28"/>
        </w:rPr>
        <w:t>Verinin Basit İstatistikleri:</w:t>
      </w:r>
    </w:p>
    <w:p>
      <w:pPr>
        <w:pStyle w:val="Normal"/>
        <w:spacing w:lineRule="auto" w:line="240"/>
        <w:rPr>
          <w:rFonts w:ascii="Liberation Serif" w:hAnsi="Liberation Serif" w:eastAsia="Times New Roman" w:cs="Times New Roman" w:cstheme="minorAscii" w:eastAsiaTheme="minorAscii"/>
        </w:rPr>
      </w:pPr>
      <w:r>
        <w:rPr>
          <w:rFonts w:eastAsia="Times New Roman" w:cs="Times New Roman" w:cstheme="minorAscii" w:eastAsiaTheme="minorAscii" w:ascii="Liberation Serif" w:hAnsi="Liberation Serif"/>
        </w:rPr>
        <w:t>“</w:t>
      </w:r>
      <w:r>
        <w:rPr>
          <w:rFonts w:eastAsia="Times New Roman" w:cs="Times New Roman" w:cstheme="minorAscii" w:eastAsiaTheme="minorAscii" w:ascii="Liberation Serif" w:hAnsi="Liberation Serif"/>
        </w:rPr>
        <w:t>automatic” ve “manuel” araçların yakıt tüketimlerinin örneklem ortalamaları, örneklem büyüklükleri ve örneklem varyansları aşağıdaki kod ile hesaplanmış ve verilmiştir.</w:t>
      </w:r>
    </w:p>
    <w:p>
      <w:pPr>
        <w:pStyle w:val="Normal"/>
        <w:spacing w:lineRule="auto" w:line="240"/>
        <w:rPr>
          <w:rFonts w:ascii="Liberation Serif" w:hAnsi="Liberation Serif" w:eastAsia="Times New Roman" w:cs="Times New Roman" w:cstheme="minorAscii" w:eastAsiaTheme="minorAscii"/>
        </w:rPr>
      </w:pPr>
      <w:r>
        <w:rPr>
          <w:rFonts w:eastAsia="Times New Roman" w:cs="Times New Roman" w:cstheme="minorAscii" w:eastAsiaTheme="minorAscii" w:ascii="Liberation Serif" w:hAnsi="Liberation Serif"/>
        </w:rP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posOffset>-66040</wp:posOffset>
            </wp:positionH>
            <wp:positionV relativeFrom="paragraph">
              <wp:posOffset>161290</wp:posOffset>
            </wp:positionV>
            <wp:extent cx="2352040" cy="1466850"/>
            <wp:effectExtent l="0" t="0" r="0" b="0"/>
            <wp:wrapSquare wrapText="largest"/>
            <wp:docPr id="2" name="Görüntü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örüntü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2040" cy="1466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 xml:space="preserve">  </w:t>
      </w:r>
      <w:r>
        <w:rPr>
          <w:rFonts w:eastAsia="Times New Roman" w:cs="Times New Roman" w:ascii="Liberation Serif" w:hAnsi="Liberation Serif" w:cstheme="minorAscii" w:eastAsiaTheme="minorAscii"/>
        </w:rPr>
        <w:tab/>
        <w:t>Otomatik vitesli araçların istatistikleri :</w:t>
      </w:r>
      <w:r>
        <w:rPr>
          <w:rFonts w:ascii="Liberation Serif" w:hAnsi="Liberation Serif"/>
        </w:rPr>
        <w:br/>
        <w:t xml:space="preserve">    </w:t>
        <w:tab/>
      </w:r>
      <w:r>
        <w:rPr>
          <w:rFonts w:ascii="Liberation Serif" w:hAnsi="Liberation Serif"/>
        </w:rPr>
      </w:r>
      <m:oMath xmlns:m="http://schemas.openxmlformats.org/officeDocument/2006/math">
        <m:bar>
          <m:barPr>
            <m:pos m:val="top"/>
          </m:barPr>
          <m:e>
            <m:sSub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b>
                <m:r>
                  <w:rPr>
                    <w:rFonts w:ascii="Cambria Math" w:hAnsi="Cambria Math"/>
                  </w:rPr>
                  <m:t xml:space="preserve">o</m:t>
                </m:r>
              </m:sub>
            </m:sSub>
          </m:e>
        </m:bar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17,14737</m:t>
        </m:r>
      </m:oMath>
      <w:r>
        <w:rPr>
          <w:rFonts w:ascii="Liberation Serif" w:hAnsi="Liberation Serif"/>
        </w:rPr>
        <w:t xml:space="preserve">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o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19</m:t>
        </m:r>
      </m:oMath>
      <w:r>
        <w:rPr>
          <w:rFonts w:ascii="Liberation Serif" w:hAnsi="Liberation Serif"/>
        </w:rPr>
        <w:t xml:space="preserve">   </w:t>
      </w:r>
      <w:r>
        <w:rPr>
          <w:rFonts w:ascii="Liberation Serif" w:hAnsi="Liberation Serif"/>
        </w:rPr>
      </w:r>
      <m:oMath xmlns:m="http://schemas.openxmlformats.org/officeDocument/2006/math">
        <m:sSup>
          <m:e>
            <m:sSub>
              <m:e>
                <m:r>
                  <w:rPr>
                    <w:rFonts w:ascii="Cambria Math" w:hAnsi="Cambria Math"/>
                  </w:rPr>
                  <m:t xml:space="preserve">S</m:t>
                </m:r>
              </m:e>
              <m:sub>
                <m:r>
                  <w:rPr>
                    <w:rFonts w:ascii="Cambria Math" w:hAnsi="Cambria Math"/>
                  </w:rPr>
                  <m:t xml:space="preserve">o</m:t>
                </m:r>
              </m:sub>
            </m:sSub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14,69937</m:t>
        </m:r>
      </m:oMath>
    </w:p>
    <w:p>
      <w:pPr>
        <w:pStyle w:val="Normal"/>
        <w:spacing w:lineRule="auto" w:line="240" w:before="0" w:after="160"/>
        <w:rPr>
          <w:rFonts w:ascii="Liberation Serif" w:hAnsi="Liberation Serif"/>
        </w:rPr>
      </w:pPr>
      <w:r>
        <w:rPr>
          <w:rFonts w:eastAsia="Times New Roman" w:cs="Times New Roman" w:ascii="Liberation Serif" w:hAnsi="Liberation Serif" w:cstheme="minorAscii" w:eastAsiaTheme="minorAscii"/>
        </w:rPr>
        <w:t xml:space="preserve"> </w:t>
      </w:r>
      <w:r>
        <w:rPr>
          <w:rFonts w:eastAsia="Times New Roman" w:cs="Times New Roman" w:ascii="Liberation Serif" w:hAnsi="Liberation Serif" w:cstheme="minorAscii" w:eastAsiaTheme="minorAscii"/>
        </w:rPr>
        <w:tab/>
        <w:t>Manuel vitesli araçların istatistikleri :</w:t>
      </w:r>
    </w:p>
    <w:p>
      <w:pPr>
        <w:pStyle w:val="Normal"/>
        <w:spacing w:lineRule="auto" w:line="240" w:before="0" w:after="16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 </w:t>
      </w:r>
      <w:r>
        <w:rPr>
          <w:rFonts w:ascii="Liberation Serif" w:hAnsi="Liberation Serif"/>
        </w:rPr>
        <w:tab/>
      </w:r>
      <w:r>
        <w:rPr>
          <w:rFonts w:ascii="Liberation Serif" w:hAnsi="Liberation Serif"/>
        </w:rPr>
      </w:r>
      <m:oMath xmlns:m="http://schemas.openxmlformats.org/officeDocument/2006/math">
        <m:bar>
          <m:barPr>
            <m:pos m:val="top"/>
          </m:barPr>
          <m:e>
            <m:sSub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b>
                <m:r>
                  <w:rPr>
                    <w:rFonts w:ascii="Cambria Math" w:hAnsi="Cambria Math"/>
                  </w:rPr>
                  <m:t xml:space="preserve">m</m:t>
                </m:r>
              </m:sub>
            </m:sSub>
          </m:e>
        </m:bar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24.39231</m:t>
        </m:r>
      </m:oMath>
      <w:r>
        <w:rPr>
          <w:rFonts w:ascii="Liberation Serif" w:hAnsi="Liberation Serif"/>
        </w:rPr>
        <w:t xml:space="preserve">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m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13</m:t>
        </m:r>
      </m:oMath>
      <w:r>
        <w:rPr>
          <w:rFonts w:ascii="Liberation Serif" w:hAnsi="Liberation Serif"/>
        </w:rPr>
        <w:t xml:space="preserve">  </w:t>
      </w:r>
      <w:r>
        <w:rPr>
          <w:rFonts w:ascii="Liberation Serif" w:hAnsi="Liberation Serif"/>
        </w:rPr>
      </w:r>
      <m:oMath xmlns:m="http://schemas.openxmlformats.org/officeDocument/2006/math">
        <m:sSup>
          <m:e>
            <m:sSub>
              <m:e>
                <m:r>
                  <w:rPr>
                    <w:rFonts w:ascii="Cambria Math" w:hAnsi="Cambria Math"/>
                  </w:rPr>
                  <m:t xml:space="preserve">S</m:t>
                </m:r>
              </m:e>
              <m:sub>
                <m:r>
                  <w:rPr>
                    <w:rFonts w:ascii="Cambria Math" w:hAnsi="Cambria Math"/>
                  </w:rPr>
                  <m:t xml:space="preserve">m</m:t>
                </m:r>
              </m:sub>
            </m:sSub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38.02577</m:t>
        </m:r>
      </m:oMath>
    </w:p>
    <w:p>
      <w:pPr>
        <w:pStyle w:val="Normal"/>
        <w:spacing w:lineRule="auto" w:line="240" w:before="0" w:after="16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spacing w:lineRule="auto" w:line="240" w:before="0" w:after="16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“</w:t>
      </w:r>
      <w:r>
        <w:rPr>
          <w:rFonts w:ascii="Liberation Serif" w:hAnsi="Liberation Serif"/>
        </w:rPr>
        <w:t xml:space="preserve">tapply” fonksiyonu ile birden fazla değişkene </w:t>
      </w:r>
      <w:r>
        <w:rPr>
          <w:rFonts w:ascii="Liberation Serif" w:hAnsi="Liberation Serif"/>
        </w:rPr>
        <w:t>gerekli</w:t>
      </w:r>
      <w:r>
        <w:rPr>
          <w:rFonts w:ascii="Liberation Serif" w:hAnsi="Liberation Serif"/>
        </w:rPr>
        <w:t xml:space="preserve"> fonksiyonlar uygulanmıştır.</w:t>
      </w:r>
    </w:p>
    <w:p>
      <w:pPr>
        <w:pStyle w:val="Normal"/>
        <w:spacing w:lineRule="auto" w:line="240" w:before="0" w:after="16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“</w:t>
      </w:r>
      <w:r>
        <w:rPr>
          <w:rFonts w:ascii="Liberation Serif" w:hAnsi="Liberation Serif"/>
        </w:rPr>
        <w:t>mean</w:t>
      </w:r>
      <w:r>
        <w:rPr>
          <w:rFonts w:ascii="Liberation Serif" w:hAnsi="Liberation Serif"/>
        </w:rPr>
        <w:t xml:space="preserve">” </w:t>
      </w:r>
      <w:r>
        <w:rPr>
          <w:rFonts w:ascii="Liberation Serif" w:hAnsi="Liberation Serif"/>
        </w:rPr>
        <w:t>fonksiyonu ile örneklemin ortalaması, “var” fonksiyonu ile varyans, “length” fonksiyonu ile örneklem büyüklüğü bulunmuştur.</w:t>
      </w:r>
    </w:p>
    <w:p>
      <w:pPr>
        <w:pStyle w:val="Heading3"/>
        <w:numPr>
          <w:ilvl w:val="2"/>
          <w:numId w:val="2"/>
        </w:numPr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>İki Örneklem Kitle Ortalaması Hipotez Testi</w:t>
      </w:r>
    </w:p>
    <w:p>
      <w:pPr>
        <w:pStyle w:val="Normal"/>
        <w:spacing w:lineRule="auto" w:line="240" w:before="0" w:after="16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Otomatik vitesli araçlar ile manuel vitesli araçların yakıt tüketimlerinin ortalamalarının eşit olup olmadığı %</w:t>
      </w:r>
      <w:r>
        <w:rPr>
          <w:rFonts w:ascii="Liberation Serif" w:hAnsi="Liberation Serif"/>
        </w:rPr>
        <w:t xml:space="preserve">95 güven düzeyinde </w:t>
      </w:r>
      <w:r>
        <w:rPr>
          <w:rFonts w:ascii="Liberation Serif" w:hAnsi="Liberation Serif"/>
        </w:rPr>
        <w:t>test edilecektir. O halde hipotezimiz :</w:t>
      </w:r>
    </w:p>
    <w:p>
      <w:pPr>
        <w:pStyle w:val="Normal"/>
        <w:spacing w:lineRule="auto" w:line="240" w:before="0" w:after="160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0</m:t>
              </m:r>
            </m:sub>
          </m:sSub>
          <m:r>
            <w:rPr>
              <w:rFonts w:ascii="Cambria Math" w:hAnsi="Cambria Math"/>
            </w:rPr>
            <m:t xml:space="preserve">:</m:t>
          </m:r>
          <m:sSub>
            <m:e>
              <m:r>
                <w:rPr>
                  <w:rFonts w:ascii="Cambria Math" w:hAnsi="Cambria Math"/>
                </w:rPr>
                <m:t xml:space="preserve">µ</m:t>
              </m:r>
            </m:e>
            <m:sub>
              <m:r>
                <w:rPr>
                  <w:rFonts w:ascii="Cambria Math" w:hAnsi="Cambria Math"/>
                </w:rPr>
                <m:t xml:space="preserve">o</m:t>
              </m:r>
            </m:sub>
          </m:sSub>
          <m: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µ</m:t>
              </m:r>
            </m:e>
            <m:sub>
              <m:r>
                <w:rPr>
                  <w:rFonts w:ascii="Cambria Math" w:hAnsi="Cambria Math"/>
                </w:rPr>
                <m:t xml:space="preserve">m</m:t>
              </m:r>
            </m:sub>
          </m:sSub>
        </m:oMath>
      </m:oMathPara>
    </w:p>
    <w:p>
      <w:pPr>
        <w:pStyle w:val="Normal"/>
        <w:spacing w:lineRule="auto" w:line="240" w:before="0" w:after="160"/>
        <w:jc w:val="left"/>
        <w:rPr>
          <w:rFonts w:ascii="Liberation Serif" w:hAnsi="Liberation Serif" w:eastAsia="Times New Roman" w:cs=""/>
        </w:rPr>
      </w:pPr>
      <w:r>
        <w:rPr>
          <w:rFonts w:eastAsia="Times New Roman" w:cs="" w:ascii="Liberation Serif" w:hAnsi="Liberation Serif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s</m:t>
              </m:r>
            </m:sub>
          </m:sSub>
          <m:r>
            <w:rPr>
              <w:rFonts w:ascii="Cambria Math" w:hAnsi="Cambria Math"/>
            </w:rPr>
            <m:t xml:space="preserve">:</m:t>
          </m:r>
          <m:sSub>
            <m:e>
              <m:r>
                <w:rPr>
                  <w:rFonts w:ascii="Cambria Math" w:hAnsi="Cambria Math"/>
                </w:rPr>
                <m:t xml:space="preserve">µ</m:t>
              </m:r>
            </m:e>
            <m:sub>
              <m:r>
                <w:rPr>
                  <w:rFonts w:ascii="Cambria Math" w:hAnsi="Cambria Math"/>
                </w:rPr>
                <m:t xml:space="preserve">o</m:t>
              </m:r>
            </m:sub>
          </m:sSub>
          <m:r>
            <w:rPr>
              <w:rFonts w:ascii="Cambria Math" w:hAnsi="Cambria Math"/>
            </w:rPr>
            <m:t xml:space="preserve">≠</m:t>
          </m:r>
          <m:sSub>
            <m:e>
              <m:r>
                <w:rPr>
                  <w:rFonts w:ascii="Cambria Math" w:hAnsi="Cambria Math"/>
                </w:rPr>
                <m:t xml:space="preserve">µ</m:t>
              </m:r>
            </m:e>
            <m:sub>
              <m:r>
                <w:rPr>
                  <w:rFonts w:ascii="Cambria Math" w:hAnsi="Cambria Math"/>
                </w:rPr>
                <m:t xml:space="preserve">m</m:t>
              </m:r>
            </m:sub>
          </m:sSub>
        </m:oMath>
      </m:oMathPara>
    </w:p>
    <w:p>
      <w:pPr>
        <w:pStyle w:val="Normal"/>
        <w:spacing w:lineRule="auto" w:line="240" w:before="0" w:after="160"/>
        <w:jc w:val="left"/>
        <w:rPr>
          <w:rFonts w:ascii="Liberation Serif" w:hAnsi="Liberation Serif" w:eastAsia="Times New Roman" w:cs=""/>
        </w:rPr>
      </w:pPr>
      <w:r>
        <w:rPr>
          <w:rFonts w:eastAsia="Times New Roman" w:cs="" w:ascii="Liberation Serif" w:hAnsi="Liberation Serif"/>
        </w:rPr>
        <w:t>Kitle varyansları bilinmiyor. Örneklem büyüklükleri 30 dan küçük, sırasıyla 19 ve 13 olduğundan dolayı MLT de kullanılamaz. Kitle varyanslarının homojenliğine göre hangi t testi yapılması gerektiği belirlenecektir. (Bu sayede kitle varyansları hipotez testi de bir yandan incelenecektir.)</w:t>
      </w:r>
    </w:p>
    <w:p>
      <w:pPr>
        <w:pStyle w:val="Heading3"/>
        <w:numPr>
          <w:ilvl w:val="2"/>
          <w:numId w:val="2"/>
        </w:numPr>
        <w:ind w:hanging="0" w:left="0"/>
        <w:rPr>
          <w:rFonts w:ascii="Liberation Serif" w:hAnsi="Liberation Serif"/>
        </w:rPr>
      </w:pPr>
      <w:r>
        <w:rPr>
          <w:rFonts w:ascii="Liberation Serif" w:hAnsi="Liberation Serif"/>
        </w:rPr>
        <w:t>(1.2 Kitle Varyansı Analizi)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Kitle varyansları homojenlik hipotez testi (F-testi) :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posOffset>1388745</wp:posOffset>
            </wp:positionH>
            <wp:positionV relativeFrom="paragraph">
              <wp:posOffset>5715</wp:posOffset>
            </wp:positionV>
            <wp:extent cx="2971165" cy="161925"/>
            <wp:effectExtent l="0" t="0" r="0" b="0"/>
            <wp:wrapSquare wrapText="largest"/>
            <wp:docPr id="3" name="Görüntü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örüntü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165" cy="161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posOffset>1366520</wp:posOffset>
            </wp:positionH>
            <wp:positionV relativeFrom="paragraph">
              <wp:posOffset>210185</wp:posOffset>
            </wp:positionV>
            <wp:extent cx="5019040" cy="1676400"/>
            <wp:effectExtent l="0" t="0" r="0" b="0"/>
            <wp:wrapSquare wrapText="largest"/>
            <wp:docPr id="4" name="Görüntü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örüntü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040" cy="167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0</m:t>
              </m:r>
            </m:sub>
          </m:sSub>
          <m:r>
            <w:rPr>
              <w:rFonts w:ascii="Cambria Math" w:hAnsi="Cambria Math"/>
            </w:rPr>
            <m:t xml:space="preserve">:</m:t>
          </m:r>
          <m:sSubSup>
            <m:e>
              <m:r>
                <w:rPr>
                  <w:rFonts w:ascii="Cambria Math" w:hAnsi="Cambria Math"/>
                </w:rPr>
                <m:t xml:space="preserve">σ</m:t>
              </m:r>
            </m:e>
            <m:sub>
              <m:r>
                <w:rPr>
                  <w:rFonts w:ascii="Cambria Math" w:hAnsi="Cambria Math"/>
                </w:rPr>
                <m:t xml:space="preserve">o</m:t>
              </m:r>
            </m:sub>
            <m:sup>
              <m:r>
                <w:rPr>
                  <w:rFonts w:ascii="Cambria Math" w:hAnsi="Cambria Math"/>
                </w:rPr>
                <m:t xml:space="preserve">2</m:t>
              </m:r>
            </m:sup>
          </m:sSubSup>
          <m:r>
            <w:rPr>
              <w:rFonts w:ascii="Cambria Math" w:hAnsi="Cambria Math"/>
            </w:rPr>
            <m:t xml:space="preserve">=</m:t>
          </m:r>
          <m:sSubSup>
            <m:e>
              <m:r>
                <w:rPr>
                  <w:rFonts w:ascii="Cambria Math" w:hAnsi="Cambria Math"/>
                </w:rPr>
                <m:t xml:space="preserve">σ</m:t>
              </m:r>
            </m:e>
            <m:sub>
              <m:r>
                <w:rPr>
                  <w:rFonts w:ascii="Cambria Math" w:hAnsi="Cambria Math"/>
                </w:rPr>
                <m:t xml:space="preserve">m</m:t>
              </m:r>
            </m:sub>
            <m:sup>
              <m:r>
                <w:rPr>
                  <w:rFonts w:ascii="Cambria Math" w:hAnsi="Cambria Math"/>
                </w:rPr>
                <m:t xml:space="preserve">2</m:t>
              </m:r>
            </m:sup>
          </m:sSubSup>
        </m:oMath>
      </m:oMathPara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H</m:t>
              </m:r>
            </m:e>
            <m:sub>
              <m:r>
                <w:rPr>
                  <w:rFonts w:ascii="Cambria Math" w:hAnsi="Cambria Math"/>
                </w:rPr>
                <m:t xml:space="preserve">s</m:t>
              </m:r>
            </m:sub>
          </m:sSub>
          <m:r>
            <w:rPr>
              <w:rFonts w:ascii="Cambria Math" w:hAnsi="Cambria Math"/>
            </w:rPr>
            <m:t xml:space="preserve">:</m:t>
          </m:r>
          <m:sSubSup>
            <m:e>
              <m:r>
                <w:rPr>
                  <w:rFonts w:ascii="Cambria Math" w:hAnsi="Cambria Math"/>
                </w:rPr>
                <m:t xml:space="preserve">σ</m:t>
              </m:r>
            </m:e>
            <m:sub>
              <m:r>
                <w:rPr>
                  <w:rFonts w:ascii="Cambria Math" w:hAnsi="Cambria Math"/>
                </w:rPr>
                <m:t xml:space="preserve">o</m:t>
              </m:r>
            </m:sub>
            <m:sup>
              <m:r>
                <w:rPr>
                  <w:rFonts w:ascii="Cambria Math" w:hAnsi="Cambria Math"/>
                </w:rPr>
                <m:t xml:space="preserve">2</m:t>
              </m:r>
            </m:sup>
          </m:sSubSup>
          <m:r>
            <w:rPr>
              <w:rFonts w:ascii="Cambria Math" w:hAnsi="Cambria Math"/>
            </w:rPr>
            <m:t xml:space="preserve">≠</m:t>
          </m:r>
          <m:sSubSup>
            <m:e>
              <m:r>
                <w:rPr>
                  <w:rFonts w:ascii="Cambria Math" w:hAnsi="Cambria Math"/>
                </w:rPr>
                <m:t xml:space="preserve">σ</m:t>
              </m:r>
            </m:e>
            <m:sub>
              <m:r>
                <w:rPr>
                  <w:rFonts w:ascii="Cambria Math" w:hAnsi="Cambria Math"/>
                </w:rPr>
                <m:t xml:space="preserve">m</m:t>
              </m:r>
            </m:sub>
            <m:sup>
              <m:r>
                <w:rPr>
                  <w:rFonts w:ascii="Cambria Math" w:hAnsi="Cambria Math"/>
                </w:rPr>
                <m:t xml:space="preserve">2</m:t>
              </m:r>
            </m:sup>
          </m:sSubSup>
        </m:oMath>
      </m:oMathPara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“</w:t>
      </w:r>
      <w:r>
        <w:rPr>
          <w:rFonts w:ascii="Liberation Serif" w:hAnsi="Liberation Serif"/>
        </w:rPr>
        <w:t>var.test” fonksiyonu ile F-testi’i sonuçları yukarıda görüldüğü gibidir. F oranı 0.38656’dır.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p değeri 0.06691’dir. </w:t>
      </w:r>
      <w:r>
        <w:rPr>
          <w:rFonts w:ascii="Liberation Serif" w:hAnsi="Liberation Serif"/>
        </w:rPr>
        <w:t xml:space="preserve">p değeri alfa değeri olan 0.05 den büyük olduğu için </w:t>
      </w:r>
      <w:r>
        <w:rPr>
          <w:rFonts w:ascii="Liberation Serif" w:hAnsi="Liberation Serif"/>
        </w:rPr>
      </w:r>
      <m:oMath xmlns:m="http://schemas.openxmlformats.org/officeDocument/2006/math">
        <m:r>
          <w:rPr>
            <w:rFonts w:ascii="Cambria Math" w:hAnsi="Cambria Math"/>
          </w:rPr>
          <m:t xml:space="preserve">p</m:t>
        </m:r>
        <m:r>
          <w:rPr>
            <w:rFonts w:ascii="Cambria Math" w:hAnsi="Cambria Math"/>
          </w:rPr>
          <m:t xml:space="preserve">&gt;</m:t>
        </m:r>
        <m:r>
          <w:rPr>
            <w:rFonts w:ascii="Cambria Math" w:hAnsi="Cambria Math"/>
          </w:rPr>
          <m:t xml:space="preserve">0.05</m:t>
        </m:r>
      </m:oMath>
      <w:r>
        <w:rPr>
          <w:rFonts w:ascii="Liberation Serif" w:hAnsi="Liberation Serif"/>
        </w:rPr>
        <w:t xml:space="preserve"> </w:t>
      </w:r>
      <w:r>
        <w:rPr>
          <w:rFonts w:ascii="Liberation Serif" w:hAnsi="Liberation Serif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rFonts w:ascii="Liberation Serif" w:hAnsi="Liberation Serif"/>
        </w:rPr>
        <w:t xml:space="preserve"> hipotezi reddedilemez. Varyanların eşit olduğu, homojen olduğu kabul edilmiştir.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Varyansların homojen olduğu varsayılabildiğine göre </w:t>
      </w:r>
      <w:r>
        <w:rPr>
          <w:rFonts w:ascii="Liberation Serif" w:hAnsi="Liberation Serif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S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rFonts w:ascii="Liberation Serif" w:hAnsi="Liberation Serif"/>
        </w:rPr>
        <w:t>’li, ortak örneklem varyansı t-testi kullanılacaktır.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5379085" cy="152400"/>
            <wp:effectExtent l="0" t="0" r="0" b="0"/>
            <wp:docPr id="5" name="Görüntü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örüntü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085" cy="152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Liberation Serif" w:hAnsi="Liberation Serif"/>
        </w:rPr>
        <w:t xml:space="preserve">      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5731510" cy="1318260"/>
            <wp:effectExtent l="0" t="0" r="0" b="0"/>
            <wp:docPr id="6" name="Görüntü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örüntü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18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S</m:t>
            </m:r>
          </m:e>
          <m:sub>
            <m:r>
              <w:rPr>
                <w:rFonts w:ascii="Cambria Math" w:hAnsi="Cambria Math"/>
              </w:rPr>
              <m:t xml:space="preserve">p</m:t>
            </m:r>
          </m:sub>
          <m:sup>
            <m:r>
              <w:rPr>
                <w:rFonts w:ascii="Cambria Math" w:hAnsi="Cambria Math"/>
              </w:rPr>
              <m:t xml:space="preserve">2</m:t>
            </m:r>
          </m:sup>
        </m:sSubSup>
      </m:oMath>
      <w:r>
        <w:rPr>
          <w:rFonts w:ascii="Liberation Serif" w:hAnsi="Liberation Serif"/>
        </w:rPr>
        <w:t>’</w:t>
      </w:r>
      <w:r>
        <w:rPr>
          <w:rFonts w:ascii="Liberation Serif" w:hAnsi="Liberation Serif"/>
        </w:rPr>
        <w:t xml:space="preserve">li t-testi sonucuna göre p değeri 0.000285’dir. p değeri </w:t>
      </w:r>
    </w:p>
    <w:p>
      <w:pPr>
        <w:pStyle w:val="BodyText"/>
        <w:spacing w:before="0" w:after="140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" w:asciiTheme="minorHAnsi" w:cstheme="minorBidi" w:eastAsiaTheme="minorHAnsi" w:hAnsiTheme="minorHAnsi"/>
        <w:sz w:val="24"/>
        <w:szCs w:val="24"/>
        <w:lang w:val="tr-T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Times New Roman" w:hAnsi="Times New Roman" w:eastAsia="Times New Roman" w:cs="" w:asciiTheme="minorHAnsi" w:cstheme="minorBidi" w:eastAsiaTheme="minorHAnsi" w:hAnsiTheme="minorHAnsi"/>
      <w:color w:val="auto"/>
      <w:kern w:val="0"/>
      <w:sz w:val="24"/>
      <w:szCs w:val="24"/>
      <w:lang w:val="tr-TR" w:eastAsia="en-US" w:bidi="ar-SA"/>
    </w:rPr>
  </w:style>
  <w:style w:type="paragraph" w:styleId="Heading1">
    <w:name w:val="heading 1"/>
    <w:basedOn w:val="Normal"/>
    <w:next w:val="Normal"/>
    <w:uiPriority w:val="9"/>
    <w:qFormat/>
    <w:rsid w:val="1f3bcbd0"/>
    <w:pPr>
      <w:keepNext w:val="true"/>
      <w:keepLines/>
      <w:spacing w:before="360" w:after="80"/>
      <w:outlineLvl w:val="0"/>
    </w:pPr>
    <w:rPr>
      <w:rFonts w:ascii="Aptos Display" w:hAnsi="Aptos Display" w:eastAsia="" w:cs="" w:asciiTheme="majorAscii" w:cstheme="majorBidi" w:eastAsiaTheme="majorEastAsia" w:hAnsiTheme="majorAscii"/>
      <w:color w:themeColor="accent1" w:themeShade="bf" w:val="0F4761"/>
      <w:sz w:val="40"/>
      <w:szCs w:val="40"/>
    </w:rPr>
  </w:style>
  <w:style w:type="paragraph" w:styleId="Heading2">
    <w:name w:val="heading 2"/>
    <w:basedOn w:val="Balk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Balk"/>
    <w:next w:val="BodyText"/>
    <w:qFormat/>
    <w:pPr>
      <w:numPr>
        <w:ilvl w:val="2"/>
        <w:numId w:val="2"/>
      </w:numPr>
      <w:spacing w:before="140" w:after="120"/>
      <w:outlineLvl w:val="2"/>
    </w:pPr>
    <w:rPr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2Char" w:customStyle="1">
    <w:name w:val="Heading 2 Char"/>
    <w:basedOn w:val="DefaultParagraphFont"/>
    <w:uiPriority w:val="9"/>
    <w:qFormat/>
    <w:rsid w:val="0f90d0ed"/>
    <w:rPr>
      <w:rFonts w:ascii="Aptos Display" w:hAnsi="Aptos Display" w:eastAsia="" w:cs="" w:asciiTheme="majorAscii" w:cstheme="majorBidi" w:eastAsiaTheme="majorEastAsia" w:hAnsiTheme="majorAscii"/>
      <w:color w:themeColor="accent1" w:themeShade="bf" w:val="0F4761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f90d0ed"/>
    <w:rPr>
      <w:color w:val="467886"/>
      <w:u w:val="single"/>
    </w:rPr>
  </w:style>
  <w:style w:type="paragraph" w:styleId="Balk">
    <w:name w:val="Başlı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Dizin">
    <w:name w:val="Dizin"/>
    <w:basedOn w:val="Normal"/>
    <w:qFormat/>
    <w:pPr>
      <w:suppressLineNumbers/>
    </w:pPr>
    <w:rPr>
      <w:rFonts w:cs="FreeSans"/>
    </w:rPr>
  </w:style>
  <w:style w:type="paragraph" w:styleId="Balkuser">
    <w:name w:val="Başlı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Dizinuser">
    <w:name w:val="Dizin (user)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f90d0ed"/>
    <w:pPr>
      <w:spacing w:before="0" w:after="160"/>
      <w:ind w:left="720"/>
      <w:contextualSpacing/>
    </w:pPr>
    <w:rPr/>
  </w:style>
  <w:style w:type="paragraph" w:styleId="ereveerii">
    <w:name w:val="Çerçeve İçeriği"/>
    <w:basedOn w:val="Normal"/>
    <w:qFormat/>
    <w:pPr/>
    <w:rPr/>
  </w:style>
  <w:style w:type="numbering" w:styleId="ListeYokuser" w:default="1">
    <w:name w:val="Liste Yok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jstor.org/stable/2530428?origin=crossref&amp;seq=5" TargetMode="External"/><Relationship Id="rId3" Type="http://schemas.openxmlformats.org/officeDocument/2006/relationships/hyperlink" Target="https://www.tandfonline.com/doi/full/10.1080/10691898.1995.11910499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itchFamily="0" charset="1"/>
        <a:ea typeface=""/>
        <a:cs typeface=""/>
      </a:majorFont>
      <a:minorFont>
        <a:latin typeface="Times New Roman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Application>LibreOffice/26.2.3.2$Linux_X86_64 LibreOffice_project/a31940f583db492bb69b3a601caf6d1b0ecf61f1</Application>
  <AppVersion>15.0000</AppVersion>
  <Pages>4</Pages>
  <Words>648</Words>
  <Characters>4496</Characters>
  <CharactersWithSpaces>5146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HASAN EFE KOCASU</dc:creator>
  <dc:description/>
  <dc:language>tr-TR</dc:language>
  <cp:lastModifiedBy/>
  <dcterms:modified xsi:type="dcterms:W3CDTF">2026-05-11T12:55:09Z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