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360" w:after="8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52"/>
          <w:szCs w:val="52"/>
        </w:rPr>
        <w:t>İST268-01 İstatistiksel Yöntemler I Dönem Ödevi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Dersin Sorumluları: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Prof. Dr. Sevil BACANLI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Doç. Dr. Özge KARADAĞ ATAŞ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Arş. Gör. Dr. Ceren ÜNAL AKDENİZ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Ödev Konusu: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İki Örneklem Hipotez Testleri (Hipotez Testleri, Güven Aralığı, Bağımlı İki Örneklem İncelenmesi) ve Ki-Kare Çözümlemeleri (Uyum İyiliği Testi, Gruplar Arası Fark ve Bağımsızlık Kontrolü)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Hazırlayanlar: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Hasan Efe Kocasu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2240329066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Giriş</w:t>
      </w:r>
    </w:p>
    <w:p>
      <w:pPr>
        <w:pStyle w:val="Normal"/>
        <w:spacing w:lineRule="auto" w:line="240"/>
        <w:ind w:firstLine="708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>İST268 İstatistiksel Yöntemler I dersi dönem proje ödevi kapsamında 2 ve 2’den fazla değişken barındıran veri setleri iki başlık altında incelenecek, birinci kısımda: iki örneklem hipotez testleri, güven aralıkları ve verilerin basit istatistikleri incelenecektir. İkinci kısımda ise: Ki-kare çözümlemesinde verilen; uyum iyiliği testi, gruplar arası fark ve bağımsızlık kontrolüne ilişkin çözümlemeler yapılacaktır.</w:t>
      </w:r>
    </w:p>
    <w:p>
      <w:pPr>
        <w:pStyle w:val="Heading3"/>
        <w:numPr>
          <w:ilvl w:val="2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Kullanılacak Veri Setleri:</w:t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ab/>
        <w:t xml:space="preserve">Bu analiz için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“mtcars”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çalışılacaktır. Bağımlı 2 örneklem analizi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“sleep”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üzerinden analiz yapılacaktır. İki örneklem oran testi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“Titanic”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analiz yapılacaktır.</w:t>
      </w:r>
    </w:p>
    <w:p>
      <w:pPr>
        <w:pStyle w:val="Heading3"/>
        <w:numPr>
          <w:ilvl w:val="2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mtcars”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ab/>
        <w:t xml:space="preserve">“mtcars" veri seti 1972-1974 model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32 araba için 11 değişkenli bir veri barındırıyor. Bu veri seti Motor Trend US dergisinde 1974 yılında yayımlanmıştır.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(Henderson HV, Velleman PF (1981). “Building Multiple Regression Models Interactively.”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color w:themeColor="text1" w:val="000000"/>
          <w:sz w:val="24"/>
          <w:szCs w:val="24"/>
          <w:lang w:val="en-US"/>
        </w:rPr>
        <w:t>Biometrics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, </w:t>
      </w:r>
      <w:r>
        <w:rPr>
          <w:rFonts w:eastAsia="Times New Roman" w:cs="Times New Roman" w:ascii="Liberation Serif" w:hAnsi="Liberation Serif" w:cstheme="minorAscii" w:eastAsiaTheme="minorAscii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>37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(2), 391–411.),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</w:t>
      </w:r>
      <w:hyperlink r:id="rId2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https://www.jstor.org/stable/2530428?origin=crossref&amp;seq=5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>“mtcars” veri seti içerisinde iki örneklem analizleri incelenirken arabalar “transmission” yani vites sistemlerine göre  iki gruba ayırarak incelenmiştir. (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0 = automatic, 1 = manuel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Gruplar “mpg” değişkenine bakılarak incelenecekler, mpg değişkeni araçların mil başına tükettikleri galon miktarını içermektedir.</w:t>
      </w:r>
    </w:p>
    <w:p>
      <w:pPr>
        <w:pStyle w:val="Heading3"/>
        <w:numPr>
          <w:ilvl w:val="2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Titanic”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 xml:space="preserve">“Titanic” veri seti Titanic gemisindeki her bir yolcunun sınıfı, cinsiyeti, yaşı ve hayatta kalma durumunu kaydeden bir veri seti sunmaktadır. Veri 4 kategori altında yapılandırılmıştır.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veri, aslen İngiliz Ticaret Bakanlığı tarafından toplanmış ve şu eserde yeniden basılmış verilere dayanmaktadır: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(British Government (1990). Report on the Loss of the SS Titanic. Allan Sutton Publishing, Gloucester, UK. ISBN 978-0862997236.)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 seti üzerine R’da yapılan araştırmanın kaynağı ise: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Dawson RJM (1995). “The “Unusual Episode” Data Revisited.” Journal of Statistics Education, 3(3). (</w:t>
      </w:r>
      <w:hyperlink r:id="rId3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https://www.tandfonline.com/doi/full/10.1080/10691898.1995.11910499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Heading3"/>
        <w:numPr>
          <w:ilvl w:val="2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sleep”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sleep” veri seti 2 grup öğrenci denek arasında yapılan 2 ilacın uyku sürelerine etkisi üzerine bilgi içermektedir. 3 değişken barındırmaktadır ve bunlar sırasıyla “d”, “group”, “ID”. “d” ilaç verildikten sonra öğrencilerde meydana gelen uyku sürelerindeki artış miktarıdır yani farkıdır (sonra – önce). “group” 2 gruba ayrılan öğrenci gruplarını temsil eder ve gruplar “1” ve “2” değerleri ile ayrıştırılmıştır. “ID” değişkeni ise verilerin, öğrencilerin sırasıyla numaralandırılarak eşlenmesi sağlanmıştır.</w:t>
      </w:r>
    </w:p>
    <w:p>
      <w:pPr>
        <w:pStyle w:val="Heading1"/>
        <w:rPr/>
      </w:pPr>
      <w:r>
        <w:rPr>
          <w:rStyle w:val="Heading2Char"/>
          <w:rFonts w:ascii="Liberation Serif" w:hAnsi="Liberation Serif"/>
          <w:sz w:val="40"/>
          <w:szCs w:val="40"/>
        </w:rPr>
        <w:t>1. İki Örneklem Analizleri</w:t>
      </w:r>
      <w:r>
        <w:rPr>
          <w:rFonts w:ascii="Liberation Serif" w:hAnsi="Liberation Serif"/>
        </w:rPr>
        <w:tab/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ab/>
        <w:t>Bu başlık altında veri setleri üzerinde iki örneklem; hipotez testlerini, güven aralıklarını ve verilerin basit istatistikleri elde edilerek yorumlanacaktır.</w:t>
      </w:r>
    </w:p>
    <w:p>
      <w:pPr>
        <w:pStyle w:val="Heading2"/>
        <w:numPr>
          <w:ilvl w:val="1"/>
          <w:numId w:val="2"/>
        </w:numPr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Kitle Ortalaması Analizi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ab/>
      </w:r>
      <w:r>
        <w:rPr>
          <w:rFonts w:ascii="Liberation Serif" w:hAnsi="Liberation Serif"/>
        </w:rPr>
        <w:t>Bu başlık altında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>kitle ortalaması (</w:t>
      </w:r>
      <w:r>
        <w:rPr>
          <w:rFonts w:eastAsia="Times New Roman" w:cs="" w:ascii="Liberation Serif" w:hAnsi="Liberation Serif"/>
        </w:rPr>
        <w:t>µ)’na dair hipotez testi, güven aralığı ve verilerin basit istatistikleri analiz edilecektir.  Bu analiz için daha önceden tanıtımı yapılan “mtcars” verisi kullanılacaktır.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Verinin Basit İstatistikleri: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Otomatik vitesli araçların istatistikleri :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m:t xml:space="preserve">x</m:t>
                </m:r>
              </m:e>
              <m:sub>
                <m:r>
                  <m:t xml:space="preserve">o</m:t>
                </m:r>
              </m:sub>
            </m:sSub>
          </m:e>
        </m:bar>
        <m:r>
          <m:rPr>
            <m:lit/>
            <m:nor/>
          </m:rPr>
          <m:t xml:space="preserve">=</m:t>
        </m:r>
        <m:r>
          <m:t xml:space="preserve">17,14737</m:t>
        </m:r>
      </m:oMath>
      <w:r>
        <w:rPr>
          <w:rFonts w:ascii="Liberation Serif" w:hAnsi="Liberation Serif"/>
        </w:rPr>
        <w:tab/>
        <w:tab/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m:t xml:space="preserve">n</m:t>
            </m:r>
          </m:e>
          <m:sub>
            <m:r>
              <m:t xml:space="preserve">o</m:t>
            </m:r>
          </m:sub>
        </m:sSub>
        <m:r>
          <m:rPr>
            <m:lit/>
            <m:nor/>
          </m:rPr>
          <m:t xml:space="preserve">=</m:t>
        </m:r>
        <m:r>
          <m:t xml:space="preserve">19</m:t>
        </m:r>
      </m:oMath>
      <w:r>
        <w:rPr>
          <w:rFonts w:ascii="Liberation Serif" w:hAnsi="Liberation Serif"/>
        </w:rPr>
        <w:t xml:space="preserve"> </w:t>
        <w:tab/>
        <w:t xml:space="preserve"> 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m:t xml:space="preserve">S</m:t>
                </m:r>
              </m:e>
              <m:sub>
                <m:r>
                  <m:t xml:space="preserve">o</m:t>
                </m:r>
              </m:sub>
            </m:sSub>
          </m:e>
          <m:sup>
            <m:r>
              <m:t xml:space="preserve">2</m:t>
            </m:r>
          </m:sup>
        </m:sSup>
        <m:r>
          <m:rPr>
            <m:lit/>
            <m:nor/>
          </m:rPr>
          <m:t xml:space="preserve">=</m:t>
        </m:r>
        <m:r>
          <m:t xml:space="preserve">14,69937</m:t>
        </m:r>
      </m:oMath>
    </w:p>
    <w:p>
      <w:pPr>
        <w:pStyle w:val="Normal"/>
        <w:spacing w:lineRule="auto" w:line="240" w:before="0" w:after="16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Manuel vitesli araçların istatistikleri :</w:t>
      </w:r>
    </w:p>
    <w:p>
      <w:pPr>
        <w:pStyle w:val="Normal"/>
        <w:spacing w:lineRule="auto" w:line="240" w:before="0" w:after="16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m:t xml:space="preserve">x</m:t>
                </m:r>
              </m:e>
              <m:sub>
                <m:r>
                  <m:t xml:space="preserve">m</m:t>
                </m:r>
              </m:sub>
            </m:sSub>
          </m:e>
        </m:bar>
        <m:r>
          <m:rPr>
            <m:lit/>
            <m:nor/>
          </m:rPr>
          <m:t xml:space="preserve">=</m:t>
        </m:r>
        <m:r>
          <m:t xml:space="preserve">24.39231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ab/>
        <w:tab/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m:t xml:space="preserve">n</m:t>
            </m:r>
          </m:e>
          <m:sub>
            <m:r>
              <m:t xml:space="preserve">m</m:t>
            </m:r>
          </m:sub>
        </m:sSub>
        <m:r>
          <m:rPr>
            <m:lit/>
            <m:nor/>
          </m:rPr>
          <m:t xml:space="preserve">=</m:t>
        </m:r>
        <m:r>
          <m:t xml:space="preserve">13</m:t>
        </m:r>
      </m:oMath>
      <w:r>
        <w:rPr>
          <w:rFonts w:ascii="Liberation Serif" w:hAnsi="Liberation Serif"/>
        </w:rPr>
        <w:t xml:space="preserve"> </w:t>
        <w:tab/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m:t xml:space="preserve">S</m:t>
                </m:r>
              </m:e>
              <m:sub>
                <m:r>
                  <m:t xml:space="preserve">m</m:t>
                </m:r>
              </m:sub>
            </m:sSub>
          </m:e>
          <m:sup>
            <m:r>
              <m:t xml:space="preserve">2</m:t>
            </m:r>
          </m:sup>
        </m:sSup>
        <m:r>
          <m:rPr>
            <m:lit/>
            <m:nor/>
          </m:rPr>
          <m:t xml:space="preserve">=</m:t>
        </m:r>
        <m:r>
          <m:t xml:space="preserve">38.02577</m:t>
        </m:r>
      </m:oMath>
    </w:p>
    <w:p>
      <w:pPr>
        <w:pStyle w:val="Normal"/>
        <w:spacing w:lineRule="auto" w:line="240" w:before="0" w:after="160"/>
        <w:rPr>
          <w:rFonts w:ascii="DejaVu Sans" w:hAnsi="DejaVu Sans"/>
        </w:rPr>
      </w:pPr>
      <w:r>
        <w:rPr>
          <w:rFonts w:eastAsia="Times New Roman" w:cs="Times New Roman" w:cstheme="minorAscii" w:eastAsiaTheme="minorAscii" w:ascii="Google Sans Text;sans-serif" w:hAnsi="Google Sans Text;sans-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H</m:t>
              </m:r>
            </m:e>
            <m:sub>
              <m:r>
                <m:t xml:space="preserve">0</m:t>
              </m:r>
            </m:sub>
          </m:sSub>
          <m:r>
            <m:t xml:space="preserve">:</m:t>
          </m:r>
          <m:sSubSup>
            <m:e>
              <m:r>
                <m:t xml:space="preserve">σ</m:t>
              </m:r>
            </m:e>
            <m:sub>
              <m:r>
                <m:t xml:space="preserve">o</m:t>
              </m:r>
            </m:sub>
            <m:sup>
              <m:r>
                <m:t xml:space="preserve">2</m:t>
              </m:r>
            </m:sup>
          </m:sSubSup>
          <m:r>
            <m:t xml:space="preserve">=</m:t>
          </m:r>
          <m:sSubSup>
            <m:e>
              <m:r>
                <m:t xml:space="preserve">σ</m:t>
              </m:r>
            </m:e>
            <m:sub>
              <m:r>
                <m:t xml:space="preserve">m</m:t>
              </m:r>
            </m:sub>
            <m:sup>
              <m:r>
                <m:t xml:space="preserve">2</m:t>
              </m:r>
            </m:sup>
          </m:sSubSup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H</m:t>
              </m:r>
            </m:e>
            <m:sub>
              <m:r>
                <m:t xml:space="preserve">s</m:t>
              </m:r>
            </m:sub>
          </m:sSub>
          <m:r>
            <m:t xml:space="preserve">:</m:t>
          </m:r>
          <m:sSubSup>
            <m:e>
              <m:r>
                <m:t xml:space="preserve">σ</m:t>
              </m:r>
            </m:e>
            <m:sub>
              <m:r>
                <m:t xml:space="preserve">o</m:t>
              </m:r>
            </m:sub>
            <m:sup>
              <m:r>
                <m:t xml:space="preserve">2</m:t>
              </m:r>
            </m:sup>
          </m:sSubSup>
          <m:r>
            <m:t xml:space="preserve">≠</m:t>
          </m:r>
          <m:sSubSup>
            <m:e>
              <m:r>
                <m:t xml:space="preserve">σ</m:t>
              </m:r>
            </m:e>
            <m:sub>
              <m:r>
                <m:t xml:space="preserve">m</m:t>
              </m:r>
            </m:sub>
            <m:sup>
              <m:r>
                <m:t xml:space="preserve">2</m:t>
              </m:r>
            </m:sup>
          </m:sSubSup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iberation Serif">
    <w:altName w:val="Times New Roman"/>
    <w:charset w:val="01"/>
    <w:family w:val="roman"/>
    <w:pitch w:val="default"/>
  </w:font>
  <w:font w:name="Google Sans Text">
    <w:altName w:val="sans-serif"/>
    <w:charset w:val="01" w:characterSet="utf-8"/>
    <w:family w:val="auto"/>
    <w:pitch w:val="default"/>
  </w:font>
  <w:font w:name="DejaVu Sans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tr-T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4"/>
      <w:lang w:val="tr-TR" w:eastAsia="en-US" w:bidi="ar-SA"/>
    </w:rPr>
  </w:style>
  <w:style w:type="paragraph" w:styleId="Heading1">
    <w:name w:val="heading 1"/>
    <w:basedOn w:val="Normal"/>
    <w:next w:val="Normal"/>
    <w:uiPriority w:val="9"/>
    <w:qFormat/>
    <w:rsid w:val="1f3bcbd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Balkuser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alkuser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sid w:val="0f90d0ed"/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f90d0ed"/>
    <w:rPr>
      <w:color w:val="467886"/>
      <w:u w:val="single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FreeSans"/>
    </w:rPr>
  </w:style>
  <w:style w:type="paragraph" w:styleId="Balkuser">
    <w:name w:val="Başlı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Dizinuser">
    <w:name w:val="Dizin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f90d0ed"/>
    <w:pPr>
      <w:spacing w:before="0" w:after="160"/>
      <w:ind w:start="720"/>
      <w:contextualSpacing/>
    </w:pPr>
    <w:rPr/>
  </w:style>
  <w:style w:type="paragraph" w:styleId="ereveeriiuser">
    <w:name w:val="Çerçeve İçeriği (user)"/>
    <w:basedOn w:val="Normal"/>
    <w:qFormat/>
    <w:pPr/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tor.org/stable/2530428?origin=crossref&amp;seq=5" TargetMode="External"/><Relationship Id="rId3" Type="http://schemas.openxmlformats.org/officeDocument/2006/relationships/hyperlink" Target="https://www.tandfonline.com/doi/full/10.1080/10691898.1995.11910499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Application>LibreOffice/26.2.3.2$Linux_X86_64 LibreOffice_project/a31940f583db492bb69b3a601caf6d1b0ecf61f1</Application>
  <AppVersion>15.0000</AppVersion>
  <Pages>2</Pages>
  <Words>450</Words>
  <Characters>3096</Characters>
  <CharactersWithSpaces>3544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HASAN EFE KOCASU</dc:creator>
  <dc:description/>
  <dc:language>tr-TR</dc:language>
  <cp:lastModifiedBy/>
  <dcterms:modified xsi:type="dcterms:W3CDTF">2026-05-10T23:30:07Z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