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</w:p>
    <w:p>
      <w:pPr>
        <w:spacing w:after="160"/>
      </w:pPr>
    </w:p>
    <w:p>
      <w:pPr>
        <w:spacing w:after="680"/>
        <w:jc w:val="center"/>
      </w:pPr>
      <w:r>
        <w:drawing>
          <wp:inline xmlns:a="http://schemas.openxmlformats.org/drawingml/2006/main" xmlns:pic="http://schemas.openxmlformats.org/drawingml/2006/picture">
            <wp:extent cx="2880360" cy="672084"/>
            <wp:docPr id="1" name="Picture 1" descr="Logo de Efeonce Group" title="Logo de Efeonce Group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ful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6720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b/>
          <w:i w:val="0"/>
          <w:color w:val="C6942D"/>
          <w:sz w:val="20"/>
        </w:rPr>
        <w:t>INFORME DE IMPLEMENTACIÓN Y OPERACIÓN</w:t>
      </w:r>
    </w:p>
    <w:p>
      <w:pPr>
        <w:pStyle w:val="Title"/>
        <w:spacing w:after="200"/>
        <w:jc w:val="center"/>
      </w:pPr>
      <w:r>
        <w:rPr>
          <w:rFonts w:ascii="Calibri" w:hAnsi="Calibri"/>
          <w:b/>
          <w:i w:val="0"/>
          <w:color w:val="12324A"/>
          <w:sz w:val="58"/>
        </w:rPr>
        <w:t>Customer Agent ANAM</w:t>
      </w:r>
    </w:p>
    <w:p>
      <w:pPr>
        <w:pStyle w:val="Subtitle"/>
        <w:spacing w:after="840"/>
        <w:jc w:val="center"/>
      </w:pPr>
      <w:r>
        <w:rPr>
          <w:rFonts w:ascii="Calibri" w:hAnsi="Calibri"/>
          <w:b w:val="0"/>
          <w:i w:val="0"/>
          <w:color w:val="5B6573"/>
          <w:sz w:val="28"/>
        </w:rPr>
        <w:t>Configuración, conocimiento, directrices, QA, handoff, canal y estado operativo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shd w:fill="EAF2F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24A"/>
                <w:sz w:val="21"/>
              </w:rPr>
              <w:t>Cliente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303C"/>
                <w:sz w:val="21"/>
              </w:rPr>
              <w:t>ANAM — portal HubSpot 19893546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shd w:fill="EAF2F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24A"/>
                <w:sz w:val="21"/>
              </w:rPr>
              <w:t>Preparado para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303C"/>
                <w:sz w:val="21"/>
              </w:rPr>
              <w:t>Oscar y María Paz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shd w:fill="EAF2F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24A"/>
                <w:sz w:val="21"/>
              </w:rPr>
              <w:t>Preparado por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303C"/>
                <w:sz w:val="21"/>
              </w:rPr>
              <w:t>Efeonce — HubSpot as a Service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shd w:fill="EAF2F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24A"/>
                <w:sz w:val="21"/>
              </w:rPr>
              <w:t>Entidad legal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303C"/>
                <w:sz w:val="21"/>
              </w:rPr>
              <w:t>Efeonce Group SpA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shd w:fill="EAF2F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24A"/>
                <w:sz w:val="21"/>
              </w:rPr>
              <w:t>RUT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303C"/>
                <w:sz w:val="21"/>
              </w:rPr>
              <w:t>77.357.182-1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shd w:fill="EAF2F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24A"/>
                <w:sz w:val="21"/>
              </w:rPr>
              <w:t>Domicilio legal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303C"/>
                <w:sz w:val="21"/>
              </w:rPr>
              <w:t>Dr. Manuel Barros Borgoño 71 Of 1105, Providencia, RM — Chile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shd w:fill="EAF2F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24A"/>
                <w:sz w:val="21"/>
              </w:rPr>
              <w:t>Sitio web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303C"/>
                <w:sz w:val="21"/>
              </w:rPr>
              <w:t>https://efeoncepro.com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shd w:fill="EAF2F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24A"/>
                <w:sz w:val="21"/>
              </w:rPr>
              <w:t>Fecha de corte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303C"/>
                <w:sz w:val="21"/>
              </w:rPr>
              <w:t>17 de julio de 2026</w:t>
            </w:r>
          </w:p>
        </w:tc>
      </w:tr>
    </w:tbl>
    <w:p>
      <w:pPr>
        <w:spacing w:before="600"/>
        <w:jc w:val="center"/>
      </w:pPr>
      <w:r>
        <w:rPr>
          <w:rFonts w:ascii="Calibri" w:hAnsi="Calibri"/>
          <w:b w:val="0"/>
          <w:i/>
          <w:color w:val="5B6573"/>
          <w:sz w:val="19"/>
        </w:rPr>
        <w:t>Documento de trabajo detallado · Estado verificado y límites explícitos</w:t>
      </w:r>
    </w:p>
    <w:p>
      <w:r>
        <w:br w:type="page"/>
      </w:r>
    </w:p>
    <w:p>
      <w:pPr>
        <w:pStyle w:val="Heading1"/>
      </w:pPr>
      <w:r>
        <w:t>Contenido del informe</w:t>
      </w:r>
    </w:p>
    <w:p>
      <w:r>
        <w:rPr>
          <w:rFonts w:ascii="Calibri" w:hAnsi="Calibri"/>
          <w:b w:val="0"/>
          <w:i w:val="0"/>
          <w:color w:val="20303C"/>
          <w:sz w:val="22"/>
        </w:rPr>
        <w:t>La estructura siguiente separa actividades realizadas, evidencia comprobada, límites y próximos pasos. Los anexos reúnen inventarios e identificadores para facilitar auditoría y continuidad.</w:t>
      </w:r>
    </w:p>
    <w:p>
      <w:pPr>
        <w:spacing w:after="120" w:line="280" w:lineRule="auto"/>
        <w:numPr>
          <w:ilvl w:val="0"/>
          <w:numId w:val="10"/>
        </w:numPr>
      </w:pPr>
      <w:r>
        <w:rPr>
          <w:rFonts w:ascii="Calibri" w:hAnsi="Calibri"/>
          <w:b/>
          <w:i w:val="0"/>
          <w:color w:val="12324A"/>
          <w:sz w:val="22"/>
        </w:rPr>
        <w:t>Resumen ejecutivo</w:t>
      </w:r>
    </w:p>
    <w:p>
      <w:pPr>
        <w:spacing w:after="120" w:line="280" w:lineRule="auto"/>
        <w:numPr>
          <w:ilvl w:val="0"/>
          <w:numId w:val="10"/>
        </w:numPr>
      </w:pPr>
      <w:r>
        <w:rPr>
          <w:rFonts w:ascii="Calibri" w:hAnsi="Calibri"/>
          <w:b/>
          <w:i w:val="0"/>
          <w:color w:val="12324A"/>
          <w:sz w:val="22"/>
        </w:rPr>
        <w:t>Alcance y método de trabajo</w:t>
      </w:r>
    </w:p>
    <w:p>
      <w:pPr>
        <w:spacing w:after="120" w:line="280" w:lineRule="auto"/>
        <w:numPr>
          <w:ilvl w:val="0"/>
          <w:numId w:val="10"/>
        </w:numPr>
      </w:pPr>
      <w:r>
        <w:rPr>
          <w:rFonts w:ascii="Calibri" w:hAnsi="Calibri"/>
          <w:b/>
          <w:i w:val="0"/>
          <w:color w:val="12324A"/>
          <w:sz w:val="22"/>
        </w:rPr>
        <w:t>Actividades realizadas</w:t>
      </w:r>
    </w:p>
    <w:p>
      <w:pPr>
        <w:spacing w:after="120" w:line="280" w:lineRule="auto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20303C"/>
          <w:sz w:val="22"/>
        </w:rPr>
        <w:t>Arquitectura conversacional del agente</w:t>
      </w:r>
    </w:p>
    <w:p>
      <w:pPr>
        <w:spacing w:after="120" w:line="280" w:lineRule="auto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20303C"/>
          <w:sz w:val="22"/>
        </w:rPr>
        <w:t>Knowledge base publicada</w:t>
      </w:r>
    </w:p>
    <w:p>
      <w:pPr>
        <w:spacing w:after="120" w:line="280" w:lineRule="auto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20303C"/>
          <w:sz w:val="22"/>
        </w:rPr>
        <w:t>Captura por intención y límites</w:t>
      </w:r>
    </w:p>
    <w:p>
      <w:pPr>
        <w:spacing w:after="120" w:line="280" w:lineRule="auto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20303C"/>
          <w:sz w:val="22"/>
        </w:rPr>
        <w:t>Transferencia a María Paz y canal</w:t>
      </w:r>
    </w:p>
    <w:p>
      <w:pPr>
        <w:spacing w:after="120" w:line="280" w:lineRule="auto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20303C"/>
          <w:sz w:val="22"/>
        </w:rPr>
        <w:t>Pruebas y aseguramiento de calidad</w:t>
      </w:r>
    </w:p>
    <w:p>
      <w:pPr>
        <w:spacing w:after="120" w:line="280" w:lineRule="auto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20303C"/>
          <w:sz w:val="22"/>
        </w:rPr>
        <w:t>Estado runtime y bloqueo de facturación</w:t>
      </w:r>
    </w:p>
    <w:p>
      <w:pPr>
        <w:spacing w:after="120" w:line="280" w:lineRule="auto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20303C"/>
          <w:sz w:val="22"/>
        </w:rPr>
        <w:t>Gobierno operativo y procedimiento de cambio</w:t>
      </w:r>
    </w:p>
    <w:p>
      <w:pPr>
        <w:spacing w:after="120" w:line="280" w:lineRule="auto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20303C"/>
          <w:sz w:val="22"/>
        </w:rPr>
        <w:t>Pendientes y próximos pasos</w:t>
      </w:r>
    </w:p>
    <w:p>
      <w:pPr>
        <w:spacing w:after="120" w:line="280" w:lineRule="auto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20303C"/>
          <w:sz w:val="22"/>
        </w:rPr>
        <w:t>Anexos: inventario, evidencias e identificadores</w:t>
      </w:r>
    </w:p>
    <w:p>
      <w:r>
        <w:br w:type="page"/>
      </w:r>
    </w:p>
    <w:p>
      <w:pPr>
        <w:pStyle w:val="Heading1"/>
      </w:pPr>
      <w:r>
        <w:t>1. Resumen ejecutivo</w:t>
      </w:r>
    </w:p>
    <w:p>
      <w:r>
        <w:rPr>
          <w:rFonts w:ascii="Calibri" w:hAnsi="Calibri"/>
          <w:b w:val="0"/>
          <w:i w:val="0"/>
          <w:color w:val="20303C"/>
          <w:sz w:val="22"/>
        </w:rPr>
        <w:t>Efeonce configuró, documentó y verificó el Customer Agent de ANAM como una capa de atención conversacional conectada al portal HubSpot 19893546. El trabajo cubrió identidad y tono, conocimiento técnico, captura de datos para cotización, seguimiento, facturación y calidad, transferencia humana, canal de chat, pruebas multiintención y gobierno del conocimiento.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AF5EF"/>
          </w:tcPr>
          <w:p>
            <w:pPr>
              <w:pStyle w:val="Callout"/>
            </w:pPr>
            <w:r>
              <w:rPr>
                <w:rFonts w:ascii="Calibri" w:hAnsi="Calibri"/>
                <w:b/>
                <w:i w:val="0"/>
                <w:color w:val="12324A"/>
                <w:sz w:val="21"/>
              </w:rPr>
              <w:t xml:space="preserve">Resultado principal: </w:t>
            </w:r>
            <w:r>
              <w:rPr>
                <w:rFonts w:ascii="Calibri" w:hAnsi="Calibri"/>
                <w:b w:val="0"/>
                <w:i w:val="0"/>
                <w:color w:val="12324A"/>
                <w:sz w:val="21"/>
              </w:rPr>
              <w:t>El agente quedó armado con 23 fuentes privadas en uso —6 documentos de dominio y 17 respuestas cortas—, un catálogo técnico de 356 registros, directrices publicadas, chatflow 24/7 y transferencia a María Paz Haeger. La configuración persiste y fue leída de vuelta en el portal.</w:t>
            </w:r>
          </w:p>
        </w:tc>
      </w:tr>
    </w:tbl>
    <w:p>
      <w:pPr>
        <w:spacing w:after="0"/>
      </w:pPr>
    </w:p>
    <w:p>
      <w:r>
        <w:rPr>
          <w:rFonts w:ascii="Calibri" w:hAnsi="Calibri"/>
          <w:b w:val="0"/>
          <w:i w:val="0"/>
          <w:color w:val="20303C"/>
          <w:sz w:val="22"/>
        </w:rPr>
        <w:t>El 17 de julio de 2026 el acceso gratuito terminó y el agente quedó en pausa. ANAM dispone de 33.000 créditos mensuales, pero su cuenta está vencida por la factura #760627868, vencida el 7 de junio de 2026. Dos intentos explícitamente aprobados de activar el uso de créditos fueron rechazados por HubSpot; por ello el agente no está atendiendo nuevas conversaciones.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FF4DC"/>
          </w:tcPr>
          <w:p>
            <w:pPr>
              <w:pStyle w:val="Callout"/>
            </w:pPr>
            <w:r>
              <w:rPr>
                <w:rFonts w:ascii="Calibri" w:hAnsi="Calibri"/>
                <w:b/>
                <w:i w:val="0"/>
                <w:color w:val="12324A"/>
                <w:sz w:val="21"/>
              </w:rPr>
              <w:t xml:space="preserve">Estado de cierre: </w:t>
            </w:r>
            <w:r>
              <w:rPr>
                <w:rFonts w:ascii="Calibri" w:hAnsi="Calibri"/>
                <w:b w:val="0"/>
                <w:i w:val="0"/>
                <w:color w:val="12324A"/>
                <w:sz w:val="21"/>
              </w:rPr>
              <w:t>Configuración y knowledge: completos y verificados. Continuidad operativa: bloqueada administrativamente hasta que un administrador de facturación de ANAM regularice la cuenta y se repita la activación con readback.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50"/>
        <w:gridCol w:w="1450"/>
        <w:gridCol w:w="6060"/>
      </w:tblGrid>
      <w:tr>
        <w:trPr>
          <w:tblHeader w:val="true"/>
          <w:cantSplit/>
        </w:trP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shd w:fill="005596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Dimensión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shd w:fill="005596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Estado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shd w:fill="005596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Evidencia principal</w:t>
            </w:r>
          </w:p>
        </w:tc>
      </w:tr>
      <w:tr>
        <w:trPr>
          <w:cantSplit/>
        </w:trPr>
        <w:tc>
          <w:tcPr>
            <w:tcW w:type="dxa" w:w="185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20303C"/>
                <w:sz w:val="18"/>
              </w:rPr>
              <w:t>Identidad y tono</w:t>
            </w:r>
          </w:p>
        </w:tc>
        <w:tc>
          <w:tcPr>
            <w:tcW w:type="dxa" w:w="145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303C"/>
                <w:sz w:val="18"/>
              </w:rPr>
              <w:t>Configurado</w:t>
            </w:r>
          </w:p>
        </w:tc>
        <w:tc>
          <w:tcPr>
            <w:tcW w:type="dxa" w:w="60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303C"/>
                <w:sz w:val="18"/>
              </w:rPr>
              <w:t>ANA; personalidad amigable; español de Chile; detección automática de idioma.</w:t>
            </w:r>
          </w:p>
        </w:tc>
      </w:tr>
      <w:tr>
        <w:trPr>
          <w:cantSplit/>
        </w:trPr>
        <w:tc>
          <w:tcPr>
            <w:tcW w:type="dxa" w:w="1850"/>
            <w:shd w:fill="F4F7F9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20303C"/>
                <w:sz w:val="18"/>
              </w:rPr>
              <w:t>Conocimiento</w:t>
            </w:r>
          </w:p>
        </w:tc>
        <w:tc>
          <w:tcPr>
            <w:tcW w:type="dxa" w:w="1450"/>
            <w:shd w:fill="F4F7F9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303C"/>
                <w:sz w:val="18"/>
              </w:rPr>
              <w:t>Publicado</w:t>
            </w:r>
          </w:p>
        </w:tc>
        <w:tc>
          <w:tcPr>
            <w:tcW w:type="dxa" w:w="6060"/>
            <w:shd w:fill="F4F7F9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303C"/>
                <w:sz w:val="18"/>
              </w:rPr>
              <w:t>23 fuentes privadas: 6 archivos + 17 respuestas cortas.</w:t>
            </w:r>
          </w:p>
        </w:tc>
      </w:tr>
      <w:tr>
        <w:trPr>
          <w:cantSplit/>
        </w:trPr>
        <w:tc>
          <w:tcPr>
            <w:tcW w:type="dxa" w:w="185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20303C"/>
                <w:sz w:val="18"/>
              </w:rPr>
              <w:t>Catálogo técnico</w:t>
            </w:r>
          </w:p>
        </w:tc>
        <w:tc>
          <w:tcPr>
            <w:tcW w:type="dxa" w:w="145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303C"/>
                <w:sz w:val="18"/>
              </w:rPr>
              <w:t>Publicado</w:t>
            </w:r>
          </w:p>
        </w:tc>
        <w:tc>
          <w:tcPr>
            <w:tcW w:type="dxa" w:w="60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303C"/>
                <w:sz w:val="18"/>
              </w:rPr>
              <w:t>356 registros de matrices, parámetros, métodos, límites y plazos.</w:t>
            </w:r>
          </w:p>
        </w:tc>
      </w:tr>
      <w:tr>
        <w:trPr>
          <w:cantSplit/>
        </w:trPr>
        <w:tc>
          <w:tcPr>
            <w:tcW w:type="dxa" w:w="1850"/>
            <w:shd w:fill="F4F7F9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20303C"/>
                <w:sz w:val="18"/>
              </w:rPr>
              <w:t>Transferencia</w:t>
            </w:r>
          </w:p>
        </w:tc>
        <w:tc>
          <w:tcPr>
            <w:tcW w:type="dxa" w:w="1450"/>
            <w:shd w:fill="F4F7F9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303C"/>
                <w:sz w:val="18"/>
              </w:rPr>
              <w:t>Configurada</w:t>
            </w:r>
          </w:p>
        </w:tc>
        <w:tc>
          <w:tcPr>
            <w:tcW w:type="dxa" w:w="6060"/>
            <w:shd w:fill="F4F7F9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303C"/>
                <w:sz w:val="18"/>
              </w:rPr>
              <w:t>Help desk Asistencia al cliente; asignación a María Paz Haeger.</w:t>
            </w:r>
          </w:p>
        </w:tc>
      </w:tr>
      <w:tr>
        <w:trPr>
          <w:cantSplit/>
        </w:trPr>
        <w:tc>
          <w:tcPr>
            <w:tcW w:type="dxa" w:w="185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20303C"/>
                <w:sz w:val="18"/>
              </w:rPr>
              <w:t>Canal</w:t>
            </w:r>
          </w:p>
        </w:tc>
        <w:tc>
          <w:tcPr>
            <w:tcW w:type="dxa" w:w="145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303C"/>
                <w:sz w:val="18"/>
              </w:rPr>
              <w:t>Configurado</w:t>
            </w:r>
          </w:p>
        </w:tc>
        <w:tc>
          <w:tcPr>
            <w:tcW w:type="dxa" w:w="60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303C"/>
                <w:sz w:val="18"/>
              </w:rPr>
              <w:t>Live chat, todas las horas, cobertura 100%.</w:t>
            </w:r>
          </w:p>
        </w:tc>
      </w:tr>
      <w:tr>
        <w:trPr>
          <w:cantSplit/>
        </w:trPr>
        <w:tc>
          <w:tcPr>
            <w:tcW w:type="dxa" w:w="1850"/>
            <w:shd w:fill="F4F7F9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20303C"/>
                <w:sz w:val="18"/>
              </w:rPr>
              <w:t>QA</w:t>
            </w:r>
          </w:p>
        </w:tc>
        <w:tc>
          <w:tcPr>
            <w:tcW w:type="dxa" w:w="1450"/>
            <w:shd w:fill="F4F7F9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303C"/>
                <w:sz w:val="18"/>
              </w:rPr>
              <w:t>Ejecutada</w:t>
            </w:r>
          </w:p>
        </w:tc>
        <w:tc>
          <w:tcPr>
            <w:tcW w:type="dxa" w:w="6060"/>
            <w:shd w:fill="F4F7F9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303C"/>
                <w:sz w:val="18"/>
              </w:rPr>
              <w:t>Aguas/RILES, sólidos/lodos, facturación, administración, reclamo y mixed intent.</w:t>
            </w:r>
          </w:p>
        </w:tc>
      </w:tr>
      <w:tr>
        <w:trPr>
          <w:cantSplit/>
        </w:trPr>
        <w:tc>
          <w:tcPr>
            <w:tcW w:type="dxa" w:w="185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20303C"/>
                <w:sz w:val="18"/>
              </w:rPr>
              <w:t>Disponibilidad</w:t>
            </w:r>
          </w:p>
        </w:tc>
        <w:tc>
          <w:tcPr>
            <w:tcW w:type="dxa" w:w="145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303C"/>
                <w:sz w:val="18"/>
              </w:rPr>
              <w:t>Bloqueada</w:t>
            </w:r>
          </w:p>
        </w:tc>
        <w:tc>
          <w:tcPr>
            <w:tcW w:type="dxa" w:w="60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303C"/>
                <w:sz w:val="18"/>
              </w:rPr>
              <w:t>Uso de créditos DESACTIVADA; cuenta vencida; dos activaciones fallidas.</w:t>
            </w:r>
          </w:p>
        </w:tc>
      </w:tr>
    </w:tbl>
    <w:p>
      <w:pPr>
        <w:spacing w:after="0"/>
      </w:pPr>
    </w:p>
    <w:p>
      <w:pPr>
        <w:pStyle w:val="Heading1"/>
      </w:pPr>
      <w:r>
        <w:t>2. Alcance y método de trabajo</w:t>
      </w:r>
    </w:p>
    <w:p>
      <w:r>
        <w:rPr>
          <w:rFonts w:ascii="Calibri" w:hAnsi="Calibri"/>
          <w:b w:val="0"/>
          <w:i w:val="0"/>
          <w:color w:val="20303C"/>
          <w:sz w:val="22"/>
        </w:rPr>
        <w:t>El trabajo se ejecutó bajo el ciclo gobernado de HubSpot as a Service: inventario, diseño, propuesta, aprobación, implementación, readback, QA y documentación. No se asumió que una configuración visible equivalía a servicio operativo; cada capa se verificó de forma separada.</w:t>
      </w:r>
    </w:p>
    <w:p>
      <w:pPr>
        <w:pStyle w:val="ListBullet"/>
      </w:pPr>
      <w:r>
        <w:rPr>
          <w:rFonts w:ascii="Calibri" w:hAnsi="Calibri"/>
          <w:b w:val="0"/>
          <w:i w:val="0"/>
          <w:color w:val="20303C"/>
          <w:sz w:val="22"/>
        </w:rPr>
        <w:t>Portal cliente confirmado: ANAM, account ID 19893546. No se mezclaron datos con Greenhouse ni con otros portales HubSpot.</w:t>
      </w:r>
    </w:p>
    <w:p>
      <w:pPr>
        <w:pStyle w:val="ListBullet"/>
      </w:pPr>
      <w:r>
        <w:rPr>
          <w:rFonts w:ascii="Calibri" w:hAnsi="Calibri"/>
          <w:b w:val="0"/>
          <w:i w:val="0"/>
          <w:color w:val="20303C"/>
          <w:sz w:val="22"/>
        </w:rPr>
        <w:t>Fuentes revisadas: reuniones y tareas ANAM, adjuntos enviados por María Paz y otros stakeholders, portal HubSpot autenticado, landing/chatflow y documentación local.</w:t>
      </w:r>
    </w:p>
    <w:p>
      <w:pPr>
        <w:pStyle w:val="ListBullet"/>
      </w:pPr>
      <w:r>
        <w:rPr>
          <w:rFonts w:ascii="Calibri" w:hAnsi="Calibri"/>
          <w:b w:val="0"/>
          <w:i w:val="0"/>
          <w:color w:val="20303C"/>
          <w:sz w:val="22"/>
        </w:rPr>
        <w:t>Separación de responsabilidades: Efeonce diseña, configura, prueba y documenta; ANAM valida hechos, políticas, catálogos, propietarios y operación de negocio.</w:t>
      </w:r>
    </w:p>
    <w:p>
      <w:pPr>
        <w:pStyle w:val="ListBullet"/>
      </w:pPr>
      <w:r>
        <w:rPr>
          <w:rFonts w:ascii="Calibri" w:hAnsi="Calibri"/>
          <w:b w:val="0"/>
          <w:i w:val="0"/>
          <w:color w:val="20303C"/>
          <w:sz w:val="22"/>
        </w:rPr>
        <w:t>Guardrail de verdad: el agente responde sólo desde conocimiento documentado; no interpreta cumplimiento legal, resultados de laboratorio ni compromete precios o fechas no aprobadas.</w:t>
      </w:r>
    </w:p>
    <w:p>
      <w:pPr>
        <w:pStyle w:val="ListBullet"/>
      </w:pPr>
      <w:r>
        <w:rPr>
          <w:rFonts w:ascii="Calibri" w:hAnsi="Calibri"/>
          <w:b w:val="0"/>
          <w:i w:val="0"/>
          <w:color w:val="20303C"/>
          <w:sz w:val="22"/>
        </w:rPr>
        <w:t>Control de cambios: publicación, nuevos canales, acciones, transferencias o facts sensibles requieren aprobación y readback posterior.</w:t>
      </w:r>
    </w:p>
    <w:p>
      <w:pPr>
        <w:pStyle w:val="Heading1"/>
      </w:pPr>
      <w:r>
        <w:t>3. Actividades realizadas</w:t>
      </w:r>
    </w:p>
    <w:p>
      <w:pPr>
        <w:pStyle w:val="Heading2"/>
      </w:pPr>
      <w:r>
        <w:t>3.1 Inventario, depuración y separación del conocimiento</w:t>
      </w:r>
    </w:p>
    <w:p>
      <w:pPr>
        <w:pStyle w:val="ListBullet"/>
      </w:pPr>
      <w:r>
        <w:rPr>
          <w:rFonts w:ascii="Calibri" w:hAnsi="Calibri"/>
          <w:b w:val="0"/>
          <w:i w:val="0"/>
          <w:color w:val="20303C"/>
          <w:sz w:val="22"/>
        </w:rPr>
        <w:t>Se identificaron las fuentes efectivamente marcadas como “En uso” y se separaron de adjuntos administrativos, comerciales o de proveedor que no debían alimentar respuestas.</w:t>
      </w:r>
    </w:p>
    <w:p>
      <w:pPr>
        <w:pStyle w:val="ListBullet"/>
      </w:pPr>
      <w:r>
        <w:rPr>
          <w:rFonts w:ascii="Calibri" w:hAnsi="Calibri"/>
          <w:b w:val="0"/>
          <w:i w:val="0"/>
          <w:color w:val="20303C"/>
          <w:sz w:val="22"/>
        </w:rPr>
        <w:t>Se consolidaron seis documentos Markdown privados por dominio: empresa, servicios y normas, cotización, preguntas frecuentes, seguimiento/facturación/calidad y catálogo de parámetros/tiempos.</w:t>
      </w:r>
    </w:p>
    <w:p>
      <w:pPr>
        <w:pStyle w:val="ListBullet"/>
      </w:pPr>
      <w:r>
        <w:rPr>
          <w:rFonts w:ascii="Calibri" w:hAnsi="Calibri"/>
          <w:b w:val="0"/>
          <w:i w:val="0"/>
          <w:color w:val="20303C"/>
          <w:sz w:val="22"/>
        </w:rPr>
        <w:t>Se reconciliaron 17 respuestas cortas activas para preguntas críticas y escenarios que debían resolverse con rapidez y consistencia.</w:t>
      </w:r>
    </w:p>
    <w:p>
      <w:pPr>
        <w:pStyle w:val="ListBullet"/>
      </w:pPr>
      <w:r>
        <w:rPr>
          <w:rFonts w:ascii="Calibri" w:hAnsi="Calibri"/>
          <w:b w:val="0"/>
          <w:i w:val="0"/>
          <w:color w:val="20303C"/>
          <w:sz w:val="22"/>
        </w:rPr>
        <w:t>Se versionó un source pack independiente para evitar que futuras sesiones reconstruyan el conocimiento desde memoria o desde archivos adjuntos no clasificados.</w:t>
      </w:r>
    </w:p>
    <w:p>
      <w:pPr>
        <w:pStyle w:val="ListBullet"/>
      </w:pPr>
      <w:r>
        <w:rPr>
          <w:rFonts w:ascii="Calibri" w:hAnsi="Calibri"/>
          <w:b w:val="0"/>
          <w:i w:val="0"/>
          <w:color w:val="20303C"/>
          <w:sz w:val="22"/>
        </w:rPr>
        <w:t>Se documentaron IDs de archivo, fechas de creación y sincronización, alcance “Todo”, privacidad y estado de citas desactivadas.</w:t>
      </w:r>
    </w:p>
    <w:p>
      <w:pPr>
        <w:pStyle w:val="Heading2"/>
      </w:pPr>
      <w:r>
        <w:t>3.2 Identidad, tono y comportamiento</w:t>
      </w:r>
    </w:p>
    <w:p>
      <w:pPr>
        <w:pStyle w:val="ListBullet"/>
      </w:pPr>
      <w:r>
        <w:rPr>
          <w:rFonts w:ascii="Calibri" w:hAnsi="Calibri"/>
          <w:b w:val="0"/>
          <w:i w:val="0"/>
          <w:color w:val="20303C"/>
          <w:sz w:val="22"/>
        </w:rPr>
        <w:t>Nombre de configuración: “Agente de clientes de ANAM”. Nombre conversacional: “ANA”.</w:t>
      </w:r>
    </w:p>
    <w:p>
      <w:pPr>
        <w:pStyle w:val="ListBullet"/>
      </w:pPr>
      <w:r>
        <w:rPr>
          <w:rFonts w:ascii="Calibri" w:hAnsi="Calibri"/>
          <w:b w:val="0"/>
          <w:i w:val="0"/>
          <w:color w:val="20303C"/>
          <w:sz w:val="22"/>
        </w:rPr>
        <w:t>Personalidad amigable, cálida, cercana, profesional, clara y concisa; español de Chile y trato de “tú”, adaptándose a “usted” cuando el visitante lo usa.</w:t>
      </w:r>
    </w:p>
    <w:p>
      <w:pPr>
        <w:pStyle w:val="ListBullet"/>
      </w:pPr>
      <w:r>
        <w:rPr>
          <w:rFonts w:ascii="Calibri" w:hAnsi="Calibri"/>
          <w:b w:val="0"/>
          <w:i w:val="0"/>
          <w:color w:val="20303C"/>
          <w:sz w:val="22"/>
        </w:rPr>
        <w:t>Reglas para reconocer el contexto antes de preguntar, conservar nombres/cifras/referencias y evitar saludos repetidos o afirmaciones de registro cuando no existe una acción real.</w:t>
      </w:r>
    </w:p>
    <w:p>
      <w:pPr>
        <w:pStyle w:val="ListBullet"/>
      </w:pPr>
      <w:r>
        <w:rPr>
          <w:rFonts w:ascii="Calibri" w:hAnsi="Calibri"/>
          <w:b w:val="0"/>
          <w:i w:val="0"/>
          <w:color w:val="20303C"/>
          <w:sz w:val="22"/>
        </w:rPr>
        <w:t>Bloques breves de una a tres preguntas relacionadas como referencia, esperando respuesta antes del siguiente bloque.</w:t>
      </w:r>
    </w:p>
    <w:p>
      <w:pPr>
        <w:pStyle w:val="ListBullet"/>
      </w:pPr>
      <w:r>
        <w:rPr>
          <w:rFonts w:ascii="Calibri" w:hAnsi="Calibri"/>
          <w:b w:val="0"/>
          <w:i w:val="0"/>
          <w:color w:val="20303C"/>
          <w:sz w:val="22"/>
        </w:rPr>
        <w:t>Guiones específicos para saludo, cotización, seguimiento, facturación y reclamos, con criterio de no usar emojis en apelaciones o quejas.</w:t>
      </w:r>
    </w:p>
    <w:p>
      <w:pPr>
        <w:pStyle w:val="Heading2"/>
      </w:pPr>
      <w:r>
        <w:t>3.3 Captura de información y rutas conversacionales</w:t>
      </w:r>
    </w:p>
    <w:p>
      <w:pPr>
        <w:pStyle w:val="ListBullet"/>
      </w:pPr>
      <w:r>
        <w:rPr>
          <w:rFonts w:ascii="Calibri" w:hAnsi="Calibri"/>
          <w:b w:val="0"/>
          <w:i w:val="0"/>
          <w:color w:val="20303C"/>
          <w:sz w:val="22"/>
        </w:rPr>
        <w:t>Clasificación principal: Información, Cotización, Seguimiento, Facturación y Calidad.</w:t>
      </w:r>
    </w:p>
    <w:p>
      <w:pPr>
        <w:pStyle w:val="ListBullet"/>
      </w:pPr>
      <w:r>
        <w:rPr>
          <w:rFonts w:ascii="Calibri" w:hAnsi="Calibri"/>
          <w:b w:val="0"/>
          <w:i w:val="0"/>
          <w:color w:val="20303C"/>
          <w:sz w:val="22"/>
        </w:rPr>
        <w:t>Secuencia: reconocer, reutilizar datos visibles, responder lo documentado, pedir sólo faltantes y resumir antes de avanzar o transferir.</w:t>
      </w:r>
    </w:p>
    <w:p>
      <w:pPr>
        <w:pStyle w:val="ListBullet"/>
      </w:pPr>
      <w:r>
        <w:rPr>
          <w:rFonts w:ascii="Calibri" w:hAnsi="Calibri"/>
          <w:b w:val="0"/>
          <w:i w:val="0"/>
          <w:color w:val="20303C"/>
          <w:sz w:val="22"/>
        </w:rPr>
        <w:t>Cotización: captura progresiva de objetivo, matriz/origen/proceso, norma o instrumento, parámetros requeridos, ubicación, volumen y datos de contacto cuando correspondan.</w:t>
      </w:r>
    </w:p>
    <w:p>
      <w:pPr>
        <w:pStyle w:val="ListBullet"/>
      </w:pPr>
      <w:r>
        <w:rPr>
          <w:rFonts w:ascii="Calibri" w:hAnsi="Calibri"/>
          <w:b w:val="0"/>
          <w:i w:val="0"/>
          <w:color w:val="20303C"/>
          <w:sz w:val="22"/>
        </w:rPr>
        <w:t>Seguimiento: solicitud de identificadores disponibles y contexto mínimo, sin prometer estado, programación ni fecha de informe.</w:t>
      </w:r>
    </w:p>
    <w:p>
      <w:pPr>
        <w:pStyle w:val="ListBullet"/>
      </w:pPr>
      <w:r>
        <w:rPr>
          <w:rFonts w:ascii="Calibri" w:hAnsi="Calibri"/>
          <w:b w:val="0"/>
          <w:i w:val="0"/>
          <w:color w:val="20303C"/>
          <w:sz w:val="22"/>
        </w:rPr>
        <w:t>Facturación: orientación administrativa documentada; transferencia cuando la persona necesita envío, corrección, revisión, refacturación o nota de crédito.</w:t>
      </w:r>
    </w:p>
    <w:p>
      <w:pPr>
        <w:pStyle w:val="ListBullet"/>
      </w:pPr>
      <w:r>
        <w:rPr>
          <w:rFonts w:ascii="Calibri" w:hAnsi="Calibri"/>
          <w:b w:val="0"/>
          <w:i w:val="0"/>
          <w:color w:val="20303C"/>
          <w:sz w:val="22"/>
        </w:rPr>
        <w:t>Calidad: registro fiel del reclamo o apelación y contexto mínimo para revisión humana, sin interpretar resultados ni resolver técnicamente el caso.</w:t>
      </w:r>
    </w:p>
    <w:p>
      <w:pPr>
        <w:pStyle w:val="Heading2"/>
      </w:pPr>
      <w:r>
        <w:t>3.4 Transferencia y canal</w:t>
      </w:r>
    </w:p>
    <w:p>
      <w:pPr>
        <w:pStyle w:val="ListBullet"/>
      </w:pPr>
      <w:r>
        <w:rPr>
          <w:rFonts w:ascii="Calibri" w:hAnsi="Calibri"/>
          <w:b w:val="0"/>
          <w:i w:val="0"/>
          <w:color w:val="20303C"/>
          <w:sz w:val="22"/>
        </w:rPr>
        <w:t>Transferencia directa al help desk “Asistencia al cliente”.</w:t>
      </w:r>
    </w:p>
    <w:p>
      <w:pPr>
        <w:pStyle w:val="ListBullet"/>
      </w:pPr>
      <w:r>
        <w:rPr>
          <w:rFonts w:ascii="Calibri" w:hAnsi="Calibri"/>
          <w:b w:val="0"/>
          <w:i w:val="0"/>
          <w:color w:val="20303C"/>
          <w:sz w:val="22"/>
        </w:rPr>
        <w:t>Responsable configurada: Maria Paz Haeger.</w:t>
      </w:r>
    </w:p>
    <w:p>
      <w:pPr>
        <w:pStyle w:val="ListBullet"/>
      </w:pPr>
      <w:r>
        <w:rPr>
          <w:rFonts w:ascii="Calibri" w:hAnsi="Calibri"/>
          <w:b w:val="0"/>
          <w:i w:val="0"/>
          <w:color w:val="20303C"/>
          <w:sz w:val="22"/>
        </w:rPr>
        <w:t>Handoff con frase de contexto para evitar que el visitante repita antecedentes.</w:t>
      </w:r>
    </w:p>
    <w:p>
      <w:pPr>
        <w:pStyle w:val="ListBullet"/>
      </w:pPr>
      <w:r>
        <w:rPr>
          <w:rFonts w:ascii="Calibri" w:hAnsi="Calibri"/>
          <w:b w:val="0"/>
          <w:i w:val="0"/>
          <w:color w:val="20303C"/>
          <w:sz w:val="22"/>
        </w:rPr>
        <w:t>Comportamiento alternativo cuando la responsable no está disponible: ticket sin asignar, chat abierto y mensaje de continuidad.</w:t>
      </w:r>
    </w:p>
    <w:p>
      <w:pPr>
        <w:pStyle w:val="ListBullet"/>
      </w:pPr>
      <w:r>
        <w:rPr>
          <w:rFonts w:ascii="Calibri" w:hAnsi="Calibri"/>
          <w:b w:val="0"/>
          <w:i w:val="0"/>
          <w:color w:val="20303C"/>
          <w:sz w:val="22"/>
        </w:rPr>
        <w:t>Canal desplegado: “Nuevo chatflow (2 de julio de 2026 7:10 PM)”, live chat, todas las horas y cobertura configurada de 100%.</w:t>
      </w:r>
    </w:p>
    <w:p>
      <w:pPr>
        <w:pStyle w:val="ListBullet"/>
      </w:pPr>
      <w:r>
        <w:rPr>
          <w:rFonts w:ascii="Calibri" w:hAnsi="Calibri"/>
          <w:b w:val="0"/>
          <w:i w:val="0"/>
          <w:color w:val="20303C"/>
          <w:sz w:val="22"/>
        </w:rPr>
        <w:t>Inactividad de chat personalizada a un día. La política exacta de solicitud de correo no se infirió porque ninguna opción apareció seleccionada en la inspección.</w:t>
      </w:r>
    </w:p>
    <w:p>
      <w:pPr>
        <w:pStyle w:val="Heading1"/>
      </w:pPr>
      <w:r>
        <w:t>4. Arquitectura conversacional del agente</w:t>
      </w:r>
    </w:p>
    <w:p>
      <w:r>
        <w:rPr>
          <w:rFonts w:ascii="Calibri" w:hAnsi="Calibri"/>
          <w:b w:val="0"/>
          <w:i w:val="0"/>
          <w:color w:val="20303C"/>
          <w:sz w:val="22"/>
        </w:rPr>
        <w:t>El diseño separa tres capas: conocimiento que puede responderse, captura contextual y acción humana. Esta separación evita que el agente confunda información técnica con una promesa comercial o con una gestión administrativa que requiere acceso a sistemas y criterio humano.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3730"/>
        <w:gridCol w:w="3730"/>
      </w:tblGrid>
      <w:tr>
        <w:trPr>
          <w:tblHeader w:val="true"/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005596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Capa</w:t>
            </w:r>
          </w:p>
        </w:tc>
        <w:tc>
          <w:tcPr>
            <w:tcW w:type="dxa" w:w="3730"/>
            <w:tcMar>
              <w:top w:w="80" w:type="dxa"/>
              <w:start w:w="120" w:type="dxa"/>
              <w:bottom w:w="80" w:type="dxa"/>
              <w:end w:w="120" w:type="dxa"/>
            </w:tcMar>
            <w:shd w:fill="005596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Responsabilidad</w:t>
            </w:r>
          </w:p>
        </w:tc>
        <w:tc>
          <w:tcPr>
            <w:tcW w:type="dxa" w:w="3730"/>
            <w:tcMar>
              <w:top w:w="80" w:type="dxa"/>
              <w:start w:w="120" w:type="dxa"/>
              <w:bottom w:w="80" w:type="dxa"/>
              <w:end w:w="120" w:type="dxa"/>
            </w:tcMar>
            <w:shd w:fill="005596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No debe hacer</w:t>
            </w:r>
          </w:p>
        </w:tc>
      </w:tr>
      <w:tr>
        <w:trPr>
          <w:cantSplit/>
        </w:trPr>
        <w:tc>
          <w:tcPr>
            <w:tcW w:type="dxa" w:w="19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20303C"/>
                <w:sz w:val="18"/>
              </w:rPr>
              <w:t>Respuesta documentada</w:t>
            </w:r>
          </w:p>
        </w:tc>
        <w:tc>
          <w:tcPr>
            <w:tcW w:type="dxa" w:w="373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303C"/>
                <w:sz w:val="18"/>
              </w:rPr>
              <w:t>Servicios, matrices, normas, metodologías, parámetros, plazos estándar y orientación general.</w:t>
            </w:r>
          </w:p>
        </w:tc>
        <w:tc>
          <w:tcPr>
            <w:tcW w:type="dxa" w:w="373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303C"/>
                <w:sz w:val="18"/>
              </w:rPr>
              <w:t>Inventar cobertura, precio, disponibilidad, interpretación normativa o resultado.</w:t>
            </w:r>
          </w:p>
        </w:tc>
      </w:tr>
      <w:tr>
        <w:trPr>
          <w:cantSplit/>
        </w:trPr>
        <w:tc>
          <w:tcPr>
            <w:tcW w:type="dxa" w:w="1900"/>
            <w:shd w:fill="F4F7F9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20303C"/>
                <w:sz w:val="18"/>
              </w:rPr>
              <w:t>Captura contextual</w:t>
            </w:r>
          </w:p>
        </w:tc>
        <w:tc>
          <w:tcPr>
            <w:tcW w:type="dxa" w:w="3730"/>
            <w:shd w:fill="F4F7F9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303C"/>
                <w:sz w:val="18"/>
              </w:rPr>
              <w:t>Pedir faltantes mínimos según intención y conservar contexto multi-turno.</w:t>
            </w:r>
          </w:p>
        </w:tc>
        <w:tc>
          <w:tcPr>
            <w:tcW w:type="dxa" w:w="3730"/>
            <w:shd w:fill="F4F7F9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303C"/>
                <w:sz w:val="18"/>
              </w:rPr>
              <w:t>Repetir preguntas, solicitar datos sensibles o convertir una lista de catálogo en recomendación.</w:t>
            </w:r>
          </w:p>
        </w:tc>
      </w:tr>
      <w:tr>
        <w:trPr>
          <w:cantSplit/>
        </w:trPr>
        <w:tc>
          <w:tcPr>
            <w:tcW w:type="dxa" w:w="19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20303C"/>
                <w:sz w:val="18"/>
              </w:rPr>
              <w:t>Transferencia humana</w:t>
            </w:r>
          </w:p>
        </w:tc>
        <w:tc>
          <w:tcPr>
            <w:tcW w:type="dxa" w:w="373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303C"/>
                <w:sz w:val="18"/>
              </w:rPr>
              <w:t>Crear continuidad para precio final, estado contratado, facturación accionable y calidad.</w:t>
            </w:r>
          </w:p>
        </w:tc>
        <w:tc>
          <w:tcPr>
            <w:tcW w:type="dxa" w:w="373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303C"/>
                <w:sz w:val="18"/>
              </w:rPr>
              <w:t>Transferir al primer uso de palabras como factura, urgente, reclamo o cotización.</w:t>
            </w:r>
          </w:p>
        </w:tc>
      </w:tr>
    </w:tbl>
    <w:p>
      <w:pPr>
        <w:spacing w:after="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AF2F8"/>
          </w:tcPr>
          <w:p>
            <w:pPr>
              <w:pStyle w:val="Callout"/>
            </w:pPr>
            <w:r>
              <w:rPr>
                <w:rFonts w:ascii="Calibri" w:hAnsi="Calibri"/>
                <w:b/>
                <w:i w:val="0"/>
                <w:color w:val="12324A"/>
                <w:sz w:val="21"/>
              </w:rPr>
              <w:t xml:space="preserve">Regla central: </w:t>
            </w:r>
            <w:r>
              <w:rPr>
                <w:rFonts w:ascii="Calibri" w:hAnsi="Calibri"/>
                <w:b w:val="0"/>
                <w:i w:val="0"/>
                <w:color w:val="12324A"/>
                <w:sz w:val="21"/>
              </w:rPr>
              <w:t>La transferencia ocurre cuando falta una respuesta fiable o se requiere una acción humana. Las preguntas informativas documentadas deben resolverse antes de escalar.</w:t>
            </w:r>
          </w:p>
        </w:tc>
      </w:tr>
    </w:tbl>
    <w:p>
      <w:pPr>
        <w:spacing w:after="0"/>
      </w:pPr>
    </w:p>
    <w:p>
      <w:pPr>
        <w:pStyle w:val="Heading1"/>
      </w:pPr>
      <w:r>
        <w:t>5. Knowledge base publicada</w:t>
      </w:r>
    </w:p>
    <w:p>
      <w:pPr>
        <w:pStyle w:val="Heading2"/>
      </w:pPr>
      <w:r>
        <w:t>5.1 Archivos privados en uso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1600"/>
        <w:gridCol w:w="1600"/>
        <w:gridCol w:w="3160"/>
      </w:tblGrid>
      <w:tr>
        <w:trPr>
          <w:tblHeader w:val="true"/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shd w:fill="005596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Fuente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shd w:fill="005596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ID HubSpot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shd w:fill="005596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Última sincronización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shd w:fill="005596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Contenido</w:t>
            </w:r>
          </w:p>
        </w:tc>
      </w:tr>
      <w:tr>
        <w:trPr>
          <w:cantSplit/>
        </w:trPr>
        <w:tc>
          <w:tcPr>
            <w:tcW w:type="dxa" w:w="30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20303C"/>
                <w:sz w:val="17"/>
              </w:rPr>
              <w:t>Doc A - ANAM Empresa.md</w:t>
            </w:r>
          </w:p>
        </w:tc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303C"/>
                <w:sz w:val="17"/>
              </w:rPr>
              <w:t>215746237578</w:t>
            </w:r>
          </w:p>
        </w:tc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303C"/>
                <w:sz w:val="17"/>
              </w:rPr>
              <w:t>24-jun-2026</w:t>
            </w:r>
          </w:p>
        </w:tc>
        <w:tc>
          <w:tcPr>
            <w:tcW w:type="dxa" w:w="31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303C"/>
                <w:sz w:val="17"/>
              </w:rPr>
              <w:t>Identidad, acreditaciones y cobertura institucional.</w:t>
            </w:r>
          </w:p>
        </w:tc>
      </w:tr>
      <w:tr>
        <w:trPr>
          <w:cantSplit/>
        </w:trPr>
        <w:tc>
          <w:tcPr>
            <w:tcW w:type="dxa" w:w="3000"/>
            <w:shd w:fill="F4F7F9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20303C"/>
                <w:sz w:val="17"/>
              </w:rPr>
              <w:t>Doc B - Servicios y Normas.md</w:t>
            </w:r>
          </w:p>
        </w:tc>
        <w:tc>
          <w:tcPr>
            <w:tcW w:type="dxa" w:w="1600"/>
            <w:shd w:fill="F4F7F9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303C"/>
                <w:sz w:val="17"/>
              </w:rPr>
              <w:t>215755204520</w:t>
            </w:r>
          </w:p>
        </w:tc>
        <w:tc>
          <w:tcPr>
            <w:tcW w:type="dxa" w:w="1600"/>
            <w:shd w:fill="F4F7F9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303C"/>
                <w:sz w:val="17"/>
              </w:rPr>
              <w:t>16-jul-2026</w:t>
            </w:r>
          </w:p>
        </w:tc>
        <w:tc>
          <w:tcPr>
            <w:tcW w:type="dxa" w:w="3160"/>
            <w:shd w:fill="F4F7F9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303C"/>
                <w:sz w:val="17"/>
              </w:rPr>
              <w:t>Servicios, matrices, normas y límites de orientación.</w:t>
            </w:r>
          </w:p>
        </w:tc>
      </w:tr>
      <w:tr>
        <w:trPr>
          <w:cantSplit/>
        </w:trPr>
        <w:tc>
          <w:tcPr>
            <w:tcW w:type="dxa" w:w="30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20303C"/>
                <w:sz w:val="17"/>
              </w:rPr>
              <w:t>Doc D - Preguntas Frecuentes.md</w:t>
            </w:r>
          </w:p>
        </w:tc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303C"/>
                <w:sz w:val="17"/>
              </w:rPr>
              <w:t>215755215004</w:t>
            </w:r>
          </w:p>
        </w:tc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303C"/>
                <w:sz w:val="17"/>
              </w:rPr>
              <w:t>16-jul-2026</w:t>
            </w:r>
          </w:p>
        </w:tc>
        <w:tc>
          <w:tcPr>
            <w:tcW w:type="dxa" w:w="31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303C"/>
                <w:sz w:val="17"/>
              </w:rPr>
              <w:t>Preguntas informativas y administrativas frecuentes.</w:t>
            </w:r>
          </w:p>
        </w:tc>
      </w:tr>
      <w:tr>
        <w:trPr>
          <w:cantSplit/>
        </w:trPr>
        <w:tc>
          <w:tcPr>
            <w:tcW w:type="dxa" w:w="3000"/>
            <w:shd w:fill="F4F7F9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20303C"/>
                <w:sz w:val="17"/>
              </w:rPr>
              <w:t>Doc C - Cotización y Captura de Datos - Canónico.md</w:t>
            </w:r>
          </w:p>
        </w:tc>
        <w:tc>
          <w:tcPr>
            <w:tcW w:type="dxa" w:w="1600"/>
            <w:shd w:fill="F4F7F9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303C"/>
                <w:sz w:val="17"/>
              </w:rPr>
              <w:t>215760854289</w:t>
            </w:r>
          </w:p>
        </w:tc>
        <w:tc>
          <w:tcPr>
            <w:tcW w:type="dxa" w:w="1600"/>
            <w:shd w:fill="F4F7F9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303C"/>
                <w:sz w:val="17"/>
              </w:rPr>
              <w:t>16-jul-2026</w:t>
            </w:r>
          </w:p>
        </w:tc>
        <w:tc>
          <w:tcPr>
            <w:tcW w:type="dxa" w:w="3160"/>
            <w:shd w:fill="F4F7F9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303C"/>
                <w:sz w:val="17"/>
              </w:rPr>
              <w:t>Flujos progresivos de captura para cotizar.</w:t>
            </w:r>
          </w:p>
        </w:tc>
      </w:tr>
      <w:tr>
        <w:trPr>
          <w:cantSplit/>
        </w:trPr>
        <w:tc>
          <w:tcPr>
            <w:tcW w:type="dxa" w:w="30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20303C"/>
                <w:sz w:val="17"/>
              </w:rPr>
              <w:t>Doc E - Seguimiento Facturación y Calidad.md</w:t>
            </w:r>
          </w:p>
        </w:tc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303C"/>
                <w:sz w:val="17"/>
              </w:rPr>
              <w:t>217254907290</w:t>
            </w:r>
          </w:p>
        </w:tc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303C"/>
                <w:sz w:val="17"/>
              </w:rPr>
              <w:t>16-jul-2026</w:t>
            </w:r>
          </w:p>
        </w:tc>
        <w:tc>
          <w:tcPr>
            <w:tcW w:type="dxa" w:w="31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303C"/>
                <w:sz w:val="17"/>
              </w:rPr>
              <w:t>Seguimiento, facturación, reclamos y escalamiento.</w:t>
            </w:r>
          </w:p>
        </w:tc>
      </w:tr>
      <w:tr>
        <w:trPr>
          <w:cantSplit/>
        </w:trPr>
        <w:tc>
          <w:tcPr>
            <w:tcW w:type="dxa" w:w="3000"/>
            <w:shd w:fill="F4F7F9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20303C"/>
                <w:sz w:val="17"/>
              </w:rPr>
              <w:t>Doc F - Catálogo de Parámetros y Tiempos.md</w:t>
            </w:r>
          </w:p>
        </w:tc>
        <w:tc>
          <w:tcPr>
            <w:tcW w:type="dxa" w:w="1600"/>
            <w:shd w:fill="F4F7F9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303C"/>
                <w:sz w:val="17"/>
              </w:rPr>
              <w:t>217254907291</w:t>
            </w:r>
          </w:p>
        </w:tc>
        <w:tc>
          <w:tcPr>
            <w:tcW w:type="dxa" w:w="1600"/>
            <w:shd w:fill="F4F7F9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303C"/>
                <w:sz w:val="17"/>
              </w:rPr>
              <w:t>16-jul-2026</w:t>
            </w:r>
          </w:p>
        </w:tc>
        <w:tc>
          <w:tcPr>
            <w:tcW w:type="dxa" w:w="3160"/>
            <w:shd w:fill="F4F7F9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303C"/>
                <w:sz w:val="17"/>
              </w:rPr>
              <w:t>Catálogo técnico aprobado y tiempos estándar.</w:t>
            </w:r>
          </w:p>
        </w:tc>
      </w:tr>
    </w:tbl>
    <w:p>
      <w:pPr>
        <w:spacing w:after="0"/>
      </w:pPr>
    </w:p>
    <w:p>
      <w:pPr>
        <w:pStyle w:val="Heading2"/>
      </w:pPr>
      <w:r>
        <w:t>5.2 Catálogo técnico</w:t>
      </w:r>
    </w:p>
    <w:p>
      <w:r>
        <w:rPr>
          <w:rFonts w:ascii="Calibri" w:hAnsi="Calibri"/>
          <w:b w:val="0"/>
          <w:i w:val="0"/>
          <w:color w:val="20303C"/>
          <w:sz w:val="22"/>
        </w:rPr>
        <w:t>El catálogo técnico fue declarado como validado por ANAM el 3 de julio de 2026 y proveniente del archivo “Resumen parametros.xlsx” recibido de María Paz Haeger. Se publicaron 356 registros, sin contar encabezados.</w:t>
      </w:r>
    </w:p>
    <w:p>
      <w:pPr>
        <w:pStyle w:val="ListBullet"/>
      </w:pPr>
      <w:r>
        <w:rPr>
          <w:rFonts w:ascii="Calibri" w:hAnsi="Calibri"/>
          <w:b w:val="0"/>
          <w:i w:val="0"/>
          <w:color w:val="20303C"/>
          <w:sz w:val="22"/>
        </w:rPr>
        <w:t>Matrices cubiertas: Agua Cruda, Agua Lluvia, Agua Mar, Agua Potable, Agua Servida, Agua Servida tratada, Lodos, Mezcla RILES con Aguas Servidas, RILES y Residuos Peligrosos.</w:t>
      </w:r>
    </w:p>
    <w:p>
      <w:pPr>
        <w:pStyle w:val="ListBullet"/>
      </w:pPr>
      <w:r>
        <w:rPr>
          <w:rFonts w:ascii="Calibri" w:hAnsi="Calibri"/>
          <w:b w:val="0"/>
          <w:i w:val="0"/>
          <w:color w:val="20303C"/>
          <w:sz w:val="22"/>
        </w:rPr>
        <w:t>Cada fila conserva parámetros, métodos, límites y días estándar disponibles en la fuente.</w:t>
      </w:r>
    </w:p>
    <w:p>
      <w:pPr>
        <w:pStyle w:val="ListBullet"/>
      </w:pPr>
      <w:r>
        <w:rPr>
          <w:rFonts w:ascii="Calibri" w:hAnsi="Calibri"/>
          <w:b w:val="0"/>
          <w:i w:val="0"/>
          <w:color w:val="20303C"/>
          <w:sz w:val="22"/>
        </w:rPr>
        <w:t>Los días estándar son orientación analítica; no constituyen fecha comprometida para una muestra o servicio contratado.</w:t>
      </w:r>
    </w:p>
    <w:p>
      <w:pPr>
        <w:pStyle w:val="ListBullet"/>
      </w:pPr>
      <w:r>
        <w:rPr>
          <w:rFonts w:ascii="Calibri" w:hAnsi="Calibri"/>
          <w:b w:val="0"/>
          <w:i w:val="0"/>
          <w:color w:val="20303C"/>
          <w:sz w:val="22"/>
        </w:rPr>
        <w:t>La presencia de un parámetro no autoriza recomendar paneles ni inferir una norma aplicable a una situación particular.</w:t>
      </w:r>
    </w:p>
    <w:p>
      <w:pPr>
        <w:pStyle w:val="Heading2"/>
      </w:pPr>
      <w:r>
        <w:t>5.3 Respuestas cortas</w:t>
      </w:r>
    </w:p>
    <w:p>
      <w:r>
        <w:rPr>
          <w:rFonts w:ascii="Calibri" w:hAnsi="Calibri"/>
          <w:b w:val="0"/>
          <w:i w:val="0"/>
          <w:color w:val="20303C"/>
          <w:sz w:val="22"/>
        </w:rPr>
        <w:t>Las 17 respuestas cortas complementan los documentos extensos y fijan respuestas para escenarios críticos. Se mantuvieron privadas, aplicadas al segmento “Todo” y con citas públicas desactivadas. El informe técnico fuente conserva el texto completo de cada respuesta para auditoría y republicación controlada.</w:t>
      </w:r>
    </w:p>
    <w:p>
      <w:pPr>
        <w:pStyle w:val="Heading1"/>
      </w:pPr>
      <w:r>
        <w:t>6. Captura por intención y límites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2600"/>
        <w:gridCol w:w="2700"/>
        <w:gridCol w:w="2860"/>
      </w:tblGrid>
      <w:tr>
        <w:trPr>
          <w:tblHeader w:val="true"/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shd w:fill="005596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Intención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shd w:fill="005596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Qué responde ANA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shd w:fill="005596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Qué captura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shd w:fill="005596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Cuándo transfiere</w:t>
            </w:r>
          </w:p>
        </w:tc>
      </w:tr>
      <w:tr>
        <w:trPr>
          <w:cantSplit/>
        </w:trPr>
        <w:tc>
          <w:tcPr>
            <w:tcW w:type="dxa" w:w="12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20303C"/>
                <w:sz w:val="16"/>
              </w:rPr>
              <w:t>Información</w:t>
            </w:r>
          </w:p>
        </w:tc>
        <w:tc>
          <w:tcPr>
            <w:tcW w:type="dxa" w:w="26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303C"/>
                <w:sz w:val="16"/>
              </w:rPr>
              <w:t>Servicios, matrices, normas, métodos y orientación general documentada.</w:t>
            </w:r>
          </w:p>
        </w:tc>
        <w:tc>
          <w:tcPr>
            <w:tcW w:type="dxa" w:w="27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303C"/>
                <w:sz w:val="16"/>
              </w:rPr>
              <w:t>Objetivo, origen/proceso y norma cuando faltan parámetros.</w:t>
            </w:r>
          </w:p>
        </w:tc>
        <w:tc>
          <w:tcPr>
            <w:tcW w:type="dxa" w:w="28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303C"/>
                <w:sz w:val="16"/>
              </w:rPr>
              <w:t>Sólo si no existe respuesta fiable tras aclaración.</w:t>
            </w:r>
          </w:p>
        </w:tc>
      </w:tr>
      <w:tr>
        <w:trPr>
          <w:cantSplit/>
        </w:trPr>
        <w:tc>
          <w:tcPr>
            <w:tcW w:type="dxa" w:w="1200"/>
            <w:shd w:fill="F4F7F9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20303C"/>
                <w:sz w:val="16"/>
              </w:rPr>
              <w:t>Cotización</w:t>
            </w:r>
          </w:p>
        </w:tc>
        <w:tc>
          <w:tcPr>
            <w:tcW w:type="dxa" w:w="2600"/>
            <w:shd w:fill="F4F7F9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303C"/>
                <w:sz w:val="16"/>
              </w:rPr>
              <w:t>Explica que el valor se define caso a caso.</w:t>
            </w:r>
          </w:p>
        </w:tc>
        <w:tc>
          <w:tcPr>
            <w:tcW w:type="dxa" w:w="2700"/>
            <w:shd w:fill="F4F7F9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303C"/>
                <w:sz w:val="16"/>
              </w:rPr>
              <w:t>Matriz, parámetros, norma, ubicación, volumen, contacto y antecedentes aplicables.</w:t>
            </w:r>
          </w:p>
        </w:tc>
        <w:tc>
          <w:tcPr>
            <w:tcW w:type="dxa" w:w="2860"/>
            <w:shd w:fill="F4F7F9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303C"/>
                <w:sz w:val="16"/>
              </w:rPr>
              <w:t>Precio final o evaluación comercial.</w:t>
            </w:r>
          </w:p>
        </w:tc>
      </w:tr>
      <w:tr>
        <w:trPr>
          <w:cantSplit/>
        </w:trPr>
        <w:tc>
          <w:tcPr>
            <w:tcW w:type="dxa" w:w="12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20303C"/>
                <w:sz w:val="16"/>
              </w:rPr>
              <w:t>Seguimiento</w:t>
            </w:r>
          </w:p>
        </w:tc>
        <w:tc>
          <w:tcPr>
            <w:tcW w:type="dxa" w:w="26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303C"/>
                <w:sz w:val="16"/>
              </w:rPr>
              <w:t>Explica el proceso y reúne identificadores.</w:t>
            </w:r>
          </w:p>
        </w:tc>
        <w:tc>
          <w:tcPr>
            <w:tcW w:type="dxa" w:w="27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303C"/>
                <w:sz w:val="16"/>
              </w:rPr>
              <w:t>Número de muestra/servicio, empresa, fecha y necesidad concreta.</w:t>
            </w:r>
          </w:p>
        </w:tc>
        <w:tc>
          <w:tcPr>
            <w:tcW w:type="dxa" w:w="28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303C"/>
                <w:sz w:val="16"/>
              </w:rPr>
              <w:t>Estado, programación, informe o acción en sistema.</w:t>
            </w:r>
          </w:p>
        </w:tc>
      </w:tr>
      <w:tr>
        <w:trPr>
          <w:cantSplit/>
        </w:trPr>
        <w:tc>
          <w:tcPr>
            <w:tcW w:type="dxa" w:w="1200"/>
            <w:shd w:fill="F4F7F9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20303C"/>
                <w:sz w:val="16"/>
              </w:rPr>
              <w:t>Facturación</w:t>
            </w:r>
          </w:p>
        </w:tc>
        <w:tc>
          <w:tcPr>
            <w:tcW w:type="dxa" w:w="2600"/>
            <w:shd w:fill="F4F7F9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303C"/>
                <w:sz w:val="16"/>
              </w:rPr>
              <w:t>Orientación administrativa general.</w:t>
            </w:r>
          </w:p>
        </w:tc>
        <w:tc>
          <w:tcPr>
            <w:tcW w:type="dxa" w:w="2700"/>
            <w:shd w:fill="F4F7F9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303C"/>
                <w:sz w:val="16"/>
              </w:rPr>
              <w:t>Factura/OC/EDP/HAS-HES, necesidad y motivo.</w:t>
            </w:r>
          </w:p>
        </w:tc>
        <w:tc>
          <w:tcPr>
            <w:tcW w:type="dxa" w:w="2860"/>
            <w:shd w:fill="F4F7F9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303C"/>
                <w:sz w:val="16"/>
              </w:rPr>
              <w:t>Envío, corrección, refacturación, nota de crédito o revisión.</w:t>
            </w:r>
          </w:p>
        </w:tc>
      </w:tr>
      <w:tr>
        <w:trPr>
          <w:cantSplit/>
        </w:trPr>
        <w:tc>
          <w:tcPr>
            <w:tcW w:type="dxa" w:w="12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20303C"/>
                <w:sz w:val="16"/>
              </w:rPr>
              <w:t>Calidad</w:t>
            </w:r>
          </w:p>
        </w:tc>
        <w:tc>
          <w:tcPr>
            <w:tcW w:type="dxa" w:w="26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303C"/>
                <w:sz w:val="16"/>
              </w:rPr>
              <w:t>Reconoce y registra fielmente.</w:t>
            </w:r>
          </w:p>
        </w:tc>
        <w:tc>
          <w:tcPr>
            <w:tcW w:type="dxa" w:w="27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303C"/>
                <w:sz w:val="16"/>
              </w:rPr>
              <w:t>Servicio/muestra, hecho, fecha, evidencia y expectativa.</w:t>
            </w:r>
          </w:p>
        </w:tc>
        <w:tc>
          <w:tcPr>
            <w:tcW w:type="dxa" w:w="28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303C"/>
                <w:sz w:val="16"/>
              </w:rPr>
              <w:t>Investigación, apelación, queja o respuesta formal.</w:t>
            </w:r>
          </w:p>
        </w:tc>
      </w:tr>
    </w:tbl>
    <w:p>
      <w:pPr>
        <w:spacing w:after="0"/>
      </w:pPr>
    </w:p>
    <w:p>
      <w:pPr>
        <w:pStyle w:val="Heading2"/>
      </w:pPr>
      <w:r>
        <w:t>6.1 Límites publicados</w:t>
      </w:r>
    </w:p>
    <w:p>
      <w:pPr>
        <w:pStyle w:val="ListBullet"/>
      </w:pPr>
      <w:r>
        <w:rPr>
          <w:rFonts w:ascii="Calibri" w:hAnsi="Calibri"/>
          <w:b w:val="0"/>
          <w:i w:val="0"/>
          <w:color w:val="20303C"/>
          <w:sz w:val="22"/>
        </w:rPr>
        <w:t>No prometer precios, fechas, soluciones, refacturaciones ni plazos no documentados.</w:t>
      </w:r>
    </w:p>
    <w:p>
      <w:pPr>
        <w:pStyle w:val="ListBullet"/>
      </w:pPr>
      <w:r>
        <w:rPr>
          <w:rFonts w:ascii="Calibri" w:hAnsi="Calibri"/>
          <w:b w:val="0"/>
          <w:i w:val="0"/>
          <w:color w:val="20303C"/>
          <w:sz w:val="22"/>
        </w:rPr>
        <w:t>No interpretar cumplimiento legal, resultados analíticos o elegibilidad normativa.</w:t>
      </w:r>
    </w:p>
    <w:p>
      <w:pPr>
        <w:pStyle w:val="ListBullet"/>
      </w:pPr>
      <w:r>
        <w:rPr>
          <w:rFonts w:ascii="Calibri" w:hAnsi="Calibri"/>
          <w:b w:val="0"/>
          <w:i w:val="0"/>
          <w:color w:val="20303C"/>
          <w:sz w:val="22"/>
        </w:rPr>
        <w:t>No inventar disponibilidad, área, responsable, alertas o capacidades de DATANAM.</w:t>
      </w:r>
    </w:p>
    <w:p>
      <w:pPr>
        <w:pStyle w:val="ListBullet"/>
      </w:pPr>
      <w:r>
        <w:rPr>
          <w:rFonts w:ascii="Calibri" w:hAnsi="Calibri"/>
          <w:b w:val="0"/>
          <w:i w:val="0"/>
          <w:color w:val="20303C"/>
          <w:sz w:val="22"/>
        </w:rPr>
        <w:t>No dar instrucciones genéricas de envase, preservante, temperatura o transporte sin evidencia exacta.</w:t>
      </w:r>
    </w:p>
    <w:p>
      <w:pPr>
        <w:pStyle w:val="ListBullet"/>
      </w:pPr>
      <w:r>
        <w:rPr>
          <w:rFonts w:ascii="Calibri" w:hAnsi="Calibri"/>
          <w:b w:val="0"/>
          <w:i w:val="0"/>
          <w:color w:val="20303C"/>
          <w:sz w:val="22"/>
        </w:rPr>
        <w:t>No confirmar operación 24/7 como estándar de servicio por el solo hecho de que el chat esté disponible.</w:t>
      </w:r>
    </w:p>
    <w:p>
      <w:pPr>
        <w:pStyle w:val="ListBullet"/>
      </w:pPr>
      <w:r>
        <w:rPr>
          <w:rFonts w:ascii="Calibri" w:hAnsi="Calibri"/>
          <w:b w:val="0"/>
          <w:i w:val="0"/>
          <w:color w:val="20303C"/>
          <w:sz w:val="22"/>
        </w:rPr>
        <w:t>No solicitar datos sensibles ni exponer información financiera de otros registros.</w:t>
      </w:r>
    </w:p>
    <w:p>
      <w:pPr>
        <w:pStyle w:val="ListBullet"/>
      </w:pPr>
      <w:r>
        <w:rPr>
          <w:rFonts w:ascii="Calibri" w:hAnsi="Calibri"/>
          <w:b w:val="0"/>
          <w:i w:val="0"/>
          <w:color w:val="20303C"/>
          <w:sz w:val="22"/>
        </w:rPr>
        <w:t>No enumerar E-RESPEL para un residuo sin clasificación ni listar todo el catálogo cuando faltan parámetros.</w:t>
      </w:r>
    </w:p>
    <w:p>
      <w:pPr>
        <w:pStyle w:val="Heading1"/>
      </w:pPr>
      <w:r>
        <w:t>7. Transferencia a María Paz y canal</w:t>
      </w:r>
    </w:p>
    <w:p>
      <w:r>
        <w:rPr>
          <w:rFonts w:ascii="Calibri" w:hAnsi="Calibri"/>
          <w:b w:val="0"/>
          <w:i w:val="0"/>
          <w:color w:val="20303C"/>
          <w:sz w:val="22"/>
        </w:rPr>
        <w:t>La transferencia fue diseñada como continuidad, no como abandono. Antes de escalar, el agente resume en una frase el motivo y confirma que María Paz continuará con el contexto. El ticket se crea en la bandeja de atención y el chat permanece abierto si no existe disponibilidad inmediata.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rPr>
          <w:tblHeader w:val="true"/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shd w:fill="005596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Elemento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shd w:fill="005596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Configuración verificada</w:t>
            </w:r>
          </w:p>
        </w:tc>
      </w:tr>
      <w:tr>
        <w:trPr>
          <w:cantSplit/>
        </w:trPr>
        <w:tc>
          <w:tcPr>
            <w:tcW w:type="dxa" w:w="23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20303C"/>
                <w:sz w:val="18"/>
              </w:rPr>
              <w:t>Workspace</w:t>
            </w:r>
          </w:p>
        </w:tc>
        <w:tc>
          <w:tcPr>
            <w:tcW w:type="dxa" w:w="70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303C"/>
                <w:sz w:val="18"/>
              </w:rPr>
              <w:t>Asistencia al cliente</w:t>
            </w:r>
          </w:p>
        </w:tc>
      </w:tr>
      <w:tr>
        <w:trPr>
          <w:cantSplit/>
        </w:trPr>
        <w:tc>
          <w:tcPr>
            <w:tcW w:type="dxa" w:w="2300"/>
            <w:shd w:fill="F4F7F9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20303C"/>
                <w:sz w:val="18"/>
              </w:rPr>
              <w:t>Responsable</w:t>
            </w:r>
          </w:p>
        </w:tc>
        <w:tc>
          <w:tcPr>
            <w:tcW w:type="dxa" w:w="7060"/>
            <w:shd w:fill="F4F7F9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303C"/>
                <w:sz w:val="18"/>
              </w:rPr>
              <w:t>Maria Paz Haeger</w:t>
            </w:r>
          </w:p>
        </w:tc>
      </w:tr>
      <w:tr>
        <w:trPr>
          <w:cantSplit/>
        </w:trPr>
        <w:tc>
          <w:tcPr>
            <w:tcW w:type="dxa" w:w="23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20303C"/>
                <w:sz w:val="18"/>
              </w:rPr>
              <w:t>Tipo de transferencia</w:t>
            </w:r>
          </w:p>
        </w:tc>
        <w:tc>
          <w:tcPr>
            <w:tcW w:type="dxa" w:w="70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303C"/>
                <w:sz w:val="18"/>
              </w:rPr>
              <w:t>Directa; crea ticket en help desk</w:t>
            </w:r>
          </w:p>
        </w:tc>
      </w:tr>
      <w:tr>
        <w:trPr>
          <w:cantSplit/>
        </w:trPr>
        <w:tc>
          <w:tcPr>
            <w:tcW w:type="dxa" w:w="2300"/>
            <w:shd w:fill="F4F7F9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20303C"/>
                <w:sz w:val="18"/>
              </w:rPr>
              <w:t>Mensaje disponible</w:t>
            </w:r>
          </w:p>
        </w:tc>
        <w:tc>
          <w:tcPr>
            <w:tcW w:type="dxa" w:w="7060"/>
            <w:shd w:fill="F4F7F9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303C"/>
                <w:sz w:val="18"/>
              </w:rPr>
              <w:t>Agradece el contexto, evita repetición y deriva a María Paz.</w:t>
            </w:r>
          </w:p>
        </w:tc>
      </w:tr>
      <w:tr>
        <w:trPr>
          <w:cantSplit/>
        </w:trPr>
        <w:tc>
          <w:tcPr>
            <w:tcW w:type="dxa" w:w="23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20303C"/>
                <w:sz w:val="18"/>
              </w:rPr>
              <w:t>No disponible</w:t>
            </w:r>
          </w:p>
        </w:tc>
        <w:tc>
          <w:tcPr>
            <w:tcW w:type="dxa" w:w="70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303C"/>
                <w:sz w:val="18"/>
              </w:rPr>
              <w:t>Ticket sin asignar, chat abierto y mensaje de continuidad.</w:t>
            </w:r>
          </w:p>
        </w:tc>
      </w:tr>
      <w:tr>
        <w:trPr>
          <w:cantSplit/>
        </w:trPr>
        <w:tc>
          <w:tcPr>
            <w:tcW w:type="dxa" w:w="2300"/>
            <w:shd w:fill="F4F7F9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20303C"/>
                <w:sz w:val="18"/>
              </w:rPr>
              <w:t>Canal</w:t>
            </w:r>
          </w:p>
        </w:tc>
        <w:tc>
          <w:tcPr>
            <w:tcW w:type="dxa" w:w="7060"/>
            <w:shd w:fill="F4F7F9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303C"/>
                <w:sz w:val="18"/>
              </w:rPr>
              <w:t>Live chat — todas las horas — 100% de cobertura configurada.</w:t>
            </w:r>
          </w:p>
        </w:tc>
      </w:tr>
      <w:tr>
        <w:trPr>
          <w:cantSplit/>
        </w:trPr>
        <w:tc>
          <w:tcPr>
            <w:tcW w:type="dxa" w:w="23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20303C"/>
                <w:sz w:val="18"/>
              </w:rPr>
              <w:t>Acciones</w:t>
            </w:r>
          </w:p>
        </w:tc>
        <w:tc>
          <w:tcPr>
            <w:tcW w:type="dxa" w:w="70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303C"/>
                <w:sz w:val="18"/>
              </w:rPr>
              <w:t>Cero acciones publicadas; dos borradores “Nueva acción”, no activos.</w:t>
            </w:r>
          </w:p>
        </w:tc>
      </w:tr>
    </w:tbl>
    <w:p>
      <w:pPr>
        <w:spacing w:after="0"/>
      </w:pPr>
    </w:p>
    <w:p>
      <w:pPr>
        <w:pStyle w:val="Heading1"/>
      </w:pPr>
      <w:r>
        <w:t>8. Pruebas y aseguramiento de calidad</w:t>
      </w:r>
    </w:p>
    <w:p>
      <w:r>
        <w:rPr>
          <w:rFonts w:ascii="Calibri" w:hAnsi="Calibri"/>
          <w:b w:val="0"/>
          <w:i w:val="0"/>
          <w:color w:val="20303C"/>
          <w:sz w:val="22"/>
        </w:rPr>
        <w:t>El QA se ejecutó sobre conversaciones representativas, diferenciando escenarios únicos de re-ejecuciones de regresión. El objetivo fue comprobar exactitud, comportamiento multi-turno, captura mínima, límites y transferencia.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550"/>
        <w:gridCol w:w="4010"/>
      </w:tblGrid>
      <w:tr>
        <w:trPr>
          <w:tblHeader w:val="true"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005596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Familia de prueba</w:t>
            </w:r>
          </w:p>
        </w:tc>
        <w:tc>
          <w:tcPr>
            <w:tcW w:type="dxa" w:w="3550"/>
            <w:tcMar>
              <w:top w:w="80" w:type="dxa"/>
              <w:start w:w="120" w:type="dxa"/>
              <w:bottom w:w="80" w:type="dxa"/>
              <w:end w:w="120" w:type="dxa"/>
            </w:tcMar>
            <w:shd w:fill="005596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Qué se verificó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  <w:shd w:fill="005596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Resultado/observación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20303C"/>
                <w:sz w:val="17"/>
              </w:rPr>
              <w:t>Aguas y RILES</w:t>
            </w:r>
          </w:p>
        </w:tc>
        <w:tc>
          <w:tcPr>
            <w:tcW w:type="dxa" w:w="355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303C"/>
                <w:sz w:val="17"/>
              </w:rPr>
              <w:t>Identificación de matriz, preguntas de aclaración y uso del catálogo.</w:t>
            </w:r>
          </w:p>
        </w:tc>
        <w:tc>
          <w:tcPr>
            <w:tcW w:type="dxa" w:w="401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303C"/>
                <w:sz w:val="17"/>
              </w:rPr>
              <w:t>Respuesta documentada sin inventar recomendaciones.</w:t>
            </w:r>
          </w:p>
        </w:tc>
      </w:tr>
      <w:tr>
        <w:trPr>
          <w:cantSplit/>
        </w:trPr>
        <w:tc>
          <w:tcPr>
            <w:tcW w:type="dxa" w:w="1800"/>
            <w:shd w:fill="F4F7F9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20303C"/>
                <w:sz w:val="17"/>
              </w:rPr>
              <w:t>Sólidos y lodos</w:t>
            </w:r>
          </w:p>
        </w:tc>
        <w:tc>
          <w:tcPr>
            <w:tcW w:type="dxa" w:w="3550"/>
            <w:shd w:fill="F4F7F9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303C"/>
                <w:sz w:val="17"/>
              </w:rPr>
              <w:t>Evitar extrapolar instrucciones de muestras líquidas.</w:t>
            </w:r>
          </w:p>
        </w:tc>
        <w:tc>
          <w:tcPr>
            <w:tcW w:type="dxa" w:w="4010"/>
            <w:shd w:fill="F4F7F9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303C"/>
                <w:sz w:val="17"/>
              </w:rPr>
              <w:t>Guardrails conservados.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20303C"/>
                <w:sz w:val="17"/>
              </w:rPr>
              <w:t>Cotización</w:t>
            </w:r>
          </w:p>
        </w:tc>
        <w:tc>
          <w:tcPr>
            <w:tcW w:type="dxa" w:w="355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303C"/>
                <w:sz w:val="17"/>
              </w:rPr>
              <w:t>Captura progresiva y ausencia de precio inventado.</w:t>
            </w:r>
          </w:p>
        </w:tc>
        <w:tc>
          <w:tcPr>
            <w:tcW w:type="dxa" w:w="401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303C"/>
                <w:sz w:val="17"/>
              </w:rPr>
              <w:t>Contexto reunido antes de derivar.</w:t>
            </w:r>
          </w:p>
        </w:tc>
      </w:tr>
      <w:tr>
        <w:trPr>
          <w:cantSplit/>
        </w:trPr>
        <w:tc>
          <w:tcPr>
            <w:tcW w:type="dxa" w:w="1800"/>
            <w:shd w:fill="F4F7F9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20303C"/>
                <w:sz w:val="17"/>
              </w:rPr>
              <w:t>Seguimiento</w:t>
            </w:r>
          </w:p>
        </w:tc>
        <w:tc>
          <w:tcPr>
            <w:tcW w:type="dxa" w:w="3550"/>
            <w:shd w:fill="F4F7F9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303C"/>
                <w:sz w:val="17"/>
              </w:rPr>
              <w:t>Uso de identificadores y no prometer estados.</w:t>
            </w:r>
          </w:p>
        </w:tc>
        <w:tc>
          <w:tcPr>
            <w:tcW w:type="dxa" w:w="4010"/>
            <w:shd w:fill="F4F7F9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303C"/>
                <w:sz w:val="17"/>
              </w:rPr>
              <w:t>Transferencia sólo al requerir acción humana.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20303C"/>
                <w:sz w:val="17"/>
              </w:rPr>
              <w:t>Facturación</w:t>
            </w:r>
          </w:p>
        </w:tc>
        <w:tc>
          <w:tcPr>
            <w:tcW w:type="dxa" w:w="355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303C"/>
                <w:sz w:val="17"/>
              </w:rPr>
              <w:t>Orientación vs. corrección/refacturación.</w:t>
            </w:r>
          </w:p>
        </w:tc>
        <w:tc>
          <w:tcPr>
            <w:tcW w:type="dxa" w:w="401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303C"/>
                <w:sz w:val="17"/>
              </w:rPr>
              <w:t>Casos accionables derivados con contexto.</w:t>
            </w:r>
          </w:p>
        </w:tc>
      </w:tr>
      <w:tr>
        <w:trPr>
          <w:cantSplit/>
        </w:trPr>
        <w:tc>
          <w:tcPr>
            <w:tcW w:type="dxa" w:w="1800"/>
            <w:shd w:fill="F4F7F9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20303C"/>
                <w:sz w:val="17"/>
              </w:rPr>
              <w:t>Calidad/reclamo</w:t>
            </w:r>
          </w:p>
        </w:tc>
        <w:tc>
          <w:tcPr>
            <w:tcW w:type="dxa" w:w="3550"/>
            <w:shd w:fill="F4F7F9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303C"/>
                <w:sz w:val="17"/>
              </w:rPr>
              <w:t>Empatía, registro fiel y ausencia de interpretación.</w:t>
            </w:r>
          </w:p>
        </w:tc>
        <w:tc>
          <w:tcPr>
            <w:tcW w:type="dxa" w:w="4010"/>
            <w:shd w:fill="F4F7F9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303C"/>
                <w:sz w:val="17"/>
              </w:rPr>
              <w:t>Handoff preserva antecedentes.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20303C"/>
                <w:sz w:val="17"/>
              </w:rPr>
              <w:t>Mixed intent</w:t>
            </w:r>
          </w:p>
        </w:tc>
        <w:tc>
          <w:tcPr>
            <w:tcW w:type="dxa" w:w="355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303C"/>
                <w:sz w:val="17"/>
              </w:rPr>
              <w:t>Memoria y resolución de más de una necesidad.</w:t>
            </w:r>
          </w:p>
        </w:tc>
        <w:tc>
          <w:tcPr>
            <w:tcW w:type="dxa" w:w="401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303C"/>
                <w:sz w:val="17"/>
              </w:rPr>
              <w:t>Flujo funcional con límites explícitos.</w:t>
            </w:r>
          </w:p>
        </w:tc>
      </w:tr>
    </w:tbl>
    <w:p>
      <w:pPr>
        <w:spacing w:after="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FF4DC"/>
          </w:tcPr>
          <w:p>
            <w:pPr>
              <w:pStyle w:val="Callout"/>
            </w:pPr>
            <w:r>
              <w:rPr>
                <w:rFonts w:ascii="Calibri" w:hAnsi="Calibri"/>
                <w:b/>
                <w:i w:val="0"/>
                <w:color w:val="12324A"/>
                <w:sz w:val="21"/>
              </w:rPr>
              <w:t xml:space="preserve">Limitación nativa observada: </w:t>
            </w:r>
            <w:r>
              <w:rPr>
                <w:rFonts w:ascii="Calibri" w:hAnsi="Calibri"/>
                <w:b w:val="0"/>
                <w:i w:val="0"/>
                <w:color w:val="12324A"/>
                <w:sz w:val="21"/>
              </w:rPr>
              <w:t>HubSpot puede activar un transfer antes de que una respuesta corta complete el comportamiento esperado. Esta limitación se documentó como comportamiento de plataforma, no como conocimiento faltante.</w:t>
            </w:r>
          </w:p>
        </w:tc>
      </w:tr>
    </w:tbl>
    <w:p>
      <w:pPr>
        <w:spacing w:after="0"/>
      </w:pPr>
    </w:p>
    <w:p>
      <w:pPr>
        <w:pStyle w:val="Heading1"/>
      </w:pPr>
      <w:r>
        <w:t>9. Estado runtime y bloqueo de facturación</w:t>
      </w:r>
    </w:p>
    <w:p>
      <w:pPr>
        <w:pStyle w:val="Heading2"/>
      </w:pPr>
      <w:r>
        <w:t>9.1 Evidencia del 17 de julio de 2026</w:t>
      </w:r>
    </w:p>
    <w:p>
      <w:pPr>
        <w:pStyle w:val="ListBullet"/>
      </w:pPr>
      <w:r>
        <w:rPr>
          <w:rFonts w:ascii="Calibri" w:hAnsi="Calibri"/>
          <w:b w:val="0"/>
          <w:i w:val="0"/>
          <w:color w:val="20303C"/>
          <w:sz w:val="22"/>
        </w:rPr>
        <w:t>El acceso gratuito finalizó el 17 de julio; HubSpot muestra el agente en pausa y nuevas conversaciones pausadas.</w:t>
      </w:r>
    </w:p>
    <w:p>
      <w:pPr>
        <w:pStyle w:val="ListBullet"/>
      </w:pPr>
      <w:r>
        <w:rPr>
          <w:rFonts w:ascii="Calibri" w:hAnsi="Calibri"/>
          <w:b w:val="0"/>
          <w:i w:val="0"/>
          <w:color w:val="20303C"/>
          <w:sz w:val="22"/>
        </w:rPr>
        <w:t>Cuenta y facturación muestra 33.000 créditos mensuales y consumo actual de 10/33.000 en la vista general.</w:t>
      </w:r>
    </w:p>
    <w:p>
      <w:pPr>
        <w:pStyle w:val="ListBullet"/>
      </w:pPr>
      <w:r>
        <w:rPr>
          <w:rFonts w:ascii="Calibri" w:hAnsi="Calibri"/>
          <w:b w:val="0"/>
          <w:i w:val="0"/>
          <w:color w:val="20303C"/>
          <w:sz w:val="22"/>
        </w:rPr>
        <w:t>El detalle de Customer Agent registra 2 conversaciones resueltas durante el acceso gratuito, 100 créditos históricos y costo de 50 créditos por resolución de texto.</w:t>
      </w:r>
    </w:p>
    <w:p>
      <w:pPr>
        <w:pStyle w:val="ListBullet"/>
      </w:pPr>
      <w:r>
        <w:rPr>
          <w:rFonts w:ascii="Calibri" w:hAnsi="Calibri"/>
          <w:b w:val="0"/>
          <w:i w:val="0"/>
          <w:color w:val="20303C"/>
          <w:sz w:val="22"/>
        </w:rPr>
        <w:t>La cuenta aparece vencida y existe una factura atrasada #760627868, emitida el 8 de mayo de 2026 y vencida el 7 de junio de 2026.</w:t>
      </w:r>
    </w:p>
    <w:p>
      <w:pPr>
        <w:pStyle w:val="ListBullet"/>
      </w:pPr>
      <w:r>
        <w:rPr>
          <w:rFonts w:ascii="Calibri" w:hAnsi="Calibri"/>
          <w:b w:val="0"/>
          <w:i w:val="0"/>
          <w:color w:val="20303C"/>
          <w:sz w:val="22"/>
        </w:rPr>
        <w:t>El usuario Julio Reyes Rangel tiene acceso restringido a facturación; el botón para pagar está deshabilitado.</w:t>
      </w:r>
    </w:p>
    <w:p>
      <w:pPr>
        <w:pStyle w:val="ListBullet"/>
      </w:pPr>
      <w:r>
        <w:rPr>
          <w:rFonts w:ascii="Calibri" w:hAnsi="Calibri"/>
          <w:b w:val="0"/>
          <w:i w:val="0"/>
          <w:color w:val="20303C"/>
          <w:sz w:val="22"/>
        </w:rPr>
        <w:t>Dos intentos aprobados de activar “Uso de créditos” llegaron al diálogo de confirmación; ambos terminaron con “No se pudo reanudar el uso de Agente de clientes”.</w:t>
      </w:r>
    </w:p>
    <w:p>
      <w:pPr>
        <w:pStyle w:val="ListBullet"/>
      </w:pPr>
      <w:r>
        <w:rPr>
          <w:rFonts w:ascii="Calibri" w:hAnsi="Calibri"/>
          <w:b w:val="0"/>
          <w:i w:val="0"/>
          <w:color w:val="20303C"/>
          <w:sz w:val="22"/>
        </w:rPr>
        <w:t>El toggle permaneció DESACTIVADA. No hubo mutación efectiva, pago ni cambio de plan.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2600"/>
        <w:gridCol w:w="4460"/>
      </w:tblGrid>
      <w:tr>
        <w:trPr>
          <w:tblHeader w:val="true"/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shd w:fill="005596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Control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shd w:fill="005596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Valor observado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shd w:fill="005596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Implicación</w:t>
            </w:r>
          </w:p>
        </w:tc>
      </w:tr>
      <w:tr>
        <w:trPr>
          <w:cantSplit/>
        </w:trPr>
        <w:tc>
          <w:tcPr>
            <w:tcW w:type="dxa" w:w="23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20303C"/>
                <w:sz w:val="18"/>
              </w:rPr>
              <w:t>Créditos mensuales</w:t>
            </w:r>
          </w:p>
        </w:tc>
        <w:tc>
          <w:tcPr>
            <w:tcW w:type="dxa" w:w="26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303C"/>
                <w:sz w:val="18"/>
              </w:rPr>
              <w:t>33.000</w:t>
            </w:r>
          </w:p>
        </w:tc>
        <w:tc>
          <w:tcPr>
            <w:tcW w:type="dxa" w:w="44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303C"/>
                <w:sz w:val="18"/>
              </w:rPr>
              <w:t>Capacidad nominal existe.</w:t>
            </w:r>
          </w:p>
        </w:tc>
      </w:tr>
      <w:tr>
        <w:trPr>
          <w:cantSplit/>
        </w:trPr>
        <w:tc>
          <w:tcPr>
            <w:tcW w:type="dxa" w:w="2300"/>
            <w:shd w:fill="F4F7F9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20303C"/>
                <w:sz w:val="18"/>
              </w:rPr>
              <w:t>Costo por resolución de texto</w:t>
            </w:r>
          </w:p>
        </w:tc>
        <w:tc>
          <w:tcPr>
            <w:tcW w:type="dxa" w:w="2600"/>
            <w:shd w:fill="F4F7F9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303C"/>
                <w:sz w:val="18"/>
              </w:rPr>
              <w:t>50 créditos</w:t>
            </w:r>
          </w:p>
        </w:tc>
        <w:tc>
          <w:tcPr>
            <w:tcW w:type="dxa" w:w="4460"/>
            <w:shd w:fill="F4F7F9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303C"/>
                <w:sz w:val="18"/>
              </w:rPr>
              <w:t>Debe monitorearse tras reactivación.</w:t>
            </w:r>
          </w:p>
        </w:tc>
      </w:tr>
      <w:tr>
        <w:trPr>
          <w:cantSplit/>
        </w:trPr>
        <w:tc>
          <w:tcPr>
            <w:tcW w:type="dxa" w:w="23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20303C"/>
                <w:sz w:val="18"/>
              </w:rPr>
              <w:t>Límite específico del agente</w:t>
            </w:r>
          </w:p>
        </w:tc>
        <w:tc>
          <w:tcPr>
            <w:tcW w:type="dxa" w:w="26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303C"/>
                <w:sz w:val="18"/>
              </w:rPr>
              <w:t>No establecido</w:t>
            </w:r>
          </w:p>
        </w:tc>
        <w:tc>
          <w:tcPr>
            <w:tcW w:type="dxa" w:w="44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303C"/>
                <w:sz w:val="18"/>
              </w:rPr>
              <w:t>La ampliación automática sigue siendo un riesgo de costo.</w:t>
            </w:r>
          </w:p>
        </w:tc>
      </w:tr>
      <w:tr>
        <w:trPr>
          <w:cantSplit/>
        </w:trPr>
        <w:tc>
          <w:tcPr>
            <w:tcW w:type="dxa" w:w="2300"/>
            <w:shd w:fill="F4F7F9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20303C"/>
                <w:sz w:val="18"/>
              </w:rPr>
              <w:t>Cuenta</w:t>
            </w:r>
          </w:p>
        </w:tc>
        <w:tc>
          <w:tcPr>
            <w:tcW w:type="dxa" w:w="2600"/>
            <w:shd w:fill="F4F7F9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303C"/>
                <w:sz w:val="18"/>
              </w:rPr>
              <w:t>Vencida</w:t>
            </w:r>
          </w:p>
        </w:tc>
        <w:tc>
          <w:tcPr>
            <w:tcW w:type="dxa" w:w="4460"/>
            <w:shd w:fill="F4F7F9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303C"/>
                <w:sz w:val="18"/>
              </w:rPr>
              <w:t>Bloquea continuidad aunque existan créditos.</w:t>
            </w:r>
          </w:p>
        </w:tc>
      </w:tr>
      <w:tr>
        <w:trPr>
          <w:cantSplit/>
        </w:trPr>
        <w:tc>
          <w:tcPr>
            <w:tcW w:type="dxa" w:w="23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20303C"/>
                <w:sz w:val="18"/>
              </w:rPr>
              <w:t>Factura</w:t>
            </w:r>
          </w:p>
        </w:tc>
        <w:tc>
          <w:tcPr>
            <w:tcW w:type="dxa" w:w="26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303C"/>
                <w:sz w:val="18"/>
              </w:rPr>
              <w:t>#760627868; vencida 07-jun-2026</w:t>
            </w:r>
          </w:p>
        </w:tc>
        <w:tc>
          <w:tcPr>
            <w:tcW w:type="dxa" w:w="44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303C"/>
                <w:sz w:val="18"/>
              </w:rPr>
              <w:t>Requiere acción de facturación ANAM.</w:t>
            </w:r>
          </w:p>
        </w:tc>
      </w:tr>
      <w:tr>
        <w:trPr>
          <w:cantSplit/>
        </w:trPr>
        <w:tc>
          <w:tcPr>
            <w:tcW w:type="dxa" w:w="2300"/>
            <w:shd w:fill="F4F7F9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20303C"/>
                <w:sz w:val="18"/>
              </w:rPr>
              <w:t>Uso del agente</w:t>
            </w:r>
          </w:p>
        </w:tc>
        <w:tc>
          <w:tcPr>
            <w:tcW w:type="dxa" w:w="2600"/>
            <w:shd w:fill="F4F7F9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303C"/>
                <w:sz w:val="18"/>
              </w:rPr>
              <w:t>DESACTIVADA</w:t>
            </w:r>
          </w:p>
        </w:tc>
        <w:tc>
          <w:tcPr>
            <w:tcW w:type="dxa" w:w="4460"/>
            <w:shd w:fill="F4F7F9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303C"/>
                <w:sz w:val="18"/>
              </w:rPr>
              <w:t>No atiende nuevas conversaciones.</w:t>
            </w:r>
          </w:p>
        </w:tc>
      </w:tr>
    </w:tbl>
    <w:p>
      <w:pPr>
        <w:spacing w:after="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BEAEA"/>
          </w:tcPr>
          <w:p>
            <w:pPr>
              <w:pStyle w:val="Callout"/>
            </w:pPr>
            <w:r>
              <w:rPr>
                <w:rFonts w:ascii="Calibri" w:hAnsi="Calibri"/>
                <w:b/>
                <w:i w:val="0"/>
                <w:color w:val="A13A3A"/>
                <w:sz w:val="21"/>
              </w:rPr>
              <w:t xml:space="preserve">Diagnóstico: </w:t>
            </w:r>
            <w:r>
              <w:rPr>
                <w:rFonts w:ascii="Calibri" w:hAnsi="Calibri"/>
                <w:b w:val="0"/>
                <w:i w:val="0"/>
                <w:color w:val="12324A"/>
                <w:sz w:val="21"/>
              </w:rPr>
              <w:t>El bloqueo no se debe a falta de knowledge ni a inexistencia de créditos. Es un bloqueo administrativo de cuenta/facturación.</w:t>
            </w:r>
          </w:p>
        </w:tc>
      </w:tr>
    </w:tbl>
    <w:p>
      <w:pPr>
        <w:spacing w:after="0"/>
      </w:pPr>
    </w:p>
    <w:p>
      <w:pPr>
        <w:pStyle w:val="Heading1"/>
      </w:pPr>
      <w:r>
        <w:t>10. Gobierno operativo y procedimiento de cambio</w:t>
      </w:r>
    </w:p>
    <w:p>
      <w:pPr>
        <w:spacing w:after="120" w:line="280" w:lineRule="auto"/>
        <w:numPr>
          <w:ilvl w:val="0"/>
          <w:numId w:val="11"/>
        </w:numPr>
      </w:pPr>
      <w:r>
        <w:rPr>
          <w:rFonts w:ascii="Calibri" w:hAnsi="Calibri"/>
          <w:b w:val="0"/>
          <w:i w:val="0"/>
          <w:color w:val="20303C"/>
          <w:sz w:val="22"/>
        </w:rPr>
        <w:t>Comparar HubSpot live contra el source pack antes de editar.</w:t>
      </w:r>
    </w:p>
    <w:p>
      <w:pPr>
        <w:spacing w:after="120" w:line="280" w:lineRule="auto"/>
        <w:numPr>
          <w:ilvl w:val="0"/>
          <w:numId w:val="11"/>
        </w:numPr>
      </w:pPr>
      <w:r>
        <w:rPr>
          <w:rFonts w:ascii="Calibri" w:hAnsi="Calibri"/>
          <w:b w:val="0"/>
          <w:i w:val="0"/>
          <w:color w:val="20303C"/>
          <w:sz w:val="22"/>
        </w:rPr>
        <w:t>Identificar el documento de dominio y registrar owner, fecha y evidencia ANAM.</w:t>
      </w:r>
    </w:p>
    <w:p>
      <w:pPr>
        <w:spacing w:after="120" w:line="280" w:lineRule="auto"/>
        <w:numPr>
          <w:ilvl w:val="0"/>
          <w:numId w:val="11"/>
        </w:numPr>
      </w:pPr>
      <w:r>
        <w:rPr>
          <w:rFonts w:ascii="Calibri" w:hAnsi="Calibri"/>
          <w:b w:val="0"/>
          <w:i w:val="0"/>
          <w:color w:val="20303C"/>
          <w:sz w:val="22"/>
        </w:rPr>
        <w:t>Preparar el diff y obtener aprobación para hechos, normas, catálogos, directrices, acciones o canales.</w:t>
      </w:r>
    </w:p>
    <w:p>
      <w:pPr>
        <w:spacing w:after="120" w:line="280" w:lineRule="auto"/>
        <w:numPr>
          <w:ilvl w:val="0"/>
          <w:numId w:val="11"/>
        </w:numPr>
      </w:pPr>
      <w:r>
        <w:rPr>
          <w:rFonts w:ascii="Calibri" w:hAnsi="Calibri"/>
          <w:b w:val="0"/>
          <w:i w:val="0"/>
          <w:color w:val="20303C"/>
          <w:sz w:val="22"/>
        </w:rPr>
        <w:t>Publicar el cambio gobernado en HubSpot.</w:t>
      </w:r>
    </w:p>
    <w:p>
      <w:pPr>
        <w:spacing w:after="120" w:line="280" w:lineRule="auto"/>
        <w:numPr>
          <w:ilvl w:val="0"/>
          <w:numId w:val="11"/>
        </w:numPr>
      </w:pPr>
      <w:r>
        <w:rPr>
          <w:rFonts w:ascii="Calibri" w:hAnsi="Calibri"/>
          <w:b w:val="0"/>
          <w:i w:val="0"/>
          <w:color w:val="20303C"/>
          <w:sz w:val="22"/>
        </w:rPr>
        <w:t>Verificar sincronización, estado “En uso”, directrices, privacidad, canal y transferencia.</w:t>
      </w:r>
    </w:p>
    <w:p>
      <w:pPr>
        <w:spacing w:after="120" w:line="280" w:lineRule="auto"/>
        <w:numPr>
          <w:ilvl w:val="0"/>
          <w:numId w:val="11"/>
        </w:numPr>
      </w:pPr>
      <w:r>
        <w:rPr>
          <w:rFonts w:ascii="Calibri" w:hAnsi="Calibri"/>
          <w:b w:val="0"/>
          <w:i w:val="0"/>
          <w:color w:val="20303C"/>
          <w:sz w:val="22"/>
        </w:rPr>
        <w:t>Ejecutar QA informativa, cotización, seguimiento, facturación, calidad, multiintención y no-alucinación.</w:t>
      </w:r>
    </w:p>
    <w:p>
      <w:pPr>
        <w:spacing w:after="120" w:line="280" w:lineRule="auto"/>
        <w:numPr>
          <w:ilvl w:val="0"/>
          <w:numId w:val="11"/>
        </w:numPr>
      </w:pPr>
      <w:r>
        <w:rPr>
          <w:rFonts w:ascii="Calibri" w:hAnsi="Calibri"/>
          <w:b w:val="0"/>
          <w:i w:val="0"/>
          <w:color w:val="20303C"/>
          <w:sz w:val="22"/>
        </w:rPr>
        <w:t>Actualizar source pack, inventario, QA y handoff con el readback real.</w:t>
      </w:r>
    </w:p>
    <w:p>
      <w:pPr>
        <w:pStyle w:val="Heading2"/>
      </w:pPr>
      <w:r>
        <w:t>10.1 Controles de operación</w:t>
      </w:r>
    </w:p>
    <w:p>
      <w:pPr>
        <w:pStyle w:val="ListBullet"/>
      </w:pPr>
      <w:r>
        <w:rPr>
          <w:rFonts w:ascii="Calibri" w:hAnsi="Calibri"/>
          <w:b w:val="0"/>
          <w:i w:val="0"/>
          <w:color w:val="20303C"/>
          <w:sz w:val="22"/>
        </w:rPr>
        <w:t>No subir PDFs de suscripción del proveedor, presentaciones, firmas de correo, audios o documentos superados como conocimiento sólo porque estaban adjuntos a un email.</w:t>
      </w:r>
    </w:p>
    <w:p>
      <w:pPr>
        <w:pStyle w:val="ListBullet"/>
      </w:pPr>
      <w:r>
        <w:rPr>
          <w:rFonts w:ascii="Calibri" w:hAnsi="Calibri"/>
          <w:b w:val="0"/>
          <w:i w:val="0"/>
          <w:color w:val="20303C"/>
          <w:sz w:val="22"/>
        </w:rPr>
        <w:t>No activar los dos borradores de acciones sin diseño, QA y aprobación.</w:t>
      </w:r>
    </w:p>
    <w:p>
      <w:pPr>
        <w:pStyle w:val="ListBullet"/>
      </w:pPr>
      <w:r>
        <w:rPr>
          <w:rFonts w:ascii="Calibri" w:hAnsi="Calibri"/>
          <w:b w:val="0"/>
          <w:i w:val="0"/>
          <w:color w:val="20303C"/>
          <w:sz w:val="22"/>
        </w:rPr>
        <w:t>No cambiar canales, assignee o permisos de Service sin change set y rollback.</w:t>
      </w:r>
    </w:p>
    <w:p>
      <w:pPr>
        <w:pStyle w:val="ListBullet"/>
      </w:pPr>
      <w:r>
        <w:rPr>
          <w:rFonts w:ascii="Calibri" w:hAnsi="Calibri"/>
          <w:b w:val="0"/>
          <w:i w:val="0"/>
          <w:color w:val="20303C"/>
          <w:sz w:val="22"/>
        </w:rPr>
        <w:t>Revisar consumo de créditos, conversaciones no resueltas, transferencias y calidad de respuestas de forma periódica.</w:t>
      </w:r>
    </w:p>
    <w:p>
      <w:pPr>
        <w:pStyle w:val="ListBullet"/>
      </w:pPr>
      <w:r>
        <w:rPr>
          <w:rFonts w:ascii="Calibri" w:hAnsi="Calibri"/>
          <w:b w:val="0"/>
          <w:i w:val="0"/>
          <w:color w:val="20303C"/>
          <w:sz w:val="22"/>
        </w:rPr>
        <w:t>Distinguir defectos de knowledge, limitaciones nativas de HubSpot, permisos y estado de facturación.</w:t>
      </w:r>
    </w:p>
    <w:p>
      <w:pPr>
        <w:pStyle w:val="Heading1"/>
      </w:pPr>
      <w:r>
        <w:t>11. Pendientes y próximos pasos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3500"/>
        <w:gridCol w:w="2100"/>
        <w:gridCol w:w="2860"/>
      </w:tblGrid>
      <w:tr>
        <w:trPr>
          <w:tblHeader w:val="true"/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shd w:fill="005596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Prioridad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shd w:fill="005596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Acción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shd w:fill="005596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Owner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shd w:fill="005596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Condición de cierre</w:t>
            </w:r>
          </w:p>
        </w:tc>
      </w:tr>
      <w:tr>
        <w:trPr>
          <w:cantSplit/>
        </w:trPr>
        <w:tc>
          <w:tcPr>
            <w:tcW w:type="dxa" w:w="9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20303C"/>
                <w:sz w:val="17"/>
              </w:rPr>
              <w:t>P0</w:t>
            </w:r>
          </w:p>
        </w:tc>
        <w:tc>
          <w:tcPr>
            <w:tcW w:type="dxa" w:w="35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303C"/>
                <w:sz w:val="17"/>
              </w:rPr>
              <w:t>Regularizar factura #760627868.</w:t>
            </w:r>
          </w:p>
        </w:tc>
        <w:tc>
          <w:tcPr>
            <w:tcW w:type="dxa" w:w="21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303C"/>
                <w:sz w:val="17"/>
              </w:rPr>
              <w:t>Administrador de facturación ANAM</w:t>
            </w:r>
          </w:p>
        </w:tc>
        <w:tc>
          <w:tcPr>
            <w:tcW w:type="dxa" w:w="28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303C"/>
                <w:sz w:val="17"/>
              </w:rPr>
              <w:t>Cuenta deja de aparecer vencida.</w:t>
            </w:r>
          </w:p>
        </w:tc>
      </w:tr>
      <w:tr>
        <w:trPr>
          <w:cantSplit/>
        </w:trPr>
        <w:tc>
          <w:tcPr>
            <w:tcW w:type="dxa" w:w="900"/>
            <w:shd w:fill="F4F7F9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20303C"/>
                <w:sz w:val="17"/>
              </w:rPr>
              <w:t>P0</w:t>
            </w:r>
          </w:p>
        </w:tc>
        <w:tc>
          <w:tcPr>
            <w:tcW w:type="dxa" w:w="3500"/>
            <w:shd w:fill="F4F7F9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303C"/>
                <w:sz w:val="17"/>
              </w:rPr>
              <w:t>Activar uso de créditos de Customer Agent.</w:t>
            </w:r>
          </w:p>
        </w:tc>
        <w:tc>
          <w:tcPr>
            <w:tcW w:type="dxa" w:w="2100"/>
            <w:shd w:fill="F4F7F9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303C"/>
                <w:sz w:val="17"/>
              </w:rPr>
              <w:t>Efeonce + admin ANAM si se requiere</w:t>
            </w:r>
          </w:p>
        </w:tc>
        <w:tc>
          <w:tcPr>
            <w:tcW w:type="dxa" w:w="2860"/>
            <w:shd w:fill="F4F7F9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303C"/>
                <w:sz w:val="17"/>
              </w:rPr>
              <w:t>Toggle leído como ACTIVADA.</w:t>
            </w:r>
          </w:p>
        </w:tc>
      </w:tr>
      <w:tr>
        <w:trPr>
          <w:cantSplit/>
        </w:trPr>
        <w:tc>
          <w:tcPr>
            <w:tcW w:type="dxa" w:w="9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20303C"/>
                <w:sz w:val="17"/>
              </w:rPr>
              <w:t>P0</w:t>
            </w:r>
          </w:p>
        </w:tc>
        <w:tc>
          <w:tcPr>
            <w:tcW w:type="dxa" w:w="35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303C"/>
                <w:sz w:val="17"/>
              </w:rPr>
              <w:t>Reanudar agente y verificar canal.</w:t>
            </w:r>
          </w:p>
        </w:tc>
        <w:tc>
          <w:tcPr>
            <w:tcW w:type="dxa" w:w="21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303C"/>
                <w:sz w:val="17"/>
              </w:rPr>
              <w:t>Efeonce</w:t>
            </w:r>
          </w:p>
        </w:tc>
        <w:tc>
          <w:tcPr>
            <w:tcW w:type="dxa" w:w="28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303C"/>
                <w:sz w:val="17"/>
              </w:rPr>
              <w:t>Agente acepta conversaciones nuevas.</w:t>
            </w:r>
          </w:p>
        </w:tc>
      </w:tr>
      <w:tr>
        <w:trPr>
          <w:cantSplit/>
        </w:trPr>
        <w:tc>
          <w:tcPr>
            <w:tcW w:type="dxa" w:w="900"/>
            <w:shd w:fill="F4F7F9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20303C"/>
                <w:sz w:val="17"/>
              </w:rPr>
              <w:t>P1</w:t>
            </w:r>
          </w:p>
        </w:tc>
        <w:tc>
          <w:tcPr>
            <w:tcW w:type="dxa" w:w="3500"/>
            <w:shd w:fill="F4F7F9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303C"/>
                <w:sz w:val="17"/>
              </w:rPr>
              <w:t>Definir límite mensual específico o alerta de consumo.</w:t>
            </w:r>
          </w:p>
        </w:tc>
        <w:tc>
          <w:tcPr>
            <w:tcW w:type="dxa" w:w="2100"/>
            <w:shd w:fill="F4F7F9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303C"/>
                <w:sz w:val="17"/>
              </w:rPr>
              <w:t>ANAM</w:t>
            </w:r>
          </w:p>
        </w:tc>
        <w:tc>
          <w:tcPr>
            <w:tcW w:type="dxa" w:w="2860"/>
            <w:shd w:fill="F4F7F9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303C"/>
                <w:sz w:val="17"/>
              </w:rPr>
              <w:t>Guardrail de costo aprobado y configurado.</w:t>
            </w:r>
          </w:p>
        </w:tc>
      </w:tr>
      <w:tr>
        <w:trPr>
          <w:cantSplit/>
        </w:trPr>
        <w:tc>
          <w:tcPr>
            <w:tcW w:type="dxa" w:w="9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20303C"/>
                <w:sz w:val="17"/>
              </w:rPr>
              <w:t>P1</w:t>
            </w:r>
          </w:p>
        </w:tc>
        <w:tc>
          <w:tcPr>
            <w:tcW w:type="dxa" w:w="35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303C"/>
                <w:sz w:val="17"/>
              </w:rPr>
              <w:t>Ejecutar smoke de respuesta, captura y handoff.</w:t>
            </w:r>
          </w:p>
        </w:tc>
        <w:tc>
          <w:tcPr>
            <w:tcW w:type="dxa" w:w="21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303C"/>
                <w:sz w:val="17"/>
              </w:rPr>
              <w:t>Efeonce + María Paz</w:t>
            </w:r>
          </w:p>
        </w:tc>
        <w:tc>
          <w:tcPr>
            <w:tcW w:type="dxa" w:w="28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303C"/>
                <w:sz w:val="17"/>
              </w:rPr>
              <w:t>Pruebas representativas aprobadas.</w:t>
            </w:r>
          </w:p>
        </w:tc>
      </w:tr>
      <w:tr>
        <w:trPr>
          <w:cantSplit/>
        </w:trPr>
        <w:tc>
          <w:tcPr>
            <w:tcW w:type="dxa" w:w="900"/>
            <w:shd w:fill="F4F7F9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20303C"/>
                <w:sz w:val="17"/>
              </w:rPr>
              <w:t>P2</w:t>
            </w:r>
          </w:p>
        </w:tc>
        <w:tc>
          <w:tcPr>
            <w:tcW w:type="dxa" w:w="3500"/>
            <w:shd w:fill="F4F7F9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303C"/>
                <w:sz w:val="17"/>
              </w:rPr>
              <w:t>Revisar política de solicitud de email por inactividad.</w:t>
            </w:r>
          </w:p>
        </w:tc>
        <w:tc>
          <w:tcPr>
            <w:tcW w:type="dxa" w:w="2100"/>
            <w:shd w:fill="F4F7F9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303C"/>
                <w:sz w:val="17"/>
              </w:rPr>
              <w:t>ANAM/Efeonce</w:t>
            </w:r>
          </w:p>
        </w:tc>
        <w:tc>
          <w:tcPr>
            <w:tcW w:type="dxa" w:w="2860"/>
            <w:shd w:fill="F4F7F9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303C"/>
                <w:sz w:val="17"/>
              </w:rPr>
              <w:t>Opción explícita y documentada.</w:t>
            </w:r>
          </w:p>
        </w:tc>
      </w:tr>
      <w:tr>
        <w:trPr>
          <w:cantSplit/>
        </w:trPr>
        <w:tc>
          <w:tcPr>
            <w:tcW w:type="dxa" w:w="9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20303C"/>
                <w:sz w:val="17"/>
              </w:rPr>
              <w:t>P2</w:t>
            </w:r>
          </w:p>
        </w:tc>
        <w:tc>
          <w:tcPr>
            <w:tcW w:type="dxa" w:w="35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303C"/>
                <w:sz w:val="17"/>
              </w:rPr>
              <w:t>Evaluar los dos borradores de acciones.</w:t>
            </w:r>
          </w:p>
        </w:tc>
        <w:tc>
          <w:tcPr>
            <w:tcW w:type="dxa" w:w="21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303C"/>
                <w:sz w:val="17"/>
              </w:rPr>
              <w:t>ANAM/Efeonce</w:t>
            </w:r>
          </w:p>
        </w:tc>
        <w:tc>
          <w:tcPr>
            <w:tcW w:type="dxa" w:w="28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303C"/>
                <w:sz w:val="17"/>
              </w:rPr>
              <w:t>Decisión: publicar, rediseñar o retirar.</w:t>
            </w:r>
          </w:p>
        </w:tc>
      </w:tr>
    </w:tbl>
    <w:p>
      <w:pPr>
        <w:spacing w:after="0"/>
      </w:pPr>
    </w:p>
    <w:p>
      <w:pPr>
        <w:pStyle w:val="Heading1"/>
      </w:pPr>
      <w:r>
        <w:t>12. Anexos: inventario, evidencias e identificadores</w:t>
      </w:r>
    </w:p>
    <w:p>
      <w:pPr>
        <w:pStyle w:val="Heading2"/>
      </w:pPr>
      <w:r>
        <w:t>12.1 Inventario cuantitativo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300"/>
        <w:gridCol w:w="1600"/>
        <w:gridCol w:w="4460"/>
      </w:tblGrid>
      <w:tr>
        <w:trPr>
          <w:tblHeader w:val="true"/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shd w:fill="005596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Tipo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shd w:fill="005596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Cantidad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shd w:fill="005596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Estado</w:t>
            </w:r>
          </w:p>
        </w:tc>
      </w:tr>
      <w:tr>
        <w:trPr>
          <w:cantSplit/>
        </w:trPr>
        <w:tc>
          <w:tcPr>
            <w:tcW w:type="dxa" w:w="33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20303C"/>
                <w:sz w:val="18"/>
              </w:rPr>
              <w:t>Archivos privados</w:t>
            </w:r>
          </w:p>
        </w:tc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303C"/>
                <w:sz w:val="18"/>
              </w:rPr>
              <w:t>6</w:t>
            </w:r>
          </w:p>
        </w:tc>
        <w:tc>
          <w:tcPr>
            <w:tcW w:type="dxa" w:w="44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303C"/>
                <w:sz w:val="18"/>
              </w:rPr>
              <w:t>Sincronizados y en uso</w:t>
            </w:r>
          </w:p>
        </w:tc>
      </w:tr>
      <w:tr>
        <w:trPr>
          <w:cantSplit/>
        </w:trPr>
        <w:tc>
          <w:tcPr>
            <w:tcW w:type="dxa" w:w="3300"/>
            <w:shd w:fill="F4F7F9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20303C"/>
                <w:sz w:val="18"/>
              </w:rPr>
              <w:t>Respuestas cortas</w:t>
            </w:r>
          </w:p>
        </w:tc>
        <w:tc>
          <w:tcPr>
            <w:tcW w:type="dxa" w:w="1600"/>
            <w:shd w:fill="F4F7F9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303C"/>
                <w:sz w:val="18"/>
              </w:rPr>
              <w:t>17</w:t>
            </w:r>
          </w:p>
        </w:tc>
        <w:tc>
          <w:tcPr>
            <w:tcW w:type="dxa" w:w="4460"/>
            <w:shd w:fill="F4F7F9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303C"/>
                <w:sz w:val="18"/>
              </w:rPr>
              <w:t>En uso</w:t>
            </w:r>
          </w:p>
        </w:tc>
      </w:tr>
      <w:tr>
        <w:trPr>
          <w:cantSplit/>
        </w:trPr>
        <w:tc>
          <w:tcPr>
            <w:tcW w:type="dxa" w:w="33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20303C"/>
                <w:sz w:val="18"/>
              </w:rPr>
              <w:t>Total de fuentes</w:t>
            </w:r>
          </w:p>
        </w:tc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303C"/>
                <w:sz w:val="18"/>
              </w:rPr>
              <w:t>23</w:t>
            </w:r>
          </w:p>
        </w:tc>
        <w:tc>
          <w:tcPr>
            <w:tcW w:type="dxa" w:w="44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303C"/>
                <w:sz w:val="18"/>
              </w:rPr>
              <w:t>Privadas; citas desactivadas</w:t>
            </w:r>
          </w:p>
        </w:tc>
      </w:tr>
      <w:tr>
        <w:trPr>
          <w:cantSplit/>
        </w:trPr>
        <w:tc>
          <w:tcPr>
            <w:tcW w:type="dxa" w:w="3300"/>
            <w:shd w:fill="F4F7F9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20303C"/>
                <w:sz w:val="18"/>
              </w:rPr>
              <w:t>Registros catálogo técnico</w:t>
            </w:r>
          </w:p>
        </w:tc>
        <w:tc>
          <w:tcPr>
            <w:tcW w:type="dxa" w:w="1600"/>
            <w:shd w:fill="F4F7F9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303C"/>
                <w:sz w:val="18"/>
              </w:rPr>
              <w:t>356</w:t>
            </w:r>
          </w:p>
        </w:tc>
        <w:tc>
          <w:tcPr>
            <w:tcW w:type="dxa" w:w="4460"/>
            <w:shd w:fill="F4F7F9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303C"/>
                <w:sz w:val="18"/>
              </w:rPr>
              <w:t>Publicados</w:t>
            </w:r>
          </w:p>
        </w:tc>
      </w:tr>
      <w:tr>
        <w:trPr>
          <w:cantSplit/>
        </w:trPr>
        <w:tc>
          <w:tcPr>
            <w:tcW w:type="dxa" w:w="33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20303C"/>
                <w:sz w:val="18"/>
              </w:rPr>
              <w:t>Landing pages como fuente</w:t>
            </w:r>
          </w:p>
        </w:tc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303C"/>
                <w:sz w:val="18"/>
              </w:rPr>
              <w:t>0</w:t>
            </w:r>
          </w:p>
        </w:tc>
        <w:tc>
          <w:tcPr>
            <w:tcW w:type="dxa" w:w="44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303C"/>
                <w:sz w:val="18"/>
              </w:rPr>
              <w:t>No aplica</w:t>
            </w:r>
          </w:p>
        </w:tc>
      </w:tr>
      <w:tr>
        <w:trPr>
          <w:cantSplit/>
        </w:trPr>
        <w:tc>
          <w:tcPr>
            <w:tcW w:type="dxa" w:w="3300"/>
            <w:shd w:fill="F4F7F9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20303C"/>
                <w:sz w:val="18"/>
              </w:rPr>
              <w:t>URLs importadas</w:t>
            </w:r>
          </w:p>
        </w:tc>
        <w:tc>
          <w:tcPr>
            <w:tcW w:type="dxa" w:w="1600"/>
            <w:shd w:fill="F4F7F9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303C"/>
                <w:sz w:val="18"/>
              </w:rPr>
              <w:t>0</w:t>
            </w:r>
          </w:p>
        </w:tc>
        <w:tc>
          <w:tcPr>
            <w:tcW w:type="dxa" w:w="4460"/>
            <w:shd w:fill="F4F7F9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303C"/>
                <w:sz w:val="18"/>
              </w:rPr>
              <w:t>No aplica</w:t>
            </w:r>
          </w:p>
        </w:tc>
      </w:tr>
      <w:tr>
        <w:trPr>
          <w:cantSplit/>
        </w:trPr>
        <w:tc>
          <w:tcPr>
            <w:tcW w:type="dxa" w:w="33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20303C"/>
                <w:sz w:val="18"/>
              </w:rPr>
              <w:t>Acciones publicadas</w:t>
            </w:r>
          </w:p>
        </w:tc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303C"/>
                <w:sz w:val="18"/>
              </w:rPr>
              <w:t>0</w:t>
            </w:r>
          </w:p>
        </w:tc>
        <w:tc>
          <w:tcPr>
            <w:tcW w:type="dxa" w:w="44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303C"/>
                <w:sz w:val="18"/>
              </w:rPr>
              <w:t>Dos borradores no activos</w:t>
            </w:r>
          </w:p>
        </w:tc>
      </w:tr>
      <w:tr>
        <w:trPr>
          <w:cantSplit/>
        </w:trPr>
        <w:tc>
          <w:tcPr>
            <w:tcW w:type="dxa" w:w="3300"/>
            <w:shd w:fill="F4F7F9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20303C"/>
                <w:sz w:val="18"/>
              </w:rPr>
              <w:t>Canales</w:t>
            </w:r>
          </w:p>
        </w:tc>
        <w:tc>
          <w:tcPr>
            <w:tcW w:type="dxa" w:w="1600"/>
            <w:shd w:fill="F4F7F9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303C"/>
                <w:sz w:val="18"/>
              </w:rPr>
              <w:t>1</w:t>
            </w:r>
          </w:p>
        </w:tc>
        <w:tc>
          <w:tcPr>
            <w:tcW w:type="dxa" w:w="4460"/>
            <w:shd w:fill="F4F7F9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303C"/>
                <w:sz w:val="18"/>
              </w:rPr>
              <w:t>Chatflow configurado; agente pausado</w:t>
            </w:r>
          </w:p>
        </w:tc>
      </w:tr>
    </w:tbl>
    <w:p>
      <w:pPr>
        <w:spacing w:after="0"/>
      </w:pPr>
    </w:p>
    <w:p>
      <w:pPr>
        <w:pStyle w:val="Heading2"/>
      </w:pPr>
      <w:r>
        <w:t>12.2 Fuentes documentales</w:t>
      </w:r>
    </w:p>
    <w:p>
      <w:pPr>
        <w:pStyle w:val="ListBullet"/>
      </w:pPr>
      <w:r>
        <w:rPr>
          <w:rFonts w:ascii="Calibri" w:hAnsi="Calibri"/>
          <w:b w:val="0"/>
          <w:i w:val="0"/>
          <w:color w:val="20303C"/>
          <w:sz w:val="22"/>
        </w:rPr>
        <w:t>Source pack: docs/architecture/kortex/hubspot-as-a-service/anam-customer-agent-source-pack/.</w:t>
      </w:r>
    </w:p>
    <w:p>
      <w:pPr>
        <w:pStyle w:val="ListBullet"/>
      </w:pPr>
      <w:r>
        <w:rPr>
          <w:rFonts w:ascii="Calibri" w:hAnsi="Calibri"/>
          <w:b w:val="0"/>
          <w:i w:val="0"/>
          <w:color w:val="20303C"/>
          <w:sz w:val="22"/>
        </w:rPr>
        <w:t>QA: docs/audits/ANAM_CUSTOMER_AGENT_QA_REPORT_2026-07-16.md.</w:t>
      </w:r>
    </w:p>
    <w:p>
      <w:pPr>
        <w:pStyle w:val="ListBullet"/>
      </w:pPr>
      <w:r>
        <w:rPr>
          <w:rFonts w:ascii="Calibri" w:hAnsi="Calibri"/>
          <w:b w:val="0"/>
          <w:i w:val="0"/>
          <w:color w:val="20303C"/>
          <w:sz w:val="22"/>
        </w:rPr>
        <w:t>Arquitectura HubSpot as a Service: docs/architecture/kortex/hubspot-as-a-service/README.md.</w:t>
      </w:r>
    </w:p>
    <w:p>
      <w:pPr>
        <w:pStyle w:val="ListBullet"/>
      </w:pPr>
      <w:r>
        <w:rPr>
          <w:rFonts w:ascii="Calibri" w:hAnsi="Calibri"/>
          <w:b w:val="0"/>
          <w:i w:val="0"/>
          <w:color w:val="20303C"/>
          <w:sz w:val="22"/>
        </w:rPr>
        <w:t>Overview funcional: docs/documentation/hubspot-as-a-service/anam-hubspot-managed-service-end-to-end.md.</w:t>
      </w:r>
    </w:p>
    <w:p>
      <w:pPr>
        <w:pStyle w:val="ListBullet"/>
      </w:pPr>
      <w:r>
        <w:rPr>
          <w:rFonts w:ascii="Calibri" w:hAnsi="Calibri"/>
          <w:b w:val="0"/>
          <w:i w:val="0"/>
          <w:color w:val="20303C"/>
          <w:sz w:val="22"/>
        </w:rPr>
        <w:t>Manual operativo: docs/manual-de-uso/hubspot-as-a-service/operar-anam-hubspot-managed-service.md.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AF2F8"/>
          </w:tcPr>
          <w:p>
            <w:pPr>
              <w:pStyle w:val="Callout"/>
            </w:pPr>
            <w:r>
              <w:rPr>
                <w:rFonts w:ascii="Calibri" w:hAnsi="Calibri"/>
                <w:b/>
                <w:i w:val="0"/>
                <w:color w:val="12324A"/>
                <w:sz w:val="21"/>
              </w:rPr>
              <w:t xml:space="preserve">Nota final: </w:t>
            </w:r>
            <w:r>
              <w:rPr>
                <w:rFonts w:ascii="Calibri" w:hAnsi="Calibri"/>
                <w:b w:val="0"/>
                <w:i w:val="0"/>
                <w:color w:val="12324A"/>
                <w:sz w:val="21"/>
              </w:rPr>
              <w:t>Este informe describe el estado observado al 17 de julio de 2026. Una activación posterior debe documentarse con readback y reemplazar el estado de bloqueo, no asumirse por la sola regularización de la factura.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2240" w:h="15840"/>
      <w:pgMar w:top="1181" w:right="1440" w:bottom="1080" w:left="1440" w:header="461" w:footer="50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i w:val="0"/>
        <w:color w:val="5B6573"/>
        <w:sz w:val="16"/>
      </w:rPr>
      <w:t xml:space="preserve">Efeonce Group SpA · efeoncepro.com · ANAM · 17 julio 2026   ·   </w:t>
    </w:r>
    <w:r>
      <w:rPr>
        <w:rFonts w:ascii="Calibri" w:hAnsi="Calibri"/>
        <w:b w:val="0"/>
        <w:i w:val="0"/>
        <w:color w:val="5B6573"/>
        <w:sz w:val="18"/>
      </w:rPr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  <w:tbl>
    <w:tblPr>
      <w:tblW w:type="dxa" w:w="9360"/>
      <w:jc w:val="center"/>
      <w:tblLayout w:type="fixed"/>
      <w:tblLook w:firstColumn="1" w:firstRow="1" w:lastColumn="0" w:lastRow="0" w:noHBand="0" w:noVBand="1" w:val="04A0"/>
      <w:tblInd w:w="120" w:type="dxa"/>
    </w:tblPr>
    <w:tblGrid>
      <w:gridCol w:w="1944"/>
      <w:gridCol w:w="7416"/>
    </w:tblGrid>
    <w:tr>
      <w:tc>
        <w:tcPr>
          <w:tcW w:type="dxa" w:w="1944"/>
          <w:tcMar>
            <w:top w:w="0" w:type="dxa"/>
            <w:start w:w="0" w:type="dxa"/>
            <w:bottom w:w="0" w:type="dxa"/>
            <w:end w:w="0" w:type="dxa"/>
          </w:tcMar>
          <w:vAlign w:val="center"/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987552" cy="230429"/>
                <wp:docPr id="1" name="Picture 1" descr="Logo de Efeonce Group" title="Logo de Efeonce Group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full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87552" cy="230429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7416"/>
          <w:tcMar>
            <w:top w:w="0" w:type="dxa"/>
            <w:start w:w="0" w:type="dxa"/>
            <w:bottom w:w="0" w:type="dxa"/>
            <w:end w:w="0" w:type="dxa"/>
          </w:tcMar>
          <w:vAlign w:val="center"/>
        </w:tcPr>
        <w:p>
          <w:pPr>
            <w:jc w:val="right"/>
          </w:pPr>
          <w:r>
            <w:rPr>
              <w:rFonts w:ascii="Calibri" w:hAnsi="Calibri"/>
              <w:b/>
              <w:i w:val="0"/>
              <w:color w:val="5B6573"/>
              <w:sz w:val="17"/>
            </w:rPr>
            <w:t>Informe Customer Agent ANAM</w:t>
          </w:r>
        </w:p>
      </w:tc>
    </w:tr>
  </w:tbl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  <w:spacing w:after="120" w:line="28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  <w:spacing w:after="120" w:line="28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20303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00559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055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2324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2324A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</w:pPr>
    <w:rPr>
      <w:rFonts w:asciiTheme="majorHAnsi" w:eastAsiaTheme="majorEastAsia" w:hAnsiTheme="majorHAnsi" w:cstheme="majorBidi" w:ascii="Calibri" w:hAnsi="Calibri"/>
      <w:b w:val="0"/>
      <w:i/>
      <w:iCs/>
      <w:color w:val="5B6573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pPr>
      <w:spacing w:before="120" w:after="160"/>
      <w:ind w:left="230" w:right="230"/>
    </w:pPr>
    <w:rPr>
      <w:rFonts w:ascii="Calibri" w:hAnsi="Calibri"/>
      <w:color w:val="12324A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