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680"/>
        <w:jc w:val="center"/>
      </w:pPr>
      <w:r>
        <w:drawing>
          <wp:inline xmlns:a="http://schemas.openxmlformats.org/drawingml/2006/main" xmlns:pic="http://schemas.openxmlformats.org/drawingml/2006/picture">
            <wp:extent cx="2880360" cy="672084"/>
            <wp:docPr id="1" name="Picture 1" descr="Logo de Efeonce Group" title="Logo de Efeonce Group"/>
            <wp:cNvGraphicFramePr>
              <a:graphicFrameLocks noChangeAspect="1"/>
            </wp:cNvGraphicFramePr>
            <a:graphic>
              <a:graphicData uri="http://schemas.openxmlformats.org/drawingml/2006/picture">
                <pic:pic>
                  <pic:nvPicPr>
                    <pic:cNvPr id="0" name="logo-full.png"/>
                    <pic:cNvPicPr/>
                  </pic:nvPicPr>
                  <pic:blipFill>
                    <a:blip r:embed="rId13"/>
                    <a:stretch>
                      <a:fillRect/>
                    </a:stretch>
                  </pic:blipFill>
                  <pic:spPr>
                    <a:xfrm>
                      <a:off x="0" y="0"/>
                      <a:ext cx="2880360" cy="672084"/>
                    </a:xfrm>
                    <a:prstGeom prst="rect"/>
                  </pic:spPr>
                </pic:pic>
              </a:graphicData>
            </a:graphic>
          </wp:inline>
        </w:drawing>
      </w:r>
    </w:p>
    <w:p>
      <w:pPr>
        <w:spacing w:after="160"/>
        <w:jc w:val="center"/>
      </w:pPr>
      <w:r>
        <w:rPr>
          <w:rFonts w:ascii="Calibri" w:hAnsi="Calibri"/>
          <w:b/>
          <w:i w:val="0"/>
          <w:color w:val="C6942D"/>
          <w:sz w:val="20"/>
        </w:rPr>
        <w:t>INFORME DE ARQUITECTURA E IMPLEMENTACIÓN</w:t>
      </w:r>
    </w:p>
    <w:p>
      <w:pPr>
        <w:pStyle w:val="Title"/>
        <w:spacing w:after="200"/>
        <w:jc w:val="center"/>
      </w:pPr>
      <w:r>
        <w:rPr>
          <w:rFonts w:ascii="Calibri" w:hAnsi="Calibri"/>
          <w:b/>
          <w:i w:val="0"/>
          <w:color w:val="12324A"/>
          <w:sz w:val="58"/>
        </w:rPr>
        <w:t>ANAM HubSpot RevOps</w:t>
      </w:r>
    </w:p>
    <w:p>
      <w:pPr>
        <w:pStyle w:val="Subtitle"/>
        <w:spacing w:after="840"/>
        <w:jc w:val="center"/>
      </w:pPr>
      <w:r>
        <w:rPr>
          <w:rFonts w:ascii="Calibri" w:hAnsi="Calibri"/>
          <w:b w:val="0"/>
          <w:i w:val="0"/>
          <w:color w:val="5B6573"/>
          <w:sz w:val="28"/>
        </w:rPr>
        <w:t>Modelo de datos, propiedades, automatizaciones, calidad, Growth, Services, Retención, Fidelización y facturación futura</w:t>
      </w:r>
    </w:p>
    <w:tbl>
      <w:tblPr>
        <w:tblW w:type="dxa" w:w="9360"/>
        <w:jc w:val="center"/>
        <w:tblLayout w:type="fixed"/>
        <w:tblLook w:firstColumn="1" w:firstRow="1" w:lastColumn="0" w:lastRow="0" w:noHBand="0" w:noVBand="1" w:val="04A0"/>
        <w:tblInd w:w="120" w:type="dxa"/>
      </w:tblPr>
      <w:tblGrid>
        <w:gridCol w:w="2300"/>
        <w:gridCol w:w="7060"/>
      </w:tblGrid>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Cliente</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ANAM — portal HubSpot 19893546</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Preparado para</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Oscar y María Paz</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Preparado por</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Efeonce — HubSpot as a Service</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Entidad legal</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Efeonce Group SpA</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RUT</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77.357.182-1</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Domicilio legal</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Dr. Manuel Barros Borgoño 71 Of 1105, Providencia, RM — Chile</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Sitio web</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https://efeoncepro.com</w:t>
            </w:r>
          </w:p>
        </w:tc>
      </w:tr>
      <w:tr>
        <w:tc>
          <w:tcPr>
            <w:tcW w:type="dxa" w:w="2300"/>
            <w:tcMar>
              <w:top w:w="80" w:type="dxa"/>
              <w:start w:w="120" w:type="dxa"/>
              <w:bottom w:w="80" w:type="dxa"/>
              <w:end w:w="120" w:type="dxa"/>
            </w:tcMar>
            <w:shd w:fill="EAF2F8"/>
            <w:vAlign w:val="center"/>
          </w:tcPr>
          <w:p>
            <w:pPr>
              <w:spacing w:after="0"/>
            </w:pPr>
            <w:r>
              <w:rPr>
                <w:rFonts w:ascii="Calibri" w:hAnsi="Calibri"/>
                <w:b/>
                <w:i w:val="0"/>
                <w:color w:val="12324A"/>
                <w:sz w:val="21"/>
              </w:rPr>
              <w:t>Fecha de corte</w:t>
            </w:r>
          </w:p>
        </w:tc>
        <w:tc>
          <w:tcPr>
            <w:tcW w:type="dxa" w:w="7060"/>
            <w:tcMar>
              <w:top w:w="80" w:type="dxa"/>
              <w:start w:w="120" w:type="dxa"/>
              <w:bottom w:w="80" w:type="dxa"/>
              <w:end w:w="120" w:type="dxa"/>
            </w:tcMar>
            <w:vAlign w:val="center"/>
          </w:tcPr>
          <w:p>
            <w:pPr>
              <w:spacing w:after="0"/>
            </w:pPr>
            <w:r>
              <w:rPr>
                <w:rFonts w:ascii="Calibri" w:hAnsi="Calibri"/>
                <w:b w:val="0"/>
                <w:i w:val="0"/>
                <w:color w:val="20303C"/>
                <w:sz w:val="21"/>
              </w:rPr>
              <w:t>17 de julio de 2026</w:t>
            </w:r>
          </w:p>
        </w:tc>
      </w:tr>
    </w:tbl>
    <w:p>
      <w:pPr>
        <w:spacing w:before="600"/>
        <w:jc w:val="center"/>
      </w:pPr>
      <w:r>
        <w:rPr>
          <w:rFonts w:ascii="Calibri" w:hAnsi="Calibri"/>
          <w:b w:val="0"/>
          <w:i/>
          <w:color w:val="5B6573"/>
          <w:sz w:val="19"/>
        </w:rPr>
        <w:t>Documento de trabajo detallado · Estado verificado y límites explícitos</w:t>
      </w:r>
    </w:p>
    <w:p>
      <w:r>
        <w:br w:type="page"/>
      </w:r>
    </w:p>
    <w:p>
      <w:pPr>
        <w:pStyle w:val="Heading1"/>
      </w:pPr>
      <w:r>
        <w:t>Contenido del informe</w:t>
      </w:r>
    </w:p>
    <w:p>
      <w:r>
        <w:rPr>
          <w:rFonts w:ascii="Calibri" w:hAnsi="Calibri"/>
          <w:b w:val="0"/>
          <w:i w:val="0"/>
          <w:color w:val="20303C"/>
          <w:sz w:val="22"/>
        </w:rPr>
        <w:t>La estructura siguiente separa actividades realizadas, evidencia comprobada, límites y próximos pasos. Los anexos reúnen inventarios e identificadores para facilitar auditoría y continuidad.</w:t>
      </w:r>
    </w:p>
    <w:p>
      <w:pPr>
        <w:spacing w:after="120" w:line="280" w:lineRule="auto"/>
        <w:numPr>
          <w:ilvl w:val="0"/>
          <w:numId w:val="10"/>
        </w:numPr>
      </w:pPr>
      <w:r>
        <w:rPr>
          <w:rFonts w:ascii="Calibri" w:hAnsi="Calibri"/>
          <w:b/>
          <w:i w:val="0"/>
          <w:color w:val="12324A"/>
          <w:sz w:val="22"/>
        </w:rPr>
        <w:t>Resumen ejecutivo</w:t>
      </w:r>
    </w:p>
    <w:p>
      <w:pPr>
        <w:spacing w:after="120" w:line="280" w:lineRule="auto"/>
        <w:numPr>
          <w:ilvl w:val="0"/>
          <w:numId w:val="10"/>
        </w:numPr>
      </w:pPr>
      <w:r>
        <w:rPr>
          <w:rFonts w:ascii="Calibri" w:hAnsi="Calibri"/>
          <w:b/>
          <w:i w:val="0"/>
          <w:color w:val="12324A"/>
          <w:sz w:val="22"/>
        </w:rPr>
        <w:t>Frontera cliente y fuentes de verdad</w:t>
      </w:r>
    </w:p>
    <w:p>
      <w:pPr>
        <w:spacing w:after="120" w:line="280" w:lineRule="auto"/>
        <w:numPr>
          <w:ilvl w:val="0"/>
          <w:numId w:val="10"/>
        </w:numPr>
      </w:pPr>
      <w:r>
        <w:rPr>
          <w:rFonts w:ascii="Calibri" w:hAnsi="Calibri"/>
          <w:b/>
          <w:i w:val="0"/>
          <w:color w:val="12324A"/>
          <w:sz w:val="22"/>
        </w:rPr>
        <w:t>Discovery y decisiones ratificadas</w:t>
      </w:r>
    </w:p>
    <w:p>
      <w:pPr>
        <w:spacing w:after="120" w:line="280" w:lineRule="auto"/>
        <w:numPr>
          <w:ilvl w:val="0"/>
          <w:numId w:val="10"/>
        </w:numPr>
      </w:pPr>
      <w:r>
        <w:rPr>
          <w:rFonts w:ascii="Calibri" w:hAnsi="Calibri"/>
          <w:b w:val="0"/>
          <w:i w:val="0"/>
          <w:color w:val="20303C"/>
          <w:sz w:val="22"/>
        </w:rPr>
        <w:t>Arquitectura y modelo de datos vivo</w:t>
      </w:r>
    </w:p>
    <w:p>
      <w:pPr>
        <w:spacing w:after="120" w:line="280" w:lineRule="auto"/>
        <w:numPr>
          <w:ilvl w:val="0"/>
          <w:numId w:val="10"/>
        </w:numPr>
      </w:pPr>
      <w:r>
        <w:rPr>
          <w:rFonts w:ascii="Calibri" w:hAnsi="Calibri"/>
          <w:b w:val="0"/>
          <w:i w:val="0"/>
          <w:color w:val="20303C"/>
          <w:sz w:val="22"/>
        </w:rPr>
        <w:t>Roadmap por fases y estado actual</w:t>
      </w:r>
    </w:p>
    <w:p>
      <w:pPr>
        <w:spacing w:after="120" w:line="280" w:lineRule="auto"/>
        <w:numPr>
          <w:ilvl w:val="0"/>
          <w:numId w:val="10"/>
        </w:numPr>
      </w:pPr>
      <w:r>
        <w:rPr>
          <w:rFonts w:ascii="Calibri" w:hAnsi="Calibri"/>
          <w:b w:val="0"/>
          <w:i w:val="0"/>
          <w:color w:val="20303C"/>
          <w:sz w:val="22"/>
        </w:rPr>
        <w:t>Fase 1: reporting comercial y calidad de datos</w:t>
      </w:r>
    </w:p>
    <w:p>
      <w:pPr>
        <w:spacing w:after="120" w:line="280" w:lineRule="auto"/>
        <w:numPr>
          <w:ilvl w:val="0"/>
          <w:numId w:val="10"/>
        </w:numPr>
      </w:pPr>
      <w:r>
        <w:rPr>
          <w:rFonts w:ascii="Calibri" w:hAnsi="Calibri"/>
          <w:b w:val="0"/>
          <w:i w:val="0"/>
          <w:color w:val="20303C"/>
          <w:sz w:val="22"/>
        </w:rPr>
        <w:t>KPI por segmento, sector y región</w:t>
      </w:r>
    </w:p>
    <w:p>
      <w:pPr>
        <w:spacing w:after="120" w:line="280" w:lineRule="auto"/>
        <w:numPr>
          <w:ilvl w:val="0"/>
          <w:numId w:val="10"/>
        </w:numPr>
      </w:pPr>
      <w:r>
        <w:rPr>
          <w:rFonts w:ascii="Calibri" w:hAnsi="Calibri"/>
          <w:b w:val="0"/>
          <w:i w:val="0"/>
          <w:color w:val="20303C"/>
          <w:sz w:val="22"/>
        </w:rPr>
        <w:t>Remediación Deal–Company</w:t>
      </w:r>
    </w:p>
    <w:p>
      <w:pPr>
        <w:spacing w:after="120" w:line="280" w:lineRule="auto"/>
        <w:numPr>
          <w:ilvl w:val="0"/>
          <w:numId w:val="10"/>
        </w:numPr>
      </w:pPr>
      <w:r>
        <w:rPr>
          <w:rFonts w:ascii="Calibri" w:hAnsi="Calibri"/>
          <w:b w:val="0"/>
          <w:i w:val="0"/>
          <w:color w:val="20303C"/>
          <w:sz w:val="22"/>
        </w:rPr>
        <w:t>Fase 3: Service, asociaciones y automatización</w:t>
      </w:r>
    </w:p>
    <w:p>
      <w:pPr>
        <w:spacing w:after="120" w:line="280" w:lineRule="auto"/>
        <w:numPr>
          <w:ilvl w:val="0"/>
          <w:numId w:val="10"/>
        </w:numPr>
      </w:pPr>
      <w:r>
        <w:rPr>
          <w:rFonts w:ascii="Calibri" w:hAnsi="Calibri"/>
          <w:b w:val="0"/>
          <w:i w:val="0"/>
          <w:color w:val="20303C"/>
          <w:sz w:val="22"/>
        </w:rPr>
        <w:t>Paneles piloto de Retención y Fidelización</w:t>
      </w:r>
    </w:p>
    <w:p>
      <w:pPr>
        <w:spacing w:after="120" w:line="280" w:lineRule="auto"/>
        <w:numPr>
          <w:ilvl w:val="0"/>
          <w:numId w:val="10"/>
        </w:numPr>
      </w:pPr>
      <w:r>
        <w:rPr>
          <w:rFonts w:ascii="Calibri" w:hAnsi="Calibri"/>
          <w:b w:val="0"/>
          <w:i w:val="0"/>
          <w:color w:val="20303C"/>
          <w:sz w:val="22"/>
        </w:rPr>
        <w:t>Modelo futuro de facturación</w:t>
      </w:r>
    </w:p>
    <w:p>
      <w:pPr>
        <w:spacing w:after="120" w:line="280" w:lineRule="auto"/>
        <w:numPr>
          <w:ilvl w:val="0"/>
          <w:numId w:val="10"/>
        </w:numPr>
      </w:pPr>
      <w:r>
        <w:rPr>
          <w:rFonts w:ascii="Calibri" w:hAnsi="Calibri"/>
          <w:b w:val="0"/>
          <w:i w:val="0"/>
          <w:color w:val="20303C"/>
          <w:sz w:val="22"/>
        </w:rPr>
        <w:t>Defectos de calidad y disciplina comercial</w:t>
      </w:r>
    </w:p>
    <w:p>
      <w:pPr>
        <w:spacing w:after="120" w:line="280" w:lineRule="auto"/>
        <w:numPr>
          <w:ilvl w:val="0"/>
          <w:numId w:val="10"/>
        </w:numPr>
      </w:pPr>
      <w:r>
        <w:rPr>
          <w:rFonts w:ascii="Calibri" w:hAnsi="Calibri"/>
          <w:b w:val="0"/>
          <w:i w:val="0"/>
          <w:color w:val="20303C"/>
          <w:sz w:val="22"/>
        </w:rPr>
        <w:t>Controles, riesgos y pendientes</w:t>
      </w:r>
    </w:p>
    <w:p>
      <w:pPr>
        <w:spacing w:after="120" w:line="280" w:lineRule="auto"/>
        <w:numPr>
          <w:ilvl w:val="0"/>
          <w:numId w:val="10"/>
        </w:numPr>
      </w:pPr>
      <w:r>
        <w:rPr>
          <w:rFonts w:ascii="Calibri" w:hAnsi="Calibri"/>
          <w:b w:val="0"/>
          <w:i w:val="0"/>
          <w:color w:val="20303C"/>
          <w:sz w:val="22"/>
        </w:rPr>
        <w:t>Anexos de activos, IDs y métricas</w:t>
      </w:r>
    </w:p>
    <w:p>
      <w:r>
        <w:br w:type="page"/>
      </w:r>
    </w:p>
    <w:p>
      <w:pPr>
        <w:pStyle w:val="Heading1"/>
      </w:pPr>
      <w:r>
        <w:t>1. Resumen ejecutivo</w:t>
      </w:r>
    </w:p>
    <w:p>
      <w:r>
        <w:rPr>
          <w:rFonts w:ascii="Calibri" w:hAnsi="Calibri"/>
          <w:b w:val="0"/>
          <w:i w:val="0"/>
          <w:color w:val="20303C"/>
          <w:sz w:val="22"/>
        </w:rPr>
        <w:t>Efeonce realizó una intervención integral sobre el portal HubSpot de ANAM para convertir definiciones comerciales dispersas en un sistema RevOps gobernado, medible y escalable. El trabajo combinó discovery live en reuniones y tareas, inventario del portal, diseño de arquitectura, creación de propiedades y asociaciones, automatizaciones controladas, remediación acotada de datos y construcción de paneles.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5EF"/>
          </w:tcPr>
          <w:p>
            <w:pPr>
              <w:pStyle w:val="Callout"/>
            </w:pPr>
            <w:r>
              <w:rPr>
                <w:rFonts w:ascii="Calibri" w:hAnsi="Calibri"/>
                <w:b/>
                <w:i w:val="0"/>
                <w:color w:val="12324A"/>
                <w:sz w:val="21"/>
              </w:rPr>
              <w:t xml:space="preserve">Resultado global: </w:t>
            </w:r>
            <w:r>
              <w:rPr>
                <w:rFonts w:ascii="Calibri" w:hAnsi="Calibri"/>
                <w:b w:val="0"/>
                <w:i w:val="0"/>
                <w:color w:val="12324A"/>
                <w:sz w:val="21"/>
              </w:rPr>
              <w:t>La Fase 1 y el dashboard Growth están cerrados. El esquema de Service, cinco Services controlados, asociaciones y workflow de revisión están live. Retención y Fidelización cuentan con paneles piloto verificables, pero sus datos de activación son sintéticos y no constituyen KPI oficiales.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700"/>
        <w:gridCol w:w="5850"/>
        <w:gridCol w:w="1810"/>
      </w:tblGrid>
      <w:tr>
        <w:trPr>
          <w:tblHeader w:val="true"/>
          <w:cantSplit/>
        </w:trPr>
        <w:tc>
          <w:tcPr>
            <w:tcW w:type="dxa" w:w="1700"/>
            <w:tcMar>
              <w:top w:w="80" w:type="dxa"/>
              <w:start w:w="120" w:type="dxa"/>
              <w:bottom w:w="80" w:type="dxa"/>
              <w:end w:w="120" w:type="dxa"/>
            </w:tcMar>
            <w:shd w:fill="005596"/>
            <w:vAlign w:val="center"/>
          </w:tcPr>
          <w:p>
            <w:pPr>
              <w:spacing w:after="0"/>
              <w:jc w:val="center"/>
            </w:pPr>
            <w:r>
              <w:rPr>
                <w:rFonts w:ascii="Calibri" w:hAnsi="Calibri"/>
                <w:b/>
                <w:i w:val="0"/>
                <w:color w:val="FFFFFF"/>
                <w:sz w:val="17"/>
              </w:rPr>
              <w:t>Área</w:t>
            </w:r>
          </w:p>
        </w:tc>
        <w:tc>
          <w:tcPr>
            <w:tcW w:type="dxa" w:w="5850"/>
            <w:tcMar>
              <w:top w:w="80" w:type="dxa"/>
              <w:start w:w="120" w:type="dxa"/>
              <w:bottom w:w="80" w:type="dxa"/>
              <w:end w:w="120" w:type="dxa"/>
            </w:tcMar>
            <w:shd w:fill="005596"/>
            <w:vAlign w:val="center"/>
          </w:tcPr>
          <w:p>
            <w:pPr>
              <w:spacing w:after="0"/>
              <w:jc w:val="center"/>
            </w:pPr>
            <w:r>
              <w:rPr>
                <w:rFonts w:ascii="Calibri" w:hAnsi="Calibri"/>
                <w:b/>
                <w:i w:val="0"/>
                <w:color w:val="FFFFFF"/>
                <w:sz w:val="17"/>
              </w:rPr>
              <w:t>Resultado vigente</w:t>
            </w:r>
          </w:p>
        </w:tc>
        <w:tc>
          <w:tcPr>
            <w:tcW w:type="dxa" w:w="1810"/>
            <w:tcMar>
              <w:top w:w="80" w:type="dxa"/>
              <w:start w:w="120" w:type="dxa"/>
              <w:bottom w:w="80" w:type="dxa"/>
              <w:end w:w="120" w:type="dxa"/>
            </w:tcMar>
            <w:shd w:fill="005596"/>
            <w:vAlign w:val="center"/>
          </w:tcPr>
          <w:p>
            <w:pPr>
              <w:spacing w:after="0"/>
              <w:jc w:val="center"/>
            </w:pPr>
            <w:r>
              <w:rPr>
                <w:rFonts w:ascii="Calibri" w:hAnsi="Calibri"/>
                <w:b/>
                <w:i w:val="0"/>
                <w:color w:val="FFFFFF"/>
                <w:sz w:val="17"/>
              </w:rPr>
              <w:t>Estado</w:t>
            </w:r>
          </w:p>
        </w:tc>
      </w:tr>
      <w:tr>
        <w:trPr>
          <w:cantSplit/>
        </w:trPr>
        <w:tc>
          <w:tcPr>
            <w:tcW w:type="dxa" w:w="1700"/>
            <w:vAlign w:val="center"/>
          </w:tcPr>
          <w:p>
            <w:pPr>
              <w:spacing w:after="0"/>
            </w:pPr>
            <w:r>
              <w:rPr>
                <w:rFonts w:ascii="Calibri" w:hAnsi="Calibri"/>
                <w:b/>
                <w:i w:val="0"/>
                <w:color w:val="20303C"/>
                <w:sz w:val="17"/>
              </w:rPr>
              <w:t>Arquitectura RevOps</w:t>
            </w:r>
          </w:p>
        </w:tc>
        <w:tc>
          <w:tcPr>
            <w:tcW w:type="dxa" w:w="5850"/>
            <w:vAlign w:val="center"/>
          </w:tcPr>
          <w:p>
            <w:pPr>
              <w:spacing w:after="0"/>
            </w:pPr>
            <w:r>
              <w:rPr>
                <w:rFonts w:ascii="Calibri" w:hAnsi="Calibri"/>
                <w:b w:val="0"/>
                <w:i w:val="0"/>
                <w:color w:val="20303C"/>
                <w:sz w:val="17"/>
              </w:rPr>
              <w:t>Modelo Contact → Lead → Company → Deal → line item → Service → renovación, con Tickets y facturación separados.</w:t>
            </w:r>
          </w:p>
        </w:tc>
        <w:tc>
          <w:tcPr>
            <w:tcW w:type="dxa" w:w="1810"/>
            <w:vAlign w:val="center"/>
          </w:tcPr>
          <w:p>
            <w:pPr>
              <w:spacing w:after="0"/>
            </w:pPr>
            <w:r>
              <w:rPr>
                <w:rFonts w:ascii="Calibri" w:hAnsi="Calibri"/>
                <w:b w:val="0"/>
                <w:i w:val="0"/>
                <w:color w:val="20303C"/>
                <w:sz w:val="17"/>
              </w:rPr>
              <w:t>Canonizado</w:t>
            </w:r>
          </w:p>
        </w:tc>
      </w:tr>
      <w:tr>
        <w:trPr>
          <w:cantSplit/>
        </w:trPr>
        <w:tc>
          <w:tcPr>
            <w:tcW w:type="dxa" w:w="1700"/>
            <w:shd w:fill="F4F7F9"/>
            <w:vAlign w:val="center"/>
          </w:tcPr>
          <w:p>
            <w:pPr>
              <w:spacing w:after="0"/>
            </w:pPr>
            <w:r>
              <w:rPr>
                <w:rFonts w:ascii="Calibri" w:hAnsi="Calibri"/>
                <w:b/>
                <w:i w:val="0"/>
                <w:color w:val="20303C"/>
                <w:sz w:val="17"/>
              </w:rPr>
              <w:t>Growth</w:t>
            </w:r>
          </w:p>
        </w:tc>
        <w:tc>
          <w:tcPr>
            <w:tcW w:type="dxa" w:w="5850"/>
            <w:shd w:fill="F4F7F9"/>
            <w:vAlign w:val="center"/>
          </w:tcPr>
          <w:p>
            <w:pPr>
              <w:spacing w:after="0"/>
            </w:pPr>
            <w:r>
              <w:rPr>
                <w:rFonts w:ascii="Calibri" w:hAnsi="Calibri"/>
                <w:b w:val="0"/>
                <w:i w:val="0"/>
                <w:color w:val="20303C"/>
                <w:sz w:val="17"/>
              </w:rPr>
              <w:t>Reporting por tipo de ingreso, owner, línea, proceso, outcome, monto y win rate.</w:t>
            </w:r>
          </w:p>
        </w:tc>
        <w:tc>
          <w:tcPr>
            <w:tcW w:type="dxa" w:w="1810"/>
            <w:shd w:fill="F4F7F9"/>
            <w:vAlign w:val="center"/>
          </w:tcPr>
          <w:p>
            <w:pPr>
              <w:spacing w:after="0"/>
            </w:pPr>
            <w:r>
              <w:rPr>
                <w:rFonts w:ascii="Calibri" w:hAnsi="Calibri"/>
                <w:b w:val="0"/>
                <w:i w:val="0"/>
                <w:color w:val="20303C"/>
                <w:sz w:val="17"/>
              </w:rPr>
              <w:t>Cerrado</w:t>
            </w:r>
          </w:p>
        </w:tc>
      </w:tr>
      <w:tr>
        <w:trPr>
          <w:cantSplit/>
        </w:trPr>
        <w:tc>
          <w:tcPr>
            <w:tcW w:type="dxa" w:w="1700"/>
            <w:vAlign w:val="center"/>
          </w:tcPr>
          <w:p>
            <w:pPr>
              <w:spacing w:after="0"/>
            </w:pPr>
            <w:r>
              <w:rPr>
                <w:rFonts w:ascii="Calibri" w:hAnsi="Calibri"/>
                <w:b/>
                <w:i w:val="0"/>
                <w:color w:val="20303C"/>
                <w:sz w:val="17"/>
              </w:rPr>
              <w:t>Data Quality</w:t>
            </w:r>
          </w:p>
        </w:tc>
        <w:tc>
          <w:tcPr>
            <w:tcW w:type="dxa" w:w="5850"/>
            <w:vAlign w:val="center"/>
          </w:tcPr>
          <w:p>
            <w:pPr>
              <w:spacing w:after="0"/>
            </w:pPr>
            <w:r>
              <w:rPr>
                <w:rFonts w:ascii="Calibri" w:hAnsi="Calibri"/>
                <w:b w:val="0"/>
                <w:i w:val="0"/>
                <w:color w:val="20303C"/>
                <w:sz w:val="17"/>
              </w:rPr>
              <w:t>Panel de brechas y colas operativas por responsable.</w:t>
            </w:r>
          </w:p>
        </w:tc>
        <w:tc>
          <w:tcPr>
            <w:tcW w:type="dxa" w:w="1810"/>
            <w:vAlign w:val="center"/>
          </w:tcPr>
          <w:p>
            <w:pPr>
              <w:spacing w:after="0"/>
            </w:pPr>
            <w:r>
              <w:rPr>
                <w:rFonts w:ascii="Calibri" w:hAnsi="Calibri"/>
                <w:b w:val="0"/>
                <w:i w:val="0"/>
                <w:color w:val="20303C"/>
                <w:sz w:val="17"/>
              </w:rPr>
              <w:t>Live</w:t>
            </w:r>
          </w:p>
        </w:tc>
      </w:tr>
      <w:tr>
        <w:trPr>
          <w:cantSplit/>
        </w:trPr>
        <w:tc>
          <w:tcPr>
            <w:tcW w:type="dxa" w:w="1700"/>
            <w:shd w:fill="F4F7F9"/>
            <w:vAlign w:val="center"/>
          </w:tcPr>
          <w:p>
            <w:pPr>
              <w:spacing w:after="0"/>
            </w:pPr>
            <w:r>
              <w:rPr>
                <w:rFonts w:ascii="Calibri" w:hAnsi="Calibri"/>
                <w:b/>
                <w:i w:val="0"/>
                <w:color w:val="20303C"/>
                <w:sz w:val="17"/>
              </w:rPr>
              <w:t>Segmentación</w:t>
            </w:r>
          </w:p>
        </w:tc>
        <w:tc>
          <w:tcPr>
            <w:tcW w:type="dxa" w:w="5850"/>
            <w:shd w:fill="F4F7F9"/>
            <w:vAlign w:val="center"/>
          </w:tcPr>
          <w:p>
            <w:pPr>
              <w:spacing w:after="0"/>
            </w:pPr>
            <w:r>
              <w:rPr>
                <w:rFonts w:ascii="Calibri" w:hAnsi="Calibri"/>
                <w:b w:val="0"/>
                <w:i w:val="0"/>
                <w:color w:val="20303C"/>
                <w:sz w:val="17"/>
              </w:rPr>
              <w:t>Segmento y región en 471 Companies; sector estratégico en 65.</w:t>
            </w:r>
          </w:p>
        </w:tc>
        <w:tc>
          <w:tcPr>
            <w:tcW w:type="dxa" w:w="1810"/>
            <w:shd w:fill="F4F7F9"/>
            <w:vAlign w:val="center"/>
          </w:tcPr>
          <w:p>
            <w:pPr>
              <w:spacing w:after="0"/>
            </w:pPr>
            <w:r>
              <w:rPr>
                <w:rFonts w:ascii="Calibri" w:hAnsi="Calibri"/>
                <w:b w:val="0"/>
                <w:i w:val="0"/>
                <w:color w:val="20303C"/>
                <w:sz w:val="17"/>
              </w:rPr>
              <w:t>Slice cerrado</w:t>
            </w:r>
          </w:p>
        </w:tc>
      </w:tr>
      <w:tr>
        <w:trPr>
          <w:cantSplit/>
        </w:trPr>
        <w:tc>
          <w:tcPr>
            <w:tcW w:type="dxa" w:w="1700"/>
            <w:vAlign w:val="center"/>
          </w:tcPr>
          <w:p>
            <w:pPr>
              <w:spacing w:after="0"/>
            </w:pPr>
            <w:r>
              <w:rPr>
                <w:rFonts w:ascii="Calibri" w:hAnsi="Calibri"/>
                <w:b/>
                <w:i w:val="0"/>
                <w:color w:val="20303C"/>
                <w:sz w:val="17"/>
              </w:rPr>
              <w:t>Deal–Company</w:t>
            </w:r>
          </w:p>
        </w:tc>
        <w:tc>
          <w:tcPr>
            <w:tcW w:type="dxa" w:w="5850"/>
            <w:vAlign w:val="center"/>
          </w:tcPr>
          <w:p>
            <w:pPr>
              <w:spacing w:after="0"/>
            </w:pPr>
            <w:r>
              <w:rPr>
                <w:rFonts w:ascii="Calibri" w:hAnsi="Calibri"/>
                <w:b w:val="0"/>
                <w:i w:val="0"/>
                <w:color w:val="20303C"/>
                <w:sz w:val="17"/>
              </w:rPr>
              <w:t>34 asociaciones Primary de alta confianza; cobertura global 50,73%.</w:t>
            </w:r>
          </w:p>
        </w:tc>
        <w:tc>
          <w:tcPr>
            <w:tcW w:type="dxa" w:w="1810"/>
            <w:vAlign w:val="center"/>
          </w:tcPr>
          <w:p>
            <w:pPr>
              <w:spacing w:after="0"/>
            </w:pPr>
            <w:r>
              <w:rPr>
                <w:rFonts w:ascii="Calibri" w:hAnsi="Calibri"/>
                <w:b w:val="0"/>
                <w:i w:val="0"/>
                <w:color w:val="20303C"/>
                <w:sz w:val="17"/>
              </w:rPr>
              <w:t>Parcial</w:t>
            </w:r>
          </w:p>
        </w:tc>
      </w:tr>
      <w:tr>
        <w:trPr>
          <w:cantSplit/>
        </w:trPr>
        <w:tc>
          <w:tcPr>
            <w:tcW w:type="dxa" w:w="1700"/>
            <w:shd w:fill="F4F7F9"/>
            <w:vAlign w:val="center"/>
          </w:tcPr>
          <w:p>
            <w:pPr>
              <w:spacing w:after="0"/>
            </w:pPr>
            <w:r>
              <w:rPr>
                <w:rFonts w:ascii="Calibri" w:hAnsi="Calibri"/>
                <w:b/>
                <w:i w:val="0"/>
                <w:color w:val="20303C"/>
                <w:sz w:val="17"/>
              </w:rPr>
              <w:t>Service</w:t>
            </w:r>
          </w:p>
        </w:tc>
        <w:tc>
          <w:tcPr>
            <w:tcW w:type="dxa" w:w="5850"/>
            <w:shd w:fill="F4F7F9"/>
            <w:vAlign w:val="center"/>
          </w:tcPr>
          <w:p>
            <w:pPr>
              <w:spacing w:after="0"/>
            </w:pPr>
            <w:r>
              <w:rPr>
                <w:rFonts w:ascii="Calibri" w:hAnsi="Calibri"/>
                <w:b w:val="0"/>
                <w:i w:val="0"/>
                <w:color w:val="20303C"/>
                <w:sz w:val="17"/>
              </w:rPr>
              <w:t>Grupo y 10 propiedades; cinco Services piloto; workflow 1852406585.</w:t>
            </w:r>
          </w:p>
        </w:tc>
        <w:tc>
          <w:tcPr>
            <w:tcW w:type="dxa" w:w="1810"/>
            <w:shd w:fill="F4F7F9"/>
            <w:vAlign w:val="center"/>
          </w:tcPr>
          <w:p>
            <w:pPr>
              <w:spacing w:after="0"/>
            </w:pPr>
            <w:r>
              <w:rPr>
                <w:rFonts w:ascii="Calibri" w:hAnsi="Calibri"/>
                <w:b w:val="0"/>
                <w:i w:val="0"/>
                <w:color w:val="20303C"/>
                <w:sz w:val="17"/>
              </w:rPr>
              <w:t>Piloto live</w:t>
            </w:r>
          </w:p>
        </w:tc>
      </w:tr>
      <w:tr>
        <w:trPr>
          <w:cantSplit/>
        </w:trPr>
        <w:tc>
          <w:tcPr>
            <w:tcW w:type="dxa" w:w="1700"/>
            <w:vAlign w:val="center"/>
          </w:tcPr>
          <w:p>
            <w:pPr>
              <w:spacing w:after="0"/>
            </w:pPr>
            <w:r>
              <w:rPr>
                <w:rFonts w:ascii="Calibri" w:hAnsi="Calibri"/>
                <w:b/>
                <w:i w:val="0"/>
                <w:color w:val="20303C"/>
                <w:sz w:val="17"/>
              </w:rPr>
              <w:t>Retención/Fidelización</w:t>
            </w:r>
          </w:p>
        </w:tc>
        <w:tc>
          <w:tcPr>
            <w:tcW w:type="dxa" w:w="5850"/>
            <w:vAlign w:val="center"/>
          </w:tcPr>
          <w:p>
            <w:pPr>
              <w:spacing w:after="0"/>
            </w:pPr>
            <w:r>
              <w:rPr>
                <w:rFonts w:ascii="Calibri" w:hAnsi="Calibri"/>
                <w:b w:val="0"/>
                <w:i w:val="0"/>
                <w:color w:val="20303C"/>
                <w:sz w:val="17"/>
              </w:rPr>
              <w:t>4 + 3 reportes piloto sobre cinco Services.</w:t>
            </w:r>
          </w:p>
        </w:tc>
        <w:tc>
          <w:tcPr>
            <w:tcW w:type="dxa" w:w="1810"/>
            <w:vAlign w:val="center"/>
          </w:tcPr>
          <w:p>
            <w:pPr>
              <w:spacing w:after="0"/>
            </w:pPr>
            <w:r>
              <w:rPr>
                <w:rFonts w:ascii="Calibri" w:hAnsi="Calibri"/>
                <w:b w:val="0"/>
                <w:i w:val="0"/>
                <w:color w:val="20303C"/>
                <w:sz w:val="17"/>
              </w:rPr>
              <w:t>No oficial</w:t>
            </w:r>
          </w:p>
        </w:tc>
      </w:tr>
      <w:tr>
        <w:trPr>
          <w:cantSplit/>
        </w:trPr>
        <w:tc>
          <w:tcPr>
            <w:tcW w:type="dxa" w:w="1700"/>
            <w:shd w:fill="F4F7F9"/>
            <w:vAlign w:val="center"/>
          </w:tcPr>
          <w:p>
            <w:pPr>
              <w:spacing w:after="0"/>
            </w:pPr>
            <w:r>
              <w:rPr>
                <w:rFonts w:ascii="Calibri" w:hAnsi="Calibri"/>
                <w:b/>
                <w:i w:val="0"/>
                <w:color w:val="20303C"/>
                <w:sz w:val="17"/>
              </w:rPr>
              <w:t>Facturación</w:t>
            </w:r>
          </w:p>
        </w:tc>
        <w:tc>
          <w:tcPr>
            <w:tcW w:type="dxa" w:w="5850"/>
            <w:shd w:fill="F4F7F9"/>
            <w:vAlign w:val="center"/>
          </w:tcPr>
          <w:p>
            <w:pPr>
              <w:spacing w:after="0"/>
            </w:pPr>
            <w:r>
              <w:rPr>
                <w:rFonts w:ascii="Calibri" w:hAnsi="Calibri"/>
                <w:b w:val="0"/>
                <w:i w:val="0"/>
                <w:color w:val="20303C"/>
                <w:sz w:val="17"/>
              </w:rPr>
              <w:t>Modelo Billing Event + Account Unit + intake/ETL diseñado.</w:t>
            </w:r>
          </w:p>
        </w:tc>
        <w:tc>
          <w:tcPr>
            <w:tcW w:type="dxa" w:w="1810"/>
            <w:shd w:fill="F4F7F9"/>
            <w:vAlign w:val="center"/>
          </w:tcPr>
          <w:p>
            <w:pPr>
              <w:spacing w:after="0"/>
            </w:pPr>
            <w:r>
              <w:rPr>
                <w:rFonts w:ascii="Calibri" w:hAnsi="Calibri"/>
                <w:b w:val="0"/>
                <w:i w:val="0"/>
                <w:color w:val="20303C"/>
                <w:sz w:val="17"/>
              </w:rPr>
              <w:t>NO-GO para backfill</w:t>
            </w:r>
          </w:p>
        </w:tc>
      </w:tr>
    </w:tbl>
    <w:p>
      <w:pPr>
        <w:spacing w:after="0"/>
      </w:pPr>
    </w:p>
    <w:p>
      <w:pPr>
        <w:pStyle w:val="Heading1"/>
      </w:pPr>
      <w:r>
        <w:t>2. Frontera cliente y fuentes de verdad</w:t>
      </w:r>
    </w:p>
    <w:p>
      <w:pPr>
        <w:pStyle w:val="ListBullet"/>
      </w:pPr>
      <w:r>
        <w:rPr>
          <w:rFonts w:ascii="Calibri" w:hAnsi="Calibri"/>
          <w:b w:val="0"/>
          <w:i w:val="0"/>
          <w:color w:val="20303C"/>
          <w:sz w:val="22"/>
        </w:rPr>
        <w:t>ANAM es cliente de Efeonce y propietario del portal HubSpot 19893546, sus registros, automatizaciones y paneles.</w:t>
      </w:r>
    </w:p>
    <w:p>
      <w:pPr>
        <w:pStyle w:val="ListBullet"/>
      </w:pPr>
      <w:r>
        <w:rPr>
          <w:rFonts w:ascii="Calibri" w:hAnsi="Calibri"/>
          <w:b w:val="0"/>
          <w:i w:val="0"/>
          <w:color w:val="20303C"/>
          <w:sz w:val="22"/>
        </w:rPr>
        <w:t>Greenhouse conserva el canon documental, QA, decisiones y skills del engagement; no almacena datos operativos ANAM en CRM, Finance, Income, Account 360 ni analytics internos.</w:t>
      </w:r>
    </w:p>
    <w:p>
      <w:pPr>
        <w:pStyle w:val="ListBullet"/>
      </w:pPr>
      <w:r>
        <w:rPr>
          <w:rFonts w:ascii="Calibri" w:hAnsi="Calibri"/>
          <w:b w:val="0"/>
          <w:i w:val="0"/>
          <w:color w:val="20303C"/>
          <w:sz w:val="22"/>
        </w:rPr>
        <w:t>Kortex provee runtime y acceso ejecutable portal-scoped. Cada operación debe confirmar el account ID antes de leer o escribir.</w:t>
      </w:r>
    </w:p>
    <w:p>
      <w:pPr>
        <w:pStyle w:val="ListBullet"/>
      </w:pPr>
      <w:r>
        <w:rPr>
          <w:rFonts w:ascii="Calibri" w:hAnsi="Calibri"/>
          <w:b w:val="0"/>
          <w:i w:val="0"/>
          <w:color w:val="20303C"/>
          <w:sz w:val="22"/>
        </w:rPr>
        <w:t>La síntesis local de reuniones sirve como índice; las decisiones deben reconciliarse con Notion live antes de nuevos writes.</w:t>
      </w:r>
    </w:p>
    <w:p>
      <w:pPr>
        <w:pStyle w:val="ListBullet"/>
      </w:pPr>
      <w:r>
        <w:rPr>
          <w:rFonts w:ascii="Calibri" w:hAnsi="Calibri"/>
          <w:b w:val="0"/>
          <w:i w:val="0"/>
          <w:color w:val="20303C"/>
          <w:sz w:val="22"/>
        </w:rPr>
        <w:t>El modelo vivo de datos prevalece sobre propuestas fechadas cuando exista drift.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C"/>
          </w:tcPr>
          <w:p>
            <w:pPr>
              <w:pStyle w:val="Callout"/>
            </w:pPr>
            <w:r>
              <w:rPr>
                <w:rFonts w:ascii="Calibri" w:hAnsi="Calibri"/>
                <w:b/>
                <w:i w:val="0"/>
                <w:color w:val="12324A"/>
                <w:sz w:val="21"/>
              </w:rPr>
              <w:t xml:space="preserve">Control de tenant: </w:t>
            </w:r>
            <w:r>
              <w:rPr>
                <w:rFonts w:ascii="Calibri" w:hAnsi="Calibri"/>
                <w:b w:val="0"/>
                <w:i w:val="0"/>
                <w:color w:val="12324A"/>
                <w:sz w:val="21"/>
              </w:rPr>
              <w:t>Durante el trabajo un conector HubSpot autenticado apuntó al portal 48713323. Se descartó antes de operar y se utilizó el perfil ANAM 19893546. Esta verificación evita mezclar datos entre clientes.</w:t>
            </w:r>
          </w:p>
        </w:tc>
      </w:tr>
    </w:tbl>
    <w:p>
      <w:pPr>
        <w:spacing w:after="0"/>
      </w:pPr>
    </w:p>
    <w:p>
      <w:pPr>
        <w:pStyle w:val="Heading1"/>
      </w:pPr>
      <w:r>
        <w:t>3. Discovery y decisiones ratificadas</w:t>
      </w:r>
    </w:p>
    <w:p>
      <w:r>
        <w:rPr>
          <w:rFonts w:ascii="Calibri" w:hAnsi="Calibri"/>
          <w:b w:val="0"/>
          <w:i w:val="0"/>
          <w:color w:val="20303C"/>
          <w:sz w:val="22"/>
        </w:rPr>
        <w:t>Se revisaron reuniones y tareas desde noviembre de 2025 hasta julio de 2026, junto con adjuntos de María Paz, Pablo Puga y otros stakeholders. El discovery no se reinició: se reconciliaron las decisiones históricas con el runtime actual.</w:t>
      </w:r>
    </w:p>
    <w:tbl>
      <w:tblPr>
        <w:tblStyle w:val="TableGrid"/>
        <w:tblW w:type="dxa" w:w="9360"/>
        <w:jc w:val="center"/>
        <w:tblLayout w:type="fixed"/>
        <w:tblLook w:firstColumn="1" w:firstRow="1" w:lastColumn="0" w:lastRow="0" w:noHBand="0" w:noVBand="1" w:val="04A0"/>
        <w:tblInd w:w="120" w:type="dxa"/>
      </w:tblPr>
      <w:tblGrid>
        <w:gridCol w:w="1650"/>
        <w:gridCol w:w="3900"/>
        <w:gridCol w:w="3810"/>
      </w:tblGrid>
      <w:tr>
        <w:trPr>
          <w:tblHeader w:val="true"/>
          <w:cantSplit/>
        </w:trPr>
        <w:tc>
          <w:tcPr>
            <w:tcW w:type="dxa" w:w="1650"/>
            <w:tcMar>
              <w:top w:w="80" w:type="dxa"/>
              <w:start w:w="120" w:type="dxa"/>
              <w:bottom w:w="80" w:type="dxa"/>
              <w:end w:w="120" w:type="dxa"/>
            </w:tcMar>
            <w:shd w:fill="005596"/>
            <w:vAlign w:val="center"/>
          </w:tcPr>
          <w:p>
            <w:pPr>
              <w:spacing w:after="0"/>
              <w:jc w:val="center"/>
            </w:pPr>
            <w:r>
              <w:rPr>
                <w:rFonts w:ascii="Calibri" w:hAnsi="Calibri"/>
                <w:b/>
                <w:i w:val="0"/>
                <w:color w:val="FFFFFF"/>
                <w:sz w:val="17"/>
              </w:rPr>
              <w:t>Período</w:t>
            </w:r>
          </w:p>
        </w:tc>
        <w:tc>
          <w:tcPr>
            <w:tcW w:type="dxa" w:w="3900"/>
            <w:tcMar>
              <w:top w:w="80" w:type="dxa"/>
              <w:start w:w="120" w:type="dxa"/>
              <w:bottom w:w="80" w:type="dxa"/>
              <w:end w:w="120" w:type="dxa"/>
            </w:tcMar>
            <w:shd w:fill="005596"/>
            <w:vAlign w:val="center"/>
          </w:tcPr>
          <w:p>
            <w:pPr>
              <w:spacing w:after="0"/>
              <w:jc w:val="center"/>
            </w:pPr>
            <w:r>
              <w:rPr>
                <w:rFonts w:ascii="Calibri" w:hAnsi="Calibri"/>
                <w:b/>
                <w:i w:val="0"/>
                <w:color w:val="FFFFFF"/>
                <w:sz w:val="17"/>
              </w:rPr>
              <w:t>Decisión/compromiso</w:t>
            </w:r>
          </w:p>
        </w:tc>
        <w:tc>
          <w:tcPr>
            <w:tcW w:type="dxa" w:w="3810"/>
            <w:tcMar>
              <w:top w:w="80" w:type="dxa"/>
              <w:start w:w="120" w:type="dxa"/>
              <w:bottom w:w="80" w:type="dxa"/>
              <w:end w:w="120" w:type="dxa"/>
            </w:tcMar>
            <w:shd w:fill="005596"/>
            <w:vAlign w:val="center"/>
          </w:tcPr>
          <w:p>
            <w:pPr>
              <w:spacing w:after="0"/>
              <w:jc w:val="center"/>
            </w:pPr>
            <w:r>
              <w:rPr>
                <w:rFonts w:ascii="Calibri" w:hAnsi="Calibri"/>
                <w:b/>
                <w:i w:val="0"/>
                <w:color w:val="FFFFFF"/>
                <w:sz w:val="17"/>
              </w:rPr>
              <w:t>Implicación de diseño</w:t>
            </w:r>
          </w:p>
        </w:tc>
      </w:tr>
      <w:tr>
        <w:trPr>
          <w:cantSplit/>
        </w:trPr>
        <w:tc>
          <w:tcPr>
            <w:tcW w:type="dxa" w:w="1650"/>
            <w:vAlign w:val="center"/>
          </w:tcPr>
          <w:p>
            <w:pPr>
              <w:spacing w:after="0"/>
            </w:pPr>
            <w:r>
              <w:rPr>
                <w:rFonts w:ascii="Calibri" w:hAnsi="Calibri"/>
                <w:b/>
                <w:i w:val="0"/>
                <w:color w:val="20303C"/>
                <w:sz w:val="17"/>
              </w:rPr>
              <w:t>7–10 nov 2025</w:t>
            </w:r>
          </w:p>
        </w:tc>
        <w:tc>
          <w:tcPr>
            <w:tcW w:type="dxa" w:w="3900"/>
            <w:vAlign w:val="center"/>
          </w:tcPr>
          <w:p>
            <w:pPr>
              <w:spacing w:after="0"/>
            </w:pPr>
            <w:r>
              <w:rPr>
                <w:rFonts w:ascii="Calibri" w:hAnsi="Calibri"/>
                <w:b w:val="0"/>
                <w:i w:val="0"/>
                <w:color w:val="20303C"/>
                <w:sz w:val="17"/>
              </w:rPr>
              <w:t>Separar Lead de Deal; Company representa al cliente; Growth y Retención requieren vistas distintas.</w:t>
            </w:r>
          </w:p>
        </w:tc>
        <w:tc>
          <w:tcPr>
            <w:tcW w:type="dxa" w:w="3810"/>
            <w:vAlign w:val="center"/>
          </w:tcPr>
          <w:p>
            <w:pPr>
              <w:spacing w:after="0"/>
            </w:pPr>
            <w:r>
              <w:rPr>
                <w:rFonts w:ascii="Calibri" w:hAnsi="Calibri"/>
                <w:b w:val="0"/>
                <w:i w:val="0"/>
                <w:color w:val="20303C"/>
                <w:sz w:val="17"/>
              </w:rPr>
              <w:t>No usar pipeline o lifecycle como sustituto de identidad y outcome.</w:t>
            </w:r>
          </w:p>
        </w:tc>
      </w:tr>
      <w:tr>
        <w:trPr>
          <w:cantSplit/>
        </w:trPr>
        <w:tc>
          <w:tcPr>
            <w:tcW w:type="dxa" w:w="1650"/>
            <w:shd w:fill="F4F7F9"/>
            <w:vAlign w:val="center"/>
          </w:tcPr>
          <w:p>
            <w:pPr>
              <w:spacing w:after="0"/>
            </w:pPr>
            <w:r>
              <w:rPr>
                <w:rFonts w:ascii="Calibri" w:hAnsi="Calibri"/>
                <w:b/>
                <w:i w:val="0"/>
                <w:color w:val="20303C"/>
                <w:sz w:val="17"/>
              </w:rPr>
              <w:t>18 mar–24 abr 2026</w:t>
            </w:r>
          </w:p>
        </w:tc>
        <w:tc>
          <w:tcPr>
            <w:tcW w:type="dxa" w:w="3900"/>
            <w:shd w:fill="F4F7F9"/>
            <w:vAlign w:val="center"/>
          </w:tcPr>
          <w:p>
            <w:pPr>
              <w:spacing w:after="0"/>
            </w:pPr>
            <w:r>
              <w:rPr>
                <w:rFonts w:ascii="Calibri" w:hAnsi="Calibri"/>
                <w:b w:val="0"/>
                <w:i w:val="0"/>
                <w:color w:val="20303C"/>
                <w:sz w:val="17"/>
              </w:rPr>
              <w:t>Tipo de ingreso vive en Deal; Growth = venta nueva + expansión; Retención = renovación/contracción.</w:t>
            </w:r>
          </w:p>
        </w:tc>
        <w:tc>
          <w:tcPr>
            <w:tcW w:type="dxa" w:w="3810"/>
            <w:shd w:fill="F4F7F9"/>
            <w:vAlign w:val="center"/>
          </w:tcPr>
          <w:p>
            <w:pPr>
              <w:spacing w:after="0"/>
            </w:pPr>
            <w:r>
              <w:rPr>
                <w:rFonts w:ascii="Calibri" w:hAnsi="Calibri"/>
                <w:b w:val="0"/>
                <w:i w:val="0"/>
                <w:color w:val="20303C"/>
                <w:sz w:val="17"/>
              </w:rPr>
              <w:t>Growth y Retención tienen denominadores y objetos distintos.</w:t>
            </w:r>
          </w:p>
        </w:tc>
      </w:tr>
      <w:tr>
        <w:trPr>
          <w:cantSplit/>
        </w:trPr>
        <w:tc>
          <w:tcPr>
            <w:tcW w:type="dxa" w:w="1650"/>
            <w:vAlign w:val="center"/>
          </w:tcPr>
          <w:p>
            <w:pPr>
              <w:spacing w:after="0"/>
            </w:pPr>
            <w:r>
              <w:rPr>
                <w:rFonts w:ascii="Calibri" w:hAnsi="Calibri"/>
                <w:b/>
                <w:i w:val="0"/>
                <w:color w:val="20303C"/>
                <w:sz w:val="17"/>
              </w:rPr>
              <w:t>Q1–Q2 2026</w:t>
            </w:r>
          </w:p>
        </w:tc>
        <w:tc>
          <w:tcPr>
            <w:tcW w:type="dxa" w:w="3900"/>
            <w:vAlign w:val="center"/>
          </w:tcPr>
          <w:p>
            <w:pPr>
              <w:spacing w:after="0"/>
            </w:pPr>
            <w:r>
              <w:rPr>
                <w:rFonts w:ascii="Calibri" w:hAnsi="Calibri"/>
                <w:b w:val="0"/>
                <w:i w:val="0"/>
                <w:color w:val="20303C"/>
                <w:sz w:val="17"/>
              </w:rPr>
              <w:t>Variación versus cotizado y disciplina de clasificación comercial.</w:t>
            </w:r>
          </w:p>
        </w:tc>
        <w:tc>
          <w:tcPr>
            <w:tcW w:type="dxa" w:w="3810"/>
            <w:vAlign w:val="center"/>
          </w:tcPr>
          <w:p>
            <w:pPr>
              <w:spacing w:after="0"/>
            </w:pPr>
            <w:r>
              <w:rPr>
                <w:rFonts w:ascii="Calibri" w:hAnsi="Calibri"/>
                <w:b w:val="0"/>
                <w:i w:val="0"/>
                <w:color w:val="20303C"/>
                <w:sz w:val="17"/>
              </w:rPr>
              <w:t>Crear cola visible; no reconstruir histórico sin evidencia.</w:t>
            </w:r>
          </w:p>
        </w:tc>
      </w:tr>
      <w:tr>
        <w:trPr>
          <w:cantSplit/>
        </w:trPr>
        <w:tc>
          <w:tcPr>
            <w:tcW w:type="dxa" w:w="1650"/>
            <w:shd w:fill="F4F7F9"/>
            <w:vAlign w:val="center"/>
          </w:tcPr>
          <w:p>
            <w:pPr>
              <w:spacing w:after="0"/>
            </w:pPr>
            <w:r>
              <w:rPr>
                <w:rFonts w:ascii="Calibri" w:hAnsi="Calibri"/>
                <w:b/>
                <w:i w:val="0"/>
                <w:color w:val="20303C"/>
                <w:sz w:val="17"/>
              </w:rPr>
              <w:t>Jun–jul 2026</w:t>
            </w:r>
          </w:p>
        </w:tc>
        <w:tc>
          <w:tcPr>
            <w:tcW w:type="dxa" w:w="3900"/>
            <w:shd w:fill="F4F7F9"/>
            <w:vAlign w:val="center"/>
          </w:tcPr>
          <w:p>
            <w:pPr>
              <w:spacing w:after="0"/>
            </w:pPr>
            <w:r>
              <w:rPr>
                <w:rFonts w:ascii="Calibri" w:hAnsi="Calibri"/>
                <w:b w:val="0"/>
                <w:i w:val="0"/>
                <w:color w:val="20303C"/>
                <w:sz w:val="17"/>
              </w:rPr>
              <w:t>Service Hub/Tickets/Eventos y seguimiento contractual.</w:t>
            </w:r>
          </w:p>
        </w:tc>
        <w:tc>
          <w:tcPr>
            <w:tcW w:type="dxa" w:w="3810"/>
            <w:shd w:fill="F4F7F9"/>
            <w:vAlign w:val="center"/>
          </w:tcPr>
          <w:p>
            <w:pPr>
              <w:spacing w:after="0"/>
            </w:pPr>
            <w:r>
              <w:rPr>
                <w:rFonts w:ascii="Calibri" w:hAnsi="Calibri"/>
                <w:b w:val="0"/>
                <w:i w:val="0"/>
                <w:color w:val="20303C"/>
                <w:sz w:val="17"/>
              </w:rPr>
              <w:t>Service representa contrato/entrega; Ticket representa caso humano.</w:t>
            </w:r>
          </w:p>
        </w:tc>
      </w:tr>
      <w:tr>
        <w:trPr>
          <w:cantSplit/>
        </w:trPr>
        <w:tc>
          <w:tcPr>
            <w:tcW w:type="dxa" w:w="1650"/>
            <w:vAlign w:val="center"/>
          </w:tcPr>
          <w:p>
            <w:pPr>
              <w:spacing w:after="0"/>
            </w:pPr>
            <w:r>
              <w:rPr>
                <w:rFonts w:ascii="Calibri" w:hAnsi="Calibri"/>
                <w:b/>
                <w:i w:val="0"/>
                <w:color w:val="20303C"/>
                <w:sz w:val="17"/>
              </w:rPr>
              <w:t>Jul 2026</w:t>
            </w:r>
          </w:p>
        </w:tc>
        <w:tc>
          <w:tcPr>
            <w:tcW w:type="dxa" w:w="3900"/>
            <w:vAlign w:val="center"/>
          </w:tcPr>
          <w:p>
            <w:pPr>
              <w:spacing w:after="0"/>
            </w:pPr>
            <w:r>
              <w:rPr>
                <w:rFonts w:ascii="Calibri" w:hAnsi="Calibri"/>
                <w:b w:val="0"/>
                <w:i w:val="0"/>
                <w:color w:val="20303C"/>
                <w:sz w:val="17"/>
              </w:rPr>
              <w:t>Sectores, mercado/región, facturación y Customer Agent.</w:t>
            </w:r>
          </w:p>
        </w:tc>
        <w:tc>
          <w:tcPr>
            <w:tcW w:type="dxa" w:w="3810"/>
            <w:vAlign w:val="center"/>
          </w:tcPr>
          <w:p>
            <w:pPr>
              <w:spacing w:after="0"/>
            </w:pPr>
            <w:r>
              <w:rPr>
                <w:rFonts w:ascii="Calibri" w:hAnsi="Calibri"/>
                <w:b w:val="0"/>
                <w:i w:val="0"/>
                <w:color w:val="20303C"/>
                <w:sz w:val="17"/>
              </w:rPr>
              <w:t>Separar dimensiones durables, facturación repetida y knowledge conversacional.</w:t>
            </w:r>
          </w:p>
        </w:tc>
      </w:tr>
    </w:tbl>
    <w:p>
      <w:pPr>
        <w:spacing w:after="0"/>
      </w:pPr>
    </w:p>
    <w:p>
      <w:pPr>
        <w:pStyle w:val="Heading2"/>
      </w:pPr>
      <w:r>
        <w:t>3.1 Definiciones comerciales estabilizadas</w:t>
      </w:r>
    </w:p>
    <w:p>
      <w:pPr>
        <w:pStyle w:val="ListBullet"/>
      </w:pPr>
      <w:r>
        <w:rPr>
          <w:rFonts w:ascii="Calibri" w:hAnsi="Calibri"/>
          <w:b w:val="0"/>
          <w:i w:val="0"/>
          <w:color w:val="20303C"/>
          <w:sz w:val="22"/>
        </w:rPr>
        <w:t>Growth: Venta nueva, Upsell y Cross-sell. Se mide por count y monto comercial en Deal/line item con fecha y stage explícitos.</w:t>
      </w:r>
    </w:p>
    <w:p>
      <w:pPr>
        <w:pStyle w:val="ListBullet"/>
      </w:pPr>
      <w:r>
        <w:rPr>
          <w:rFonts w:ascii="Calibri" w:hAnsi="Calibri"/>
          <w:b w:val="0"/>
          <w:i w:val="0"/>
          <w:color w:val="20303C"/>
          <w:sz w:val="22"/>
        </w:rPr>
        <w:t>Retención: continuidad económica y renovación. Su métrica final debe usar Services comparables, no clasificaciones aisladas de Deal.</w:t>
      </w:r>
    </w:p>
    <w:p>
      <w:pPr>
        <w:pStyle w:val="ListBullet"/>
      </w:pPr>
      <w:r>
        <w:rPr>
          <w:rFonts w:ascii="Calibri" w:hAnsi="Calibri"/>
          <w:b w:val="0"/>
          <w:i w:val="0"/>
          <w:color w:val="20303C"/>
          <w:sz w:val="22"/>
        </w:rPr>
        <w:t>Fidelización/Loyalty: acciones, riesgo operativo, seguimiento y relación que preceden al resultado económico.</w:t>
      </w:r>
    </w:p>
    <w:p>
      <w:pPr>
        <w:pStyle w:val="ListBullet"/>
      </w:pPr>
      <w:r>
        <w:rPr>
          <w:rFonts w:ascii="Calibri" w:hAnsi="Calibri"/>
          <w:b w:val="0"/>
          <w:i w:val="0"/>
          <w:color w:val="20303C"/>
          <w:sz w:val="22"/>
        </w:rPr>
        <w:t>Variación versus cotizado: Igual, Mayor o Menor cuando existen cotizado y adjudicado. No se infiere desde el monto actual del Deal.</w:t>
      </w:r>
    </w:p>
    <w:p>
      <w:pPr>
        <w:pStyle w:val="ListBullet"/>
      </w:pPr>
      <w:r>
        <w:rPr>
          <w:rFonts w:ascii="Calibri" w:hAnsi="Calibri"/>
          <w:b w:val="0"/>
          <w:i w:val="0"/>
          <w:color w:val="20303C"/>
          <w:sz w:val="22"/>
        </w:rPr>
        <w:t>Down-sell permanece oculto como tipo de ingreso: la contracción pertenece a Retención sobre Services comparables.</w:t>
      </w:r>
    </w:p>
    <w:p>
      <w:pPr>
        <w:pStyle w:val="Heading1"/>
      </w:pPr>
      <w:r>
        <w:t>4. Arquitectura y modelo de datos vivo</w:t>
      </w:r>
    </w:p>
    <w:p>
      <w:r>
        <w:rPr>
          <w:rFonts w:ascii="Calibri" w:hAnsi="Calibri"/>
          <w:b w:val="0"/>
          <w:i w:val="0"/>
          <w:color w:val="20303C"/>
          <w:sz w:val="22"/>
        </w:rPr>
        <w:t>El modelo vivo asigna un grain y un dueño a cada hecho para evitar que un objeto acumule identidades, contratos, tickets y facturación. La arquitectura habilita sinergias entre áreas sin duplicar la verdad.</w:t>
      </w:r>
    </w:p>
    <w:tbl>
      <w:tblPr>
        <w:tblStyle w:val="TableGrid"/>
        <w:tblW w:type="dxa" w:w="9360"/>
        <w:jc w:val="center"/>
        <w:tblLayout w:type="fixed"/>
        <w:tblLook w:firstColumn="1" w:firstRow="1" w:lastColumn="0" w:lastRow="0" w:noHBand="0" w:noVBand="1" w:val="04A0"/>
        <w:tblInd w:w="120" w:type="dxa"/>
      </w:tblPr>
      <w:tblGrid>
        <w:gridCol w:w="1200"/>
        <w:gridCol w:w="1800"/>
        <w:gridCol w:w="2850"/>
        <w:gridCol w:w="3510"/>
      </w:tblGrid>
      <w:tr>
        <w:trPr>
          <w:tblHeader w:val="true"/>
          <w:cantSplit/>
        </w:trPr>
        <w:tc>
          <w:tcPr>
            <w:tcW w:type="dxa" w:w="1200"/>
            <w:tcMar>
              <w:top w:w="80" w:type="dxa"/>
              <w:start w:w="120" w:type="dxa"/>
              <w:bottom w:w="80" w:type="dxa"/>
              <w:end w:w="120" w:type="dxa"/>
            </w:tcMar>
            <w:shd w:fill="005596"/>
            <w:vAlign w:val="center"/>
          </w:tcPr>
          <w:p>
            <w:pPr>
              <w:spacing w:after="0"/>
              <w:jc w:val="center"/>
            </w:pPr>
            <w:r>
              <w:rPr>
                <w:rFonts w:ascii="Calibri" w:hAnsi="Calibri"/>
                <w:b/>
                <w:i w:val="0"/>
                <w:color w:val="FFFFFF"/>
                <w:sz w:val="16"/>
              </w:rPr>
              <w:t>Objeto</w:t>
            </w:r>
          </w:p>
        </w:tc>
        <w:tc>
          <w:tcPr>
            <w:tcW w:type="dxa" w:w="1800"/>
            <w:tcMar>
              <w:top w:w="80" w:type="dxa"/>
              <w:start w:w="120" w:type="dxa"/>
              <w:bottom w:w="80" w:type="dxa"/>
              <w:end w:w="120" w:type="dxa"/>
            </w:tcMar>
            <w:shd w:fill="005596"/>
            <w:vAlign w:val="center"/>
          </w:tcPr>
          <w:p>
            <w:pPr>
              <w:spacing w:after="0"/>
              <w:jc w:val="center"/>
            </w:pPr>
            <w:r>
              <w:rPr>
                <w:rFonts w:ascii="Calibri" w:hAnsi="Calibri"/>
                <w:b/>
                <w:i w:val="0"/>
                <w:color w:val="FFFFFF"/>
                <w:sz w:val="16"/>
              </w:rPr>
              <w:t>Grain/rol</w:t>
            </w:r>
          </w:p>
        </w:tc>
        <w:tc>
          <w:tcPr>
            <w:tcW w:type="dxa" w:w="2850"/>
            <w:tcMar>
              <w:top w:w="80" w:type="dxa"/>
              <w:start w:w="120" w:type="dxa"/>
              <w:bottom w:w="80" w:type="dxa"/>
              <w:end w:w="120" w:type="dxa"/>
            </w:tcMar>
            <w:shd w:fill="005596"/>
            <w:vAlign w:val="center"/>
          </w:tcPr>
          <w:p>
            <w:pPr>
              <w:spacing w:after="0"/>
              <w:jc w:val="center"/>
            </w:pPr>
            <w:r>
              <w:rPr>
                <w:rFonts w:ascii="Calibri" w:hAnsi="Calibri"/>
                <w:b/>
                <w:i w:val="0"/>
                <w:color w:val="FFFFFF"/>
                <w:sz w:val="16"/>
              </w:rPr>
              <w:t>Hechos que posee</w:t>
            </w:r>
          </w:p>
        </w:tc>
        <w:tc>
          <w:tcPr>
            <w:tcW w:type="dxa" w:w="3510"/>
            <w:tcMar>
              <w:top w:w="80" w:type="dxa"/>
              <w:start w:w="120" w:type="dxa"/>
              <w:bottom w:w="80" w:type="dxa"/>
              <w:end w:w="120" w:type="dxa"/>
            </w:tcMar>
            <w:shd w:fill="005596"/>
            <w:vAlign w:val="center"/>
          </w:tcPr>
          <w:p>
            <w:pPr>
              <w:spacing w:after="0"/>
              <w:jc w:val="center"/>
            </w:pPr>
            <w:r>
              <w:rPr>
                <w:rFonts w:ascii="Calibri" w:hAnsi="Calibri"/>
                <w:b/>
                <w:i w:val="0"/>
                <w:color w:val="FFFFFF"/>
                <w:sz w:val="16"/>
              </w:rPr>
              <w:t>No debe representar</w:t>
            </w:r>
          </w:p>
        </w:tc>
      </w:tr>
      <w:tr>
        <w:trPr>
          <w:cantSplit/>
        </w:trPr>
        <w:tc>
          <w:tcPr>
            <w:tcW w:type="dxa" w:w="1200"/>
            <w:vAlign w:val="center"/>
          </w:tcPr>
          <w:p>
            <w:pPr>
              <w:spacing w:after="0"/>
            </w:pPr>
            <w:r>
              <w:rPr>
                <w:rFonts w:ascii="Calibri" w:hAnsi="Calibri"/>
                <w:b/>
                <w:i w:val="0"/>
                <w:color w:val="20303C"/>
                <w:sz w:val="16"/>
              </w:rPr>
              <w:t>Contact</w:t>
            </w:r>
          </w:p>
        </w:tc>
        <w:tc>
          <w:tcPr>
            <w:tcW w:type="dxa" w:w="1800"/>
            <w:vAlign w:val="center"/>
          </w:tcPr>
          <w:p>
            <w:pPr>
              <w:spacing w:after="0"/>
            </w:pPr>
            <w:r>
              <w:rPr>
                <w:rFonts w:ascii="Calibri" w:hAnsi="Calibri"/>
                <w:b w:val="0"/>
                <w:i w:val="0"/>
                <w:color w:val="20303C"/>
                <w:sz w:val="16"/>
              </w:rPr>
              <w:t>Persona</w:t>
            </w:r>
          </w:p>
        </w:tc>
        <w:tc>
          <w:tcPr>
            <w:tcW w:type="dxa" w:w="2850"/>
            <w:vAlign w:val="center"/>
          </w:tcPr>
          <w:p>
            <w:pPr>
              <w:spacing w:after="0"/>
            </w:pPr>
            <w:r>
              <w:rPr>
                <w:rFonts w:ascii="Calibri" w:hAnsi="Calibri"/>
                <w:b w:val="0"/>
                <w:i w:val="0"/>
                <w:color w:val="20303C"/>
                <w:sz w:val="16"/>
              </w:rPr>
              <w:t>Identidad, cargo, comunicaciones y consentimiento.</w:t>
            </w:r>
          </w:p>
        </w:tc>
        <w:tc>
          <w:tcPr>
            <w:tcW w:type="dxa" w:w="3510"/>
            <w:vAlign w:val="center"/>
          </w:tcPr>
          <w:p>
            <w:pPr>
              <w:spacing w:after="0"/>
            </w:pPr>
            <w:r>
              <w:rPr>
                <w:rFonts w:ascii="Calibri" w:hAnsi="Calibri"/>
                <w:b w:val="0"/>
                <w:i w:val="0"/>
                <w:color w:val="20303C"/>
                <w:sz w:val="16"/>
              </w:rPr>
              <w:t>Oportunidad o contrato.</w:t>
            </w:r>
          </w:p>
        </w:tc>
      </w:tr>
      <w:tr>
        <w:trPr>
          <w:cantSplit/>
        </w:trPr>
        <w:tc>
          <w:tcPr>
            <w:tcW w:type="dxa" w:w="1200"/>
            <w:shd w:fill="F4F7F9"/>
            <w:vAlign w:val="center"/>
          </w:tcPr>
          <w:p>
            <w:pPr>
              <w:spacing w:after="0"/>
            </w:pPr>
            <w:r>
              <w:rPr>
                <w:rFonts w:ascii="Calibri" w:hAnsi="Calibri"/>
                <w:b/>
                <w:i w:val="0"/>
                <w:color w:val="20303C"/>
                <w:sz w:val="16"/>
              </w:rPr>
              <w:t>Lead</w:t>
            </w:r>
          </w:p>
        </w:tc>
        <w:tc>
          <w:tcPr>
            <w:tcW w:type="dxa" w:w="1800"/>
            <w:shd w:fill="F4F7F9"/>
            <w:vAlign w:val="center"/>
          </w:tcPr>
          <w:p>
            <w:pPr>
              <w:spacing w:after="0"/>
            </w:pPr>
            <w:r>
              <w:rPr>
                <w:rFonts w:ascii="Calibri" w:hAnsi="Calibri"/>
                <w:b w:val="0"/>
                <w:i w:val="0"/>
                <w:color w:val="20303C"/>
                <w:sz w:val="16"/>
              </w:rPr>
              <w:t>Calificación</w:t>
            </w:r>
          </w:p>
        </w:tc>
        <w:tc>
          <w:tcPr>
            <w:tcW w:type="dxa" w:w="2850"/>
            <w:shd w:fill="F4F7F9"/>
            <w:vAlign w:val="center"/>
          </w:tcPr>
          <w:p>
            <w:pPr>
              <w:spacing w:after="0"/>
            </w:pPr>
            <w:r>
              <w:rPr>
                <w:rFonts w:ascii="Calibri" w:hAnsi="Calibri"/>
                <w:b w:val="0"/>
                <w:i w:val="0"/>
                <w:color w:val="20303C"/>
                <w:sz w:val="16"/>
              </w:rPr>
              <w:t>Estado de prospección y conversión.</w:t>
            </w:r>
          </w:p>
        </w:tc>
        <w:tc>
          <w:tcPr>
            <w:tcW w:type="dxa" w:w="3510"/>
            <w:shd w:fill="F4F7F9"/>
            <w:vAlign w:val="center"/>
          </w:tcPr>
          <w:p>
            <w:pPr>
              <w:spacing w:after="0"/>
            </w:pPr>
            <w:r>
              <w:rPr>
                <w:rFonts w:ascii="Calibri" w:hAnsi="Calibri"/>
                <w:b w:val="0"/>
                <w:i w:val="0"/>
                <w:color w:val="20303C"/>
                <w:sz w:val="16"/>
              </w:rPr>
              <w:t>Cliente durable.</w:t>
            </w:r>
          </w:p>
        </w:tc>
      </w:tr>
      <w:tr>
        <w:trPr>
          <w:cantSplit/>
        </w:trPr>
        <w:tc>
          <w:tcPr>
            <w:tcW w:type="dxa" w:w="1200"/>
            <w:vAlign w:val="center"/>
          </w:tcPr>
          <w:p>
            <w:pPr>
              <w:spacing w:after="0"/>
            </w:pPr>
            <w:r>
              <w:rPr>
                <w:rFonts w:ascii="Calibri" w:hAnsi="Calibri"/>
                <w:b/>
                <w:i w:val="0"/>
                <w:color w:val="20303C"/>
                <w:sz w:val="16"/>
              </w:rPr>
              <w:t>Company</w:t>
            </w:r>
          </w:p>
        </w:tc>
        <w:tc>
          <w:tcPr>
            <w:tcW w:type="dxa" w:w="1800"/>
            <w:vAlign w:val="center"/>
          </w:tcPr>
          <w:p>
            <w:pPr>
              <w:spacing w:after="0"/>
            </w:pPr>
            <w:r>
              <w:rPr>
                <w:rFonts w:ascii="Calibri" w:hAnsi="Calibri"/>
                <w:b w:val="0"/>
                <w:i w:val="0"/>
                <w:color w:val="20303C"/>
                <w:sz w:val="16"/>
              </w:rPr>
              <w:t>Cuenta/organización</w:t>
            </w:r>
          </w:p>
        </w:tc>
        <w:tc>
          <w:tcPr>
            <w:tcW w:type="dxa" w:w="2850"/>
            <w:vAlign w:val="center"/>
          </w:tcPr>
          <w:p>
            <w:pPr>
              <w:spacing w:after="0"/>
            </w:pPr>
            <w:r>
              <w:rPr>
                <w:rFonts w:ascii="Calibri" w:hAnsi="Calibri"/>
                <w:b w:val="0"/>
                <w:i w:val="0"/>
                <w:color w:val="20303C"/>
                <w:sz w:val="16"/>
              </w:rPr>
              <w:t>Sector, segmento, región, parent-child y account ownership.</w:t>
            </w:r>
          </w:p>
        </w:tc>
        <w:tc>
          <w:tcPr>
            <w:tcW w:type="dxa" w:w="3510"/>
            <w:vAlign w:val="center"/>
          </w:tcPr>
          <w:p>
            <w:pPr>
              <w:spacing w:after="0"/>
            </w:pPr>
            <w:r>
              <w:rPr>
                <w:rFonts w:ascii="Calibri" w:hAnsi="Calibri"/>
                <w:b w:val="0"/>
                <w:i w:val="0"/>
                <w:color w:val="20303C"/>
                <w:sz w:val="16"/>
              </w:rPr>
              <w:t>Factura repetida o servicio por línea.</w:t>
            </w:r>
          </w:p>
        </w:tc>
      </w:tr>
      <w:tr>
        <w:trPr>
          <w:cantSplit/>
        </w:trPr>
        <w:tc>
          <w:tcPr>
            <w:tcW w:type="dxa" w:w="1200"/>
            <w:shd w:fill="F4F7F9"/>
            <w:vAlign w:val="center"/>
          </w:tcPr>
          <w:p>
            <w:pPr>
              <w:spacing w:after="0"/>
            </w:pPr>
            <w:r>
              <w:rPr>
                <w:rFonts w:ascii="Calibri" w:hAnsi="Calibri"/>
                <w:b/>
                <w:i w:val="0"/>
                <w:color w:val="20303C"/>
                <w:sz w:val="16"/>
              </w:rPr>
              <w:t>Deal</w:t>
            </w:r>
          </w:p>
        </w:tc>
        <w:tc>
          <w:tcPr>
            <w:tcW w:type="dxa" w:w="1800"/>
            <w:shd w:fill="F4F7F9"/>
            <w:vAlign w:val="center"/>
          </w:tcPr>
          <w:p>
            <w:pPr>
              <w:spacing w:after="0"/>
            </w:pPr>
            <w:r>
              <w:rPr>
                <w:rFonts w:ascii="Calibri" w:hAnsi="Calibri"/>
                <w:b w:val="0"/>
                <w:i w:val="0"/>
                <w:color w:val="20303C"/>
                <w:sz w:val="16"/>
              </w:rPr>
              <w:t>Oportunidad/adjudicación</w:t>
            </w:r>
          </w:p>
        </w:tc>
        <w:tc>
          <w:tcPr>
            <w:tcW w:type="dxa" w:w="2850"/>
            <w:shd w:fill="F4F7F9"/>
            <w:vAlign w:val="center"/>
          </w:tcPr>
          <w:p>
            <w:pPr>
              <w:spacing w:after="0"/>
            </w:pPr>
            <w:r>
              <w:rPr>
                <w:rFonts w:ascii="Calibri" w:hAnsi="Calibri"/>
                <w:b w:val="0"/>
                <w:i w:val="0"/>
                <w:color w:val="20303C"/>
                <w:sz w:val="16"/>
              </w:rPr>
              <w:t>Tipo de ingreso, proceso, cotizado, adjudicado y outcome.</w:t>
            </w:r>
          </w:p>
        </w:tc>
        <w:tc>
          <w:tcPr>
            <w:tcW w:type="dxa" w:w="3510"/>
            <w:shd w:fill="F4F7F9"/>
            <w:vAlign w:val="center"/>
          </w:tcPr>
          <w:p>
            <w:pPr>
              <w:spacing w:after="0"/>
            </w:pPr>
            <w:r>
              <w:rPr>
                <w:rFonts w:ascii="Calibri" w:hAnsi="Calibri"/>
                <w:b w:val="0"/>
                <w:i w:val="0"/>
                <w:color w:val="20303C"/>
                <w:sz w:val="16"/>
              </w:rPr>
              <w:t>Entrega, SLA o factura.</w:t>
            </w:r>
          </w:p>
        </w:tc>
      </w:tr>
      <w:tr>
        <w:trPr>
          <w:cantSplit/>
        </w:trPr>
        <w:tc>
          <w:tcPr>
            <w:tcW w:type="dxa" w:w="1200"/>
            <w:vAlign w:val="center"/>
          </w:tcPr>
          <w:p>
            <w:pPr>
              <w:spacing w:after="0"/>
            </w:pPr>
            <w:r>
              <w:rPr>
                <w:rFonts w:ascii="Calibri" w:hAnsi="Calibri"/>
                <w:b/>
                <w:i w:val="0"/>
                <w:color w:val="20303C"/>
                <w:sz w:val="16"/>
              </w:rPr>
              <w:t>Product</w:t>
            </w:r>
          </w:p>
        </w:tc>
        <w:tc>
          <w:tcPr>
            <w:tcW w:type="dxa" w:w="1800"/>
            <w:vAlign w:val="center"/>
          </w:tcPr>
          <w:p>
            <w:pPr>
              <w:spacing w:after="0"/>
            </w:pPr>
            <w:r>
              <w:rPr>
                <w:rFonts w:ascii="Calibri" w:hAnsi="Calibri"/>
                <w:b w:val="0"/>
                <w:i w:val="0"/>
                <w:color w:val="20303C"/>
                <w:sz w:val="16"/>
              </w:rPr>
              <w:t>Catálogo</w:t>
            </w:r>
          </w:p>
        </w:tc>
        <w:tc>
          <w:tcPr>
            <w:tcW w:type="dxa" w:w="2850"/>
            <w:vAlign w:val="center"/>
          </w:tcPr>
          <w:p>
            <w:pPr>
              <w:spacing w:after="0"/>
            </w:pPr>
            <w:r>
              <w:rPr>
                <w:rFonts w:ascii="Calibri" w:hAnsi="Calibri"/>
                <w:b w:val="0"/>
                <w:i w:val="0"/>
                <w:color w:val="20303C"/>
                <w:sz w:val="16"/>
              </w:rPr>
              <w:t>Oferta reusable y taxonomía comercial.</w:t>
            </w:r>
          </w:p>
        </w:tc>
        <w:tc>
          <w:tcPr>
            <w:tcW w:type="dxa" w:w="3510"/>
            <w:vAlign w:val="center"/>
          </w:tcPr>
          <w:p>
            <w:pPr>
              <w:spacing w:after="0"/>
            </w:pPr>
            <w:r>
              <w:rPr>
                <w:rFonts w:ascii="Calibri" w:hAnsi="Calibri"/>
                <w:b w:val="0"/>
                <w:i w:val="0"/>
                <w:color w:val="20303C"/>
                <w:sz w:val="16"/>
              </w:rPr>
              <w:t>Instancia contratada.</w:t>
            </w:r>
          </w:p>
        </w:tc>
      </w:tr>
      <w:tr>
        <w:trPr>
          <w:cantSplit/>
        </w:trPr>
        <w:tc>
          <w:tcPr>
            <w:tcW w:type="dxa" w:w="1200"/>
            <w:shd w:fill="F4F7F9"/>
            <w:vAlign w:val="center"/>
          </w:tcPr>
          <w:p>
            <w:pPr>
              <w:spacing w:after="0"/>
            </w:pPr>
            <w:r>
              <w:rPr>
                <w:rFonts w:ascii="Calibri" w:hAnsi="Calibri"/>
                <w:b/>
                <w:i w:val="0"/>
                <w:color w:val="20303C"/>
                <w:sz w:val="16"/>
              </w:rPr>
              <w:t>Line item</w:t>
            </w:r>
          </w:p>
        </w:tc>
        <w:tc>
          <w:tcPr>
            <w:tcW w:type="dxa" w:w="1800"/>
            <w:shd w:fill="F4F7F9"/>
            <w:vAlign w:val="center"/>
          </w:tcPr>
          <w:p>
            <w:pPr>
              <w:spacing w:after="0"/>
            </w:pPr>
            <w:r>
              <w:rPr>
                <w:rFonts w:ascii="Calibri" w:hAnsi="Calibri"/>
                <w:b w:val="0"/>
                <w:i w:val="0"/>
                <w:color w:val="20303C"/>
                <w:sz w:val="16"/>
              </w:rPr>
              <w:t>Componente vendido</w:t>
            </w:r>
          </w:p>
        </w:tc>
        <w:tc>
          <w:tcPr>
            <w:tcW w:type="dxa" w:w="2850"/>
            <w:shd w:fill="F4F7F9"/>
            <w:vAlign w:val="center"/>
          </w:tcPr>
          <w:p>
            <w:pPr>
              <w:spacing w:after="0"/>
            </w:pPr>
            <w:r>
              <w:rPr>
                <w:rFonts w:ascii="Calibri" w:hAnsi="Calibri"/>
                <w:b w:val="0"/>
                <w:i w:val="0"/>
                <w:color w:val="20303C"/>
                <w:sz w:val="16"/>
              </w:rPr>
              <w:t>Producto, cantidad, precio, TCV/ARR/MRR y frecuencia comercial.</w:t>
            </w:r>
          </w:p>
        </w:tc>
        <w:tc>
          <w:tcPr>
            <w:tcW w:type="dxa" w:w="3510"/>
            <w:shd w:fill="F4F7F9"/>
            <w:vAlign w:val="center"/>
          </w:tcPr>
          <w:p>
            <w:pPr>
              <w:spacing w:after="0"/>
            </w:pPr>
            <w:r>
              <w:rPr>
                <w:rFonts w:ascii="Calibri" w:hAnsi="Calibri"/>
                <w:b w:val="0"/>
                <w:i w:val="0"/>
                <w:color w:val="20303C"/>
                <w:sz w:val="16"/>
              </w:rPr>
              <w:t>Contrato activo completo.</w:t>
            </w:r>
          </w:p>
        </w:tc>
      </w:tr>
      <w:tr>
        <w:trPr>
          <w:cantSplit/>
        </w:trPr>
        <w:tc>
          <w:tcPr>
            <w:tcW w:type="dxa" w:w="1200"/>
            <w:vAlign w:val="center"/>
          </w:tcPr>
          <w:p>
            <w:pPr>
              <w:spacing w:after="0"/>
            </w:pPr>
            <w:r>
              <w:rPr>
                <w:rFonts w:ascii="Calibri" w:hAnsi="Calibri"/>
                <w:b/>
                <w:i w:val="0"/>
                <w:color w:val="20303C"/>
                <w:sz w:val="16"/>
              </w:rPr>
              <w:t>Service</w:t>
            </w:r>
          </w:p>
        </w:tc>
        <w:tc>
          <w:tcPr>
            <w:tcW w:type="dxa" w:w="1800"/>
            <w:vAlign w:val="center"/>
          </w:tcPr>
          <w:p>
            <w:pPr>
              <w:spacing w:after="0"/>
            </w:pPr>
            <w:r>
              <w:rPr>
                <w:rFonts w:ascii="Calibri" w:hAnsi="Calibri"/>
                <w:b w:val="0"/>
                <w:i w:val="0"/>
                <w:color w:val="20303C"/>
                <w:sz w:val="16"/>
              </w:rPr>
              <w:t>Contrato/entrega</w:t>
            </w:r>
          </w:p>
        </w:tc>
        <w:tc>
          <w:tcPr>
            <w:tcW w:type="dxa" w:w="2850"/>
            <w:vAlign w:val="center"/>
          </w:tcPr>
          <w:p>
            <w:pPr>
              <w:spacing w:after="0"/>
            </w:pPr>
            <w:r>
              <w:rPr>
                <w:rFonts w:ascii="Calibri" w:hAnsi="Calibri"/>
                <w:b w:val="0"/>
                <w:i w:val="0"/>
                <w:color w:val="20303C"/>
                <w:sz w:val="16"/>
              </w:rPr>
              <w:t>Vigencia, recurrencia, renovación, estado y seguimiento.</w:t>
            </w:r>
          </w:p>
        </w:tc>
        <w:tc>
          <w:tcPr>
            <w:tcW w:type="dxa" w:w="3510"/>
            <w:vAlign w:val="center"/>
          </w:tcPr>
          <w:p>
            <w:pPr>
              <w:spacing w:after="0"/>
            </w:pPr>
            <w:r>
              <w:rPr>
                <w:rFonts w:ascii="Calibri" w:hAnsi="Calibri"/>
                <w:b w:val="0"/>
                <w:i w:val="0"/>
                <w:color w:val="20303C"/>
                <w:sz w:val="16"/>
              </w:rPr>
              <w:t>Caso humano o factura individual.</w:t>
            </w:r>
          </w:p>
        </w:tc>
      </w:tr>
      <w:tr>
        <w:trPr>
          <w:cantSplit/>
        </w:trPr>
        <w:tc>
          <w:tcPr>
            <w:tcW w:type="dxa" w:w="1200"/>
            <w:shd w:fill="F4F7F9"/>
            <w:vAlign w:val="center"/>
          </w:tcPr>
          <w:p>
            <w:pPr>
              <w:spacing w:after="0"/>
            </w:pPr>
            <w:r>
              <w:rPr>
                <w:rFonts w:ascii="Calibri" w:hAnsi="Calibri"/>
                <w:b/>
                <w:i w:val="0"/>
                <w:color w:val="20303C"/>
                <w:sz w:val="16"/>
              </w:rPr>
              <w:t>Ticket</w:t>
            </w:r>
          </w:p>
        </w:tc>
        <w:tc>
          <w:tcPr>
            <w:tcW w:type="dxa" w:w="1800"/>
            <w:shd w:fill="F4F7F9"/>
            <w:vAlign w:val="center"/>
          </w:tcPr>
          <w:p>
            <w:pPr>
              <w:spacing w:after="0"/>
            </w:pPr>
            <w:r>
              <w:rPr>
                <w:rFonts w:ascii="Calibri" w:hAnsi="Calibri"/>
                <w:b w:val="0"/>
                <w:i w:val="0"/>
                <w:color w:val="20303C"/>
                <w:sz w:val="16"/>
              </w:rPr>
              <w:t>Caso operativo</w:t>
            </w:r>
          </w:p>
        </w:tc>
        <w:tc>
          <w:tcPr>
            <w:tcW w:type="dxa" w:w="2850"/>
            <w:shd w:fill="F4F7F9"/>
            <w:vAlign w:val="center"/>
          </w:tcPr>
          <w:p>
            <w:pPr>
              <w:spacing w:after="0"/>
            </w:pPr>
            <w:r>
              <w:rPr>
                <w:rFonts w:ascii="Calibri" w:hAnsi="Calibri"/>
                <w:b w:val="0"/>
                <w:i w:val="0"/>
                <w:color w:val="20303C"/>
                <w:sz w:val="16"/>
              </w:rPr>
              <w:t>Soporte, facturación, calidad, reclamo, SLA y resolución.</w:t>
            </w:r>
          </w:p>
        </w:tc>
        <w:tc>
          <w:tcPr>
            <w:tcW w:type="dxa" w:w="3510"/>
            <w:shd w:fill="F4F7F9"/>
            <w:vAlign w:val="center"/>
          </w:tcPr>
          <w:p>
            <w:pPr>
              <w:spacing w:after="0"/>
            </w:pPr>
            <w:r>
              <w:rPr>
                <w:rFonts w:ascii="Calibri" w:hAnsi="Calibri"/>
                <w:b w:val="0"/>
                <w:i w:val="0"/>
                <w:color w:val="20303C"/>
                <w:sz w:val="16"/>
              </w:rPr>
              <w:t>Contrato o renovación.</w:t>
            </w:r>
          </w:p>
        </w:tc>
      </w:tr>
      <w:tr>
        <w:trPr>
          <w:cantSplit/>
        </w:trPr>
        <w:tc>
          <w:tcPr>
            <w:tcW w:type="dxa" w:w="1200"/>
            <w:vAlign w:val="center"/>
          </w:tcPr>
          <w:p>
            <w:pPr>
              <w:spacing w:after="0"/>
            </w:pPr>
            <w:r>
              <w:rPr>
                <w:rFonts w:ascii="Calibri" w:hAnsi="Calibri"/>
                <w:b/>
                <w:i w:val="0"/>
                <w:color w:val="20303C"/>
                <w:sz w:val="16"/>
              </w:rPr>
              <w:t>Account Unit</w:t>
            </w:r>
          </w:p>
        </w:tc>
        <w:tc>
          <w:tcPr>
            <w:tcW w:type="dxa" w:w="1800"/>
            <w:vAlign w:val="center"/>
          </w:tcPr>
          <w:p>
            <w:pPr>
              <w:spacing w:after="0"/>
            </w:pPr>
            <w:r>
              <w:rPr>
                <w:rFonts w:ascii="Calibri" w:hAnsi="Calibri"/>
                <w:b w:val="0"/>
                <w:i w:val="0"/>
                <w:color w:val="20303C"/>
                <w:sz w:val="16"/>
              </w:rPr>
              <w:t>Código ANAM/CeCo</w:t>
            </w:r>
          </w:p>
        </w:tc>
        <w:tc>
          <w:tcPr>
            <w:tcW w:type="dxa" w:w="2850"/>
            <w:vAlign w:val="center"/>
          </w:tcPr>
          <w:p>
            <w:pPr>
              <w:spacing w:after="0"/>
            </w:pPr>
            <w:r>
              <w:rPr>
                <w:rFonts w:ascii="Calibri" w:hAnsi="Calibri"/>
                <w:b w:val="0"/>
                <w:i w:val="0"/>
                <w:color w:val="20303C"/>
                <w:sz w:val="16"/>
              </w:rPr>
              <w:t>Identidad intermedia de unidad facturable.</w:t>
            </w:r>
          </w:p>
        </w:tc>
        <w:tc>
          <w:tcPr>
            <w:tcW w:type="dxa" w:w="3510"/>
            <w:vAlign w:val="center"/>
          </w:tcPr>
          <w:p>
            <w:pPr>
              <w:spacing w:after="0"/>
            </w:pPr>
            <w:r>
              <w:rPr>
                <w:rFonts w:ascii="Calibri" w:hAnsi="Calibri"/>
                <w:b w:val="0"/>
                <w:i w:val="0"/>
                <w:color w:val="20303C"/>
                <w:sz w:val="16"/>
              </w:rPr>
              <w:t>Company artificial sin prueba.</w:t>
            </w:r>
          </w:p>
        </w:tc>
      </w:tr>
      <w:tr>
        <w:trPr>
          <w:cantSplit/>
        </w:trPr>
        <w:tc>
          <w:tcPr>
            <w:tcW w:type="dxa" w:w="1200"/>
            <w:shd w:fill="F4F7F9"/>
            <w:vAlign w:val="center"/>
          </w:tcPr>
          <w:p>
            <w:pPr>
              <w:spacing w:after="0"/>
            </w:pPr>
            <w:r>
              <w:rPr>
                <w:rFonts w:ascii="Calibri" w:hAnsi="Calibri"/>
                <w:b/>
                <w:i w:val="0"/>
                <w:color w:val="20303C"/>
                <w:sz w:val="16"/>
              </w:rPr>
              <w:t>Billing Event</w:t>
            </w:r>
          </w:p>
        </w:tc>
        <w:tc>
          <w:tcPr>
            <w:tcW w:type="dxa" w:w="1800"/>
            <w:shd w:fill="F4F7F9"/>
            <w:vAlign w:val="center"/>
          </w:tcPr>
          <w:p>
            <w:pPr>
              <w:spacing w:after="0"/>
            </w:pPr>
            <w:r>
              <w:rPr>
                <w:rFonts w:ascii="Calibri" w:hAnsi="Calibri"/>
                <w:b w:val="0"/>
                <w:i w:val="0"/>
                <w:color w:val="20303C"/>
                <w:sz w:val="16"/>
              </w:rPr>
              <w:t>Evento fuente</w:t>
            </w:r>
          </w:p>
        </w:tc>
        <w:tc>
          <w:tcPr>
            <w:tcW w:type="dxa" w:w="2850"/>
            <w:shd w:fill="F4F7F9"/>
            <w:vAlign w:val="center"/>
          </w:tcPr>
          <w:p>
            <w:pPr>
              <w:spacing w:after="0"/>
            </w:pPr>
            <w:r>
              <w:rPr>
                <w:rFonts w:ascii="Calibri" w:hAnsi="Calibri"/>
                <w:b w:val="0"/>
                <w:i w:val="0"/>
                <w:color w:val="20303C"/>
                <w:sz w:val="16"/>
              </w:rPr>
              <w:t>Factura/EDP/HES/HAS/LIMS, moneda, monto y source key.</w:t>
            </w:r>
          </w:p>
        </w:tc>
        <w:tc>
          <w:tcPr>
            <w:tcW w:type="dxa" w:w="3510"/>
            <w:shd w:fill="F4F7F9"/>
            <w:vAlign w:val="center"/>
          </w:tcPr>
          <w:p>
            <w:pPr>
              <w:spacing w:after="0"/>
            </w:pPr>
            <w:r>
              <w:rPr>
                <w:rFonts w:ascii="Calibri" w:hAnsi="Calibri"/>
                <w:b w:val="0"/>
                <w:i w:val="0"/>
                <w:color w:val="20303C"/>
                <w:sz w:val="16"/>
              </w:rPr>
              <w:t>Deal o Ticket genérico.</w:t>
            </w:r>
          </w:p>
        </w:tc>
      </w:tr>
    </w:tbl>
    <w:p>
      <w:pPr>
        <w:spacing w:after="0"/>
      </w:pPr>
    </w:p>
    <w:p>
      <w:pPr>
        <w:pStyle w:val="Heading2"/>
      </w:pPr>
      <w:r>
        <w:t>4.1 Reglas monetarias</w:t>
      </w:r>
    </w:p>
    <w:p>
      <w:pPr>
        <w:pStyle w:val="ListBullet"/>
      </w:pPr>
      <w:r>
        <w:rPr>
          <w:rFonts w:ascii="Calibri" w:hAnsi="Calibri"/>
          <w:b w:val="0"/>
          <w:i w:val="0"/>
          <w:color w:val="20303C"/>
          <w:sz w:val="22"/>
        </w:rPr>
        <w:t>Portafolio de Services usa TCV en moneda original.</w:t>
      </w:r>
    </w:p>
    <w:p>
      <w:pPr>
        <w:pStyle w:val="ListBullet"/>
      </w:pPr>
      <w:r>
        <w:rPr>
          <w:rFonts w:ascii="Calibri" w:hAnsi="Calibri"/>
          <w:b w:val="0"/>
          <w:i w:val="0"/>
          <w:color w:val="20303C"/>
          <w:sz w:val="22"/>
        </w:rPr>
        <w:t>Retención usa ARR sólo dentro de una cohorte recurrente/renovable revisada.</w:t>
      </w:r>
    </w:p>
    <w:p>
      <w:pPr>
        <w:pStyle w:val="ListBullet"/>
      </w:pPr>
      <w:r>
        <w:rPr>
          <w:rFonts w:ascii="Calibri" w:hAnsi="Calibri"/>
          <w:b w:val="0"/>
          <w:i w:val="0"/>
          <w:color w:val="20303C"/>
          <w:sz w:val="22"/>
        </w:rPr>
        <w:t>Frecuencia de cobro no equivale a frecuencia de entrega.</w:t>
      </w:r>
    </w:p>
    <w:p>
      <w:pPr>
        <w:pStyle w:val="ListBullet"/>
      </w:pPr>
      <w:r>
        <w:rPr>
          <w:rFonts w:ascii="Calibri" w:hAnsi="Calibri"/>
          <w:b w:val="0"/>
          <w:i w:val="0"/>
          <w:color w:val="20303C"/>
          <w:sz w:val="22"/>
        </w:rPr>
        <w:t>ARR/MRR cero con frecuencia vacía no prueba una venta one-time.</w:t>
      </w:r>
    </w:p>
    <w:p>
      <w:pPr>
        <w:pStyle w:val="ListBullet"/>
      </w:pPr>
      <w:r>
        <w:rPr>
          <w:rFonts w:ascii="Calibri" w:hAnsi="Calibri"/>
          <w:b w:val="0"/>
          <w:i w:val="0"/>
          <w:color w:val="20303C"/>
          <w:sz w:val="22"/>
        </w:rPr>
        <w:t>No sumar ni promediar CLP, UF/CLF y USD sin normalización y contrato explícito.</w:t>
      </w:r>
    </w:p>
    <w:p>
      <w:pPr>
        <w:pStyle w:val="ListBullet"/>
      </w:pPr>
      <w:r>
        <w:rPr>
          <w:rFonts w:ascii="Calibri" w:hAnsi="Calibri"/>
          <w:b w:val="0"/>
          <w:i w:val="0"/>
          <w:color w:val="20303C"/>
          <w:sz w:val="22"/>
        </w:rPr>
        <w:t>GRR/NRR permanecen bloqueados hasta contar con cobertura, periodicidad y denominadores comparables.</w:t>
      </w:r>
    </w:p>
    <w:p>
      <w:pPr>
        <w:pStyle w:val="Heading1"/>
      </w:pPr>
      <w:r>
        <w:t>5. Roadmap por fases y estado actual</w:t>
      </w:r>
    </w:p>
    <w:tbl>
      <w:tblPr>
        <w:tblStyle w:val="TableGrid"/>
        <w:tblW w:type="dxa" w:w="9360"/>
        <w:jc w:val="center"/>
        <w:tblLayout w:type="fixed"/>
        <w:tblLook w:firstColumn="1" w:firstRow="1" w:lastColumn="0" w:lastRow="0" w:noHBand="0" w:noVBand="1" w:val="04A0"/>
        <w:tblInd w:w="120" w:type="dxa"/>
      </w:tblPr>
      <w:tblGrid>
        <w:gridCol w:w="1750"/>
        <w:gridCol w:w="3500"/>
        <w:gridCol w:w="4110"/>
      </w:tblGrid>
      <w:tr>
        <w:trPr>
          <w:tblHeader w:val="true"/>
          <w:cantSplit/>
        </w:trPr>
        <w:tc>
          <w:tcPr>
            <w:tcW w:type="dxa" w:w="1750"/>
            <w:tcMar>
              <w:top w:w="80" w:type="dxa"/>
              <w:start w:w="120" w:type="dxa"/>
              <w:bottom w:w="80" w:type="dxa"/>
              <w:end w:w="120" w:type="dxa"/>
            </w:tcMar>
            <w:shd w:fill="005596"/>
            <w:vAlign w:val="center"/>
          </w:tcPr>
          <w:p>
            <w:pPr>
              <w:spacing w:after="0"/>
              <w:jc w:val="center"/>
            </w:pPr>
            <w:r>
              <w:rPr>
                <w:rFonts w:ascii="Calibri" w:hAnsi="Calibri"/>
                <w:b/>
                <w:i w:val="0"/>
                <w:color w:val="FFFFFF"/>
                <w:sz w:val="17"/>
              </w:rPr>
              <w:t>Fase</w:t>
            </w:r>
          </w:p>
        </w:tc>
        <w:tc>
          <w:tcPr>
            <w:tcW w:type="dxa" w:w="3500"/>
            <w:tcMar>
              <w:top w:w="80" w:type="dxa"/>
              <w:start w:w="120" w:type="dxa"/>
              <w:bottom w:w="80" w:type="dxa"/>
              <w:end w:w="120" w:type="dxa"/>
            </w:tcMar>
            <w:shd w:fill="005596"/>
            <w:vAlign w:val="center"/>
          </w:tcPr>
          <w:p>
            <w:pPr>
              <w:spacing w:after="0"/>
              <w:jc w:val="center"/>
            </w:pPr>
            <w:r>
              <w:rPr>
                <w:rFonts w:ascii="Calibri" w:hAnsi="Calibri"/>
                <w:b/>
                <w:i w:val="0"/>
                <w:color w:val="FFFFFF"/>
                <w:sz w:val="17"/>
              </w:rPr>
              <w:t>Objetivo</w:t>
            </w:r>
          </w:p>
        </w:tc>
        <w:tc>
          <w:tcPr>
            <w:tcW w:type="dxa" w:w="4110"/>
            <w:tcMar>
              <w:top w:w="80" w:type="dxa"/>
              <w:start w:w="120" w:type="dxa"/>
              <w:bottom w:w="80" w:type="dxa"/>
              <w:end w:w="120" w:type="dxa"/>
            </w:tcMar>
            <w:shd w:fill="005596"/>
            <w:vAlign w:val="center"/>
          </w:tcPr>
          <w:p>
            <w:pPr>
              <w:spacing w:after="0"/>
              <w:jc w:val="center"/>
            </w:pPr>
            <w:r>
              <w:rPr>
                <w:rFonts w:ascii="Calibri" w:hAnsi="Calibri"/>
                <w:b/>
                <w:i w:val="0"/>
                <w:color w:val="FFFFFF"/>
                <w:sz w:val="17"/>
              </w:rPr>
              <w:t>Resultado/estado al corte</w:t>
            </w:r>
          </w:p>
        </w:tc>
      </w:tr>
      <w:tr>
        <w:trPr>
          <w:cantSplit/>
        </w:trPr>
        <w:tc>
          <w:tcPr>
            <w:tcW w:type="dxa" w:w="1750"/>
            <w:vAlign w:val="center"/>
          </w:tcPr>
          <w:p>
            <w:pPr>
              <w:spacing w:after="0"/>
            </w:pPr>
            <w:r>
              <w:rPr>
                <w:rFonts w:ascii="Calibri" w:hAnsi="Calibri"/>
                <w:b/>
                <w:i w:val="0"/>
                <w:color w:val="20303C"/>
                <w:sz w:val="17"/>
              </w:rPr>
              <w:t>1. Reporting comercial</w:t>
            </w:r>
          </w:p>
        </w:tc>
        <w:tc>
          <w:tcPr>
            <w:tcW w:type="dxa" w:w="3500"/>
            <w:vAlign w:val="center"/>
          </w:tcPr>
          <w:p>
            <w:pPr>
              <w:spacing w:after="0"/>
            </w:pPr>
            <w:r>
              <w:rPr>
                <w:rFonts w:ascii="Calibri" w:hAnsi="Calibri"/>
                <w:b w:val="0"/>
                <w:i w:val="0"/>
                <w:color w:val="20303C"/>
                <w:sz w:val="17"/>
              </w:rPr>
              <w:t>Convertir definiciones ratificadas en reportes confiables.</w:t>
            </w:r>
          </w:p>
        </w:tc>
        <w:tc>
          <w:tcPr>
            <w:tcW w:type="dxa" w:w="4110"/>
            <w:vAlign w:val="center"/>
          </w:tcPr>
          <w:p>
            <w:pPr>
              <w:spacing w:after="0"/>
            </w:pPr>
            <w:r>
              <w:rPr>
                <w:rFonts w:ascii="Calibri" w:hAnsi="Calibri"/>
                <w:b w:val="0"/>
                <w:i w:val="0"/>
                <w:color w:val="20303C"/>
                <w:sz w:val="17"/>
              </w:rPr>
              <w:t>CERRADA: Data Quality, Growth, proxy Renovación, Q1–Q2 y outcome exacto.</w:t>
            </w:r>
          </w:p>
        </w:tc>
      </w:tr>
      <w:tr>
        <w:trPr>
          <w:cantSplit/>
        </w:trPr>
        <w:tc>
          <w:tcPr>
            <w:tcW w:type="dxa" w:w="1750"/>
            <w:shd w:fill="F4F7F9"/>
            <w:vAlign w:val="center"/>
          </w:tcPr>
          <w:p>
            <w:pPr>
              <w:spacing w:after="0"/>
            </w:pPr>
            <w:r>
              <w:rPr>
                <w:rFonts w:ascii="Calibri" w:hAnsi="Calibri"/>
                <w:b/>
                <w:i w:val="0"/>
                <w:color w:val="20303C"/>
                <w:sz w:val="17"/>
              </w:rPr>
              <w:t>2. Tickets y eventos</w:t>
            </w:r>
          </w:p>
        </w:tc>
        <w:tc>
          <w:tcPr>
            <w:tcW w:type="dxa" w:w="3500"/>
            <w:shd w:fill="F4F7F9"/>
            <w:vAlign w:val="center"/>
          </w:tcPr>
          <w:p>
            <w:pPr>
              <w:spacing w:after="0"/>
            </w:pPr>
            <w:r>
              <w:rPr>
                <w:rFonts w:ascii="Calibri" w:hAnsi="Calibri"/>
                <w:b w:val="0"/>
                <w:i w:val="0"/>
                <w:color w:val="20303C"/>
                <w:sz w:val="17"/>
              </w:rPr>
              <w:t>Estandarizar casos de Service, facturación y calidad.</w:t>
            </w:r>
          </w:p>
        </w:tc>
        <w:tc>
          <w:tcPr>
            <w:tcW w:type="dxa" w:w="4110"/>
            <w:shd w:fill="F4F7F9"/>
            <w:vAlign w:val="center"/>
          </w:tcPr>
          <w:p>
            <w:pPr>
              <w:spacing w:after="0"/>
            </w:pPr>
            <w:r>
              <w:rPr>
                <w:rFonts w:ascii="Calibri" w:hAnsi="Calibri"/>
                <w:b w:val="0"/>
                <w:i w:val="0"/>
                <w:color w:val="20303C"/>
                <w:sz w:val="17"/>
              </w:rPr>
              <w:t>Diseño y fuentes reconciliadas; implementación amplia pendiente.</w:t>
            </w:r>
          </w:p>
        </w:tc>
      </w:tr>
      <w:tr>
        <w:trPr>
          <w:cantSplit/>
        </w:trPr>
        <w:tc>
          <w:tcPr>
            <w:tcW w:type="dxa" w:w="1750"/>
            <w:vAlign w:val="center"/>
          </w:tcPr>
          <w:p>
            <w:pPr>
              <w:spacing w:after="0"/>
            </w:pPr>
            <w:r>
              <w:rPr>
                <w:rFonts w:ascii="Calibri" w:hAnsi="Calibri"/>
                <w:b/>
                <w:i w:val="0"/>
                <w:color w:val="20303C"/>
                <w:sz w:val="17"/>
              </w:rPr>
              <w:t>3. Service y contratos</w:t>
            </w:r>
          </w:p>
        </w:tc>
        <w:tc>
          <w:tcPr>
            <w:tcW w:type="dxa" w:w="3500"/>
            <w:vAlign w:val="center"/>
          </w:tcPr>
          <w:p>
            <w:pPr>
              <w:spacing w:after="0"/>
            </w:pPr>
            <w:r>
              <w:rPr>
                <w:rFonts w:ascii="Calibri" w:hAnsi="Calibri"/>
                <w:b w:val="0"/>
                <w:i w:val="0"/>
                <w:color w:val="20303C"/>
                <w:sz w:val="17"/>
              </w:rPr>
              <w:t>Crear instancia contratada con vigencia/recurrencia/renovación.</w:t>
            </w:r>
          </w:p>
        </w:tc>
        <w:tc>
          <w:tcPr>
            <w:tcW w:type="dxa" w:w="4110"/>
            <w:vAlign w:val="center"/>
          </w:tcPr>
          <w:p>
            <w:pPr>
              <w:spacing w:after="0"/>
            </w:pPr>
            <w:r>
              <w:rPr>
                <w:rFonts w:ascii="Calibri" w:hAnsi="Calibri"/>
                <w:b w:val="0"/>
                <w:i w:val="0"/>
                <w:color w:val="20303C"/>
                <w:sz w:val="17"/>
              </w:rPr>
              <w:t>PILOTO LIVE: schema, asociaciones, 5 Services, workflow y tareas.</w:t>
            </w:r>
          </w:p>
        </w:tc>
      </w:tr>
      <w:tr>
        <w:trPr>
          <w:cantSplit/>
        </w:trPr>
        <w:tc>
          <w:tcPr>
            <w:tcW w:type="dxa" w:w="1750"/>
            <w:shd w:fill="F4F7F9"/>
            <w:vAlign w:val="center"/>
          </w:tcPr>
          <w:p>
            <w:pPr>
              <w:spacing w:after="0"/>
            </w:pPr>
            <w:r>
              <w:rPr>
                <w:rFonts w:ascii="Calibri" w:hAnsi="Calibri"/>
                <w:b/>
                <w:i w:val="0"/>
                <w:color w:val="20303C"/>
                <w:sz w:val="17"/>
              </w:rPr>
              <w:t>4. Facturación integrada</w:t>
            </w:r>
          </w:p>
        </w:tc>
        <w:tc>
          <w:tcPr>
            <w:tcW w:type="dxa" w:w="3500"/>
            <w:shd w:fill="F4F7F9"/>
            <w:vAlign w:val="center"/>
          </w:tcPr>
          <w:p>
            <w:pPr>
              <w:spacing w:after="0"/>
            </w:pPr>
            <w:r>
              <w:rPr>
                <w:rFonts w:ascii="Calibri" w:hAnsi="Calibri"/>
                <w:b w:val="0"/>
                <w:i w:val="0"/>
                <w:color w:val="20303C"/>
                <w:sz w:val="17"/>
              </w:rPr>
              <w:t>Ingestar eventos mensuales con identidad e idempotencia.</w:t>
            </w:r>
          </w:p>
        </w:tc>
        <w:tc>
          <w:tcPr>
            <w:tcW w:type="dxa" w:w="4110"/>
            <w:shd w:fill="F4F7F9"/>
            <w:vAlign w:val="center"/>
          </w:tcPr>
          <w:p>
            <w:pPr>
              <w:spacing w:after="0"/>
            </w:pPr>
            <w:r>
              <w:rPr>
                <w:rFonts w:ascii="Calibri" w:hAnsi="Calibri"/>
                <w:b w:val="0"/>
                <w:i w:val="0"/>
                <w:color w:val="20303C"/>
                <w:sz w:val="17"/>
              </w:rPr>
              <w:t>DISEÑADA / NO-GO para import: falta identity mapping suficiente.</w:t>
            </w:r>
          </w:p>
        </w:tc>
      </w:tr>
      <w:tr>
        <w:trPr>
          <w:cantSplit/>
        </w:trPr>
        <w:tc>
          <w:tcPr>
            <w:tcW w:type="dxa" w:w="1750"/>
            <w:vAlign w:val="center"/>
          </w:tcPr>
          <w:p>
            <w:pPr>
              <w:spacing w:after="0"/>
            </w:pPr>
            <w:r>
              <w:rPr>
                <w:rFonts w:ascii="Calibri" w:hAnsi="Calibri"/>
                <w:b/>
                <w:i w:val="0"/>
                <w:color w:val="20303C"/>
                <w:sz w:val="17"/>
              </w:rPr>
              <w:t>5. Retención y Fidelización</w:t>
            </w:r>
          </w:p>
        </w:tc>
        <w:tc>
          <w:tcPr>
            <w:tcW w:type="dxa" w:w="3500"/>
            <w:vAlign w:val="center"/>
          </w:tcPr>
          <w:p>
            <w:pPr>
              <w:spacing w:after="0"/>
            </w:pPr>
            <w:r>
              <w:rPr>
                <w:rFonts w:ascii="Calibri" w:hAnsi="Calibri"/>
                <w:b w:val="0"/>
                <w:i w:val="0"/>
                <w:color w:val="20303C"/>
                <w:sz w:val="17"/>
              </w:rPr>
              <w:t>Paneles sobre Services confiables.</w:t>
            </w:r>
          </w:p>
        </w:tc>
        <w:tc>
          <w:tcPr>
            <w:tcW w:type="dxa" w:w="4110"/>
            <w:vAlign w:val="center"/>
          </w:tcPr>
          <w:p>
            <w:pPr>
              <w:spacing w:after="0"/>
            </w:pPr>
            <w:r>
              <w:rPr>
                <w:rFonts w:ascii="Calibri" w:hAnsi="Calibri"/>
                <w:b w:val="0"/>
                <w:i w:val="0"/>
                <w:color w:val="20303C"/>
                <w:sz w:val="17"/>
              </w:rPr>
              <w:t>PILOTO LIVE: 4 reportes Retención + 3 Fidelización; no oficiales.</w:t>
            </w:r>
          </w:p>
        </w:tc>
      </w:tr>
      <w:tr>
        <w:trPr>
          <w:cantSplit/>
        </w:trPr>
        <w:tc>
          <w:tcPr>
            <w:tcW w:type="dxa" w:w="1750"/>
            <w:shd w:fill="F4F7F9"/>
            <w:vAlign w:val="center"/>
          </w:tcPr>
          <w:p>
            <w:pPr>
              <w:spacing w:after="0"/>
            </w:pPr>
            <w:r>
              <w:rPr>
                <w:rFonts w:ascii="Calibri" w:hAnsi="Calibri"/>
                <w:b/>
                <w:i w:val="0"/>
                <w:color w:val="20303C"/>
                <w:sz w:val="17"/>
              </w:rPr>
              <w:t>6. Optimización</w:t>
            </w:r>
          </w:p>
        </w:tc>
        <w:tc>
          <w:tcPr>
            <w:tcW w:type="dxa" w:w="3500"/>
            <w:shd w:fill="F4F7F9"/>
            <w:vAlign w:val="center"/>
          </w:tcPr>
          <w:p>
            <w:pPr>
              <w:spacing w:after="0"/>
            </w:pPr>
            <w:r>
              <w:rPr>
                <w:rFonts w:ascii="Calibri" w:hAnsi="Calibri"/>
                <w:b w:val="0"/>
                <w:i w:val="0"/>
                <w:color w:val="20303C"/>
                <w:sz w:val="17"/>
              </w:rPr>
              <w:t>Backfills, automatización y mejora continua.</w:t>
            </w:r>
          </w:p>
        </w:tc>
        <w:tc>
          <w:tcPr>
            <w:tcW w:type="dxa" w:w="4110"/>
            <w:shd w:fill="F4F7F9"/>
            <w:vAlign w:val="center"/>
          </w:tcPr>
          <w:p>
            <w:pPr>
              <w:spacing w:after="0"/>
            </w:pPr>
            <w:r>
              <w:rPr>
                <w:rFonts w:ascii="Calibri" w:hAnsi="Calibri"/>
                <w:b w:val="0"/>
                <w:i w:val="0"/>
                <w:color w:val="20303C"/>
                <w:sz w:val="17"/>
              </w:rPr>
              <w:t>BLOQUEADA por cobertura y ratificación de datos.</w:t>
            </w:r>
          </w:p>
        </w:tc>
      </w:tr>
    </w:tbl>
    <w:p>
      <w:pPr>
        <w:spacing w:after="0"/>
      </w:pPr>
    </w:p>
    <w:p>
      <w:pPr>
        <w:pStyle w:val="Heading1"/>
      </w:pPr>
      <w:r>
        <w:t>6. Fase 1: reporting comercial y calidad de datos</w:t>
      </w:r>
    </w:p>
    <w:p>
      <w:pPr>
        <w:pStyle w:val="Heading2"/>
      </w:pPr>
      <w:r>
        <w:t>6.1 Dashboard Growth</w:t>
      </w:r>
    </w:p>
    <w:p>
      <w:r>
        <w:rPr>
          <w:rFonts w:ascii="Calibri" w:hAnsi="Calibri"/>
          <w:b w:val="0"/>
          <w:i w:val="0"/>
          <w:color w:val="20303C"/>
          <w:sz w:val="22"/>
        </w:rPr>
        <w:t>El dashboard Growth 19708354 quedó construido con siete activos gobernados para la cohorte del trimestre actual: Deals creados desde el 1 de julio de 2026 y tipo de ingreso Venta nueva, Upsell o Cross-sell.</w:t>
      </w:r>
    </w:p>
    <w:tbl>
      <w:tblPr>
        <w:tblStyle w:val="TableGrid"/>
        <w:tblW w:type="dxa" w:w="9360"/>
        <w:jc w:val="center"/>
        <w:tblLayout w:type="fixed"/>
        <w:tblLook w:firstColumn="1" w:firstRow="1" w:lastColumn="0" w:lastRow="0" w:noHBand="0" w:noVBand="1" w:val="04A0"/>
        <w:tblInd w:w="120" w:type="dxa"/>
      </w:tblPr>
      <w:tblGrid>
        <w:gridCol w:w="3900"/>
        <w:gridCol w:w="1600"/>
        <w:gridCol w:w="3860"/>
      </w:tblGrid>
      <w:tr>
        <w:trPr>
          <w:tblHeader w:val="true"/>
          <w:cantSplit/>
        </w:trPr>
        <w:tc>
          <w:tcPr>
            <w:tcW w:type="dxa" w:w="390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Reporte</w:t>
            </w:r>
          </w:p>
        </w:tc>
        <w:tc>
          <w:tcPr>
            <w:tcW w:type="dxa" w:w="16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3860"/>
            <w:tcMar>
              <w:top w:w="80" w:type="dxa"/>
              <w:start w:w="120" w:type="dxa"/>
              <w:bottom w:w="80" w:type="dxa"/>
              <w:end w:w="120" w:type="dxa"/>
            </w:tcMar>
            <w:shd w:fill="005596"/>
            <w:vAlign w:val="center"/>
          </w:tcPr>
          <w:p>
            <w:pPr>
              <w:spacing w:after="0"/>
              <w:jc w:val="center"/>
            </w:pPr>
            <w:r>
              <w:rPr>
                <w:rFonts w:ascii="Calibri" w:hAnsi="Calibri"/>
                <w:b/>
                <w:i w:val="0"/>
                <w:color w:val="FFFFFF"/>
                <w:sz w:val="18"/>
              </w:rPr>
              <w:t>Propósito</w:t>
            </w:r>
          </w:p>
        </w:tc>
      </w:tr>
      <w:tr>
        <w:trPr>
          <w:cantSplit/>
        </w:trPr>
        <w:tc>
          <w:tcPr>
            <w:tcW w:type="dxa" w:w="3900"/>
            <w:vAlign w:val="center"/>
          </w:tcPr>
          <w:p>
            <w:pPr>
              <w:spacing w:after="0"/>
            </w:pPr>
            <w:r>
              <w:rPr>
                <w:rFonts w:ascii="Calibri" w:hAnsi="Calibri"/>
                <w:b/>
                <w:i w:val="0"/>
                <w:color w:val="20303C"/>
                <w:sz w:val="18"/>
              </w:rPr>
              <w:t>KPI count Growth</w:t>
            </w:r>
          </w:p>
        </w:tc>
        <w:tc>
          <w:tcPr>
            <w:tcW w:type="dxa" w:w="1600"/>
            <w:vAlign w:val="center"/>
          </w:tcPr>
          <w:p>
            <w:pPr>
              <w:spacing w:after="0"/>
            </w:pPr>
            <w:r>
              <w:rPr>
                <w:rFonts w:ascii="Calibri" w:hAnsi="Calibri"/>
                <w:b w:val="0"/>
                <w:i w:val="0"/>
                <w:color w:val="20303C"/>
                <w:sz w:val="18"/>
              </w:rPr>
              <w:t>340827168</w:t>
            </w:r>
          </w:p>
        </w:tc>
        <w:tc>
          <w:tcPr>
            <w:tcW w:type="dxa" w:w="3860"/>
            <w:vAlign w:val="center"/>
          </w:tcPr>
          <w:p>
            <w:pPr>
              <w:spacing w:after="0"/>
            </w:pPr>
            <w:r>
              <w:rPr>
                <w:rFonts w:ascii="Calibri" w:hAnsi="Calibri"/>
                <w:b w:val="0"/>
                <w:i w:val="0"/>
                <w:color w:val="20303C"/>
                <w:sz w:val="18"/>
              </w:rPr>
              <w:t>Cantidad de Deals Growth del período.</w:t>
            </w:r>
          </w:p>
        </w:tc>
      </w:tr>
      <w:tr>
        <w:trPr>
          <w:cantSplit/>
        </w:trPr>
        <w:tc>
          <w:tcPr>
            <w:tcW w:type="dxa" w:w="3900"/>
            <w:shd w:fill="F4F7F9"/>
            <w:vAlign w:val="center"/>
          </w:tcPr>
          <w:p>
            <w:pPr>
              <w:spacing w:after="0"/>
            </w:pPr>
            <w:r>
              <w:rPr>
                <w:rFonts w:ascii="Calibri" w:hAnsi="Calibri"/>
                <w:b/>
                <w:i w:val="0"/>
                <w:color w:val="20303C"/>
                <w:sz w:val="18"/>
              </w:rPr>
              <w:t>KPI monto Growth</w:t>
            </w:r>
          </w:p>
        </w:tc>
        <w:tc>
          <w:tcPr>
            <w:tcW w:type="dxa" w:w="1600"/>
            <w:shd w:fill="F4F7F9"/>
            <w:vAlign w:val="center"/>
          </w:tcPr>
          <w:p>
            <w:pPr>
              <w:spacing w:after="0"/>
            </w:pPr>
            <w:r>
              <w:rPr>
                <w:rFonts w:ascii="Calibri" w:hAnsi="Calibri"/>
                <w:b w:val="0"/>
                <w:i w:val="0"/>
                <w:color w:val="20303C"/>
                <w:sz w:val="18"/>
              </w:rPr>
              <w:t>340827503</w:t>
            </w:r>
          </w:p>
        </w:tc>
        <w:tc>
          <w:tcPr>
            <w:tcW w:type="dxa" w:w="3860"/>
            <w:shd w:fill="F4F7F9"/>
            <w:vAlign w:val="center"/>
          </w:tcPr>
          <w:p>
            <w:pPr>
              <w:spacing w:after="0"/>
            </w:pPr>
            <w:r>
              <w:rPr>
                <w:rFonts w:ascii="Calibri" w:hAnsi="Calibri"/>
                <w:b w:val="0"/>
                <w:i w:val="0"/>
                <w:color w:val="20303C"/>
                <w:sz w:val="18"/>
              </w:rPr>
              <w:t>Valor comercial actual de la cohorte.</w:t>
            </w:r>
          </w:p>
        </w:tc>
      </w:tr>
      <w:tr>
        <w:trPr>
          <w:cantSplit/>
        </w:trPr>
        <w:tc>
          <w:tcPr>
            <w:tcW w:type="dxa" w:w="3900"/>
            <w:vAlign w:val="center"/>
          </w:tcPr>
          <w:p>
            <w:pPr>
              <w:spacing w:after="0"/>
            </w:pPr>
            <w:r>
              <w:rPr>
                <w:rFonts w:ascii="Calibri" w:hAnsi="Calibri"/>
                <w:b/>
                <w:i w:val="0"/>
                <w:color w:val="20303C"/>
                <w:sz w:val="18"/>
              </w:rPr>
              <w:t>Tipo de ingreso</w:t>
            </w:r>
          </w:p>
        </w:tc>
        <w:tc>
          <w:tcPr>
            <w:tcW w:type="dxa" w:w="1600"/>
            <w:vAlign w:val="center"/>
          </w:tcPr>
          <w:p>
            <w:pPr>
              <w:spacing w:after="0"/>
            </w:pPr>
            <w:r>
              <w:rPr>
                <w:rFonts w:ascii="Calibri" w:hAnsi="Calibri"/>
                <w:b w:val="0"/>
                <w:i w:val="0"/>
                <w:color w:val="20303C"/>
                <w:sz w:val="18"/>
              </w:rPr>
              <w:t>340826108</w:t>
            </w:r>
          </w:p>
        </w:tc>
        <w:tc>
          <w:tcPr>
            <w:tcW w:type="dxa" w:w="3860"/>
            <w:vAlign w:val="center"/>
          </w:tcPr>
          <w:p>
            <w:pPr>
              <w:spacing w:after="0"/>
            </w:pPr>
            <w:r>
              <w:rPr>
                <w:rFonts w:ascii="Calibri" w:hAnsi="Calibri"/>
                <w:b w:val="0"/>
                <w:i w:val="0"/>
                <w:color w:val="20303C"/>
                <w:sz w:val="18"/>
              </w:rPr>
              <w:t>Distribución Venta nueva/Upsell/Cross-sell.</w:t>
            </w:r>
          </w:p>
        </w:tc>
      </w:tr>
      <w:tr>
        <w:trPr>
          <w:cantSplit/>
        </w:trPr>
        <w:tc>
          <w:tcPr>
            <w:tcW w:type="dxa" w:w="3900"/>
            <w:shd w:fill="F4F7F9"/>
            <w:vAlign w:val="center"/>
          </w:tcPr>
          <w:p>
            <w:pPr>
              <w:spacing w:after="0"/>
            </w:pPr>
            <w:r>
              <w:rPr>
                <w:rFonts w:ascii="Calibri" w:hAnsi="Calibri"/>
                <w:b/>
                <w:i w:val="0"/>
                <w:color w:val="20303C"/>
                <w:sz w:val="18"/>
              </w:rPr>
              <w:t>Línea de negocio</w:t>
            </w:r>
          </w:p>
        </w:tc>
        <w:tc>
          <w:tcPr>
            <w:tcW w:type="dxa" w:w="1600"/>
            <w:shd w:fill="F4F7F9"/>
            <w:vAlign w:val="center"/>
          </w:tcPr>
          <w:p>
            <w:pPr>
              <w:spacing w:after="0"/>
            </w:pPr>
            <w:r>
              <w:rPr>
                <w:rFonts w:ascii="Calibri" w:hAnsi="Calibri"/>
                <w:b w:val="0"/>
                <w:i w:val="0"/>
                <w:color w:val="20303C"/>
                <w:sz w:val="18"/>
              </w:rPr>
              <w:t>340826655</w:t>
            </w:r>
          </w:p>
        </w:tc>
        <w:tc>
          <w:tcPr>
            <w:tcW w:type="dxa" w:w="3860"/>
            <w:shd w:fill="F4F7F9"/>
            <w:vAlign w:val="center"/>
          </w:tcPr>
          <w:p>
            <w:pPr>
              <w:spacing w:after="0"/>
            </w:pPr>
            <w:r>
              <w:rPr>
                <w:rFonts w:ascii="Calibri" w:hAnsi="Calibri"/>
                <w:b w:val="0"/>
                <w:i w:val="0"/>
                <w:color w:val="20303C"/>
                <w:sz w:val="18"/>
              </w:rPr>
              <w:t>Composición por línea ANAM.</w:t>
            </w:r>
          </w:p>
        </w:tc>
      </w:tr>
      <w:tr>
        <w:trPr>
          <w:cantSplit/>
        </w:trPr>
        <w:tc>
          <w:tcPr>
            <w:tcW w:type="dxa" w:w="3900"/>
            <w:vAlign w:val="center"/>
          </w:tcPr>
          <w:p>
            <w:pPr>
              <w:spacing w:after="0"/>
            </w:pPr>
            <w:r>
              <w:rPr>
                <w:rFonts w:ascii="Calibri" w:hAnsi="Calibri"/>
                <w:b/>
                <w:i w:val="0"/>
                <w:color w:val="20303C"/>
                <w:sz w:val="18"/>
              </w:rPr>
              <w:t>Proceso comercial</w:t>
            </w:r>
          </w:p>
        </w:tc>
        <w:tc>
          <w:tcPr>
            <w:tcW w:type="dxa" w:w="1600"/>
            <w:vAlign w:val="center"/>
          </w:tcPr>
          <w:p>
            <w:pPr>
              <w:spacing w:after="0"/>
            </w:pPr>
            <w:r>
              <w:rPr>
                <w:rFonts w:ascii="Calibri" w:hAnsi="Calibri"/>
                <w:b w:val="0"/>
                <w:i w:val="0"/>
                <w:color w:val="20303C"/>
                <w:sz w:val="18"/>
              </w:rPr>
              <w:t>340826976</w:t>
            </w:r>
          </w:p>
        </w:tc>
        <w:tc>
          <w:tcPr>
            <w:tcW w:type="dxa" w:w="3860"/>
            <w:vAlign w:val="center"/>
          </w:tcPr>
          <w:p>
            <w:pPr>
              <w:spacing w:after="0"/>
            </w:pPr>
            <w:r>
              <w:rPr>
                <w:rFonts w:ascii="Calibri" w:hAnsi="Calibri"/>
                <w:b w:val="0"/>
                <w:i w:val="0"/>
                <w:color w:val="20303C"/>
                <w:sz w:val="18"/>
              </w:rPr>
              <w:t>Licitación versus Venta Directa.</w:t>
            </w:r>
          </w:p>
        </w:tc>
      </w:tr>
      <w:tr>
        <w:trPr>
          <w:cantSplit/>
        </w:trPr>
        <w:tc>
          <w:tcPr>
            <w:tcW w:type="dxa" w:w="3900"/>
            <w:shd w:fill="F4F7F9"/>
            <w:vAlign w:val="center"/>
          </w:tcPr>
          <w:p>
            <w:pPr>
              <w:spacing w:after="0"/>
            </w:pPr>
            <w:r>
              <w:rPr>
                <w:rFonts w:ascii="Calibri" w:hAnsi="Calibri"/>
                <w:b/>
                <w:i w:val="0"/>
                <w:color w:val="20303C"/>
                <w:sz w:val="18"/>
              </w:rPr>
              <w:t>Detalle por línea</w:t>
            </w:r>
          </w:p>
        </w:tc>
        <w:tc>
          <w:tcPr>
            <w:tcW w:type="dxa" w:w="1600"/>
            <w:shd w:fill="F4F7F9"/>
            <w:vAlign w:val="center"/>
          </w:tcPr>
          <w:p>
            <w:pPr>
              <w:spacing w:after="0"/>
            </w:pPr>
            <w:r>
              <w:rPr>
                <w:rFonts w:ascii="Calibri" w:hAnsi="Calibri"/>
                <w:b w:val="0"/>
                <w:i w:val="0"/>
                <w:color w:val="20303C"/>
                <w:sz w:val="18"/>
              </w:rPr>
              <w:t>340828194</w:t>
            </w:r>
          </w:p>
        </w:tc>
        <w:tc>
          <w:tcPr>
            <w:tcW w:type="dxa" w:w="3860"/>
            <w:shd w:fill="F4F7F9"/>
            <w:vAlign w:val="center"/>
          </w:tcPr>
          <w:p>
            <w:pPr>
              <w:spacing w:after="0"/>
            </w:pPr>
            <w:r>
              <w:rPr>
                <w:rFonts w:ascii="Calibri" w:hAnsi="Calibri"/>
                <w:b w:val="0"/>
                <w:i w:val="0"/>
                <w:color w:val="20303C"/>
                <w:sz w:val="18"/>
              </w:rPr>
              <w:t>Tabla exacta de Deals y dimensiones.</w:t>
            </w:r>
          </w:p>
        </w:tc>
      </w:tr>
      <w:tr>
        <w:trPr>
          <w:cantSplit/>
        </w:trPr>
        <w:tc>
          <w:tcPr>
            <w:tcW w:type="dxa" w:w="3900"/>
            <w:vAlign w:val="center"/>
          </w:tcPr>
          <w:p>
            <w:pPr>
              <w:spacing w:after="0"/>
            </w:pPr>
            <w:r>
              <w:rPr>
                <w:rFonts w:ascii="Calibri" w:hAnsi="Calibri"/>
                <w:b/>
                <w:i w:val="0"/>
                <w:color w:val="20303C"/>
                <w:sz w:val="18"/>
              </w:rPr>
              <w:t>Owner por línea</w:t>
            </w:r>
          </w:p>
        </w:tc>
        <w:tc>
          <w:tcPr>
            <w:tcW w:type="dxa" w:w="1600"/>
            <w:vAlign w:val="center"/>
          </w:tcPr>
          <w:p>
            <w:pPr>
              <w:spacing w:after="0"/>
            </w:pPr>
            <w:r>
              <w:rPr>
                <w:rFonts w:ascii="Calibri" w:hAnsi="Calibri"/>
                <w:b w:val="0"/>
                <w:i w:val="0"/>
                <w:color w:val="20303C"/>
                <w:sz w:val="18"/>
              </w:rPr>
              <w:t>340830124</w:t>
            </w:r>
          </w:p>
        </w:tc>
        <w:tc>
          <w:tcPr>
            <w:tcW w:type="dxa" w:w="3860"/>
            <w:vAlign w:val="center"/>
          </w:tcPr>
          <w:p>
            <w:pPr>
              <w:spacing w:after="0"/>
            </w:pPr>
            <w:r>
              <w:rPr>
                <w:rFonts w:ascii="Calibri" w:hAnsi="Calibri"/>
                <w:b w:val="0"/>
                <w:i w:val="0"/>
                <w:color w:val="20303C"/>
                <w:sz w:val="18"/>
              </w:rPr>
              <w:t>Diagnóstico de responsable y línea.</w:t>
            </w:r>
          </w:p>
        </w:tc>
      </w:tr>
    </w:tbl>
    <w:p>
      <w:pPr>
        <w:spacing w:after="0"/>
      </w:pPr>
    </w:p>
    <w:p>
      <w:r>
        <w:rPr>
          <w:rFonts w:ascii="Calibri" w:hAnsi="Calibri"/>
          <w:b w:val="0"/>
          <w:i w:val="0"/>
          <w:color w:val="20303C"/>
          <w:sz w:val="22"/>
        </w:rPr>
        <w:t>La cohorte reconciliada tenía 29 Deals: 15 Venta nueva, 7 Upsell y 7 Cross-sell, por CLF 2.443,89. Cuatro de esos Deals estaban en el pipeline de Retención, demostrando que pipeline no equivale a tipo de ingreso.</w:t>
      </w:r>
    </w:p>
    <w:p>
      <w:pPr>
        <w:pStyle w:val="Heading2"/>
      </w:pPr>
      <w:r>
        <w:t>6.2 Outcome comercial</w:t>
      </w:r>
    </w:p>
    <w:p>
      <w:pPr>
        <w:pStyle w:val="ListBullet"/>
      </w:pPr>
      <w:r>
        <w:rPr>
          <w:rFonts w:ascii="Calibri" w:hAnsi="Calibri"/>
          <w:b w:val="0"/>
          <w:i w:val="0"/>
          <w:color w:val="20303C"/>
          <w:sz w:val="22"/>
        </w:rPr>
        <w:t>Se crearon dos propiedades calculadas API-managed para aislar resultado reportable y denominador de win rate por stage ID exacto.</w:t>
      </w:r>
    </w:p>
    <w:p>
      <w:pPr>
        <w:pStyle w:val="ListBullet"/>
      </w:pPr>
      <w:r>
        <w:rPr>
          <w:rFonts w:ascii="Calibri" w:hAnsi="Calibri"/>
          <w:b w:val="0"/>
          <w:i w:val="0"/>
          <w:color w:val="20303C"/>
          <w:sz w:val="22"/>
        </w:rPr>
        <w:t>Se publicaron tres reportes: outcome count 340844496, outcome amount 340844919 y win rate 340845240.</w:t>
      </w:r>
    </w:p>
    <w:p>
      <w:pPr>
        <w:pStyle w:val="ListBullet"/>
      </w:pPr>
      <w:r>
        <w:rPr>
          <w:rFonts w:ascii="Calibri" w:hAnsi="Calibri"/>
          <w:b w:val="0"/>
          <w:i w:val="0"/>
          <w:color w:val="20303C"/>
          <w:sz w:val="22"/>
        </w:rPr>
        <w:t>Al corte: 13 ganados, 0 perdidos, 1 no adjudicado; CLF 5.782,97 ganado y CLF 232.000 no adjudicado.</w:t>
      </w:r>
    </w:p>
    <w:p>
      <w:pPr>
        <w:pStyle w:val="ListBullet"/>
      </w:pPr>
      <w:r>
        <w:rPr>
          <w:rFonts w:ascii="Calibri" w:hAnsi="Calibri"/>
          <w:b w:val="0"/>
          <w:i w:val="0"/>
          <w:color w:val="20303C"/>
          <w:sz w:val="22"/>
        </w:rPr>
        <w:t>Win rate 100% sobre denominador explícito de 13 ganados + perdidos; “no adjudicado” no contamina la tasa.</w:t>
      </w:r>
    </w:p>
    <w:p>
      <w:pPr>
        <w:pStyle w:val="ListBullet"/>
      </w:pPr>
      <w:r>
        <w:rPr>
          <w:rFonts w:ascii="Calibri" w:hAnsi="Calibri"/>
          <w:b w:val="0"/>
          <w:i w:val="0"/>
          <w:color w:val="20303C"/>
          <w:sz w:val="22"/>
        </w:rPr>
        <w:t>Radar 0% siguió intacto: 10 Deals calculan “Abierto”. No se movieron registros ni se hizo backfill.</w:t>
      </w:r>
    </w:p>
    <w:p>
      <w:pPr>
        <w:pStyle w:val="Heading2"/>
      </w:pPr>
      <w:r>
        <w:t>6.3 Panel Calidad de Datos Comercial</w:t>
      </w:r>
    </w:p>
    <w:p>
      <w:r>
        <w:rPr>
          <w:rFonts w:ascii="Calibri" w:hAnsi="Calibri"/>
          <w:b w:val="0"/>
          <w:i w:val="0"/>
          <w:color w:val="20303C"/>
          <w:sz w:val="22"/>
        </w:rPr>
        <w:t>La calidad de datos se convirtió en evidencia visible y asignable, no en una conclusión genérica. El panel distingue problemas de schema, fuente/migración, integración y captura/adopción.</w:t>
      </w:r>
    </w:p>
    <w:tbl>
      <w:tblPr>
        <w:tblStyle w:val="TableGrid"/>
        <w:tblW w:type="dxa" w:w="9360"/>
        <w:jc w:val="center"/>
        <w:tblLayout w:type="fixed"/>
        <w:tblLook w:firstColumn="1" w:firstRow="1" w:lastColumn="0" w:lastRow="0" w:noHBand="0" w:noVBand="1" w:val="04A0"/>
        <w:tblInd w:w="120" w:type="dxa"/>
      </w:tblPr>
      <w:tblGrid>
        <w:gridCol w:w="3300"/>
        <w:gridCol w:w="2100"/>
        <w:gridCol w:w="3960"/>
      </w:tblGrid>
      <w:tr>
        <w:trPr>
          <w:tblHeader w:val="true"/>
          <w:cantSplit/>
        </w:trPr>
        <w:tc>
          <w:tcPr>
            <w:tcW w:type="dxa" w:w="3300"/>
            <w:tcMar>
              <w:top w:w="80" w:type="dxa"/>
              <w:start w:w="120" w:type="dxa"/>
              <w:bottom w:w="80" w:type="dxa"/>
              <w:end w:w="120" w:type="dxa"/>
            </w:tcMar>
            <w:shd w:fill="005596"/>
            <w:vAlign w:val="center"/>
          </w:tcPr>
          <w:p>
            <w:pPr>
              <w:spacing w:after="0"/>
              <w:jc w:val="center"/>
            </w:pPr>
            <w:r>
              <w:rPr>
                <w:rFonts w:ascii="Calibri" w:hAnsi="Calibri"/>
                <w:b/>
                <w:i w:val="0"/>
                <w:color w:val="FFFFFF"/>
                <w:sz w:val="18"/>
              </w:rPr>
              <w:t>Control</w:t>
            </w:r>
          </w:p>
        </w:tc>
        <w:tc>
          <w:tcPr>
            <w:tcW w:type="dxa" w:w="21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ID/valor</w:t>
            </w:r>
          </w:p>
        </w:tc>
        <w:tc>
          <w:tcPr>
            <w:tcW w:type="dxa" w:w="3960"/>
            <w:tcMar>
              <w:top w:w="80" w:type="dxa"/>
              <w:start w:w="120" w:type="dxa"/>
              <w:bottom w:w="80" w:type="dxa"/>
              <w:end w:w="120" w:type="dxa"/>
            </w:tcMar>
            <w:shd w:fill="005596"/>
            <w:vAlign w:val="center"/>
          </w:tcPr>
          <w:p>
            <w:pPr>
              <w:spacing w:after="0"/>
              <w:jc w:val="center"/>
            </w:pPr>
            <w:r>
              <w:rPr>
                <w:rFonts w:ascii="Calibri" w:hAnsi="Calibri"/>
                <w:b/>
                <w:i w:val="0"/>
                <w:color w:val="FFFFFF"/>
                <w:sz w:val="18"/>
              </w:rPr>
              <w:t>Lectura correcta</w:t>
            </w:r>
          </w:p>
        </w:tc>
      </w:tr>
      <w:tr>
        <w:trPr>
          <w:cantSplit/>
        </w:trPr>
        <w:tc>
          <w:tcPr>
            <w:tcW w:type="dxa" w:w="3300"/>
            <w:vAlign w:val="center"/>
          </w:tcPr>
          <w:p>
            <w:pPr>
              <w:spacing w:after="0"/>
            </w:pPr>
            <w:r>
              <w:rPr>
                <w:rFonts w:ascii="Calibri" w:hAnsi="Calibri"/>
                <w:b/>
                <w:i w:val="0"/>
                <w:color w:val="20303C"/>
                <w:sz w:val="18"/>
              </w:rPr>
              <w:t>Ganados sin variación vs cotizado</w:t>
            </w:r>
          </w:p>
        </w:tc>
        <w:tc>
          <w:tcPr>
            <w:tcW w:type="dxa" w:w="2100"/>
            <w:vAlign w:val="center"/>
          </w:tcPr>
          <w:p>
            <w:pPr>
              <w:spacing w:after="0"/>
            </w:pPr>
            <w:r>
              <w:rPr>
                <w:rFonts w:ascii="Calibri" w:hAnsi="Calibri"/>
                <w:b w:val="0"/>
                <w:i w:val="0"/>
                <w:color w:val="20303C"/>
                <w:sz w:val="18"/>
              </w:rPr>
              <w:t>340822900 / 494</w:t>
            </w:r>
          </w:p>
        </w:tc>
        <w:tc>
          <w:tcPr>
            <w:tcW w:type="dxa" w:w="3960"/>
            <w:vAlign w:val="center"/>
          </w:tcPr>
          <w:p>
            <w:pPr>
              <w:spacing w:after="0"/>
            </w:pPr>
            <w:r>
              <w:rPr>
                <w:rFonts w:ascii="Calibri" w:hAnsi="Calibri"/>
                <w:b w:val="0"/>
                <w:i w:val="0"/>
                <w:color w:val="20303C"/>
                <w:sz w:val="18"/>
              </w:rPr>
              <w:t>Backlog de adopción del clasificador; no variación monetaria calculada.</w:t>
            </w:r>
          </w:p>
        </w:tc>
      </w:tr>
      <w:tr>
        <w:trPr>
          <w:cantSplit/>
        </w:trPr>
        <w:tc>
          <w:tcPr>
            <w:tcW w:type="dxa" w:w="3300"/>
            <w:shd w:fill="F4F7F9"/>
            <w:vAlign w:val="center"/>
          </w:tcPr>
          <w:p>
            <w:pPr>
              <w:spacing w:after="0"/>
            </w:pPr>
            <w:r>
              <w:rPr>
                <w:rFonts w:ascii="Calibri" w:hAnsi="Calibri"/>
                <w:b/>
                <w:i w:val="0"/>
                <w:color w:val="20303C"/>
                <w:sz w:val="18"/>
              </w:rPr>
              <w:t>Q1–Q2 sin tipo de ingreso por owner</w:t>
            </w:r>
          </w:p>
        </w:tc>
        <w:tc>
          <w:tcPr>
            <w:tcW w:type="dxa" w:w="2100"/>
            <w:shd w:fill="F4F7F9"/>
            <w:vAlign w:val="center"/>
          </w:tcPr>
          <w:p>
            <w:pPr>
              <w:spacing w:after="0"/>
            </w:pPr>
            <w:r>
              <w:rPr>
                <w:rFonts w:ascii="Calibri" w:hAnsi="Calibri"/>
                <w:b w:val="0"/>
                <w:i w:val="0"/>
                <w:color w:val="20303C"/>
                <w:sz w:val="18"/>
              </w:rPr>
              <w:t>340823200 / 82</w:t>
            </w:r>
          </w:p>
        </w:tc>
        <w:tc>
          <w:tcPr>
            <w:tcW w:type="dxa" w:w="3960"/>
            <w:shd w:fill="F4F7F9"/>
            <w:vAlign w:val="center"/>
          </w:tcPr>
          <w:p>
            <w:pPr>
              <w:spacing w:after="0"/>
            </w:pPr>
            <w:r>
              <w:rPr>
                <w:rFonts w:ascii="Calibri" w:hAnsi="Calibri"/>
                <w:b w:val="0"/>
                <w:i w:val="0"/>
                <w:color w:val="20303C"/>
                <w:sz w:val="18"/>
              </w:rPr>
              <w:t>Cola histórica para disciplina comercial y revisión.</w:t>
            </w:r>
          </w:p>
        </w:tc>
      </w:tr>
      <w:tr>
        <w:trPr>
          <w:cantSplit/>
        </w:trPr>
        <w:tc>
          <w:tcPr>
            <w:tcW w:type="dxa" w:w="3300"/>
            <w:vAlign w:val="center"/>
          </w:tcPr>
          <w:p>
            <w:pPr>
              <w:spacing w:after="0"/>
            </w:pPr>
            <w:r>
              <w:rPr>
                <w:rFonts w:ascii="Calibri" w:hAnsi="Calibri"/>
                <w:b/>
                <w:i w:val="0"/>
                <w:color w:val="20303C"/>
                <w:sz w:val="18"/>
              </w:rPr>
              <w:t>Deals sin Company asociada por owner</w:t>
            </w:r>
          </w:p>
        </w:tc>
        <w:tc>
          <w:tcPr>
            <w:tcW w:type="dxa" w:w="2100"/>
            <w:vAlign w:val="center"/>
          </w:tcPr>
          <w:p>
            <w:pPr>
              <w:spacing w:after="0"/>
            </w:pPr>
            <w:r>
              <w:rPr>
                <w:rFonts w:ascii="Calibri" w:hAnsi="Calibri"/>
                <w:b w:val="0"/>
                <w:i w:val="0"/>
                <w:color w:val="20303C"/>
                <w:sz w:val="18"/>
              </w:rPr>
              <w:t>Baseline 645/1.240</w:t>
            </w:r>
          </w:p>
        </w:tc>
        <w:tc>
          <w:tcPr>
            <w:tcW w:type="dxa" w:w="3960"/>
            <w:vAlign w:val="center"/>
          </w:tcPr>
          <w:p>
            <w:pPr>
              <w:spacing w:after="0"/>
            </w:pPr>
            <w:r>
              <w:rPr>
                <w:rFonts w:ascii="Calibri" w:hAnsi="Calibri"/>
                <w:b w:val="0"/>
                <w:i w:val="0"/>
                <w:color w:val="20303C"/>
                <w:sz w:val="18"/>
              </w:rPr>
              <w:t>Brecha que limita análisis de ventas por dimensiones Company.</w:t>
            </w:r>
          </w:p>
        </w:tc>
      </w:tr>
      <w:tr>
        <w:trPr>
          <w:cantSplit/>
        </w:trPr>
        <w:tc>
          <w:tcPr>
            <w:tcW w:type="dxa" w:w="3300"/>
            <w:shd w:fill="F4F7F9"/>
            <w:vAlign w:val="center"/>
          </w:tcPr>
          <w:p>
            <w:pPr>
              <w:spacing w:after="0"/>
            </w:pPr>
            <w:r>
              <w:rPr>
                <w:rFonts w:ascii="Calibri" w:hAnsi="Calibri"/>
                <w:b/>
                <w:i w:val="0"/>
                <w:color w:val="20303C"/>
                <w:sz w:val="18"/>
              </w:rPr>
              <w:t>Radar 0%</w:t>
            </w:r>
          </w:p>
        </w:tc>
        <w:tc>
          <w:tcPr>
            <w:tcW w:type="dxa" w:w="2100"/>
            <w:shd w:fill="F4F7F9"/>
            <w:vAlign w:val="center"/>
          </w:tcPr>
          <w:p>
            <w:pPr>
              <w:spacing w:after="0"/>
            </w:pPr>
            <w:r>
              <w:rPr>
                <w:rFonts w:ascii="Calibri" w:hAnsi="Calibri"/>
                <w:b w:val="0"/>
                <w:i w:val="0"/>
                <w:color w:val="20303C"/>
                <w:sz w:val="18"/>
              </w:rPr>
              <w:t>10 Deals</w:t>
            </w:r>
          </w:p>
        </w:tc>
        <w:tc>
          <w:tcPr>
            <w:tcW w:type="dxa" w:w="3960"/>
            <w:shd w:fill="F4F7F9"/>
            <w:vAlign w:val="center"/>
          </w:tcPr>
          <w:p>
            <w:pPr>
              <w:spacing w:after="0"/>
            </w:pPr>
            <w:r>
              <w:rPr>
                <w:rFonts w:ascii="Calibri" w:hAnsi="Calibri"/>
                <w:b w:val="0"/>
                <w:i w:val="0"/>
                <w:color w:val="20303C"/>
                <w:sz w:val="18"/>
              </w:rPr>
              <w:t>Anomalía de metadata de stage; no prueba Deals perdidos.</w:t>
            </w:r>
          </w:p>
        </w:tc>
      </w:tr>
    </w:tbl>
    <w:p>
      <w:pPr>
        <w:spacing w:after="0"/>
      </w:pPr>
    </w:p>
    <w:p>
      <w:pPr>
        <w:pStyle w:val="Heading1"/>
      </w:pPr>
      <w:r>
        <w:t>7. KPI por segmento, sector y región</w:t>
      </w:r>
    </w:p>
    <w:p>
      <w:pPr>
        <w:pStyle w:val="Heading2"/>
      </w:pPr>
      <w:r>
        <w:t>7.1 Schema y backfill controlado</w:t>
      </w:r>
    </w:p>
    <w:p>
      <w:pPr>
        <w:pStyle w:val="ListBullet"/>
      </w:pPr>
      <w:r>
        <w:rPr>
          <w:rFonts w:ascii="Calibri" w:hAnsi="Calibri"/>
          <w:b w:val="0"/>
          <w:i w:val="0"/>
          <w:color w:val="20303C"/>
          <w:sz w:val="22"/>
        </w:rPr>
        <w:t>Se creó Company “Segmento de mercado” con internal name segmento_de_mercado_anam y 22 opciones.</w:t>
      </w:r>
    </w:p>
    <w:p>
      <w:pPr>
        <w:pStyle w:val="ListBullet"/>
      </w:pPr>
      <w:r>
        <w:rPr>
          <w:rFonts w:ascii="Calibri" w:hAnsi="Calibri"/>
          <w:b w:val="0"/>
          <w:i w:val="0"/>
          <w:color w:val="20303C"/>
          <w:sz w:val="22"/>
        </w:rPr>
        <w:t>Import 77871653 actualizó segmento y region_de_chile en 471 de 471 Companies seguras.</w:t>
      </w:r>
    </w:p>
    <w:p>
      <w:pPr>
        <w:pStyle w:val="ListBullet"/>
      </w:pPr>
      <w:r>
        <w:rPr>
          <w:rFonts w:ascii="Calibri" w:hAnsi="Calibri"/>
          <w:b w:val="0"/>
          <w:i w:val="0"/>
          <w:color w:val="20303C"/>
          <w:sz w:val="22"/>
        </w:rPr>
        <w:t>Import 77871743 actualizó sector_estrategico en 65 de 65 Companies: Acuícola 18, Energía 9, Minería 9 y Sanitarias 29.</w:t>
      </w:r>
    </w:p>
    <w:p>
      <w:pPr>
        <w:pStyle w:val="ListBullet"/>
      </w:pPr>
      <w:r>
        <w:rPr>
          <w:rFonts w:ascii="Calibri" w:hAnsi="Calibri"/>
          <w:b w:val="0"/>
          <w:i w:val="0"/>
          <w:color w:val="20303C"/>
          <w:sz w:val="22"/>
        </w:rPr>
        <w:t>Ambos imports finalizaron con cero errores, cero records nuevos, cero asociaciones, cero enriquecimiento y cero merges.</w:t>
      </w:r>
    </w:p>
    <w:p>
      <w:pPr>
        <w:pStyle w:val="ListBullet"/>
      </w:pPr>
      <w:r>
        <w:rPr>
          <w:rFonts w:ascii="Calibri" w:hAnsi="Calibri"/>
          <w:b w:val="0"/>
          <w:i w:val="0"/>
          <w:color w:val="20303C"/>
          <w:sz w:val="22"/>
        </w:rPr>
        <w:t>Se retuvieron 22 Companies bajo 11 claves normalizadas duplicadas, tres fuentes ambiguas y 527 no emparejadas.</w:t>
      </w:r>
    </w:p>
    <w:p>
      <w:pPr>
        <w:pStyle w:val="ListBullet"/>
      </w:pPr>
      <w:r>
        <w:rPr>
          <w:rFonts w:ascii="Calibri" w:hAnsi="Calibri"/>
          <w:b w:val="0"/>
          <w:i w:val="0"/>
          <w:color w:val="20303C"/>
          <w:sz w:val="22"/>
        </w:rPr>
        <w:t>Snapshots previos, manifests y readback posterior se conservaron separados para rollback.</w:t>
      </w:r>
    </w:p>
    <w:p>
      <w:pPr>
        <w:pStyle w:val="Heading2"/>
      </w:pPr>
      <w:r>
        <w:t>7.2 Gráficos diagnósticos publicados</w:t>
      </w:r>
    </w:p>
    <w:tbl>
      <w:tblPr>
        <w:tblStyle w:val="TableGrid"/>
        <w:tblW w:type="dxa" w:w="9360"/>
        <w:jc w:val="center"/>
        <w:tblLayout w:type="fixed"/>
        <w:tblLook w:firstColumn="1" w:firstRow="1" w:lastColumn="0" w:lastRow="0" w:noHBand="0" w:noVBand="1" w:val="04A0"/>
        <w:tblInd w:w="120" w:type="dxa"/>
      </w:tblPr>
      <w:tblGrid>
        <w:gridCol w:w="2800"/>
        <w:gridCol w:w="1500"/>
        <w:gridCol w:w="2400"/>
        <w:gridCol w:w="2660"/>
      </w:tblGrid>
      <w:tr>
        <w:trPr>
          <w:tblHeader w:val="true"/>
          <w:cantSplit/>
        </w:trPr>
        <w:tc>
          <w:tcPr>
            <w:tcW w:type="dxa" w:w="2800"/>
            <w:tcMar>
              <w:top w:w="80" w:type="dxa"/>
              <w:start w:w="120" w:type="dxa"/>
              <w:bottom w:w="80" w:type="dxa"/>
              <w:end w:w="120" w:type="dxa"/>
            </w:tcMar>
            <w:shd w:fill="005596"/>
            <w:vAlign w:val="center"/>
          </w:tcPr>
          <w:p>
            <w:pPr>
              <w:spacing w:after="0"/>
              <w:jc w:val="center"/>
            </w:pPr>
            <w:r>
              <w:rPr>
                <w:rFonts w:ascii="Calibri" w:hAnsi="Calibri"/>
                <w:b/>
                <w:i w:val="0"/>
                <w:color w:val="FFFFFF"/>
                <w:sz w:val="16"/>
              </w:rPr>
              <w:t>Gráfico</w:t>
            </w:r>
          </w:p>
        </w:tc>
        <w:tc>
          <w:tcPr>
            <w:tcW w:type="dxa" w:w="1500"/>
            <w:tcMar>
              <w:top w:w="80" w:type="dxa"/>
              <w:start w:w="120" w:type="dxa"/>
              <w:bottom w:w="80" w:type="dxa"/>
              <w:end w:w="120" w:type="dxa"/>
            </w:tcMar>
            <w:shd w:fill="005596"/>
            <w:vAlign w:val="center"/>
          </w:tcPr>
          <w:p>
            <w:pPr>
              <w:spacing w:after="0"/>
              <w:jc w:val="center"/>
            </w:pPr>
            <w:r>
              <w:rPr>
                <w:rFonts w:ascii="Calibri" w:hAnsi="Calibri"/>
                <w:b/>
                <w:i w:val="0"/>
                <w:color w:val="FFFFFF"/>
                <w:sz w:val="16"/>
              </w:rPr>
              <w:t>ID</w:t>
            </w:r>
          </w:p>
        </w:tc>
        <w:tc>
          <w:tcPr>
            <w:tcW w:type="dxa" w:w="2400"/>
            <w:tcMar>
              <w:top w:w="80" w:type="dxa"/>
              <w:start w:w="120" w:type="dxa"/>
              <w:bottom w:w="80" w:type="dxa"/>
              <w:end w:w="120" w:type="dxa"/>
            </w:tcMar>
            <w:shd w:fill="005596"/>
            <w:vAlign w:val="center"/>
          </w:tcPr>
          <w:p>
            <w:pPr>
              <w:spacing w:after="0"/>
              <w:jc w:val="center"/>
            </w:pPr>
            <w:r>
              <w:rPr>
                <w:rFonts w:ascii="Calibri" w:hAnsi="Calibri"/>
                <w:b/>
                <w:i w:val="0"/>
                <w:color w:val="FFFFFF"/>
                <w:sz w:val="16"/>
              </w:rPr>
              <w:t>Lectura al corte</w:t>
            </w:r>
          </w:p>
        </w:tc>
        <w:tc>
          <w:tcPr>
            <w:tcW w:type="dxa" w:w="2660"/>
            <w:tcMar>
              <w:top w:w="80" w:type="dxa"/>
              <w:start w:w="120" w:type="dxa"/>
              <w:bottom w:w="80" w:type="dxa"/>
              <w:end w:w="120" w:type="dxa"/>
            </w:tcMar>
            <w:shd w:fill="005596"/>
            <w:vAlign w:val="center"/>
          </w:tcPr>
          <w:p>
            <w:pPr>
              <w:spacing w:after="0"/>
              <w:jc w:val="center"/>
            </w:pPr>
            <w:r>
              <w:rPr>
                <w:rFonts w:ascii="Calibri" w:hAnsi="Calibri"/>
                <w:b/>
                <w:i w:val="0"/>
                <w:color w:val="FFFFFF"/>
                <w:sz w:val="16"/>
              </w:rPr>
              <w:t>Limitación</w:t>
            </w:r>
          </w:p>
        </w:tc>
      </w:tr>
      <w:tr>
        <w:trPr>
          <w:cantSplit/>
        </w:trPr>
        <w:tc>
          <w:tcPr>
            <w:tcW w:type="dxa" w:w="2800"/>
            <w:vAlign w:val="center"/>
          </w:tcPr>
          <w:p>
            <w:pPr>
              <w:spacing w:after="0"/>
            </w:pPr>
            <w:r>
              <w:rPr>
                <w:rFonts w:ascii="Calibri" w:hAnsi="Calibri"/>
                <w:b/>
                <w:i w:val="0"/>
                <w:color w:val="20303C"/>
                <w:sz w:val="16"/>
              </w:rPr>
              <w:t>Ventas ganadas por segmento — histórico parcial</w:t>
            </w:r>
          </w:p>
        </w:tc>
        <w:tc>
          <w:tcPr>
            <w:tcW w:type="dxa" w:w="1500"/>
            <w:vAlign w:val="center"/>
          </w:tcPr>
          <w:p>
            <w:pPr>
              <w:spacing w:after="0"/>
            </w:pPr>
            <w:r>
              <w:rPr>
                <w:rFonts w:ascii="Calibri" w:hAnsi="Calibri"/>
                <w:b w:val="0"/>
                <w:i w:val="0"/>
                <w:color w:val="20303C"/>
                <w:sz w:val="16"/>
              </w:rPr>
              <w:t>340896790</w:t>
            </w:r>
          </w:p>
        </w:tc>
        <w:tc>
          <w:tcPr>
            <w:tcW w:type="dxa" w:w="2400"/>
            <w:vAlign w:val="center"/>
          </w:tcPr>
          <w:p>
            <w:pPr>
              <w:spacing w:after="0"/>
            </w:pPr>
            <w:r>
              <w:rPr>
                <w:rFonts w:ascii="Calibri" w:hAnsi="Calibri"/>
                <w:b w:val="0"/>
                <w:i w:val="0"/>
                <w:color w:val="20303C"/>
                <w:sz w:val="16"/>
              </w:rPr>
              <w:t>14 categorías; CLF 41.830,35</w:t>
            </w:r>
          </w:p>
        </w:tc>
        <w:tc>
          <w:tcPr>
            <w:tcW w:type="dxa" w:w="2660"/>
            <w:vAlign w:val="center"/>
          </w:tcPr>
          <w:p>
            <w:pPr>
              <w:spacing w:after="0"/>
            </w:pPr>
            <w:r>
              <w:rPr>
                <w:rFonts w:ascii="Calibri" w:hAnsi="Calibri"/>
                <w:b w:val="0"/>
                <w:i w:val="0"/>
                <w:color w:val="20303C"/>
                <w:sz w:val="16"/>
              </w:rPr>
              <w:t>Sólo Deals ganados con Company/dimensión conocida.</w:t>
            </w:r>
          </w:p>
        </w:tc>
      </w:tr>
      <w:tr>
        <w:trPr>
          <w:cantSplit/>
        </w:trPr>
        <w:tc>
          <w:tcPr>
            <w:tcW w:type="dxa" w:w="2800"/>
            <w:shd w:fill="F4F7F9"/>
            <w:vAlign w:val="center"/>
          </w:tcPr>
          <w:p>
            <w:pPr>
              <w:spacing w:after="0"/>
            </w:pPr>
            <w:r>
              <w:rPr>
                <w:rFonts w:ascii="Calibri" w:hAnsi="Calibri"/>
                <w:b/>
                <w:i w:val="0"/>
                <w:color w:val="20303C"/>
                <w:sz w:val="16"/>
              </w:rPr>
              <w:t>Ventas ganadas por sector estratégico — histórico parcial</w:t>
            </w:r>
          </w:p>
        </w:tc>
        <w:tc>
          <w:tcPr>
            <w:tcW w:type="dxa" w:w="1500"/>
            <w:shd w:fill="F4F7F9"/>
            <w:vAlign w:val="center"/>
          </w:tcPr>
          <w:p>
            <w:pPr>
              <w:spacing w:after="0"/>
            </w:pPr>
            <w:r>
              <w:rPr>
                <w:rFonts w:ascii="Calibri" w:hAnsi="Calibri"/>
                <w:b w:val="0"/>
                <w:i w:val="0"/>
                <w:color w:val="20303C"/>
                <w:sz w:val="16"/>
              </w:rPr>
              <w:t>340897291</w:t>
            </w:r>
          </w:p>
        </w:tc>
        <w:tc>
          <w:tcPr>
            <w:tcW w:type="dxa" w:w="2400"/>
            <w:shd w:fill="F4F7F9"/>
            <w:vAlign w:val="center"/>
          </w:tcPr>
          <w:p>
            <w:pPr>
              <w:spacing w:after="0"/>
            </w:pPr>
            <w:r>
              <w:rPr>
                <w:rFonts w:ascii="Calibri" w:hAnsi="Calibri"/>
                <w:b w:val="0"/>
                <w:i w:val="0"/>
                <w:color w:val="20303C"/>
                <w:sz w:val="16"/>
              </w:rPr>
              <w:t>2 categorías; CLF 34.204,13</w:t>
            </w:r>
          </w:p>
        </w:tc>
        <w:tc>
          <w:tcPr>
            <w:tcW w:type="dxa" w:w="2660"/>
            <w:shd w:fill="F4F7F9"/>
            <w:vAlign w:val="center"/>
          </w:tcPr>
          <w:p>
            <w:pPr>
              <w:spacing w:after="0"/>
            </w:pPr>
            <w:r>
              <w:rPr>
                <w:rFonts w:ascii="Calibri" w:hAnsi="Calibri"/>
                <w:b w:val="0"/>
                <w:i w:val="0"/>
                <w:color w:val="20303C"/>
                <w:sz w:val="16"/>
              </w:rPr>
              <w:t>Cobertura sectorial parcial.</w:t>
            </w:r>
          </w:p>
        </w:tc>
      </w:tr>
      <w:tr>
        <w:trPr>
          <w:cantSplit/>
        </w:trPr>
        <w:tc>
          <w:tcPr>
            <w:tcW w:type="dxa" w:w="2800"/>
            <w:vAlign w:val="center"/>
          </w:tcPr>
          <w:p>
            <w:pPr>
              <w:spacing w:after="0"/>
            </w:pPr>
            <w:r>
              <w:rPr>
                <w:rFonts w:ascii="Calibri" w:hAnsi="Calibri"/>
                <w:b/>
                <w:i w:val="0"/>
                <w:color w:val="20303C"/>
                <w:sz w:val="16"/>
              </w:rPr>
              <w:t>Ventas ganadas por región de sede — histórico parcial</w:t>
            </w:r>
          </w:p>
        </w:tc>
        <w:tc>
          <w:tcPr>
            <w:tcW w:type="dxa" w:w="1500"/>
            <w:vAlign w:val="center"/>
          </w:tcPr>
          <w:p>
            <w:pPr>
              <w:spacing w:after="0"/>
            </w:pPr>
            <w:r>
              <w:rPr>
                <w:rFonts w:ascii="Calibri" w:hAnsi="Calibri"/>
                <w:b w:val="0"/>
                <w:i w:val="0"/>
                <w:color w:val="20303C"/>
                <w:sz w:val="16"/>
              </w:rPr>
              <w:t>340897635</w:t>
            </w:r>
          </w:p>
        </w:tc>
        <w:tc>
          <w:tcPr>
            <w:tcW w:type="dxa" w:w="2400"/>
            <w:vAlign w:val="center"/>
          </w:tcPr>
          <w:p>
            <w:pPr>
              <w:spacing w:after="0"/>
            </w:pPr>
            <w:r>
              <w:rPr>
                <w:rFonts w:ascii="Calibri" w:hAnsi="Calibri"/>
                <w:b w:val="0"/>
                <w:i w:val="0"/>
                <w:color w:val="20303C"/>
                <w:sz w:val="16"/>
              </w:rPr>
              <w:t>12 regiones; CLF 41.830,35</w:t>
            </w:r>
          </w:p>
        </w:tc>
        <w:tc>
          <w:tcPr>
            <w:tcW w:type="dxa" w:w="2660"/>
            <w:vAlign w:val="center"/>
          </w:tcPr>
          <w:p>
            <w:pPr>
              <w:spacing w:after="0"/>
            </w:pPr>
            <w:r>
              <w:rPr>
                <w:rFonts w:ascii="Calibri" w:hAnsi="Calibri"/>
                <w:b w:val="0"/>
                <w:i w:val="0"/>
                <w:color w:val="20303C"/>
                <w:sz w:val="16"/>
              </w:rPr>
              <w:t>Región de Company, no necesariamente mercado servido.</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C"/>
          </w:tcPr>
          <w:p>
            <w:pPr>
              <w:pStyle w:val="Callout"/>
            </w:pPr>
            <w:r>
              <w:rPr>
                <w:rFonts w:ascii="Calibri" w:hAnsi="Calibri"/>
                <w:b/>
                <w:i w:val="0"/>
                <w:color w:val="12324A"/>
                <w:sz w:val="21"/>
              </w:rPr>
              <w:t xml:space="preserve">Clasificación: </w:t>
            </w:r>
            <w:r>
              <w:rPr>
                <w:rFonts w:ascii="Calibri" w:hAnsi="Calibri"/>
                <w:b w:val="0"/>
                <w:i w:val="0"/>
                <w:color w:val="12324A"/>
                <w:sz w:val="21"/>
              </w:rPr>
              <w:t>Los tres gráficos son diagnósticos históricos parciales. No representan facturación, revenue reconocido, TAM/SAM ni población completa. La publicación oficial está bloqueada mientras Deal→Company permanezca en 50,73%, por debajo del gate de 95%.</w:t>
            </w:r>
          </w:p>
        </w:tc>
      </w:tr>
    </w:tbl>
    <w:p>
      <w:pPr>
        <w:spacing w:after="0"/>
      </w:pPr>
    </w:p>
    <w:p>
      <w:pPr>
        <w:pStyle w:val="Heading1"/>
      </w:pPr>
      <w:r>
        <w:t>8. Remediación Deal–Company</w:t>
      </w:r>
    </w:p>
    <w:p>
      <w:r>
        <w:rPr>
          <w:rFonts w:ascii="Calibri" w:hAnsi="Calibri"/>
          <w:b w:val="0"/>
          <w:i w:val="0"/>
          <w:color w:val="20303C"/>
          <w:sz w:val="22"/>
        </w:rPr>
        <w:t>La asociación se trató como identidad, no como limpieza masiva. Sólo se ejecutaron pares donde todos los Contacts asociados a un Deal convergían en una única Company explícita.</w:t>
      </w:r>
    </w:p>
    <w:tbl>
      <w:tblPr>
        <w:tblStyle w:val="TableGrid"/>
        <w:tblW w:type="dxa" w:w="9360"/>
        <w:jc w:val="center"/>
        <w:tblLayout w:type="fixed"/>
        <w:tblLook w:firstColumn="1" w:firstRow="1" w:lastColumn="0" w:lastRow="0" w:noHBand="0" w:noVBand="1" w:val="04A0"/>
        <w:tblInd w:w="120" w:type="dxa"/>
      </w:tblPr>
      <w:tblGrid>
        <w:gridCol w:w="3850"/>
        <w:gridCol w:w="1450"/>
        <w:gridCol w:w="4060"/>
      </w:tblGrid>
      <w:tr>
        <w:trPr>
          <w:tblHeader w:val="true"/>
          <w:cantSplit/>
        </w:trPr>
        <w:tc>
          <w:tcPr>
            <w:tcW w:type="dxa" w:w="3850"/>
            <w:tcMar>
              <w:top w:w="80" w:type="dxa"/>
              <w:start w:w="120" w:type="dxa"/>
              <w:bottom w:w="80" w:type="dxa"/>
              <w:end w:w="120" w:type="dxa"/>
            </w:tcMar>
            <w:shd w:fill="005596"/>
            <w:vAlign w:val="center"/>
          </w:tcPr>
          <w:p>
            <w:pPr>
              <w:spacing w:after="0"/>
              <w:jc w:val="center"/>
            </w:pPr>
            <w:r>
              <w:rPr>
                <w:rFonts w:ascii="Calibri" w:hAnsi="Calibri"/>
                <w:b/>
                <w:i w:val="0"/>
                <w:color w:val="FFFFFF"/>
                <w:sz w:val="18"/>
              </w:rPr>
              <w:t>Cohorte</w:t>
            </w:r>
          </w:p>
        </w:tc>
        <w:tc>
          <w:tcPr>
            <w:tcW w:type="dxa" w:w="1450"/>
            <w:tcMar>
              <w:top w:w="80" w:type="dxa"/>
              <w:start w:w="120" w:type="dxa"/>
              <w:bottom w:w="80" w:type="dxa"/>
              <w:end w:w="120" w:type="dxa"/>
            </w:tcMar>
            <w:shd w:fill="005596"/>
            <w:vAlign w:val="center"/>
          </w:tcPr>
          <w:p>
            <w:pPr>
              <w:spacing w:after="0"/>
              <w:jc w:val="center"/>
            </w:pPr>
            <w:r>
              <w:rPr>
                <w:rFonts w:ascii="Calibri" w:hAnsi="Calibri"/>
                <w:b/>
                <w:i w:val="0"/>
                <w:color w:val="FFFFFF"/>
                <w:sz w:val="18"/>
              </w:rPr>
              <w:t>Cantidad</w:t>
            </w:r>
          </w:p>
        </w:tc>
        <w:tc>
          <w:tcPr>
            <w:tcW w:type="dxa" w:w="4060"/>
            <w:tcMar>
              <w:top w:w="80" w:type="dxa"/>
              <w:start w:w="120" w:type="dxa"/>
              <w:bottom w:w="80" w:type="dxa"/>
              <w:end w:w="120" w:type="dxa"/>
            </w:tcMar>
            <w:shd w:fill="005596"/>
            <w:vAlign w:val="center"/>
          </w:tcPr>
          <w:p>
            <w:pPr>
              <w:spacing w:after="0"/>
              <w:jc w:val="center"/>
            </w:pPr>
            <w:r>
              <w:rPr>
                <w:rFonts w:ascii="Calibri" w:hAnsi="Calibri"/>
                <w:b/>
                <w:i w:val="0"/>
                <w:color w:val="FFFFFF"/>
                <w:sz w:val="18"/>
              </w:rPr>
              <w:t>Tratamiento</w:t>
            </w:r>
          </w:p>
        </w:tc>
      </w:tr>
      <w:tr>
        <w:trPr>
          <w:cantSplit/>
        </w:trPr>
        <w:tc>
          <w:tcPr>
            <w:tcW w:type="dxa" w:w="3850"/>
            <w:vAlign w:val="center"/>
          </w:tcPr>
          <w:p>
            <w:pPr>
              <w:spacing w:after="0"/>
            </w:pPr>
            <w:r>
              <w:rPr>
                <w:rFonts w:ascii="Calibri" w:hAnsi="Calibri"/>
                <w:b/>
                <w:i w:val="0"/>
                <w:color w:val="20303C"/>
                <w:sz w:val="18"/>
              </w:rPr>
              <w:t>Alta confianza Deal→Contact→Company</w:t>
            </w:r>
          </w:p>
        </w:tc>
        <w:tc>
          <w:tcPr>
            <w:tcW w:type="dxa" w:w="1450"/>
            <w:vAlign w:val="center"/>
          </w:tcPr>
          <w:p>
            <w:pPr>
              <w:spacing w:after="0"/>
            </w:pPr>
            <w:r>
              <w:rPr>
                <w:rFonts w:ascii="Calibri" w:hAnsi="Calibri"/>
                <w:b w:val="0"/>
                <w:i w:val="0"/>
                <w:color w:val="20303C"/>
                <w:sz w:val="18"/>
              </w:rPr>
              <w:t>34</w:t>
            </w:r>
          </w:p>
        </w:tc>
        <w:tc>
          <w:tcPr>
            <w:tcW w:type="dxa" w:w="4060"/>
            <w:vAlign w:val="center"/>
          </w:tcPr>
          <w:p>
            <w:pPr>
              <w:spacing w:after="0"/>
            </w:pPr>
            <w:r>
              <w:rPr>
                <w:rFonts w:ascii="Calibri" w:hAnsi="Calibri"/>
                <w:b w:val="0"/>
                <w:i w:val="0"/>
                <w:color w:val="20303C"/>
                <w:sz w:val="18"/>
              </w:rPr>
              <w:t>Aprobada e importada como Primary.</w:t>
            </w:r>
          </w:p>
        </w:tc>
      </w:tr>
      <w:tr>
        <w:trPr>
          <w:cantSplit/>
        </w:trPr>
        <w:tc>
          <w:tcPr>
            <w:tcW w:type="dxa" w:w="3850"/>
            <w:shd w:fill="F4F7F9"/>
            <w:vAlign w:val="center"/>
          </w:tcPr>
          <w:p>
            <w:pPr>
              <w:spacing w:after="0"/>
            </w:pPr>
            <w:r>
              <w:rPr>
                <w:rFonts w:ascii="Calibri" w:hAnsi="Calibri"/>
                <w:b/>
                <w:i w:val="0"/>
                <w:color w:val="20303C"/>
                <w:sz w:val="18"/>
              </w:rPr>
              <w:t>Coincidencia sólo por dominio</w:t>
            </w:r>
          </w:p>
        </w:tc>
        <w:tc>
          <w:tcPr>
            <w:tcW w:type="dxa" w:w="1450"/>
            <w:shd w:fill="F4F7F9"/>
            <w:vAlign w:val="center"/>
          </w:tcPr>
          <w:p>
            <w:pPr>
              <w:spacing w:after="0"/>
            </w:pPr>
            <w:r>
              <w:rPr>
                <w:rFonts w:ascii="Calibri" w:hAnsi="Calibri"/>
                <w:b w:val="0"/>
                <w:i w:val="0"/>
                <w:color w:val="20303C"/>
                <w:sz w:val="18"/>
              </w:rPr>
              <w:t>113</w:t>
            </w:r>
          </w:p>
        </w:tc>
        <w:tc>
          <w:tcPr>
            <w:tcW w:type="dxa" w:w="4060"/>
            <w:shd w:fill="F4F7F9"/>
            <w:vAlign w:val="center"/>
          </w:tcPr>
          <w:p>
            <w:pPr>
              <w:spacing w:after="0"/>
            </w:pPr>
            <w:r>
              <w:rPr>
                <w:rFonts w:ascii="Calibri" w:hAnsi="Calibri"/>
                <w:b w:val="0"/>
                <w:i w:val="0"/>
                <w:color w:val="20303C"/>
                <w:sz w:val="18"/>
              </w:rPr>
              <w:t>Retenida para revisión manual.</w:t>
            </w:r>
          </w:p>
        </w:tc>
      </w:tr>
      <w:tr>
        <w:trPr>
          <w:cantSplit/>
        </w:trPr>
        <w:tc>
          <w:tcPr>
            <w:tcW w:type="dxa" w:w="3850"/>
            <w:vAlign w:val="center"/>
          </w:tcPr>
          <w:p>
            <w:pPr>
              <w:spacing w:after="0"/>
            </w:pPr>
            <w:r>
              <w:rPr>
                <w:rFonts w:ascii="Calibri" w:hAnsi="Calibri"/>
                <w:b/>
                <w:i w:val="0"/>
                <w:color w:val="20303C"/>
                <w:sz w:val="18"/>
              </w:rPr>
              <w:t>Sin evidencia suficiente</w:t>
            </w:r>
          </w:p>
        </w:tc>
        <w:tc>
          <w:tcPr>
            <w:tcW w:type="dxa" w:w="1450"/>
            <w:vAlign w:val="center"/>
          </w:tcPr>
          <w:p>
            <w:pPr>
              <w:spacing w:after="0"/>
            </w:pPr>
            <w:r>
              <w:rPr>
                <w:rFonts w:ascii="Calibri" w:hAnsi="Calibri"/>
                <w:b w:val="0"/>
                <w:i w:val="0"/>
                <w:color w:val="20303C"/>
                <w:sz w:val="18"/>
              </w:rPr>
              <w:t>498</w:t>
            </w:r>
          </w:p>
        </w:tc>
        <w:tc>
          <w:tcPr>
            <w:tcW w:type="dxa" w:w="4060"/>
            <w:vAlign w:val="center"/>
          </w:tcPr>
          <w:p>
            <w:pPr>
              <w:spacing w:after="0"/>
            </w:pPr>
            <w:r>
              <w:rPr>
                <w:rFonts w:ascii="Calibri" w:hAnsi="Calibri"/>
                <w:b w:val="0"/>
                <w:i w:val="0"/>
                <w:color w:val="20303C"/>
                <w:sz w:val="18"/>
              </w:rPr>
              <w:t>Held; sin modificación.</w:t>
            </w:r>
          </w:p>
        </w:tc>
      </w:tr>
      <w:tr>
        <w:trPr>
          <w:cantSplit/>
        </w:trPr>
        <w:tc>
          <w:tcPr>
            <w:tcW w:type="dxa" w:w="3850"/>
            <w:shd w:fill="F4F7F9"/>
            <w:vAlign w:val="center"/>
          </w:tcPr>
          <w:p>
            <w:pPr>
              <w:spacing w:after="0"/>
            </w:pPr>
            <w:r>
              <w:rPr>
                <w:rFonts w:ascii="Calibri" w:hAnsi="Calibri"/>
                <w:b/>
                <w:i w:val="0"/>
                <w:color w:val="20303C"/>
                <w:sz w:val="18"/>
              </w:rPr>
              <w:t>Deals sin Company al baseline</w:t>
            </w:r>
          </w:p>
        </w:tc>
        <w:tc>
          <w:tcPr>
            <w:tcW w:type="dxa" w:w="1450"/>
            <w:shd w:fill="F4F7F9"/>
            <w:vAlign w:val="center"/>
          </w:tcPr>
          <w:p>
            <w:pPr>
              <w:spacing w:after="0"/>
            </w:pPr>
            <w:r>
              <w:rPr>
                <w:rFonts w:ascii="Calibri" w:hAnsi="Calibri"/>
                <w:b w:val="0"/>
                <w:i w:val="0"/>
                <w:color w:val="20303C"/>
                <w:sz w:val="18"/>
              </w:rPr>
              <w:t>645</w:t>
            </w:r>
          </w:p>
        </w:tc>
        <w:tc>
          <w:tcPr>
            <w:tcW w:type="dxa" w:w="4060"/>
            <w:shd w:fill="F4F7F9"/>
            <w:vAlign w:val="center"/>
          </w:tcPr>
          <w:p>
            <w:pPr>
              <w:spacing w:after="0"/>
            </w:pPr>
            <w:r>
              <w:rPr>
                <w:rFonts w:ascii="Calibri" w:hAnsi="Calibri"/>
                <w:b w:val="0"/>
                <w:i w:val="0"/>
                <w:color w:val="20303C"/>
                <w:sz w:val="18"/>
              </w:rPr>
              <w:t>Universo inicial.</w:t>
            </w:r>
          </w:p>
        </w:tc>
      </w:tr>
    </w:tbl>
    <w:p>
      <w:pPr>
        <w:spacing w:after="0"/>
      </w:pPr>
    </w:p>
    <w:p>
      <w:pPr>
        <w:pStyle w:val="ListBullet"/>
      </w:pPr>
      <w:r>
        <w:rPr>
          <w:rFonts w:ascii="Calibri" w:hAnsi="Calibri"/>
          <w:b w:val="0"/>
          <w:i w:val="0"/>
          <w:color w:val="20303C"/>
          <w:sz w:val="22"/>
        </w:rPr>
        <w:t>Import 77872707 creó 34 pares Primary con cero errores y cero records nuevos.</w:t>
      </w:r>
    </w:p>
    <w:p>
      <w:pPr>
        <w:pStyle w:val="ListBullet"/>
      </w:pPr>
      <w:r>
        <w:rPr>
          <w:rFonts w:ascii="Calibri" w:hAnsi="Calibri"/>
          <w:b w:val="0"/>
          <w:i w:val="0"/>
          <w:color w:val="20303C"/>
          <w:sz w:val="22"/>
        </w:rPr>
        <w:t>HubSpot contabilizó 68 asociaciones direccionales para 34 pares; el readback confirmó 34/34, una Company por Deal y type ID 5.</w:t>
      </w:r>
    </w:p>
    <w:p>
      <w:pPr>
        <w:pStyle w:val="ListBullet"/>
      </w:pPr>
      <w:r>
        <w:rPr>
          <w:rFonts w:ascii="Calibri" w:hAnsi="Calibri"/>
          <w:b w:val="0"/>
          <w:i w:val="0"/>
          <w:color w:val="20303C"/>
          <w:sz w:val="22"/>
        </w:rPr>
        <w:t>Ningún target pertenecía a las Companies duplicadas conocidas.</w:t>
      </w:r>
    </w:p>
    <w:p>
      <w:pPr>
        <w:pStyle w:val="ListBullet"/>
      </w:pPr>
      <w:r>
        <w:rPr>
          <w:rFonts w:ascii="Calibri" w:hAnsi="Calibri"/>
          <w:b w:val="0"/>
          <w:i w:val="0"/>
          <w:color w:val="20303C"/>
          <w:sz w:val="22"/>
        </w:rPr>
        <w:t>Cobertura global posterior: 629/1.240 Deals = 50,73%; ganados 270/494 = 54,66%.</w:t>
      </w:r>
    </w:p>
    <w:p>
      <w:pPr>
        <w:pStyle w:val="ListBullet"/>
      </w:pPr>
      <w:r>
        <w:rPr>
          <w:rFonts w:ascii="Calibri" w:hAnsi="Calibri"/>
          <w:b w:val="0"/>
          <w:i w:val="0"/>
          <w:color w:val="20303C"/>
          <w:sz w:val="22"/>
        </w:rPr>
        <w:t>El dominio de email se mantuvo como pista manual, nunca como regla automática.</w:t>
      </w:r>
    </w:p>
    <w:p>
      <w:pPr>
        <w:pStyle w:val="Heading1"/>
      </w:pPr>
      <w:r>
        <w:t>9. Fase 3: Service, asociaciones y automatización</w:t>
      </w:r>
    </w:p>
    <w:p>
      <w:pPr>
        <w:pStyle w:val="Heading2"/>
      </w:pPr>
      <w:r>
        <w:t>9.1 Readiness y decisión de no hacer backfill masivo</w:t>
      </w:r>
    </w:p>
    <w:p>
      <w:r>
        <w:rPr>
          <w:rFonts w:ascii="Calibri" w:hAnsi="Calibri"/>
          <w:b w:val="0"/>
          <w:i w:val="0"/>
          <w:color w:val="20303C"/>
          <w:sz w:val="22"/>
        </w:rPr>
        <w:t>El análisis de 494 Deals ganados, 506 line items y 22 Products mostró que 220 line items ganados resolvían a Products existentes, pero sólo 186 tenían una Company única; apenas cinco contenían frecuencia, tres inicio, tres fin y cero estaban listos para migración sin inferencias. Los 13 ganados Q3 no tenían line items.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BEAEA"/>
          </w:tcPr>
          <w:p>
            <w:pPr>
              <w:pStyle w:val="Callout"/>
            </w:pPr>
            <w:r>
              <w:rPr>
                <w:rFonts w:ascii="Calibri" w:hAnsi="Calibri"/>
                <w:b/>
                <w:i w:val="0"/>
                <w:color w:val="A13A3A"/>
                <w:sz w:val="21"/>
              </w:rPr>
              <w:t xml:space="preserve">Decisión: </w:t>
            </w:r>
            <w:r>
              <w:rPr>
                <w:rFonts w:ascii="Calibri" w:hAnsi="Calibri"/>
                <w:b w:val="0"/>
                <w:i w:val="0"/>
                <w:color w:val="12324A"/>
                <w:sz w:val="21"/>
              </w:rPr>
              <w:t>NO-GO para backfill histórico masivo. GO para captura forward gobernada y piloto controlado de cinco Services.</w:t>
            </w:r>
          </w:p>
        </w:tc>
      </w:tr>
    </w:tbl>
    <w:p>
      <w:pPr>
        <w:spacing w:after="0"/>
      </w:pPr>
    </w:p>
    <w:p>
      <w:pPr>
        <w:pStyle w:val="Heading2"/>
      </w:pPr>
      <w:r>
        <w:t>9.2 Schema nativo de Service</w:t>
      </w:r>
    </w:p>
    <w:p>
      <w:pPr>
        <w:pStyle w:val="ListBullet"/>
      </w:pPr>
      <w:r>
        <w:rPr>
          <w:rFonts w:ascii="Calibri" w:hAnsi="Calibri"/>
          <w:b w:val="0"/>
          <w:i w:val="0"/>
          <w:color w:val="20303C"/>
          <w:sz w:val="22"/>
        </w:rPr>
        <w:t>Grupo interno anam_service_contract con label “Contrato y renovación ANAM”.</w:t>
      </w:r>
    </w:p>
    <w:p>
      <w:pPr>
        <w:pStyle w:val="ListBullet"/>
      </w:pPr>
      <w:r>
        <w:rPr>
          <w:rFonts w:ascii="Calibri" w:hAnsi="Calibri"/>
          <w:b w:val="0"/>
          <w:i w:val="0"/>
          <w:color w:val="20303C"/>
          <w:sz w:val="22"/>
        </w:rPr>
        <w:t>Diez propiedades creadas: nueve escalares y una calculada anam_service_field_readiness.</w:t>
      </w:r>
    </w:p>
    <w:p>
      <w:pPr>
        <w:pStyle w:val="ListBullet"/>
      </w:pPr>
      <w:r>
        <w:rPr>
          <w:rFonts w:ascii="Calibri" w:hAnsi="Calibri"/>
          <w:b w:val="0"/>
          <w:i w:val="0"/>
          <w:color w:val="20303C"/>
          <w:sz w:val="22"/>
        </w:rPr>
        <w:t>Convención: internal name snake_case; label visible natural; grupo propio de Service.</w:t>
      </w:r>
    </w:p>
    <w:p>
      <w:pPr>
        <w:pStyle w:val="ListBullet"/>
      </w:pPr>
      <w:r>
        <w:rPr>
          <w:rFonts w:ascii="Calibri" w:hAnsi="Calibri"/>
          <w:b w:val="0"/>
          <w:i w:val="0"/>
          <w:color w:val="20303C"/>
          <w:sz w:val="22"/>
        </w:rPr>
        <w:t>Readiness calculada distingue incomplete_core, review_pending, recurring_value_missing y fields_ready.</w:t>
      </w:r>
    </w:p>
    <w:p>
      <w:pPr>
        <w:pStyle w:val="ListBullet"/>
      </w:pPr>
      <w:r>
        <w:rPr>
          <w:rFonts w:ascii="Calibri" w:hAnsi="Calibri"/>
          <w:b w:val="0"/>
          <w:i w:val="0"/>
          <w:color w:val="20303C"/>
          <w:sz w:val="22"/>
        </w:rPr>
        <w:t>ARR se exige sólo para modelos recurring/mixed; una prestación repetible no se convierte automáticamente en revenue recurrente.</w:t>
      </w:r>
    </w:p>
    <w:p>
      <w:pPr>
        <w:pStyle w:val="ListBullet"/>
      </w:pPr>
      <w:r>
        <w:rPr>
          <w:rFonts w:ascii="Calibri" w:hAnsi="Calibri"/>
          <w:b w:val="0"/>
          <w:i w:val="0"/>
          <w:color w:val="20303C"/>
          <w:sz w:val="22"/>
        </w:rPr>
        <w:t>La fórmula no sustituye el gate final de asociaciones Company/Deal.</w:t>
      </w:r>
    </w:p>
    <w:p>
      <w:pPr>
        <w:pStyle w:val="Heading2"/>
      </w:pPr>
      <w:r>
        <w:t>9.3 Cinco Services controlados</w:t>
      </w:r>
    </w:p>
    <w:tbl>
      <w:tblPr>
        <w:tblStyle w:val="TableGrid"/>
        <w:tblW w:type="dxa" w:w="9360"/>
        <w:jc w:val="center"/>
        <w:tblLayout w:type="fixed"/>
        <w:tblLook w:firstColumn="1" w:firstRow="1" w:lastColumn="0" w:lastRow="0" w:noHBand="0" w:noVBand="1" w:val="04A0"/>
        <w:tblInd w:w="120" w:type="dxa"/>
      </w:tblPr>
      <w:tblGrid>
        <w:gridCol w:w="2500"/>
        <w:gridCol w:w="2000"/>
        <w:gridCol w:w="4860"/>
      </w:tblGrid>
      <w:tr>
        <w:trPr>
          <w:tblHeader w:val="true"/>
          <w:cantSplit/>
        </w:trPr>
        <w:tc>
          <w:tcPr>
            <w:tcW w:type="dxa" w:w="2500"/>
            <w:tcMar>
              <w:top w:w="80" w:type="dxa"/>
              <w:start w:w="120" w:type="dxa"/>
              <w:bottom w:w="80" w:type="dxa"/>
              <w:end w:w="120" w:type="dxa"/>
            </w:tcMar>
            <w:shd w:fill="005596"/>
            <w:vAlign w:val="center"/>
          </w:tcPr>
          <w:p>
            <w:pPr>
              <w:spacing w:after="0"/>
              <w:jc w:val="center"/>
            </w:pPr>
            <w:r>
              <w:rPr>
                <w:rFonts w:ascii="Calibri" w:hAnsi="Calibri"/>
                <w:b/>
                <w:i w:val="0"/>
                <w:color w:val="FFFFFF"/>
                <w:sz w:val="18"/>
              </w:rPr>
              <w:t>Service</w:t>
            </w:r>
          </w:p>
        </w:tc>
        <w:tc>
          <w:tcPr>
            <w:tcW w:type="dxa" w:w="20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4860"/>
            <w:tcMar>
              <w:top w:w="80" w:type="dxa"/>
              <w:start w:w="120" w:type="dxa"/>
              <w:bottom w:w="80" w:type="dxa"/>
              <w:end w:w="120" w:type="dxa"/>
            </w:tcMar>
            <w:shd w:fill="005596"/>
            <w:vAlign w:val="center"/>
          </w:tcPr>
          <w:p>
            <w:pPr>
              <w:spacing w:after="0"/>
              <w:jc w:val="center"/>
            </w:pPr>
            <w:r>
              <w:rPr>
                <w:rFonts w:ascii="Calibri" w:hAnsi="Calibri"/>
                <w:b/>
                <w:i w:val="0"/>
                <w:color w:val="FFFFFF"/>
                <w:sz w:val="18"/>
              </w:rPr>
              <w:t>Origen/estado</w:t>
            </w:r>
          </w:p>
        </w:tc>
      </w:tr>
      <w:tr>
        <w:trPr>
          <w:cantSplit/>
        </w:trPr>
        <w:tc>
          <w:tcPr>
            <w:tcW w:type="dxa" w:w="2500"/>
            <w:vAlign w:val="center"/>
          </w:tcPr>
          <w:p>
            <w:pPr>
              <w:spacing w:after="0"/>
            </w:pPr>
            <w:r>
              <w:rPr>
                <w:rFonts w:ascii="Calibri" w:hAnsi="Calibri"/>
                <w:b/>
                <w:i w:val="0"/>
                <w:color w:val="20303C"/>
                <w:sz w:val="18"/>
              </w:rPr>
              <w:t>Gasmar</w:t>
            </w:r>
          </w:p>
        </w:tc>
        <w:tc>
          <w:tcPr>
            <w:tcW w:type="dxa" w:w="2000"/>
            <w:vAlign w:val="center"/>
          </w:tcPr>
          <w:p>
            <w:pPr>
              <w:spacing w:after="0"/>
            </w:pPr>
            <w:r>
              <w:rPr>
                <w:rFonts w:ascii="Calibri" w:hAnsi="Calibri"/>
                <w:b w:val="0"/>
                <w:i w:val="0"/>
                <w:color w:val="20303C"/>
                <w:sz w:val="18"/>
              </w:rPr>
              <w:t>571105526327</w:t>
            </w:r>
          </w:p>
        </w:tc>
        <w:tc>
          <w:tcPr>
            <w:tcW w:type="dxa" w:w="4860"/>
            <w:vAlign w:val="center"/>
          </w:tcPr>
          <w:p>
            <w:pPr>
              <w:spacing w:after="0"/>
            </w:pPr>
            <w:r>
              <w:rPr>
                <w:rFonts w:ascii="Calibri" w:hAnsi="Calibri"/>
                <w:b w:val="0"/>
                <w:i w:val="0"/>
                <w:color w:val="20303C"/>
                <w:sz w:val="18"/>
              </w:rPr>
              <w:t>Creado desde adjudicación controlada; stage New.</w:t>
            </w:r>
          </w:p>
        </w:tc>
      </w:tr>
      <w:tr>
        <w:trPr>
          <w:cantSplit/>
        </w:trPr>
        <w:tc>
          <w:tcPr>
            <w:tcW w:type="dxa" w:w="2500"/>
            <w:shd w:fill="F4F7F9"/>
            <w:vAlign w:val="center"/>
          </w:tcPr>
          <w:p>
            <w:pPr>
              <w:spacing w:after="0"/>
            </w:pPr>
            <w:r>
              <w:rPr>
                <w:rFonts w:ascii="Calibri" w:hAnsi="Calibri"/>
                <w:b/>
                <w:i w:val="0"/>
                <w:color w:val="20303C"/>
                <w:sz w:val="18"/>
              </w:rPr>
              <w:t>Hidrogistica</w:t>
            </w:r>
          </w:p>
        </w:tc>
        <w:tc>
          <w:tcPr>
            <w:tcW w:type="dxa" w:w="2000"/>
            <w:shd w:fill="F4F7F9"/>
            <w:vAlign w:val="center"/>
          </w:tcPr>
          <w:p>
            <w:pPr>
              <w:spacing w:after="0"/>
            </w:pPr>
            <w:r>
              <w:rPr>
                <w:rFonts w:ascii="Calibri" w:hAnsi="Calibri"/>
                <w:b w:val="0"/>
                <w:i w:val="0"/>
                <w:color w:val="20303C"/>
                <w:sz w:val="18"/>
              </w:rPr>
              <w:t>571100062843</w:t>
            </w:r>
          </w:p>
        </w:tc>
        <w:tc>
          <w:tcPr>
            <w:tcW w:type="dxa" w:w="4860"/>
            <w:shd w:fill="F4F7F9"/>
            <w:vAlign w:val="center"/>
          </w:tcPr>
          <w:p>
            <w:pPr>
              <w:spacing w:after="0"/>
            </w:pPr>
            <w:r>
              <w:rPr>
                <w:rFonts w:ascii="Calibri" w:hAnsi="Calibri"/>
                <w:b w:val="0"/>
                <w:i w:val="0"/>
                <w:color w:val="20303C"/>
                <w:sz w:val="18"/>
              </w:rPr>
              <w:t>Creado y asociado a Company + Deal.</w:t>
            </w:r>
          </w:p>
        </w:tc>
      </w:tr>
      <w:tr>
        <w:trPr>
          <w:cantSplit/>
        </w:trPr>
        <w:tc>
          <w:tcPr>
            <w:tcW w:type="dxa" w:w="2500"/>
            <w:vAlign w:val="center"/>
          </w:tcPr>
          <w:p>
            <w:pPr>
              <w:spacing w:after="0"/>
            </w:pPr>
            <w:r>
              <w:rPr>
                <w:rFonts w:ascii="Calibri" w:hAnsi="Calibri"/>
                <w:b/>
                <w:i w:val="0"/>
                <w:color w:val="20303C"/>
                <w:sz w:val="18"/>
              </w:rPr>
              <w:t>Härting</w:t>
            </w:r>
          </w:p>
        </w:tc>
        <w:tc>
          <w:tcPr>
            <w:tcW w:type="dxa" w:w="2000"/>
            <w:vAlign w:val="center"/>
          </w:tcPr>
          <w:p>
            <w:pPr>
              <w:spacing w:after="0"/>
            </w:pPr>
            <w:r>
              <w:rPr>
                <w:rFonts w:ascii="Calibri" w:hAnsi="Calibri"/>
                <w:b w:val="0"/>
                <w:i w:val="0"/>
                <w:color w:val="20303C"/>
                <w:sz w:val="18"/>
              </w:rPr>
              <w:t>571115856266</w:t>
            </w:r>
          </w:p>
        </w:tc>
        <w:tc>
          <w:tcPr>
            <w:tcW w:type="dxa" w:w="4860"/>
            <w:vAlign w:val="center"/>
          </w:tcPr>
          <w:p>
            <w:pPr>
              <w:spacing w:after="0"/>
            </w:pPr>
            <w:r>
              <w:rPr>
                <w:rFonts w:ascii="Calibri" w:hAnsi="Calibri"/>
                <w:b w:val="0"/>
                <w:i w:val="0"/>
                <w:color w:val="20303C"/>
                <w:sz w:val="18"/>
              </w:rPr>
              <w:t>Creado y asociado a Company + Deal.</w:t>
            </w:r>
          </w:p>
        </w:tc>
      </w:tr>
      <w:tr>
        <w:trPr>
          <w:cantSplit/>
        </w:trPr>
        <w:tc>
          <w:tcPr>
            <w:tcW w:type="dxa" w:w="2500"/>
            <w:shd w:fill="F4F7F9"/>
            <w:vAlign w:val="center"/>
          </w:tcPr>
          <w:p>
            <w:pPr>
              <w:spacing w:after="0"/>
            </w:pPr>
            <w:r>
              <w:rPr>
                <w:rFonts w:ascii="Calibri" w:hAnsi="Calibri"/>
                <w:b/>
                <w:i w:val="0"/>
                <w:color w:val="20303C"/>
                <w:sz w:val="18"/>
              </w:rPr>
              <w:t>Golden Omega</w:t>
            </w:r>
          </w:p>
        </w:tc>
        <w:tc>
          <w:tcPr>
            <w:tcW w:type="dxa" w:w="2000"/>
            <w:shd w:fill="F4F7F9"/>
            <w:vAlign w:val="center"/>
          </w:tcPr>
          <w:p>
            <w:pPr>
              <w:spacing w:after="0"/>
            </w:pPr>
            <w:r>
              <w:rPr>
                <w:rFonts w:ascii="Calibri" w:hAnsi="Calibri"/>
                <w:b w:val="0"/>
                <w:i w:val="0"/>
                <w:color w:val="20303C"/>
                <w:sz w:val="18"/>
              </w:rPr>
              <w:t>571105038195</w:t>
            </w:r>
          </w:p>
        </w:tc>
        <w:tc>
          <w:tcPr>
            <w:tcW w:type="dxa" w:w="4860"/>
            <w:shd w:fill="F4F7F9"/>
            <w:vAlign w:val="center"/>
          </w:tcPr>
          <w:p>
            <w:pPr>
              <w:spacing w:after="0"/>
            </w:pPr>
            <w:r>
              <w:rPr>
                <w:rFonts w:ascii="Calibri" w:hAnsi="Calibri"/>
                <w:b w:val="0"/>
                <w:i w:val="0"/>
                <w:color w:val="20303C"/>
                <w:sz w:val="18"/>
              </w:rPr>
              <w:t>Creado y asociado a Company + Deal.</w:t>
            </w:r>
          </w:p>
        </w:tc>
      </w:tr>
      <w:tr>
        <w:trPr>
          <w:cantSplit/>
        </w:trPr>
        <w:tc>
          <w:tcPr>
            <w:tcW w:type="dxa" w:w="2500"/>
            <w:vAlign w:val="center"/>
          </w:tcPr>
          <w:p>
            <w:pPr>
              <w:spacing w:after="0"/>
            </w:pPr>
            <w:r>
              <w:rPr>
                <w:rFonts w:ascii="Calibri" w:hAnsi="Calibri"/>
                <w:b/>
                <w:i w:val="0"/>
                <w:color w:val="20303C"/>
                <w:sz w:val="18"/>
              </w:rPr>
              <w:t>McDonald's</w:t>
            </w:r>
          </w:p>
        </w:tc>
        <w:tc>
          <w:tcPr>
            <w:tcW w:type="dxa" w:w="2000"/>
            <w:vAlign w:val="center"/>
          </w:tcPr>
          <w:p>
            <w:pPr>
              <w:spacing w:after="0"/>
            </w:pPr>
            <w:r>
              <w:rPr>
                <w:rFonts w:ascii="Calibri" w:hAnsi="Calibri"/>
                <w:b w:val="0"/>
                <w:i w:val="0"/>
                <w:color w:val="20303C"/>
                <w:sz w:val="18"/>
              </w:rPr>
              <w:t>571114173986</w:t>
            </w:r>
          </w:p>
        </w:tc>
        <w:tc>
          <w:tcPr>
            <w:tcW w:type="dxa" w:w="4860"/>
            <w:vAlign w:val="center"/>
          </w:tcPr>
          <w:p>
            <w:pPr>
              <w:spacing w:after="0"/>
            </w:pPr>
            <w:r>
              <w:rPr>
                <w:rFonts w:ascii="Calibri" w:hAnsi="Calibri"/>
                <w:b w:val="0"/>
                <w:i w:val="0"/>
                <w:color w:val="20303C"/>
                <w:sz w:val="18"/>
              </w:rPr>
              <w:t>Creado y asociado a Company + Deal.</w:t>
            </w:r>
          </w:p>
        </w:tc>
      </w:tr>
    </w:tbl>
    <w:p>
      <w:pPr>
        <w:spacing w:after="0"/>
      </w:pPr>
    </w:p>
    <w:p>
      <w:pPr>
        <w:pStyle w:val="ListBullet"/>
      </w:pPr>
      <w:r>
        <w:rPr>
          <w:rFonts w:ascii="Calibri" w:hAnsi="Calibri"/>
          <w:b w:val="0"/>
          <w:i w:val="0"/>
          <w:color w:val="20303C"/>
          <w:sz w:val="22"/>
        </w:rPr>
        <w:t>Cada Service tiene key determinística, line item de origen, owner heredado, moneda, TCV/ARR, Company única y Deal de origen.</w:t>
      </w:r>
    </w:p>
    <w:p>
      <w:pPr>
        <w:pStyle w:val="ListBullet"/>
      </w:pPr>
      <w:r>
        <w:rPr>
          <w:rFonts w:ascii="Calibri" w:hAnsi="Calibri"/>
          <w:b w:val="0"/>
          <w:i w:val="0"/>
          <w:color w:val="20303C"/>
          <w:sz w:val="22"/>
        </w:rPr>
        <w:t>Asociación estándar 794 y label “Negocio de origen”; pares de labels live para origen, Deal de renovación y linaje Service.</w:t>
      </w:r>
    </w:p>
    <w:p>
      <w:pPr>
        <w:pStyle w:val="ListBullet"/>
      </w:pPr>
      <w:r>
        <w:rPr>
          <w:rFonts w:ascii="Calibri" w:hAnsi="Calibri"/>
          <w:b w:val="0"/>
          <w:i w:val="0"/>
          <w:color w:val="20303C"/>
          <w:sz w:val="22"/>
        </w:rPr>
        <w:t>Maria Paz Haeger, owner ID 166644139, quedó como reviewer de activación.</w:t>
      </w:r>
    </w:p>
    <w:p>
      <w:pPr>
        <w:pStyle w:val="ListBullet"/>
      </w:pPr>
      <w:r>
        <w:rPr>
          <w:rFonts w:ascii="Calibri" w:hAnsi="Calibri"/>
          <w:b w:val="0"/>
          <w:i w:val="0"/>
          <w:color w:val="20303C"/>
          <w:sz w:val="22"/>
        </w:rPr>
        <w:t>Los valores de activación posteriores se marcaron “DATOS DE EJEMPLO — PILOTO EFEONCE”. No son facts ratificados.</w:t>
      </w:r>
    </w:p>
    <w:p>
      <w:pPr>
        <w:pStyle w:val="Heading2"/>
      </w:pPr>
      <w:r>
        <w:t>9.4 Workflow de revisión humana</w:t>
      </w:r>
    </w:p>
    <w:p>
      <w:r>
        <w:rPr>
          <w:rFonts w:ascii="Calibri" w:hAnsi="Calibri"/>
          <w:b w:val="0"/>
          <w:i w:val="0"/>
          <w:color w:val="20303C"/>
          <w:sz w:val="22"/>
        </w:rPr>
        <w:t>Se verificó que HubSpot puede compilar acciones desde Service y crear tasks, pero se descartó usar un Deal workflow como materializador porque no respeta la cardinalidad un Service por line item. Tres probes aislados se eliminaron sin enrolamientos ni Services creados.</w:t>
      </w:r>
    </w:p>
    <w:p>
      <w:pPr>
        <w:pStyle w:val="ListBullet"/>
      </w:pPr>
      <w:r>
        <w:rPr>
          <w:rFonts w:ascii="Calibri" w:hAnsi="Calibri"/>
          <w:b w:val="0"/>
          <w:i w:val="0"/>
          <w:color w:val="20303C"/>
          <w:sz w:val="22"/>
        </w:rPr>
        <w:t>Workflow live: 1852406585.</w:t>
      </w:r>
    </w:p>
    <w:p>
      <w:pPr>
        <w:pStyle w:val="ListBullet"/>
      </w:pPr>
      <w:r>
        <w:rPr>
          <w:rFonts w:ascii="Calibri" w:hAnsi="Calibri"/>
          <w:b w:val="0"/>
          <w:i w:val="0"/>
          <w:color w:val="20303C"/>
          <w:sz w:val="22"/>
        </w:rPr>
        <w:t>Scope: exclusivamente las cinco keys piloto; sin emails, notificaciones ni property writes.</w:t>
      </w:r>
    </w:p>
    <w:p>
      <w:pPr>
        <w:pStyle w:val="ListBullet"/>
      </w:pPr>
      <w:r>
        <w:rPr>
          <w:rFonts w:ascii="Calibri" w:hAnsi="Calibri"/>
          <w:b w:val="0"/>
          <w:i w:val="0"/>
          <w:color w:val="20303C"/>
          <w:sz w:val="22"/>
        </w:rPr>
        <w:t>Gasmar se enroló manualmente primero y creó task 113075626559. Tras PASS se enrolaron los otros cuatro.</w:t>
      </w:r>
    </w:p>
    <w:p>
      <w:pPr>
        <w:pStyle w:val="ListBullet"/>
      </w:pPr>
      <w:r>
        <w:rPr>
          <w:rFonts w:ascii="Calibri" w:hAnsi="Calibri"/>
          <w:b w:val="0"/>
          <w:i w:val="0"/>
          <w:color w:val="20303C"/>
          <w:sz w:val="22"/>
        </w:rPr>
        <w:t>Tasks: Hidrogistica 113096134994; Härting 113095519764; Golden Omega 113082535993; McDonald’s 113081914498.</w:t>
      </w:r>
    </w:p>
    <w:p>
      <w:pPr>
        <w:pStyle w:val="ListBullet"/>
      </w:pPr>
      <w:r>
        <w:rPr>
          <w:rFonts w:ascii="Calibri" w:hAnsi="Calibri"/>
          <w:b w:val="0"/>
          <w:i w:val="0"/>
          <w:color w:val="20303C"/>
          <w:sz w:val="22"/>
        </w:rPr>
        <w:t>Exactamente cinco ejecuciones completas; Nestlé 564234555477 fue rechazado correctamente.</w:t>
      </w:r>
    </w:p>
    <w:p>
      <w:pPr>
        <w:pStyle w:val="ListBullet"/>
      </w:pPr>
      <w:r>
        <w:rPr>
          <w:rFonts w:ascii="Calibri" w:hAnsi="Calibri"/>
          <w:b w:val="0"/>
          <w:i w:val="0"/>
          <w:color w:val="20303C"/>
          <w:sz w:val="22"/>
        </w:rPr>
        <w:t>Re-enrollment permanece OFF. El workflow es cola humana de activación, no materializador ni promoción de KPI.</w:t>
      </w:r>
    </w:p>
    <w:p>
      <w:pPr>
        <w:pStyle w:val="Heading1"/>
      </w:pPr>
      <w:r>
        <w:t>10. Paneles piloto de Retención y Fidelización</w:t>
      </w:r>
    </w:p>
    <w:p>
      <w:pPr>
        <w:pStyle w:val="Heading2"/>
      </w:pPr>
      <w:r>
        <w:t>10.1 Retención — dashboard 21152855</w:t>
      </w:r>
    </w:p>
    <w:tbl>
      <w:tblPr>
        <w:tblStyle w:val="TableGrid"/>
        <w:tblW w:type="dxa" w:w="9360"/>
        <w:jc w:val="center"/>
        <w:tblLayout w:type="fixed"/>
        <w:tblLook w:firstColumn="1" w:firstRow="1" w:lastColumn="0" w:lastRow="0" w:noHBand="0" w:noVBand="1" w:val="04A0"/>
        <w:tblInd w:w="120" w:type="dxa"/>
      </w:tblPr>
      <w:tblGrid>
        <w:gridCol w:w="3900"/>
        <w:gridCol w:w="1800"/>
        <w:gridCol w:w="3660"/>
      </w:tblGrid>
      <w:tr>
        <w:trPr>
          <w:tblHeader w:val="true"/>
          <w:cantSplit/>
        </w:trPr>
        <w:tc>
          <w:tcPr>
            <w:tcW w:type="dxa" w:w="390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Reporte</w:t>
            </w:r>
          </w:p>
        </w:tc>
        <w:tc>
          <w:tcPr>
            <w:tcW w:type="dxa" w:w="18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366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Resultado piloto</w:t>
            </w:r>
          </w:p>
        </w:tc>
      </w:tr>
      <w:tr>
        <w:trPr>
          <w:cantSplit/>
        </w:trPr>
        <w:tc>
          <w:tcPr>
            <w:tcW w:type="dxa" w:w="3900"/>
            <w:vAlign w:val="center"/>
          </w:tcPr>
          <w:p>
            <w:pPr>
              <w:spacing w:after="0"/>
            </w:pPr>
            <w:r>
              <w:rPr>
                <w:rFonts w:ascii="Calibri" w:hAnsi="Calibri"/>
                <w:b/>
                <w:i w:val="0"/>
                <w:color w:val="20303C"/>
                <w:sz w:val="18"/>
              </w:rPr>
              <w:t>Portafolio de Services</w:t>
            </w:r>
          </w:p>
        </w:tc>
        <w:tc>
          <w:tcPr>
            <w:tcW w:type="dxa" w:w="1800"/>
            <w:vAlign w:val="center"/>
          </w:tcPr>
          <w:p>
            <w:pPr>
              <w:spacing w:after="0"/>
            </w:pPr>
            <w:r>
              <w:rPr>
                <w:rFonts w:ascii="Calibri" w:hAnsi="Calibri"/>
                <w:b w:val="0"/>
                <w:i w:val="0"/>
                <w:color w:val="20303C"/>
                <w:sz w:val="18"/>
              </w:rPr>
              <w:t>340874128</w:t>
            </w:r>
          </w:p>
        </w:tc>
        <w:tc>
          <w:tcPr>
            <w:tcW w:type="dxa" w:w="3660"/>
            <w:vAlign w:val="center"/>
          </w:tcPr>
          <w:p>
            <w:pPr>
              <w:spacing w:after="0"/>
            </w:pPr>
            <w:r>
              <w:rPr>
                <w:rFonts w:ascii="Calibri" w:hAnsi="Calibri"/>
                <w:b w:val="0"/>
                <w:i w:val="0"/>
                <w:color w:val="20303C"/>
                <w:sz w:val="18"/>
              </w:rPr>
              <w:t>5 filas y 13 campos.</w:t>
            </w:r>
          </w:p>
        </w:tc>
      </w:tr>
      <w:tr>
        <w:trPr>
          <w:cantSplit/>
        </w:trPr>
        <w:tc>
          <w:tcPr>
            <w:tcW w:type="dxa" w:w="3900"/>
            <w:shd w:fill="F4F7F9"/>
            <w:vAlign w:val="center"/>
          </w:tcPr>
          <w:p>
            <w:pPr>
              <w:spacing w:after="0"/>
            </w:pPr>
            <w:r>
              <w:rPr>
                <w:rFonts w:ascii="Calibri" w:hAnsi="Calibri"/>
                <w:b/>
                <w:i w:val="0"/>
                <w:color w:val="20303C"/>
                <w:sz w:val="18"/>
              </w:rPr>
              <w:t>Radar de riesgo/renovación</w:t>
            </w:r>
          </w:p>
        </w:tc>
        <w:tc>
          <w:tcPr>
            <w:tcW w:type="dxa" w:w="1800"/>
            <w:shd w:fill="F4F7F9"/>
            <w:vAlign w:val="center"/>
          </w:tcPr>
          <w:p>
            <w:pPr>
              <w:spacing w:after="0"/>
            </w:pPr>
            <w:r>
              <w:rPr>
                <w:rFonts w:ascii="Calibri" w:hAnsi="Calibri"/>
                <w:b w:val="0"/>
                <w:i w:val="0"/>
                <w:color w:val="20303C"/>
                <w:sz w:val="18"/>
              </w:rPr>
              <w:t>340874425</w:t>
            </w:r>
          </w:p>
        </w:tc>
        <w:tc>
          <w:tcPr>
            <w:tcW w:type="dxa" w:w="3660"/>
            <w:shd w:fill="F4F7F9"/>
            <w:vAlign w:val="center"/>
          </w:tcPr>
          <w:p>
            <w:pPr>
              <w:spacing w:after="0"/>
            </w:pPr>
            <w:r>
              <w:rPr>
                <w:rFonts w:ascii="Calibri" w:hAnsi="Calibri"/>
                <w:b w:val="0"/>
                <w:i w:val="0"/>
                <w:color w:val="20303C"/>
                <w:sz w:val="18"/>
              </w:rPr>
              <w:t>Härting + Hidrogistica por retraso o renovación próxima.</w:t>
            </w:r>
          </w:p>
        </w:tc>
      </w:tr>
      <w:tr>
        <w:trPr>
          <w:cantSplit/>
        </w:trPr>
        <w:tc>
          <w:tcPr>
            <w:tcW w:type="dxa" w:w="3900"/>
            <w:vAlign w:val="center"/>
          </w:tcPr>
          <w:p>
            <w:pPr>
              <w:spacing w:after="0"/>
            </w:pPr>
            <w:r>
              <w:rPr>
                <w:rFonts w:ascii="Calibri" w:hAnsi="Calibri"/>
                <w:b/>
                <w:i w:val="0"/>
                <w:color w:val="20303C"/>
                <w:sz w:val="18"/>
              </w:rPr>
              <w:t>Servicios recurrentes elegibles</w:t>
            </w:r>
          </w:p>
        </w:tc>
        <w:tc>
          <w:tcPr>
            <w:tcW w:type="dxa" w:w="1800"/>
            <w:vAlign w:val="center"/>
          </w:tcPr>
          <w:p>
            <w:pPr>
              <w:spacing w:after="0"/>
            </w:pPr>
            <w:r>
              <w:rPr>
                <w:rFonts w:ascii="Calibri" w:hAnsi="Calibri"/>
                <w:b w:val="0"/>
                <w:i w:val="0"/>
                <w:color w:val="20303C"/>
                <w:sz w:val="18"/>
              </w:rPr>
              <w:t>340877391</w:t>
            </w:r>
          </w:p>
        </w:tc>
        <w:tc>
          <w:tcPr>
            <w:tcW w:type="dxa" w:w="3660"/>
            <w:vAlign w:val="center"/>
          </w:tcPr>
          <w:p>
            <w:pPr>
              <w:spacing w:after="0"/>
            </w:pPr>
            <w:r>
              <w:rPr>
                <w:rFonts w:ascii="Calibri" w:hAnsi="Calibri"/>
                <w:b w:val="0"/>
                <w:i w:val="0"/>
                <w:color w:val="20303C"/>
                <w:sz w:val="18"/>
              </w:rPr>
              <w:t>2.</w:t>
            </w:r>
          </w:p>
        </w:tc>
      </w:tr>
      <w:tr>
        <w:trPr>
          <w:cantSplit/>
        </w:trPr>
        <w:tc>
          <w:tcPr>
            <w:tcW w:type="dxa" w:w="3900"/>
            <w:shd w:fill="F4F7F9"/>
            <w:vAlign w:val="center"/>
          </w:tcPr>
          <w:p>
            <w:pPr>
              <w:spacing w:after="0"/>
            </w:pPr>
            <w:r>
              <w:rPr>
                <w:rFonts w:ascii="Calibri" w:hAnsi="Calibri"/>
                <w:b/>
                <w:i w:val="0"/>
                <w:color w:val="20303C"/>
                <w:sz w:val="18"/>
              </w:rPr>
              <w:t>ARR elegible UF</w:t>
            </w:r>
          </w:p>
        </w:tc>
        <w:tc>
          <w:tcPr>
            <w:tcW w:type="dxa" w:w="1800"/>
            <w:shd w:fill="F4F7F9"/>
            <w:vAlign w:val="center"/>
          </w:tcPr>
          <w:p>
            <w:pPr>
              <w:spacing w:after="0"/>
            </w:pPr>
            <w:r>
              <w:rPr>
                <w:rFonts w:ascii="Calibri" w:hAnsi="Calibri"/>
                <w:b w:val="0"/>
                <w:i w:val="0"/>
                <w:color w:val="20303C"/>
                <w:sz w:val="18"/>
              </w:rPr>
              <w:t>340877588</w:t>
            </w:r>
          </w:p>
        </w:tc>
        <w:tc>
          <w:tcPr>
            <w:tcW w:type="dxa" w:w="3660"/>
            <w:shd w:fill="F4F7F9"/>
            <w:vAlign w:val="center"/>
          </w:tcPr>
          <w:p>
            <w:pPr>
              <w:spacing w:after="0"/>
            </w:pPr>
            <w:r>
              <w:rPr>
                <w:rFonts w:ascii="Calibri" w:hAnsi="Calibri"/>
                <w:b w:val="0"/>
                <w:i w:val="0"/>
                <w:color w:val="20303C"/>
                <w:sz w:val="18"/>
              </w:rPr>
              <w:t>22 UF.</w:t>
            </w:r>
          </w:p>
        </w:tc>
      </w:tr>
    </w:tbl>
    <w:p>
      <w:pPr>
        <w:spacing w:after="0"/>
      </w:pPr>
    </w:p>
    <w:p>
      <w:pPr>
        <w:pStyle w:val="Heading2"/>
      </w:pPr>
      <w:r>
        <w:t>10.2 Fidelización — dashboard 21152950</w:t>
      </w:r>
    </w:p>
    <w:tbl>
      <w:tblPr>
        <w:tblStyle w:val="TableGrid"/>
        <w:tblW w:type="dxa" w:w="9360"/>
        <w:jc w:val="center"/>
        <w:tblLayout w:type="fixed"/>
        <w:tblLook w:firstColumn="1" w:firstRow="1" w:lastColumn="0" w:lastRow="0" w:noHBand="0" w:noVBand="1" w:val="04A0"/>
        <w:tblInd w:w="120" w:type="dxa"/>
      </w:tblPr>
      <w:tblGrid>
        <w:gridCol w:w="3900"/>
        <w:gridCol w:w="1800"/>
        <w:gridCol w:w="3660"/>
      </w:tblGrid>
      <w:tr>
        <w:trPr>
          <w:tblHeader w:val="true"/>
          <w:cantSplit/>
        </w:trPr>
        <w:tc>
          <w:tcPr>
            <w:tcW w:type="dxa" w:w="390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Reporte</w:t>
            </w:r>
          </w:p>
        </w:tc>
        <w:tc>
          <w:tcPr>
            <w:tcW w:type="dxa" w:w="18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366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Resultado piloto</w:t>
            </w:r>
          </w:p>
        </w:tc>
      </w:tr>
      <w:tr>
        <w:trPr>
          <w:cantSplit/>
        </w:trPr>
        <w:tc>
          <w:tcPr>
            <w:tcW w:type="dxa" w:w="3900"/>
            <w:vAlign w:val="center"/>
          </w:tcPr>
          <w:p>
            <w:pPr>
              <w:spacing w:after="0"/>
            </w:pPr>
            <w:r>
              <w:rPr>
                <w:rFonts w:ascii="Calibri" w:hAnsi="Calibri"/>
                <w:b/>
                <w:i w:val="0"/>
                <w:color w:val="20303C"/>
                <w:sz w:val="18"/>
              </w:rPr>
              <w:t>Cola de atención</w:t>
            </w:r>
          </w:p>
        </w:tc>
        <w:tc>
          <w:tcPr>
            <w:tcW w:type="dxa" w:w="1800"/>
            <w:vAlign w:val="center"/>
          </w:tcPr>
          <w:p>
            <w:pPr>
              <w:spacing w:after="0"/>
            </w:pPr>
            <w:r>
              <w:rPr>
                <w:rFonts w:ascii="Calibri" w:hAnsi="Calibri"/>
                <w:b w:val="0"/>
                <w:i w:val="0"/>
                <w:color w:val="20303C"/>
                <w:sz w:val="18"/>
              </w:rPr>
              <w:t>340874258</w:t>
            </w:r>
          </w:p>
        </w:tc>
        <w:tc>
          <w:tcPr>
            <w:tcW w:type="dxa" w:w="3660"/>
            <w:vAlign w:val="center"/>
          </w:tcPr>
          <w:p>
            <w:pPr>
              <w:spacing w:after="0"/>
            </w:pPr>
            <w:r>
              <w:rPr>
                <w:rFonts w:ascii="Calibri" w:hAnsi="Calibri"/>
                <w:b w:val="0"/>
                <w:i w:val="0"/>
                <w:color w:val="20303C"/>
                <w:sz w:val="18"/>
              </w:rPr>
              <w:t>Härting + Hidrogistica.</w:t>
            </w:r>
          </w:p>
        </w:tc>
      </w:tr>
      <w:tr>
        <w:trPr>
          <w:cantSplit/>
        </w:trPr>
        <w:tc>
          <w:tcPr>
            <w:tcW w:type="dxa" w:w="3900"/>
            <w:shd w:fill="F4F7F9"/>
            <w:vAlign w:val="center"/>
          </w:tcPr>
          <w:p>
            <w:pPr>
              <w:spacing w:after="0"/>
            </w:pPr>
            <w:r>
              <w:rPr>
                <w:rFonts w:ascii="Calibri" w:hAnsi="Calibri"/>
                <w:b/>
                <w:i w:val="0"/>
                <w:color w:val="20303C"/>
                <w:sz w:val="18"/>
              </w:rPr>
              <w:t>Servicios en seguimiento</w:t>
            </w:r>
          </w:p>
        </w:tc>
        <w:tc>
          <w:tcPr>
            <w:tcW w:type="dxa" w:w="1800"/>
            <w:shd w:fill="F4F7F9"/>
            <w:vAlign w:val="center"/>
          </w:tcPr>
          <w:p>
            <w:pPr>
              <w:spacing w:after="0"/>
            </w:pPr>
            <w:r>
              <w:rPr>
                <w:rFonts w:ascii="Calibri" w:hAnsi="Calibri"/>
                <w:b w:val="0"/>
                <w:i w:val="0"/>
                <w:color w:val="20303C"/>
                <w:sz w:val="18"/>
              </w:rPr>
              <w:t>340877942</w:t>
            </w:r>
          </w:p>
        </w:tc>
        <w:tc>
          <w:tcPr>
            <w:tcW w:type="dxa" w:w="3660"/>
            <w:shd w:fill="F4F7F9"/>
            <w:vAlign w:val="center"/>
          </w:tcPr>
          <w:p>
            <w:pPr>
              <w:spacing w:after="0"/>
            </w:pPr>
            <w:r>
              <w:rPr>
                <w:rFonts w:ascii="Calibri" w:hAnsi="Calibri"/>
                <w:b w:val="0"/>
                <w:i w:val="0"/>
                <w:color w:val="20303C"/>
                <w:sz w:val="18"/>
              </w:rPr>
              <w:t>2.</w:t>
            </w:r>
          </w:p>
        </w:tc>
      </w:tr>
      <w:tr>
        <w:trPr>
          <w:cantSplit/>
        </w:trPr>
        <w:tc>
          <w:tcPr>
            <w:tcW w:type="dxa" w:w="3900"/>
            <w:vAlign w:val="center"/>
          </w:tcPr>
          <w:p>
            <w:pPr>
              <w:spacing w:after="0"/>
            </w:pPr>
            <w:r>
              <w:rPr>
                <w:rFonts w:ascii="Calibri" w:hAnsi="Calibri"/>
                <w:b/>
                <w:i w:val="0"/>
                <w:color w:val="20303C"/>
                <w:sz w:val="18"/>
              </w:rPr>
              <w:t>Servicios con retraso</w:t>
            </w:r>
          </w:p>
        </w:tc>
        <w:tc>
          <w:tcPr>
            <w:tcW w:type="dxa" w:w="1800"/>
            <w:vAlign w:val="center"/>
          </w:tcPr>
          <w:p>
            <w:pPr>
              <w:spacing w:after="0"/>
            </w:pPr>
            <w:r>
              <w:rPr>
                <w:rFonts w:ascii="Calibri" w:hAnsi="Calibri"/>
                <w:b w:val="0"/>
                <w:i w:val="0"/>
                <w:color w:val="20303C"/>
                <w:sz w:val="18"/>
              </w:rPr>
              <w:t>340878184</w:t>
            </w:r>
          </w:p>
        </w:tc>
        <w:tc>
          <w:tcPr>
            <w:tcW w:type="dxa" w:w="3660"/>
            <w:vAlign w:val="center"/>
          </w:tcPr>
          <w:p>
            <w:pPr>
              <w:spacing w:after="0"/>
            </w:pPr>
            <w:r>
              <w:rPr>
                <w:rFonts w:ascii="Calibri" w:hAnsi="Calibri"/>
                <w:b w:val="0"/>
                <w:i w:val="0"/>
                <w:color w:val="20303C"/>
                <w:sz w:val="18"/>
              </w:rPr>
              <w:t>1.</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C"/>
          </w:tcPr>
          <w:p>
            <w:pPr>
              <w:pStyle w:val="Callout"/>
            </w:pPr>
            <w:r>
              <w:rPr>
                <w:rFonts w:ascii="Calibri" w:hAnsi="Calibri"/>
                <w:b/>
                <w:i w:val="0"/>
                <w:color w:val="12324A"/>
                <w:sz w:val="21"/>
              </w:rPr>
              <w:t xml:space="preserve">Límite ejecutivo: </w:t>
            </w:r>
            <w:r>
              <w:rPr>
                <w:rFonts w:ascii="Calibri" w:hAnsi="Calibri"/>
                <w:b w:val="0"/>
                <w:i w:val="0"/>
                <w:color w:val="12324A"/>
                <w:sz w:val="21"/>
              </w:rPr>
              <w:t>Estos siete reportes prueban construcción, asociaciones y fórmulas. No son métricas oficiales: usan cinco Services con inputs sintéticos, no una cohorte renovable completa. No se declararon GRR, NRR, NPS ni health score determinístico.</w:t>
            </w:r>
          </w:p>
        </w:tc>
      </w:tr>
    </w:tbl>
    <w:p>
      <w:pPr>
        <w:spacing w:after="0"/>
      </w:pPr>
    </w:p>
    <w:p>
      <w:pPr>
        <w:pStyle w:val="Heading1"/>
      </w:pPr>
      <w:r>
        <w:t>11. Modelo futuro de facturación</w:t>
      </w:r>
    </w:p>
    <w:p>
      <w:r>
        <w:rPr>
          <w:rFonts w:ascii="Calibri" w:hAnsi="Calibri"/>
          <w:b w:val="0"/>
          <w:i w:val="0"/>
          <w:color w:val="20303C"/>
          <w:sz w:val="22"/>
        </w:rPr>
        <w:t>Los 16.898 registros del archivo “Ticket Facturación” no son Tickets de soporte. Representan eventos repetidos de facturación y requieren un modelo idempotente, trazable y multimoneda antes de sincronizarse con HubSpot.</w:t>
      </w:r>
    </w:p>
    <w:tbl>
      <w:tblPr>
        <w:tblStyle w:val="TableGrid"/>
        <w:tblW w:type="dxa" w:w="9360"/>
        <w:jc w:val="center"/>
        <w:tblLayout w:type="fixed"/>
        <w:tblLook w:firstColumn="1" w:firstRow="1" w:lastColumn="0" w:lastRow="0" w:noHBand="0" w:noVBand="1" w:val="04A0"/>
        <w:tblInd w:w="120" w:type="dxa"/>
      </w:tblPr>
      <w:tblGrid>
        <w:gridCol w:w="2200"/>
        <w:gridCol w:w="4750"/>
        <w:gridCol w:w="2410"/>
      </w:tblGrid>
      <w:tr>
        <w:trPr>
          <w:tblHeader w:val="true"/>
          <w:cantSplit/>
        </w:trPr>
        <w:tc>
          <w:tcPr>
            <w:tcW w:type="dxa" w:w="2200"/>
            <w:tcMar>
              <w:top w:w="80" w:type="dxa"/>
              <w:start w:w="120" w:type="dxa"/>
              <w:bottom w:w="80" w:type="dxa"/>
              <w:end w:w="120" w:type="dxa"/>
            </w:tcMar>
            <w:shd w:fill="005596"/>
            <w:vAlign w:val="center"/>
          </w:tcPr>
          <w:p>
            <w:pPr>
              <w:spacing w:after="0"/>
              <w:jc w:val="center"/>
            </w:pPr>
            <w:r>
              <w:rPr>
                <w:rFonts w:ascii="Calibri" w:hAnsi="Calibri"/>
                <w:b/>
                <w:i w:val="0"/>
                <w:color w:val="FFFFFF"/>
                <w:sz w:val="18"/>
              </w:rPr>
              <w:t>Componente</w:t>
            </w:r>
          </w:p>
        </w:tc>
        <w:tc>
          <w:tcPr>
            <w:tcW w:type="dxa" w:w="475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Responsabilidad</w:t>
            </w:r>
          </w:p>
        </w:tc>
        <w:tc>
          <w:tcPr>
            <w:tcW w:type="dxa" w:w="2410"/>
            <w:tcMar>
              <w:top w:w="80" w:type="dxa"/>
              <w:start w:w="120" w:type="dxa"/>
              <w:bottom w:w="80" w:type="dxa"/>
              <w:end w:w="120" w:type="dxa"/>
            </w:tcMar>
            <w:shd w:fill="005596"/>
            <w:vAlign w:val="center"/>
          </w:tcPr>
          <w:p>
            <w:pPr>
              <w:spacing w:after="0"/>
              <w:jc w:val="center"/>
            </w:pPr>
            <w:r>
              <w:rPr>
                <w:rFonts w:ascii="Calibri" w:hAnsi="Calibri"/>
                <w:b/>
                <w:i w:val="0"/>
                <w:color w:val="FFFFFF"/>
                <w:sz w:val="18"/>
              </w:rPr>
              <w:t>Estado</w:t>
            </w:r>
          </w:p>
        </w:tc>
      </w:tr>
      <w:tr>
        <w:trPr>
          <w:cantSplit/>
        </w:trPr>
        <w:tc>
          <w:tcPr>
            <w:tcW w:type="dxa" w:w="2200"/>
            <w:vAlign w:val="center"/>
          </w:tcPr>
          <w:p>
            <w:pPr>
              <w:spacing w:after="0"/>
            </w:pPr>
            <w:r>
              <w:rPr>
                <w:rFonts w:ascii="Calibri" w:hAnsi="Calibri"/>
                <w:b/>
                <w:i w:val="0"/>
                <w:color w:val="20303C"/>
                <w:sz w:val="18"/>
              </w:rPr>
              <w:t>Managed intake</w:t>
            </w:r>
          </w:p>
        </w:tc>
        <w:tc>
          <w:tcPr>
            <w:tcW w:type="dxa" w:w="4750"/>
            <w:vAlign w:val="center"/>
          </w:tcPr>
          <w:p>
            <w:pPr>
              <w:spacing w:after="0"/>
            </w:pPr>
            <w:r>
              <w:rPr>
                <w:rFonts w:ascii="Calibri" w:hAnsi="Calibri"/>
                <w:b w:val="0"/>
                <w:i w:val="0"/>
                <w:color w:val="20303C"/>
                <w:sz w:val="18"/>
              </w:rPr>
              <w:t>Upload privado, antivirus, profiling, validación y revisión.</w:t>
            </w:r>
          </w:p>
        </w:tc>
        <w:tc>
          <w:tcPr>
            <w:tcW w:type="dxa" w:w="2410"/>
            <w:vAlign w:val="center"/>
          </w:tcPr>
          <w:p>
            <w:pPr>
              <w:spacing w:after="0"/>
            </w:pPr>
            <w:r>
              <w:rPr>
                <w:rFonts w:ascii="Calibri" w:hAnsi="Calibri"/>
                <w:b w:val="0"/>
                <w:i w:val="0"/>
                <w:color w:val="20303C"/>
                <w:sz w:val="18"/>
              </w:rPr>
              <w:t>Diseñado</w:t>
            </w:r>
          </w:p>
        </w:tc>
      </w:tr>
      <w:tr>
        <w:trPr>
          <w:cantSplit/>
        </w:trPr>
        <w:tc>
          <w:tcPr>
            <w:tcW w:type="dxa" w:w="2200"/>
            <w:shd w:fill="F4F7F9"/>
            <w:vAlign w:val="center"/>
          </w:tcPr>
          <w:p>
            <w:pPr>
              <w:spacing w:after="0"/>
            </w:pPr>
            <w:r>
              <w:rPr>
                <w:rFonts w:ascii="Calibri" w:hAnsi="Calibri"/>
                <w:b/>
                <w:i w:val="0"/>
                <w:color w:val="20303C"/>
                <w:sz w:val="18"/>
              </w:rPr>
              <w:t>Account Unit</w:t>
            </w:r>
          </w:p>
        </w:tc>
        <w:tc>
          <w:tcPr>
            <w:tcW w:type="dxa" w:w="4750"/>
            <w:shd w:fill="F4F7F9"/>
            <w:vAlign w:val="center"/>
          </w:tcPr>
          <w:p>
            <w:pPr>
              <w:spacing w:after="0"/>
            </w:pPr>
            <w:r>
              <w:rPr>
                <w:rFonts w:ascii="Calibri" w:hAnsi="Calibri"/>
                <w:b w:val="0"/>
                <w:i w:val="0"/>
                <w:color w:val="20303C"/>
                <w:sz w:val="18"/>
              </w:rPr>
              <w:t>Normalizar Código ANAM/CeCo y resolver Company revisada.</w:t>
            </w:r>
          </w:p>
        </w:tc>
        <w:tc>
          <w:tcPr>
            <w:tcW w:type="dxa" w:w="2410"/>
            <w:shd w:fill="F4F7F9"/>
            <w:vAlign w:val="center"/>
          </w:tcPr>
          <w:p>
            <w:pPr>
              <w:spacing w:after="0"/>
            </w:pPr>
            <w:r>
              <w:rPr>
                <w:rFonts w:ascii="Calibri" w:hAnsi="Calibri"/>
                <w:b w:val="0"/>
                <w:i w:val="0"/>
                <w:color w:val="20303C"/>
                <w:sz w:val="18"/>
              </w:rPr>
              <w:t>Propuesto</w:t>
            </w:r>
          </w:p>
        </w:tc>
      </w:tr>
      <w:tr>
        <w:trPr>
          <w:cantSplit/>
        </w:trPr>
        <w:tc>
          <w:tcPr>
            <w:tcW w:type="dxa" w:w="2200"/>
            <w:vAlign w:val="center"/>
          </w:tcPr>
          <w:p>
            <w:pPr>
              <w:spacing w:after="0"/>
            </w:pPr>
            <w:r>
              <w:rPr>
                <w:rFonts w:ascii="Calibri" w:hAnsi="Calibri"/>
                <w:b/>
                <w:i w:val="0"/>
                <w:color w:val="20303C"/>
                <w:sz w:val="18"/>
              </w:rPr>
              <w:t>Billing Event</w:t>
            </w:r>
          </w:p>
        </w:tc>
        <w:tc>
          <w:tcPr>
            <w:tcW w:type="dxa" w:w="4750"/>
            <w:vAlign w:val="center"/>
          </w:tcPr>
          <w:p>
            <w:pPr>
              <w:spacing w:after="0"/>
            </w:pPr>
            <w:r>
              <w:rPr>
                <w:rFonts w:ascii="Calibri" w:hAnsi="Calibri"/>
                <w:b w:val="0"/>
                <w:i w:val="0"/>
                <w:color w:val="20303C"/>
                <w:sz w:val="18"/>
              </w:rPr>
              <w:t>Un registro por evento fuente con unique key y moneda original.</w:t>
            </w:r>
          </w:p>
        </w:tc>
        <w:tc>
          <w:tcPr>
            <w:tcW w:type="dxa" w:w="2410"/>
            <w:vAlign w:val="center"/>
          </w:tcPr>
          <w:p>
            <w:pPr>
              <w:spacing w:after="0"/>
            </w:pPr>
            <w:r>
              <w:rPr>
                <w:rFonts w:ascii="Calibri" w:hAnsi="Calibri"/>
                <w:b w:val="0"/>
                <w:i w:val="0"/>
                <w:color w:val="20303C"/>
                <w:sz w:val="18"/>
              </w:rPr>
              <w:t>Schema preview/dry run</w:t>
            </w:r>
          </w:p>
        </w:tc>
      </w:tr>
      <w:tr>
        <w:trPr>
          <w:cantSplit/>
        </w:trPr>
        <w:tc>
          <w:tcPr>
            <w:tcW w:type="dxa" w:w="2200"/>
            <w:shd w:fill="F4F7F9"/>
            <w:vAlign w:val="center"/>
          </w:tcPr>
          <w:p>
            <w:pPr>
              <w:spacing w:after="0"/>
            </w:pPr>
            <w:r>
              <w:rPr>
                <w:rFonts w:ascii="Calibri" w:hAnsi="Calibri"/>
                <w:b/>
                <w:i w:val="0"/>
                <w:color w:val="20303C"/>
                <w:sz w:val="18"/>
              </w:rPr>
              <w:t>Asociaciones</w:t>
            </w:r>
          </w:p>
        </w:tc>
        <w:tc>
          <w:tcPr>
            <w:tcW w:type="dxa" w:w="4750"/>
            <w:shd w:fill="F4F7F9"/>
            <w:vAlign w:val="center"/>
          </w:tcPr>
          <w:p>
            <w:pPr>
              <w:spacing w:after="0"/>
            </w:pPr>
            <w:r>
              <w:rPr>
                <w:rFonts w:ascii="Calibri" w:hAnsi="Calibri"/>
                <w:b w:val="0"/>
                <w:i w:val="0"/>
                <w:color w:val="20303C"/>
                <w:sz w:val="18"/>
              </w:rPr>
              <w:t>Company directa; Service/Deal sólo con linaje determinístico.</w:t>
            </w:r>
          </w:p>
        </w:tc>
        <w:tc>
          <w:tcPr>
            <w:tcW w:type="dxa" w:w="2410"/>
            <w:shd w:fill="F4F7F9"/>
            <w:vAlign w:val="center"/>
          </w:tcPr>
          <w:p>
            <w:pPr>
              <w:spacing w:after="0"/>
            </w:pPr>
            <w:r>
              <w:rPr>
                <w:rFonts w:ascii="Calibri" w:hAnsi="Calibri"/>
                <w:b w:val="0"/>
                <w:i w:val="0"/>
                <w:color w:val="20303C"/>
                <w:sz w:val="18"/>
              </w:rPr>
              <w:t>Gate pendiente</w:t>
            </w:r>
          </w:p>
        </w:tc>
      </w:tr>
      <w:tr>
        <w:trPr>
          <w:cantSplit/>
        </w:trPr>
        <w:tc>
          <w:tcPr>
            <w:tcW w:type="dxa" w:w="2200"/>
            <w:vAlign w:val="center"/>
          </w:tcPr>
          <w:p>
            <w:pPr>
              <w:spacing w:after="0"/>
            </w:pPr>
            <w:r>
              <w:rPr>
                <w:rFonts w:ascii="Calibri" w:hAnsi="Calibri"/>
                <w:b/>
                <w:i w:val="0"/>
                <w:color w:val="20303C"/>
                <w:sz w:val="18"/>
              </w:rPr>
              <w:t>ETL mensual</w:t>
            </w:r>
          </w:p>
        </w:tc>
        <w:tc>
          <w:tcPr>
            <w:tcW w:type="dxa" w:w="4750"/>
            <w:vAlign w:val="center"/>
          </w:tcPr>
          <w:p>
            <w:pPr>
              <w:spacing w:after="0"/>
            </w:pPr>
            <w:r>
              <w:rPr>
                <w:rFonts w:ascii="Calibri" w:hAnsi="Calibri"/>
                <w:b w:val="0"/>
                <w:i w:val="0"/>
                <w:color w:val="20303C"/>
                <w:sz w:val="18"/>
              </w:rPr>
              <w:t>Upsert idempotente con ledger de run y aprobación humana.</w:t>
            </w:r>
          </w:p>
        </w:tc>
        <w:tc>
          <w:tcPr>
            <w:tcW w:type="dxa" w:w="2410"/>
            <w:vAlign w:val="center"/>
          </w:tcPr>
          <w:p>
            <w:pPr>
              <w:spacing w:after="0"/>
            </w:pPr>
            <w:r>
              <w:rPr>
                <w:rFonts w:ascii="Calibri" w:hAnsi="Calibri"/>
                <w:b w:val="0"/>
                <w:i w:val="0"/>
                <w:color w:val="20303C"/>
                <w:sz w:val="18"/>
              </w:rPr>
              <w:t>Operating model definido</w:t>
            </w:r>
          </w:p>
        </w:tc>
      </w:tr>
      <w:tr>
        <w:trPr>
          <w:cantSplit/>
        </w:trPr>
        <w:tc>
          <w:tcPr>
            <w:tcW w:type="dxa" w:w="2200"/>
            <w:shd w:fill="F4F7F9"/>
            <w:vAlign w:val="center"/>
          </w:tcPr>
          <w:p>
            <w:pPr>
              <w:spacing w:after="0"/>
            </w:pPr>
            <w:r>
              <w:rPr>
                <w:rFonts w:ascii="Calibri" w:hAnsi="Calibri"/>
                <w:b/>
                <w:i w:val="0"/>
                <w:color w:val="20303C"/>
                <w:sz w:val="18"/>
              </w:rPr>
              <w:t>Backfill</w:t>
            </w:r>
          </w:p>
        </w:tc>
        <w:tc>
          <w:tcPr>
            <w:tcW w:type="dxa" w:w="4750"/>
            <w:shd w:fill="F4F7F9"/>
            <w:vAlign w:val="center"/>
          </w:tcPr>
          <w:p>
            <w:pPr>
              <w:spacing w:after="0"/>
            </w:pPr>
            <w:r>
              <w:rPr>
                <w:rFonts w:ascii="Calibri" w:hAnsi="Calibri"/>
                <w:b w:val="0"/>
                <w:i w:val="0"/>
                <w:color w:val="20303C"/>
                <w:sz w:val="18"/>
              </w:rPr>
              <w:t>Import histórico de eventos.</w:t>
            </w:r>
          </w:p>
        </w:tc>
        <w:tc>
          <w:tcPr>
            <w:tcW w:type="dxa" w:w="2410"/>
            <w:shd w:fill="F4F7F9"/>
            <w:vAlign w:val="center"/>
          </w:tcPr>
          <w:p>
            <w:pPr>
              <w:spacing w:after="0"/>
            </w:pPr>
            <w:r>
              <w:rPr>
                <w:rFonts w:ascii="Calibri" w:hAnsi="Calibri"/>
                <w:b w:val="0"/>
                <w:i w:val="0"/>
                <w:color w:val="20303C"/>
                <w:sz w:val="18"/>
              </w:rPr>
              <w:t>NO-GO por matching insuficiente</w:t>
            </w:r>
          </w:p>
        </w:tc>
      </w:tr>
    </w:tbl>
    <w:p>
      <w:pPr>
        <w:spacing w:after="0"/>
      </w:pPr>
    </w:p>
    <w:p>
      <w:pPr>
        <w:pStyle w:val="Heading2"/>
      </w:pPr>
      <w:r>
        <w:t>11.1 Controles no negociables</w:t>
      </w:r>
    </w:p>
    <w:p>
      <w:pPr>
        <w:pStyle w:val="ListBullet"/>
      </w:pPr>
      <w:r>
        <w:rPr>
          <w:rFonts w:ascii="Calibri" w:hAnsi="Calibri"/>
          <w:b w:val="0"/>
          <w:i w:val="0"/>
          <w:color w:val="20303C"/>
          <w:sz w:val="22"/>
        </w:rPr>
        <w:t>No crear un Service por fila mensual de facturación.</w:t>
      </w:r>
    </w:p>
    <w:p>
      <w:pPr>
        <w:pStyle w:val="ListBullet"/>
      </w:pPr>
      <w:r>
        <w:rPr>
          <w:rFonts w:ascii="Calibri" w:hAnsi="Calibri"/>
          <w:b w:val="0"/>
          <w:i w:val="0"/>
          <w:color w:val="20303C"/>
          <w:sz w:val="22"/>
        </w:rPr>
        <w:t>No aplanar facturas, EDP, HES/HAS o LIMS dentro de Deal o Company.</w:t>
      </w:r>
    </w:p>
    <w:p>
      <w:pPr>
        <w:pStyle w:val="ListBullet"/>
      </w:pPr>
      <w:r>
        <w:rPr>
          <w:rFonts w:ascii="Calibri" w:hAnsi="Calibri"/>
          <w:b w:val="0"/>
          <w:i w:val="0"/>
          <w:color w:val="20303C"/>
          <w:sz w:val="22"/>
        </w:rPr>
        <w:t>No almacenar múltiples códigos ANAM en una propiedad única de Company.</w:t>
      </w:r>
    </w:p>
    <w:p>
      <w:pPr>
        <w:pStyle w:val="ListBullet"/>
      </w:pPr>
      <w:r>
        <w:rPr>
          <w:rFonts w:ascii="Calibri" w:hAnsi="Calibri"/>
          <w:b w:val="0"/>
          <w:i w:val="0"/>
          <w:color w:val="20303C"/>
          <w:sz w:val="22"/>
        </w:rPr>
        <w:t>No crear Companies hijas sin evidencia de que el código representa una cuenta/branch real.</w:t>
      </w:r>
    </w:p>
    <w:p>
      <w:pPr>
        <w:pStyle w:val="ListBullet"/>
      </w:pPr>
      <w:r>
        <w:rPr>
          <w:rFonts w:ascii="Calibri" w:hAnsi="Calibri"/>
          <w:b w:val="0"/>
          <w:i w:val="0"/>
          <w:color w:val="20303C"/>
          <w:sz w:val="22"/>
        </w:rPr>
        <w:t>Conservar moneda original; promedios y sumas deben declarar grain y moneda.</w:t>
      </w:r>
    </w:p>
    <w:p>
      <w:pPr>
        <w:pStyle w:val="ListBullet"/>
      </w:pPr>
      <w:r>
        <w:rPr>
          <w:rFonts w:ascii="Calibri" w:hAnsi="Calibri"/>
          <w:b w:val="0"/>
          <w:i w:val="0"/>
          <w:color w:val="20303C"/>
          <w:sz w:val="22"/>
        </w:rPr>
        <w:t>Aprobación humana precede cualquier write; todo upsert usa source key idempotente.</w:t>
      </w:r>
    </w:p>
    <w:p>
      <w:pPr>
        <w:pStyle w:val="Heading1"/>
      </w:pPr>
      <w:r>
        <w:t>12. Defectos de calidad y disciplina comercial</w:t>
      </w:r>
    </w:p>
    <w:p>
      <w:r>
        <w:rPr>
          <w:rFonts w:ascii="Calibri" w:hAnsi="Calibri"/>
          <w:b w:val="0"/>
          <w:i w:val="0"/>
          <w:color w:val="20303C"/>
          <w:sz w:val="22"/>
        </w:rPr>
        <w:t>La evidencia muestra que una parte relevante de los gaps no proviene de falta de funcionalidades de HubSpot, sino de captura incompleta o inconsistente en el proceso comercial. Sin embargo, el informe evita atribuir cada defecto a “disciplina” sin separar causas de schema, integración, migración y adopción.</w:t>
      </w:r>
    </w:p>
    <w:tbl>
      <w:tblPr>
        <w:tblStyle w:val="TableGrid"/>
        <w:tblW w:type="dxa" w:w="9360"/>
        <w:jc w:val="center"/>
        <w:tblLayout w:type="fixed"/>
        <w:tblLook w:firstColumn="1" w:firstRow="1" w:lastColumn="0" w:lastRow="0" w:noHBand="0" w:noVBand="1" w:val="04A0"/>
        <w:tblInd w:w="120" w:type="dxa"/>
      </w:tblPr>
      <w:tblGrid>
        <w:gridCol w:w="2600"/>
        <w:gridCol w:w="2000"/>
        <w:gridCol w:w="4760"/>
      </w:tblGrid>
      <w:tr>
        <w:trPr>
          <w:tblHeader w:val="true"/>
          <w:cantSplit/>
        </w:trPr>
        <w:tc>
          <w:tcPr>
            <w:tcW w:type="dxa" w:w="2600"/>
            <w:tcMar>
              <w:top w:w="80" w:type="dxa"/>
              <w:start w:w="120" w:type="dxa"/>
              <w:bottom w:w="80" w:type="dxa"/>
              <w:end w:w="120" w:type="dxa"/>
            </w:tcMar>
            <w:shd w:fill="005596"/>
            <w:vAlign w:val="center"/>
          </w:tcPr>
          <w:p>
            <w:pPr>
              <w:spacing w:after="0"/>
              <w:jc w:val="center"/>
            </w:pPr>
            <w:r>
              <w:rPr>
                <w:rFonts w:ascii="Calibri" w:hAnsi="Calibri"/>
                <w:b/>
                <w:i w:val="0"/>
                <w:color w:val="FFFFFF"/>
                <w:sz w:val="17"/>
              </w:rPr>
              <w:t>Defecto observado</w:t>
            </w:r>
          </w:p>
        </w:tc>
        <w:tc>
          <w:tcPr>
            <w:tcW w:type="dxa" w:w="2000"/>
            <w:tcMar>
              <w:top w:w="80" w:type="dxa"/>
              <w:start w:w="120" w:type="dxa"/>
              <w:bottom w:w="80" w:type="dxa"/>
              <w:end w:w="120" w:type="dxa"/>
            </w:tcMar>
            <w:shd w:fill="005596"/>
            <w:vAlign w:val="center"/>
          </w:tcPr>
          <w:p>
            <w:pPr>
              <w:spacing w:after="0"/>
              <w:jc w:val="center"/>
            </w:pPr>
            <w:r>
              <w:rPr>
                <w:rFonts w:ascii="Calibri" w:hAnsi="Calibri"/>
                <w:b/>
                <w:i w:val="0"/>
                <w:color w:val="FFFFFF"/>
                <w:sz w:val="17"/>
              </w:rPr>
              <w:t>Evidencia</w:t>
            </w:r>
          </w:p>
        </w:tc>
        <w:tc>
          <w:tcPr>
            <w:tcW w:type="dxa" w:w="4760"/>
            <w:tcMar>
              <w:top w:w="80" w:type="dxa"/>
              <w:start w:w="120" w:type="dxa"/>
              <w:bottom w:w="80" w:type="dxa"/>
              <w:end w:w="120" w:type="dxa"/>
            </w:tcMar>
            <w:shd w:fill="005596"/>
            <w:vAlign w:val="center"/>
          </w:tcPr>
          <w:p>
            <w:pPr>
              <w:spacing w:after="0"/>
              <w:jc w:val="center"/>
            </w:pPr>
            <w:r>
              <w:rPr>
                <w:rFonts w:ascii="Calibri" w:hAnsi="Calibri"/>
                <w:b/>
                <w:i w:val="0"/>
                <w:color w:val="FFFFFF"/>
                <w:sz w:val="17"/>
              </w:rPr>
              <w:t>Causa probable/cola</w:t>
            </w:r>
          </w:p>
        </w:tc>
      </w:tr>
      <w:tr>
        <w:trPr>
          <w:cantSplit/>
        </w:trPr>
        <w:tc>
          <w:tcPr>
            <w:tcW w:type="dxa" w:w="2600"/>
            <w:vAlign w:val="center"/>
          </w:tcPr>
          <w:p>
            <w:pPr>
              <w:spacing w:after="0"/>
            </w:pPr>
            <w:r>
              <w:rPr>
                <w:rFonts w:ascii="Calibri" w:hAnsi="Calibri"/>
                <w:b/>
                <w:i w:val="0"/>
                <w:color w:val="20303C"/>
                <w:sz w:val="17"/>
              </w:rPr>
              <w:t>Deals ganados sin variación</w:t>
            </w:r>
          </w:p>
        </w:tc>
        <w:tc>
          <w:tcPr>
            <w:tcW w:type="dxa" w:w="2000"/>
            <w:vAlign w:val="center"/>
          </w:tcPr>
          <w:p>
            <w:pPr>
              <w:spacing w:after="0"/>
            </w:pPr>
            <w:r>
              <w:rPr>
                <w:rFonts w:ascii="Calibri" w:hAnsi="Calibri"/>
                <w:b w:val="0"/>
                <w:i w:val="0"/>
                <w:color w:val="20303C"/>
                <w:sz w:val="17"/>
              </w:rPr>
              <w:t>494</w:t>
            </w:r>
          </w:p>
        </w:tc>
        <w:tc>
          <w:tcPr>
            <w:tcW w:type="dxa" w:w="4760"/>
            <w:vAlign w:val="center"/>
          </w:tcPr>
          <w:p>
            <w:pPr>
              <w:spacing w:after="0"/>
            </w:pPr>
            <w:r>
              <w:rPr>
                <w:rFonts w:ascii="Calibri" w:hAnsi="Calibri"/>
                <w:b w:val="0"/>
                <w:i w:val="0"/>
                <w:color w:val="20303C"/>
                <w:sz w:val="17"/>
              </w:rPr>
              <w:t>Captura/adopción; recuperar cotizado y adjudicado antes de clasificar.</w:t>
            </w:r>
          </w:p>
        </w:tc>
      </w:tr>
      <w:tr>
        <w:trPr>
          <w:cantSplit/>
        </w:trPr>
        <w:tc>
          <w:tcPr>
            <w:tcW w:type="dxa" w:w="2600"/>
            <w:shd w:fill="F4F7F9"/>
            <w:vAlign w:val="center"/>
          </w:tcPr>
          <w:p>
            <w:pPr>
              <w:spacing w:after="0"/>
            </w:pPr>
            <w:r>
              <w:rPr>
                <w:rFonts w:ascii="Calibri" w:hAnsi="Calibri"/>
                <w:b/>
                <w:i w:val="0"/>
                <w:color w:val="20303C"/>
                <w:sz w:val="17"/>
              </w:rPr>
              <w:t>Q1–Q2 sin tipo de ingreso</w:t>
            </w:r>
          </w:p>
        </w:tc>
        <w:tc>
          <w:tcPr>
            <w:tcW w:type="dxa" w:w="2000"/>
            <w:shd w:fill="F4F7F9"/>
            <w:vAlign w:val="center"/>
          </w:tcPr>
          <w:p>
            <w:pPr>
              <w:spacing w:after="0"/>
            </w:pPr>
            <w:r>
              <w:rPr>
                <w:rFonts w:ascii="Calibri" w:hAnsi="Calibri"/>
                <w:b w:val="0"/>
                <w:i w:val="0"/>
                <w:color w:val="20303C"/>
                <w:sz w:val="17"/>
              </w:rPr>
              <w:t>82</w:t>
            </w:r>
          </w:p>
        </w:tc>
        <w:tc>
          <w:tcPr>
            <w:tcW w:type="dxa" w:w="4760"/>
            <w:shd w:fill="F4F7F9"/>
            <w:vAlign w:val="center"/>
          </w:tcPr>
          <w:p>
            <w:pPr>
              <w:spacing w:after="0"/>
            </w:pPr>
            <w:r>
              <w:rPr>
                <w:rFonts w:ascii="Calibri" w:hAnsi="Calibri"/>
                <w:b w:val="0"/>
                <w:i w:val="0"/>
                <w:color w:val="20303C"/>
                <w:sz w:val="17"/>
              </w:rPr>
              <w:t>Disciplina comercial y revisión por owner.</w:t>
            </w:r>
          </w:p>
        </w:tc>
      </w:tr>
      <w:tr>
        <w:trPr>
          <w:cantSplit/>
        </w:trPr>
        <w:tc>
          <w:tcPr>
            <w:tcW w:type="dxa" w:w="2600"/>
            <w:vAlign w:val="center"/>
          </w:tcPr>
          <w:p>
            <w:pPr>
              <w:spacing w:after="0"/>
            </w:pPr>
            <w:r>
              <w:rPr>
                <w:rFonts w:ascii="Calibri" w:hAnsi="Calibri"/>
                <w:b/>
                <w:i w:val="0"/>
                <w:color w:val="20303C"/>
                <w:sz w:val="17"/>
              </w:rPr>
              <w:t>Deals sin Company al baseline</w:t>
            </w:r>
          </w:p>
        </w:tc>
        <w:tc>
          <w:tcPr>
            <w:tcW w:type="dxa" w:w="2000"/>
            <w:vAlign w:val="center"/>
          </w:tcPr>
          <w:p>
            <w:pPr>
              <w:spacing w:after="0"/>
            </w:pPr>
            <w:r>
              <w:rPr>
                <w:rFonts w:ascii="Calibri" w:hAnsi="Calibri"/>
                <w:b w:val="0"/>
                <w:i w:val="0"/>
                <w:color w:val="20303C"/>
                <w:sz w:val="17"/>
              </w:rPr>
              <w:t>645</w:t>
            </w:r>
          </w:p>
        </w:tc>
        <w:tc>
          <w:tcPr>
            <w:tcW w:type="dxa" w:w="4760"/>
            <w:vAlign w:val="center"/>
          </w:tcPr>
          <w:p>
            <w:pPr>
              <w:spacing w:after="0"/>
            </w:pPr>
            <w:r>
              <w:rPr>
                <w:rFonts w:ascii="Calibri" w:hAnsi="Calibri"/>
                <w:b w:val="0"/>
                <w:i w:val="0"/>
                <w:color w:val="20303C"/>
                <w:sz w:val="17"/>
              </w:rPr>
              <w:t>Asociación/identidad; sólo 34 remediados automáticamente.</w:t>
            </w:r>
          </w:p>
        </w:tc>
      </w:tr>
      <w:tr>
        <w:trPr>
          <w:cantSplit/>
        </w:trPr>
        <w:tc>
          <w:tcPr>
            <w:tcW w:type="dxa" w:w="2600"/>
            <w:shd w:fill="F4F7F9"/>
            <w:vAlign w:val="center"/>
          </w:tcPr>
          <w:p>
            <w:pPr>
              <w:spacing w:after="0"/>
            </w:pPr>
            <w:r>
              <w:rPr>
                <w:rFonts w:ascii="Calibri" w:hAnsi="Calibri"/>
                <w:b/>
                <w:i w:val="0"/>
                <w:color w:val="20303C"/>
                <w:sz w:val="17"/>
              </w:rPr>
              <w:t>Companies duplicadas</w:t>
            </w:r>
          </w:p>
        </w:tc>
        <w:tc>
          <w:tcPr>
            <w:tcW w:type="dxa" w:w="2000"/>
            <w:shd w:fill="F4F7F9"/>
            <w:vAlign w:val="center"/>
          </w:tcPr>
          <w:p>
            <w:pPr>
              <w:spacing w:after="0"/>
            </w:pPr>
            <w:r>
              <w:rPr>
                <w:rFonts w:ascii="Calibri" w:hAnsi="Calibri"/>
                <w:b w:val="0"/>
                <w:i w:val="0"/>
                <w:color w:val="20303C"/>
                <w:sz w:val="17"/>
              </w:rPr>
              <w:t>22 records / 11 claves</w:t>
            </w:r>
          </w:p>
        </w:tc>
        <w:tc>
          <w:tcPr>
            <w:tcW w:type="dxa" w:w="4760"/>
            <w:shd w:fill="F4F7F9"/>
            <w:vAlign w:val="center"/>
          </w:tcPr>
          <w:p>
            <w:pPr>
              <w:spacing w:after="0"/>
            </w:pPr>
            <w:r>
              <w:rPr>
                <w:rFonts w:ascii="Calibri" w:hAnsi="Calibri"/>
                <w:b w:val="0"/>
                <w:i w:val="0"/>
                <w:color w:val="20303C"/>
                <w:sz w:val="17"/>
              </w:rPr>
              <w:t>Deuda de identidad; requiere aprobación de merge/corrección.</w:t>
            </w:r>
          </w:p>
        </w:tc>
      </w:tr>
      <w:tr>
        <w:trPr>
          <w:cantSplit/>
        </w:trPr>
        <w:tc>
          <w:tcPr>
            <w:tcW w:type="dxa" w:w="2600"/>
            <w:vAlign w:val="center"/>
          </w:tcPr>
          <w:p>
            <w:pPr>
              <w:spacing w:after="0"/>
            </w:pPr>
            <w:r>
              <w:rPr>
                <w:rFonts w:ascii="Calibri" w:hAnsi="Calibri"/>
                <w:b/>
                <w:i w:val="0"/>
                <w:color w:val="20303C"/>
                <w:sz w:val="17"/>
              </w:rPr>
              <w:t>Line items sin readiness Service</w:t>
            </w:r>
          </w:p>
        </w:tc>
        <w:tc>
          <w:tcPr>
            <w:tcW w:type="dxa" w:w="2000"/>
            <w:vAlign w:val="center"/>
          </w:tcPr>
          <w:p>
            <w:pPr>
              <w:spacing w:after="0"/>
            </w:pPr>
            <w:r>
              <w:rPr>
                <w:rFonts w:ascii="Calibri" w:hAnsi="Calibri"/>
                <w:b w:val="0"/>
                <w:i w:val="0"/>
                <w:color w:val="20303C"/>
                <w:sz w:val="17"/>
              </w:rPr>
              <w:t>220/220 no migrables sin inferencia</w:t>
            </w:r>
          </w:p>
        </w:tc>
        <w:tc>
          <w:tcPr>
            <w:tcW w:type="dxa" w:w="4760"/>
            <w:vAlign w:val="center"/>
          </w:tcPr>
          <w:p>
            <w:pPr>
              <w:spacing w:after="0"/>
            </w:pPr>
            <w:r>
              <w:rPr>
                <w:rFonts w:ascii="Calibri" w:hAnsi="Calibri"/>
                <w:b w:val="0"/>
                <w:i w:val="0"/>
                <w:color w:val="20303C"/>
                <w:sz w:val="17"/>
              </w:rPr>
              <w:t>Datos contractuales históricos incompletos.</w:t>
            </w:r>
          </w:p>
        </w:tc>
      </w:tr>
      <w:tr>
        <w:trPr>
          <w:cantSplit/>
        </w:trPr>
        <w:tc>
          <w:tcPr>
            <w:tcW w:type="dxa" w:w="2600"/>
            <w:shd w:fill="F4F7F9"/>
            <w:vAlign w:val="center"/>
          </w:tcPr>
          <w:p>
            <w:pPr>
              <w:spacing w:after="0"/>
            </w:pPr>
            <w:r>
              <w:rPr>
                <w:rFonts w:ascii="Calibri" w:hAnsi="Calibri"/>
                <w:b/>
                <w:i w:val="0"/>
                <w:color w:val="20303C"/>
                <w:sz w:val="17"/>
              </w:rPr>
              <w:t>TAM/SAM contradictorio</w:t>
            </w:r>
          </w:p>
        </w:tc>
        <w:tc>
          <w:tcPr>
            <w:tcW w:type="dxa" w:w="2000"/>
            <w:shd w:fill="F4F7F9"/>
            <w:vAlign w:val="center"/>
          </w:tcPr>
          <w:p>
            <w:pPr>
              <w:spacing w:after="0"/>
            </w:pPr>
            <w:r>
              <w:rPr>
                <w:rFonts w:ascii="Calibri" w:hAnsi="Calibri"/>
                <w:b w:val="0"/>
                <w:i w:val="0"/>
                <w:color w:val="20303C"/>
                <w:sz w:val="17"/>
              </w:rPr>
              <w:t>Versiones de workbook no reconciliadas</w:t>
            </w:r>
          </w:p>
        </w:tc>
        <w:tc>
          <w:tcPr>
            <w:tcW w:type="dxa" w:w="4760"/>
            <w:shd w:fill="F4F7F9"/>
            <w:vAlign w:val="center"/>
          </w:tcPr>
          <w:p>
            <w:pPr>
              <w:spacing w:after="0"/>
            </w:pPr>
            <w:r>
              <w:rPr>
                <w:rFonts w:ascii="Calibri" w:hAnsi="Calibri"/>
                <w:b w:val="0"/>
                <w:i w:val="0"/>
                <w:color w:val="20303C"/>
                <w:sz w:val="17"/>
              </w:rPr>
              <w:t>Fuente y definición pendientes.</w:t>
            </w:r>
          </w:p>
        </w:tc>
      </w:tr>
      <w:tr>
        <w:trPr>
          <w:cantSplit/>
        </w:trPr>
        <w:tc>
          <w:tcPr>
            <w:tcW w:type="dxa" w:w="2600"/>
            <w:vAlign w:val="center"/>
          </w:tcPr>
          <w:p>
            <w:pPr>
              <w:spacing w:after="0"/>
            </w:pPr>
            <w:r>
              <w:rPr>
                <w:rFonts w:ascii="Calibri" w:hAnsi="Calibri"/>
                <w:b/>
                <w:i w:val="0"/>
                <w:color w:val="20303C"/>
                <w:sz w:val="17"/>
              </w:rPr>
              <w:t>Radar 0% marcado closed</w:t>
            </w:r>
          </w:p>
        </w:tc>
        <w:tc>
          <w:tcPr>
            <w:tcW w:type="dxa" w:w="2000"/>
            <w:vAlign w:val="center"/>
          </w:tcPr>
          <w:p>
            <w:pPr>
              <w:spacing w:after="0"/>
            </w:pPr>
            <w:r>
              <w:rPr>
                <w:rFonts w:ascii="Calibri" w:hAnsi="Calibri"/>
                <w:b w:val="0"/>
                <w:i w:val="0"/>
                <w:color w:val="20303C"/>
                <w:sz w:val="17"/>
              </w:rPr>
              <w:t>10 Deals</w:t>
            </w:r>
          </w:p>
        </w:tc>
        <w:tc>
          <w:tcPr>
            <w:tcW w:type="dxa" w:w="4760"/>
            <w:vAlign w:val="center"/>
          </w:tcPr>
          <w:p>
            <w:pPr>
              <w:spacing w:after="0"/>
            </w:pPr>
            <w:r>
              <w:rPr>
                <w:rFonts w:ascii="Calibri" w:hAnsi="Calibri"/>
                <w:b w:val="0"/>
                <w:i w:val="0"/>
                <w:color w:val="20303C"/>
                <w:sz w:val="17"/>
              </w:rPr>
              <w:t>Metadata de pipeline; corrección aislada pendiente.</w:t>
            </w:r>
          </w:p>
        </w:tc>
      </w:tr>
    </w:tbl>
    <w:p>
      <w:pPr>
        <w:spacing w:after="0"/>
      </w:pPr>
    </w:p>
    <w:p>
      <w:pPr>
        <w:pStyle w:val="Heading2"/>
      </w:pPr>
      <w:r>
        <w:t>12.1 Cómo se evidencia y gestiona</w:t>
      </w:r>
    </w:p>
    <w:p>
      <w:pPr>
        <w:pStyle w:val="ListBullet"/>
      </w:pPr>
      <w:r>
        <w:rPr>
          <w:rFonts w:ascii="Calibri" w:hAnsi="Calibri"/>
          <w:b w:val="0"/>
          <w:i w:val="0"/>
          <w:color w:val="20303C"/>
          <w:sz w:val="22"/>
        </w:rPr>
        <w:t>Cada gap se convierte en reporte o cola con denominador, owner y siguiente acción.</w:t>
      </w:r>
    </w:p>
    <w:p>
      <w:pPr>
        <w:pStyle w:val="ListBullet"/>
      </w:pPr>
      <w:r>
        <w:rPr>
          <w:rFonts w:ascii="Calibri" w:hAnsi="Calibri"/>
          <w:b w:val="0"/>
          <w:i w:val="0"/>
          <w:color w:val="20303C"/>
          <w:sz w:val="22"/>
        </w:rPr>
        <w:t>Los paneles diagnósticos se titulan “histórico parcial” cuando la cobertura no permite publicación oficial.</w:t>
      </w:r>
    </w:p>
    <w:p>
      <w:pPr>
        <w:pStyle w:val="ListBullet"/>
      </w:pPr>
      <w:r>
        <w:rPr>
          <w:rFonts w:ascii="Calibri" w:hAnsi="Calibri"/>
          <w:b w:val="0"/>
          <w:i w:val="0"/>
          <w:color w:val="20303C"/>
          <w:sz w:val="22"/>
        </w:rPr>
        <w:t>No se rellenan valores históricos por inferencia para mejorar artificialmente los gráficos.</w:t>
      </w:r>
    </w:p>
    <w:p>
      <w:pPr>
        <w:pStyle w:val="ListBullet"/>
      </w:pPr>
      <w:r>
        <w:rPr>
          <w:rFonts w:ascii="Calibri" w:hAnsi="Calibri"/>
          <w:b w:val="0"/>
          <w:i w:val="0"/>
          <w:color w:val="20303C"/>
          <w:sz w:val="22"/>
        </w:rPr>
        <w:t>Los backfills se limitan a manifests exactos, snapshots inmutables, rollback y readback por record.</w:t>
      </w:r>
    </w:p>
    <w:p>
      <w:pPr>
        <w:pStyle w:val="ListBullet"/>
      </w:pPr>
      <w:r>
        <w:rPr>
          <w:rFonts w:ascii="Calibri" w:hAnsi="Calibri"/>
          <w:b w:val="0"/>
          <w:i w:val="0"/>
          <w:color w:val="20303C"/>
          <w:sz w:val="22"/>
        </w:rPr>
        <w:t>Las causas se clasifican en plataforma/schema, fuente/migración, integración y captura/adopción.</w:t>
      </w:r>
    </w:p>
    <w:p>
      <w:pPr>
        <w:pStyle w:val="ListBullet"/>
      </w:pPr>
      <w:r>
        <w:rPr>
          <w:rFonts w:ascii="Calibri" w:hAnsi="Calibri"/>
          <w:b w:val="0"/>
          <w:i w:val="0"/>
          <w:color w:val="20303C"/>
          <w:sz w:val="22"/>
        </w:rPr>
        <w:t>La mejora sostenible exige que los ejecutivos completen Company, tipo de ingreso, variación y datos contractuales en el momento del proceso.</w:t>
      </w:r>
    </w:p>
    <w:p>
      <w:pPr>
        <w:pStyle w:val="Heading1"/>
      </w:pPr>
      <w:r>
        <w:t>13. Controles, riesgos y pendientes</w:t>
      </w:r>
    </w:p>
    <w:tbl>
      <w:tblPr>
        <w:tblStyle w:val="TableGrid"/>
        <w:tblW w:type="dxa" w:w="9360"/>
        <w:jc w:val="center"/>
        <w:tblLayout w:type="fixed"/>
        <w:tblLook w:firstColumn="1" w:firstRow="1" w:lastColumn="0" w:lastRow="0" w:noHBand="0" w:noVBand="1" w:val="04A0"/>
        <w:tblInd w:w="120" w:type="dxa"/>
      </w:tblPr>
      <w:tblGrid>
        <w:gridCol w:w="2100"/>
        <w:gridCol w:w="3600"/>
        <w:gridCol w:w="3660"/>
      </w:tblGrid>
      <w:tr>
        <w:trPr>
          <w:tblHeader w:val="true"/>
          <w:cantSplit/>
        </w:trPr>
        <w:tc>
          <w:tcPr>
            <w:tcW w:type="dxa" w:w="2100"/>
            <w:tcMar>
              <w:top w:w="80" w:type="dxa"/>
              <w:start w:w="120" w:type="dxa"/>
              <w:bottom w:w="80" w:type="dxa"/>
              <w:end w:w="120" w:type="dxa"/>
            </w:tcMar>
            <w:shd w:fill="005596"/>
            <w:vAlign w:val="center"/>
          </w:tcPr>
          <w:p>
            <w:pPr>
              <w:spacing w:after="0"/>
              <w:jc w:val="center"/>
            </w:pPr>
            <w:r>
              <w:rPr>
                <w:rFonts w:ascii="Calibri" w:hAnsi="Calibri"/>
                <w:b/>
                <w:i w:val="0"/>
                <w:color w:val="FFFFFF"/>
                <w:sz w:val="17"/>
              </w:rPr>
              <w:t>Tema</w:t>
            </w:r>
          </w:p>
        </w:tc>
        <w:tc>
          <w:tcPr>
            <w:tcW w:type="dxa" w:w="3600"/>
            <w:tcMar>
              <w:top w:w="80" w:type="dxa"/>
              <w:start w:w="120" w:type="dxa"/>
              <w:bottom w:w="80" w:type="dxa"/>
              <w:end w:w="120" w:type="dxa"/>
            </w:tcMar>
            <w:shd w:fill="005596"/>
            <w:vAlign w:val="center"/>
          </w:tcPr>
          <w:p>
            <w:pPr>
              <w:spacing w:after="0"/>
              <w:jc w:val="center"/>
            </w:pPr>
            <w:r>
              <w:rPr>
                <w:rFonts w:ascii="Calibri" w:hAnsi="Calibri"/>
                <w:b/>
                <w:i w:val="0"/>
                <w:color w:val="FFFFFF"/>
                <w:sz w:val="17"/>
              </w:rPr>
              <w:t>Riesgo si se ignora</w:t>
            </w:r>
          </w:p>
        </w:tc>
        <w:tc>
          <w:tcPr>
            <w:tcW w:type="dxa" w:w="3660"/>
            <w:tcMar>
              <w:top w:w="80" w:type="dxa"/>
              <w:start w:w="120" w:type="dxa"/>
              <w:bottom w:w="80" w:type="dxa"/>
              <w:end w:w="120" w:type="dxa"/>
            </w:tcMar>
            <w:shd w:fill="005596"/>
            <w:vAlign w:val="center"/>
          </w:tcPr>
          <w:p>
            <w:pPr>
              <w:spacing w:after="0"/>
              <w:jc w:val="center"/>
            </w:pPr>
            <w:r>
              <w:rPr>
                <w:rFonts w:ascii="Calibri" w:hAnsi="Calibri"/>
                <w:b/>
                <w:i w:val="0"/>
                <w:color w:val="FFFFFF"/>
                <w:sz w:val="17"/>
              </w:rPr>
              <w:t>Siguiente acción / aprobación</w:t>
            </w:r>
          </w:p>
        </w:tc>
      </w:tr>
      <w:tr>
        <w:trPr>
          <w:cantSplit/>
        </w:trPr>
        <w:tc>
          <w:tcPr>
            <w:tcW w:type="dxa" w:w="2100"/>
            <w:vAlign w:val="center"/>
          </w:tcPr>
          <w:p>
            <w:pPr>
              <w:spacing w:after="0"/>
            </w:pPr>
            <w:r>
              <w:rPr>
                <w:rFonts w:ascii="Calibri" w:hAnsi="Calibri"/>
                <w:b/>
                <w:i w:val="0"/>
                <w:color w:val="20303C"/>
                <w:sz w:val="17"/>
              </w:rPr>
              <w:t>Cobertura Deal–Company</w:t>
            </w:r>
          </w:p>
        </w:tc>
        <w:tc>
          <w:tcPr>
            <w:tcW w:type="dxa" w:w="3600"/>
            <w:vAlign w:val="center"/>
          </w:tcPr>
          <w:p>
            <w:pPr>
              <w:spacing w:after="0"/>
            </w:pPr>
            <w:r>
              <w:rPr>
                <w:rFonts w:ascii="Calibri" w:hAnsi="Calibri"/>
                <w:b w:val="0"/>
                <w:i w:val="0"/>
                <w:color w:val="20303C"/>
                <w:sz w:val="17"/>
              </w:rPr>
              <w:t>Ventas por segmento/región sesgadas.</w:t>
            </w:r>
          </w:p>
        </w:tc>
        <w:tc>
          <w:tcPr>
            <w:tcW w:type="dxa" w:w="3660"/>
            <w:vAlign w:val="center"/>
          </w:tcPr>
          <w:p>
            <w:pPr>
              <w:spacing w:after="0"/>
            </w:pPr>
            <w:r>
              <w:rPr>
                <w:rFonts w:ascii="Calibri" w:hAnsi="Calibri"/>
                <w:b w:val="0"/>
                <w:i w:val="0"/>
                <w:color w:val="20303C"/>
                <w:sz w:val="17"/>
              </w:rPr>
              <w:t>Revisar 113 dominios y 498 held; aprobación por slice.</w:t>
            </w:r>
          </w:p>
        </w:tc>
      </w:tr>
      <w:tr>
        <w:trPr>
          <w:cantSplit/>
        </w:trPr>
        <w:tc>
          <w:tcPr>
            <w:tcW w:type="dxa" w:w="2100"/>
            <w:shd w:fill="F4F7F9"/>
            <w:vAlign w:val="center"/>
          </w:tcPr>
          <w:p>
            <w:pPr>
              <w:spacing w:after="0"/>
            </w:pPr>
            <w:r>
              <w:rPr>
                <w:rFonts w:ascii="Calibri" w:hAnsi="Calibri"/>
                <w:b/>
                <w:i w:val="0"/>
                <w:color w:val="20303C"/>
                <w:sz w:val="17"/>
              </w:rPr>
              <w:t>Companies duplicadas</w:t>
            </w:r>
          </w:p>
        </w:tc>
        <w:tc>
          <w:tcPr>
            <w:tcW w:type="dxa" w:w="3600"/>
            <w:shd w:fill="F4F7F9"/>
            <w:vAlign w:val="center"/>
          </w:tcPr>
          <w:p>
            <w:pPr>
              <w:spacing w:after="0"/>
            </w:pPr>
            <w:r>
              <w:rPr>
                <w:rFonts w:ascii="Calibri" w:hAnsi="Calibri"/>
                <w:b w:val="0"/>
                <w:i w:val="0"/>
                <w:color w:val="20303C"/>
                <w:sz w:val="17"/>
              </w:rPr>
              <w:t>Asociaciones o backfill hacia cuenta incorrecta.</w:t>
            </w:r>
          </w:p>
        </w:tc>
        <w:tc>
          <w:tcPr>
            <w:tcW w:type="dxa" w:w="3660"/>
            <w:shd w:fill="F4F7F9"/>
            <w:vAlign w:val="center"/>
          </w:tcPr>
          <w:p>
            <w:pPr>
              <w:spacing w:after="0"/>
            </w:pPr>
            <w:r>
              <w:rPr>
                <w:rFonts w:ascii="Calibri" w:hAnsi="Calibri"/>
                <w:b w:val="0"/>
                <w:i w:val="0"/>
                <w:color w:val="20303C"/>
                <w:sz w:val="17"/>
              </w:rPr>
              <w:t>Revisión y merge/corrección con aprobación separada.</w:t>
            </w:r>
          </w:p>
        </w:tc>
      </w:tr>
      <w:tr>
        <w:trPr>
          <w:cantSplit/>
        </w:trPr>
        <w:tc>
          <w:tcPr>
            <w:tcW w:type="dxa" w:w="2100"/>
            <w:vAlign w:val="center"/>
          </w:tcPr>
          <w:p>
            <w:pPr>
              <w:spacing w:after="0"/>
            </w:pPr>
            <w:r>
              <w:rPr>
                <w:rFonts w:ascii="Calibri" w:hAnsi="Calibri"/>
                <w:b/>
                <w:i w:val="0"/>
                <w:color w:val="20303C"/>
                <w:sz w:val="17"/>
              </w:rPr>
              <w:t>Services sintéticos</w:t>
            </w:r>
          </w:p>
        </w:tc>
        <w:tc>
          <w:tcPr>
            <w:tcW w:type="dxa" w:w="3600"/>
            <w:vAlign w:val="center"/>
          </w:tcPr>
          <w:p>
            <w:pPr>
              <w:spacing w:after="0"/>
            </w:pPr>
            <w:r>
              <w:rPr>
                <w:rFonts w:ascii="Calibri" w:hAnsi="Calibri"/>
                <w:b w:val="0"/>
                <w:i w:val="0"/>
                <w:color w:val="20303C"/>
                <w:sz w:val="17"/>
              </w:rPr>
              <w:t>KPI piloto interpretado como oficial.</w:t>
            </w:r>
          </w:p>
        </w:tc>
        <w:tc>
          <w:tcPr>
            <w:tcW w:type="dxa" w:w="3660"/>
            <w:vAlign w:val="center"/>
          </w:tcPr>
          <w:p>
            <w:pPr>
              <w:spacing w:after="0"/>
            </w:pPr>
            <w:r>
              <w:rPr>
                <w:rFonts w:ascii="Calibri" w:hAnsi="Calibri"/>
                <w:b w:val="0"/>
                <w:i w:val="0"/>
                <w:color w:val="20303C"/>
                <w:sz w:val="17"/>
              </w:rPr>
              <w:t>ANAM ratifica/reemplaza facts antes de quitar “PILOTO”.</w:t>
            </w:r>
          </w:p>
        </w:tc>
      </w:tr>
      <w:tr>
        <w:trPr>
          <w:cantSplit/>
        </w:trPr>
        <w:tc>
          <w:tcPr>
            <w:tcW w:type="dxa" w:w="2100"/>
            <w:shd w:fill="F4F7F9"/>
            <w:vAlign w:val="center"/>
          </w:tcPr>
          <w:p>
            <w:pPr>
              <w:spacing w:after="0"/>
            </w:pPr>
            <w:r>
              <w:rPr>
                <w:rFonts w:ascii="Calibri" w:hAnsi="Calibri"/>
                <w:b/>
                <w:i w:val="0"/>
                <w:color w:val="20303C"/>
                <w:sz w:val="17"/>
              </w:rPr>
              <w:t>Radar 0%</w:t>
            </w:r>
          </w:p>
        </w:tc>
        <w:tc>
          <w:tcPr>
            <w:tcW w:type="dxa" w:w="3600"/>
            <w:shd w:fill="F4F7F9"/>
            <w:vAlign w:val="center"/>
          </w:tcPr>
          <w:p>
            <w:pPr>
              <w:spacing w:after="0"/>
            </w:pPr>
            <w:r>
              <w:rPr>
                <w:rFonts w:ascii="Calibri" w:hAnsi="Calibri"/>
                <w:b w:val="0"/>
                <w:i w:val="0"/>
                <w:color w:val="20303C"/>
                <w:sz w:val="17"/>
              </w:rPr>
              <w:t>Denominadores abiertos/cerrados inconsistentes.</w:t>
            </w:r>
          </w:p>
        </w:tc>
        <w:tc>
          <w:tcPr>
            <w:tcW w:type="dxa" w:w="3660"/>
            <w:shd w:fill="F4F7F9"/>
            <w:vAlign w:val="center"/>
          </w:tcPr>
          <w:p>
            <w:pPr>
              <w:spacing w:after="0"/>
            </w:pPr>
            <w:r>
              <w:rPr>
                <w:rFonts w:ascii="Calibri" w:hAnsi="Calibri"/>
                <w:b w:val="0"/>
                <w:i w:val="0"/>
                <w:color w:val="20303C"/>
                <w:sz w:val="17"/>
              </w:rPr>
              <w:t>Cambio de pipeline aislado, dependency-tested y reversible.</w:t>
            </w:r>
          </w:p>
        </w:tc>
      </w:tr>
      <w:tr>
        <w:trPr>
          <w:cantSplit/>
        </w:trPr>
        <w:tc>
          <w:tcPr>
            <w:tcW w:type="dxa" w:w="2100"/>
            <w:vAlign w:val="center"/>
          </w:tcPr>
          <w:p>
            <w:pPr>
              <w:spacing w:after="0"/>
            </w:pPr>
            <w:r>
              <w:rPr>
                <w:rFonts w:ascii="Calibri" w:hAnsi="Calibri"/>
                <w:b/>
                <w:i w:val="0"/>
                <w:color w:val="20303C"/>
                <w:sz w:val="17"/>
              </w:rPr>
              <w:t>Variación vs cotizado</w:t>
            </w:r>
          </w:p>
        </w:tc>
        <w:tc>
          <w:tcPr>
            <w:tcW w:type="dxa" w:w="3600"/>
            <w:vAlign w:val="center"/>
          </w:tcPr>
          <w:p>
            <w:pPr>
              <w:spacing w:after="0"/>
            </w:pPr>
            <w:r>
              <w:rPr>
                <w:rFonts w:ascii="Calibri" w:hAnsi="Calibri"/>
                <w:b w:val="0"/>
                <w:i w:val="0"/>
                <w:color w:val="20303C"/>
                <w:sz w:val="17"/>
              </w:rPr>
              <w:t>Imposible medir award variance real.</w:t>
            </w:r>
          </w:p>
        </w:tc>
        <w:tc>
          <w:tcPr>
            <w:tcW w:type="dxa" w:w="3660"/>
            <w:vAlign w:val="center"/>
          </w:tcPr>
          <w:p>
            <w:pPr>
              <w:spacing w:after="0"/>
            </w:pPr>
            <w:r>
              <w:rPr>
                <w:rFonts w:ascii="Calibri" w:hAnsi="Calibri"/>
                <w:b w:val="0"/>
                <w:i w:val="0"/>
                <w:color w:val="20303C"/>
                <w:sz w:val="17"/>
              </w:rPr>
              <w:t>Captura forward y revisión de backlog con evidencia.</w:t>
            </w:r>
          </w:p>
        </w:tc>
      </w:tr>
      <w:tr>
        <w:trPr>
          <w:cantSplit/>
        </w:trPr>
        <w:tc>
          <w:tcPr>
            <w:tcW w:type="dxa" w:w="2100"/>
            <w:shd w:fill="F4F7F9"/>
            <w:vAlign w:val="center"/>
          </w:tcPr>
          <w:p>
            <w:pPr>
              <w:spacing w:after="0"/>
            </w:pPr>
            <w:r>
              <w:rPr>
                <w:rFonts w:ascii="Calibri" w:hAnsi="Calibri"/>
                <w:b/>
                <w:i w:val="0"/>
                <w:color w:val="20303C"/>
                <w:sz w:val="17"/>
              </w:rPr>
              <w:t>Facturación</w:t>
            </w:r>
          </w:p>
        </w:tc>
        <w:tc>
          <w:tcPr>
            <w:tcW w:type="dxa" w:w="3600"/>
            <w:shd w:fill="F4F7F9"/>
            <w:vAlign w:val="center"/>
          </w:tcPr>
          <w:p>
            <w:pPr>
              <w:spacing w:after="0"/>
            </w:pPr>
            <w:r>
              <w:rPr>
                <w:rFonts w:ascii="Calibri" w:hAnsi="Calibri"/>
                <w:b w:val="0"/>
                <w:i w:val="0"/>
                <w:color w:val="20303C"/>
                <w:sz w:val="17"/>
              </w:rPr>
              <w:t>Duplicados, multimoneda mezclada y contratos falsos.</w:t>
            </w:r>
          </w:p>
        </w:tc>
        <w:tc>
          <w:tcPr>
            <w:tcW w:type="dxa" w:w="3660"/>
            <w:shd w:fill="F4F7F9"/>
            <w:vAlign w:val="center"/>
          </w:tcPr>
          <w:p>
            <w:pPr>
              <w:spacing w:after="0"/>
            </w:pPr>
            <w:r>
              <w:rPr>
                <w:rFonts w:ascii="Calibri" w:hAnsi="Calibri"/>
                <w:b w:val="0"/>
                <w:i w:val="0"/>
                <w:color w:val="20303C"/>
                <w:sz w:val="17"/>
              </w:rPr>
              <w:t>Identity mapping, dry run y aprobación antes de ingestión.</w:t>
            </w:r>
          </w:p>
        </w:tc>
      </w:tr>
      <w:tr>
        <w:trPr>
          <w:cantSplit/>
        </w:trPr>
        <w:tc>
          <w:tcPr>
            <w:tcW w:type="dxa" w:w="2100"/>
            <w:vAlign w:val="center"/>
          </w:tcPr>
          <w:p>
            <w:pPr>
              <w:spacing w:after="0"/>
            </w:pPr>
            <w:r>
              <w:rPr>
                <w:rFonts w:ascii="Calibri" w:hAnsi="Calibri"/>
                <w:b/>
                <w:i w:val="0"/>
                <w:color w:val="20303C"/>
                <w:sz w:val="17"/>
              </w:rPr>
              <w:t>GRR/NRR</w:t>
            </w:r>
          </w:p>
        </w:tc>
        <w:tc>
          <w:tcPr>
            <w:tcW w:type="dxa" w:w="3600"/>
            <w:vAlign w:val="center"/>
          </w:tcPr>
          <w:p>
            <w:pPr>
              <w:spacing w:after="0"/>
            </w:pPr>
            <w:r>
              <w:rPr>
                <w:rFonts w:ascii="Calibri" w:hAnsi="Calibri"/>
                <w:b w:val="0"/>
                <w:i w:val="0"/>
                <w:color w:val="20303C"/>
                <w:sz w:val="17"/>
              </w:rPr>
              <w:t>Métrica económicamente falsa.</w:t>
            </w:r>
          </w:p>
        </w:tc>
        <w:tc>
          <w:tcPr>
            <w:tcW w:type="dxa" w:w="3660"/>
            <w:vAlign w:val="center"/>
          </w:tcPr>
          <w:p>
            <w:pPr>
              <w:spacing w:after="0"/>
            </w:pPr>
            <w:r>
              <w:rPr>
                <w:rFonts w:ascii="Calibri" w:hAnsi="Calibri"/>
                <w:b w:val="0"/>
                <w:i w:val="0"/>
                <w:color w:val="20303C"/>
                <w:sz w:val="17"/>
              </w:rPr>
              <w:t>Completar cohorte comparable, vigencia, periodicidad y ARR.</w:t>
            </w:r>
          </w:p>
        </w:tc>
      </w:tr>
    </w:tbl>
    <w:p>
      <w:pPr>
        <w:spacing w:after="0"/>
      </w:pPr>
    </w:p>
    <w:p>
      <w:pPr>
        <w:pStyle w:val="Heading2"/>
      </w:pPr>
      <w:r>
        <w:t>13.1 Próximo slice recomendado</w:t>
      </w:r>
    </w:p>
    <w:p>
      <w:pPr>
        <w:spacing w:after="120" w:line="280" w:lineRule="auto"/>
        <w:numPr>
          <w:ilvl w:val="0"/>
          <w:numId w:val="11"/>
        </w:numPr>
      </w:pPr>
      <w:r>
        <w:rPr>
          <w:rFonts w:ascii="Calibri" w:hAnsi="Calibri"/>
          <w:b w:val="0"/>
          <w:i w:val="0"/>
          <w:color w:val="20303C"/>
          <w:sz w:val="22"/>
        </w:rPr>
        <w:t>Ratificar o reemplazar los datos de los cinco Services piloto con owner ANAM y evidencia contractual.</w:t>
      </w:r>
    </w:p>
    <w:p>
      <w:pPr>
        <w:spacing w:after="120" w:line="280" w:lineRule="auto"/>
        <w:numPr>
          <w:ilvl w:val="0"/>
          <w:numId w:val="11"/>
        </w:numPr>
      </w:pPr>
      <w:r>
        <w:rPr>
          <w:rFonts w:ascii="Calibri" w:hAnsi="Calibri"/>
          <w:b w:val="0"/>
          <w:i w:val="0"/>
          <w:color w:val="20303C"/>
          <w:sz w:val="22"/>
        </w:rPr>
        <w:t>Mantener Retención/Fidelización como PILOTO hasta completar cobertura y denominadores.</w:t>
      </w:r>
    </w:p>
    <w:p>
      <w:pPr>
        <w:spacing w:after="120" w:line="280" w:lineRule="auto"/>
        <w:numPr>
          <w:ilvl w:val="0"/>
          <w:numId w:val="11"/>
        </w:numPr>
      </w:pPr>
      <w:r>
        <w:rPr>
          <w:rFonts w:ascii="Calibri" w:hAnsi="Calibri"/>
          <w:b w:val="0"/>
          <w:i w:val="0"/>
          <w:color w:val="20303C"/>
          <w:sz w:val="22"/>
        </w:rPr>
        <w:t>Avanzar por slices de asociación Deal–Company revisables; no usar dominio como regla automática.</w:t>
      </w:r>
    </w:p>
    <w:p>
      <w:pPr>
        <w:spacing w:after="120" w:line="280" w:lineRule="auto"/>
        <w:numPr>
          <w:ilvl w:val="0"/>
          <w:numId w:val="11"/>
        </w:numPr>
      </w:pPr>
      <w:r>
        <w:rPr>
          <w:rFonts w:ascii="Calibri" w:hAnsi="Calibri"/>
          <w:b w:val="0"/>
          <w:i w:val="0"/>
          <w:color w:val="20303C"/>
          <w:sz w:val="22"/>
        </w:rPr>
        <w:t>Corregir Radar 0% mediante change set aislado y verificación de consumidores.</w:t>
      </w:r>
    </w:p>
    <w:p>
      <w:pPr>
        <w:spacing w:after="120" w:line="280" w:lineRule="auto"/>
        <w:numPr>
          <w:ilvl w:val="0"/>
          <w:numId w:val="11"/>
        </w:numPr>
      </w:pPr>
      <w:r>
        <w:rPr>
          <w:rFonts w:ascii="Calibri" w:hAnsi="Calibri"/>
          <w:b w:val="0"/>
          <w:i w:val="0"/>
          <w:color w:val="20303C"/>
          <w:sz w:val="22"/>
        </w:rPr>
        <w:t>Implementar captura forward obligatoria de tipo de ingreso, variación y Service readiness.</w:t>
      </w:r>
    </w:p>
    <w:p>
      <w:pPr>
        <w:spacing w:after="120" w:line="280" w:lineRule="auto"/>
        <w:numPr>
          <w:ilvl w:val="0"/>
          <w:numId w:val="11"/>
        </w:numPr>
      </w:pPr>
      <w:r>
        <w:rPr>
          <w:rFonts w:ascii="Calibri" w:hAnsi="Calibri"/>
          <w:b w:val="0"/>
          <w:i w:val="0"/>
          <w:color w:val="20303C"/>
          <w:sz w:val="22"/>
        </w:rPr>
        <w:t>Preparar la capacidad de intake de facturación con Account Unit + Billing Event, sin backfill productivo inicial.</w:t>
      </w:r>
    </w:p>
    <w:p>
      <w:pPr>
        <w:spacing w:after="120" w:line="280" w:lineRule="auto"/>
        <w:numPr>
          <w:ilvl w:val="0"/>
          <w:numId w:val="11"/>
        </w:numPr>
      </w:pPr>
      <w:r>
        <w:rPr>
          <w:rFonts w:ascii="Calibri" w:hAnsi="Calibri"/>
          <w:b w:val="0"/>
          <w:i w:val="0"/>
          <w:color w:val="20303C"/>
          <w:sz w:val="22"/>
        </w:rPr>
        <w:t>Convertir los diagnósticos de segmento/sector/región en KPI oficiales sólo al superar el gate de cobertura.</w:t>
      </w:r>
    </w:p>
    <w:p>
      <w:pPr>
        <w:pStyle w:val="Heading1"/>
      </w:pPr>
      <w:r>
        <w:t>14. Anexos de activos, IDs y métricas</w:t>
      </w:r>
    </w:p>
    <w:p>
      <w:pPr>
        <w:pStyle w:val="Heading2"/>
      </w:pPr>
      <w:r>
        <w:t>14.1 Dashboards</w:t>
      </w:r>
    </w:p>
    <w:tbl>
      <w:tblPr>
        <w:tblStyle w:val="TableGrid"/>
        <w:tblW w:type="dxa" w:w="9360"/>
        <w:jc w:val="center"/>
        <w:tblLayout w:type="fixed"/>
        <w:tblLook w:firstColumn="1" w:firstRow="1" w:lastColumn="0" w:lastRow="0" w:noHBand="0" w:noVBand="1" w:val="04A0"/>
        <w:tblInd w:w="120" w:type="dxa"/>
      </w:tblPr>
      <w:tblGrid>
        <w:gridCol w:w="4200"/>
        <w:gridCol w:w="1800"/>
        <w:gridCol w:w="3360"/>
      </w:tblGrid>
      <w:tr>
        <w:trPr>
          <w:tblHeader w:val="true"/>
          <w:cantSplit/>
        </w:trPr>
        <w:tc>
          <w:tcPr>
            <w:tcW w:type="dxa" w:w="4200"/>
            <w:tcMar>
              <w:top w:w="80" w:type="dxa"/>
              <w:start w:w="120" w:type="dxa"/>
              <w:bottom w:w="80" w:type="dxa"/>
              <w:end w:w="120" w:type="dxa"/>
            </w:tcMar>
            <w:shd w:fill="005596"/>
            <w:vAlign w:val="center"/>
          </w:tcPr>
          <w:p>
            <w:pPr>
              <w:spacing w:after="0"/>
              <w:jc w:val="center"/>
            </w:pPr>
            <w:r>
              <w:rPr>
                <w:rFonts w:ascii="Calibri" w:hAnsi="Calibri"/>
                <w:b/>
                <w:i w:val="0"/>
                <w:color w:val="FFFFFF"/>
                <w:sz w:val="18"/>
              </w:rPr>
              <w:t>Dashboard</w:t>
            </w:r>
          </w:p>
        </w:tc>
        <w:tc>
          <w:tcPr>
            <w:tcW w:type="dxa" w:w="18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3360"/>
            <w:tcMar>
              <w:top w:w="80" w:type="dxa"/>
              <w:start w:w="120" w:type="dxa"/>
              <w:bottom w:w="80" w:type="dxa"/>
              <w:end w:w="120" w:type="dxa"/>
            </w:tcMar>
            <w:shd w:fill="005596"/>
            <w:vAlign w:val="center"/>
          </w:tcPr>
          <w:p>
            <w:pPr>
              <w:spacing w:after="0"/>
              <w:jc w:val="center"/>
            </w:pPr>
            <w:r>
              <w:rPr>
                <w:rFonts w:ascii="Calibri" w:hAnsi="Calibri"/>
                <w:b/>
                <w:i w:val="0"/>
                <w:color w:val="FFFFFF"/>
                <w:sz w:val="18"/>
              </w:rPr>
              <w:t>Estado</w:t>
            </w:r>
          </w:p>
        </w:tc>
      </w:tr>
      <w:tr>
        <w:trPr>
          <w:cantSplit/>
        </w:trPr>
        <w:tc>
          <w:tcPr>
            <w:tcW w:type="dxa" w:w="4200"/>
            <w:vAlign w:val="center"/>
          </w:tcPr>
          <w:p>
            <w:pPr>
              <w:spacing w:after="0"/>
            </w:pPr>
            <w:r>
              <w:rPr>
                <w:rFonts w:ascii="Calibri" w:hAnsi="Calibri"/>
                <w:b/>
                <w:i w:val="0"/>
                <w:color w:val="20303C"/>
                <w:sz w:val="18"/>
              </w:rPr>
              <w:t>Dashboard de Crecimiento</w:t>
            </w:r>
          </w:p>
        </w:tc>
        <w:tc>
          <w:tcPr>
            <w:tcW w:type="dxa" w:w="1800"/>
            <w:vAlign w:val="center"/>
          </w:tcPr>
          <w:p>
            <w:pPr>
              <w:spacing w:after="0"/>
            </w:pPr>
            <w:r>
              <w:rPr>
                <w:rFonts w:ascii="Calibri" w:hAnsi="Calibri"/>
                <w:b w:val="0"/>
                <w:i w:val="0"/>
                <w:color w:val="20303C"/>
                <w:sz w:val="18"/>
              </w:rPr>
              <w:t>19708354</w:t>
            </w:r>
          </w:p>
        </w:tc>
        <w:tc>
          <w:tcPr>
            <w:tcW w:type="dxa" w:w="3360"/>
            <w:vAlign w:val="center"/>
          </w:tcPr>
          <w:p>
            <w:pPr>
              <w:spacing w:after="0"/>
            </w:pPr>
            <w:r>
              <w:rPr>
                <w:rFonts w:ascii="Calibri" w:hAnsi="Calibri"/>
                <w:b w:val="0"/>
                <w:i w:val="0"/>
                <w:color w:val="20303C"/>
                <w:sz w:val="18"/>
              </w:rPr>
              <w:t>Operativo; incluye 3 diagnósticos históricos parciales.</w:t>
            </w:r>
          </w:p>
        </w:tc>
      </w:tr>
      <w:tr>
        <w:trPr>
          <w:cantSplit/>
        </w:trPr>
        <w:tc>
          <w:tcPr>
            <w:tcW w:type="dxa" w:w="4200"/>
            <w:shd w:fill="F4F7F9"/>
            <w:vAlign w:val="center"/>
          </w:tcPr>
          <w:p>
            <w:pPr>
              <w:spacing w:after="0"/>
            </w:pPr>
            <w:r>
              <w:rPr>
                <w:rFonts w:ascii="Calibri" w:hAnsi="Calibri"/>
                <w:b/>
                <w:i w:val="0"/>
                <w:color w:val="20303C"/>
                <w:sz w:val="18"/>
              </w:rPr>
              <w:t>Calidad de Datos Comercial</w:t>
            </w:r>
          </w:p>
        </w:tc>
        <w:tc>
          <w:tcPr>
            <w:tcW w:type="dxa" w:w="1800"/>
            <w:shd w:fill="F4F7F9"/>
            <w:vAlign w:val="center"/>
          </w:tcPr>
          <w:p>
            <w:pPr>
              <w:spacing w:after="0"/>
            </w:pPr>
            <w:r>
              <w:rPr>
                <w:rFonts w:ascii="Calibri" w:hAnsi="Calibri"/>
                <w:b w:val="0"/>
                <w:i w:val="0"/>
                <w:color w:val="20303C"/>
                <w:sz w:val="18"/>
              </w:rPr>
              <w:t>21144697</w:t>
            </w:r>
          </w:p>
        </w:tc>
        <w:tc>
          <w:tcPr>
            <w:tcW w:type="dxa" w:w="3360"/>
            <w:shd w:fill="F4F7F9"/>
            <w:vAlign w:val="center"/>
          </w:tcPr>
          <w:p>
            <w:pPr>
              <w:spacing w:after="0"/>
            </w:pPr>
            <w:r>
              <w:rPr>
                <w:rFonts w:ascii="Calibri" w:hAnsi="Calibri"/>
                <w:b w:val="0"/>
                <w:i w:val="0"/>
                <w:color w:val="20303C"/>
                <w:sz w:val="18"/>
              </w:rPr>
              <w:t>Operativo como control tower de brechas.</w:t>
            </w:r>
          </w:p>
        </w:tc>
      </w:tr>
      <w:tr>
        <w:trPr>
          <w:cantSplit/>
        </w:trPr>
        <w:tc>
          <w:tcPr>
            <w:tcW w:type="dxa" w:w="4200"/>
            <w:vAlign w:val="center"/>
          </w:tcPr>
          <w:p>
            <w:pPr>
              <w:spacing w:after="0"/>
            </w:pPr>
            <w:r>
              <w:rPr>
                <w:rFonts w:ascii="Calibri" w:hAnsi="Calibri"/>
                <w:b/>
                <w:i w:val="0"/>
                <w:color w:val="20303C"/>
                <w:sz w:val="18"/>
              </w:rPr>
              <w:t>ANAM — Retención (PILOTO)</w:t>
            </w:r>
          </w:p>
        </w:tc>
        <w:tc>
          <w:tcPr>
            <w:tcW w:type="dxa" w:w="1800"/>
            <w:vAlign w:val="center"/>
          </w:tcPr>
          <w:p>
            <w:pPr>
              <w:spacing w:after="0"/>
            </w:pPr>
            <w:r>
              <w:rPr>
                <w:rFonts w:ascii="Calibri" w:hAnsi="Calibri"/>
                <w:b w:val="0"/>
                <w:i w:val="0"/>
                <w:color w:val="20303C"/>
                <w:sz w:val="18"/>
              </w:rPr>
              <w:t>21152855</w:t>
            </w:r>
          </w:p>
        </w:tc>
        <w:tc>
          <w:tcPr>
            <w:tcW w:type="dxa" w:w="3360"/>
            <w:vAlign w:val="center"/>
          </w:tcPr>
          <w:p>
            <w:pPr>
              <w:spacing w:after="0"/>
            </w:pPr>
            <w:r>
              <w:rPr>
                <w:rFonts w:ascii="Calibri" w:hAnsi="Calibri"/>
                <w:b w:val="0"/>
                <w:i w:val="0"/>
                <w:color w:val="20303C"/>
                <w:sz w:val="18"/>
              </w:rPr>
              <w:t>4 reportes; no oficial.</w:t>
            </w:r>
          </w:p>
        </w:tc>
      </w:tr>
      <w:tr>
        <w:trPr>
          <w:cantSplit/>
        </w:trPr>
        <w:tc>
          <w:tcPr>
            <w:tcW w:type="dxa" w:w="4200"/>
            <w:shd w:fill="F4F7F9"/>
            <w:vAlign w:val="center"/>
          </w:tcPr>
          <w:p>
            <w:pPr>
              <w:spacing w:after="0"/>
            </w:pPr>
            <w:r>
              <w:rPr>
                <w:rFonts w:ascii="Calibri" w:hAnsi="Calibri"/>
                <w:b/>
                <w:i w:val="0"/>
                <w:color w:val="20303C"/>
                <w:sz w:val="18"/>
              </w:rPr>
              <w:t>ANAM — Fidelización (PILOTO)</w:t>
            </w:r>
          </w:p>
        </w:tc>
        <w:tc>
          <w:tcPr>
            <w:tcW w:type="dxa" w:w="1800"/>
            <w:shd w:fill="F4F7F9"/>
            <w:vAlign w:val="center"/>
          </w:tcPr>
          <w:p>
            <w:pPr>
              <w:spacing w:after="0"/>
            </w:pPr>
            <w:r>
              <w:rPr>
                <w:rFonts w:ascii="Calibri" w:hAnsi="Calibri"/>
                <w:b w:val="0"/>
                <w:i w:val="0"/>
                <w:color w:val="20303C"/>
                <w:sz w:val="18"/>
              </w:rPr>
              <w:t>21152950</w:t>
            </w:r>
          </w:p>
        </w:tc>
        <w:tc>
          <w:tcPr>
            <w:tcW w:type="dxa" w:w="3360"/>
            <w:shd w:fill="F4F7F9"/>
            <w:vAlign w:val="center"/>
          </w:tcPr>
          <w:p>
            <w:pPr>
              <w:spacing w:after="0"/>
            </w:pPr>
            <w:r>
              <w:rPr>
                <w:rFonts w:ascii="Calibri" w:hAnsi="Calibri"/>
                <w:b w:val="0"/>
                <w:i w:val="0"/>
                <w:color w:val="20303C"/>
                <w:sz w:val="18"/>
              </w:rPr>
              <w:t>3 reportes; no oficial.</w:t>
            </w:r>
          </w:p>
        </w:tc>
      </w:tr>
    </w:tbl>
    <w:p>
      <w:pPr>
        <w:spacing w:after="0"/>
      </w:pPr>
    </w:p>
    <w:p>
      <w:pPr>
        <w:pStyle w:val="Heading2"/>
      </w:pPr>
      <w:r>
        <w:t>14.2 Imports y workflow</w:t>
      </w:r>
    </w:p>
    <w:tbl>
      <w:tblPr>
        <w:tblStyle w:val="TableGrid"/>
        <w:tblW w:type="dxa" w:w="9360"/>
        <w:jc w:val="center"/>
        <w:tblLayout w:type="fixed"/>
        <w:tblLook w:firstColumn="1" w:firstRow="1" w:lastColumn="0" w:lastRow="0" w:noHBand="0" w:noVBand="1" w:val="04A0"/>
        <w:tblInd w:w="120" w:type="dxa"/>
      </w:tblPr>
      <w:tblGrid>
        <w:gridCol w:w="3900"/>
        <w:gridCol w:w="1900"/>
        <w:gridCol w:w="3560"/>
      </w:tblGrid>
      <w:tr>
        <w:trPr>
          <w:tblHeader w:val="true"/>
          <w:cantSplit/>
        </w:trPr>
        <w:tc>
          <w:tcPr>
            <w:tcW w:type="dxa" w:w="3900"/>
            <w:tcMar>
              <w:top w:w="80" w:type="dxa"/>
              <w:start w:w="120" w:type="dxa"/>
              <w:bottom w:w="80" w:type="dxa"/>
              <w:end w:w="120" w:type="dxa"/>
            </w:tcMar>
            <w:shd w:fill="005596"/>
            <w:vAlign w:val="center"/>
          </w:tcPr>
          <w:p>
            <w:pPr>
              <w:spacing w:after="0"/>
              <w:jc w:val="center"/>
            </w:pPr>
            <w:r>
              <w:rPr>
                <w:rFonts w:ascii="Calibri" w:hAnsi="Calibri"/>
                <w:b/>
                <w:i w:val="0"/>
                <w:color w:val="FFFFFF"/>
                <w:sz w:val="18"/>
              </w:rPr>
              <w:t>Activo</w:t>
            </w:r>
          </w:p>
        </w:tc>
        <w:tc>
          <w:tcPr>
            <w:tcW w:type="dxa" w:w="1900"/>
            <w:tcMar>
              <w:top w:w="80" w:type="dxa"/>
              <w:start w:w="120" w:type="dxa"/>
              <w:bottom w:w="80" w:type="dxa"/>
              <w:end w:w="120" w:type="dxa"/>
            </w:tcMar>
            <w:shd w:fill="005596"/>
            <w:vAlign w:val="center"/>
          </w:tcPr>
          <w:p>
            <w:pPr>
              <w:spacing w:after="0"/>
              <w:jc w:val="center"/>
            </w:pPr>
            <w:r>
              <w:rPr>
                <w:rFonts w:ascii="Calibri" w:hAnsi="Calibri"/>
                <w:b/>
                <w:i w:val="0"/>
                <w:color w:val="FFFFFF"/>
                <w:sz w:val="18"/>
              </w:rPr>
              <w:t>ID</w:t>
            </w:r>
          </w:p>
        </w:tc>
        <w:tc>
          <w:tcPr>
            <w:tcW w:type="dxa" w:w="3560"/>
            <w:tcMar>
              <w:top w:w="80" w:type="dxa"/>
              <w:start w:w="120" w:type="dxa"/>
              <w:bottom w:w="80" w:type="dxa"/>
              <w:end w:w="120" w:type="dxa"/>
            </w:tcMar>
            <w:shd w:fill="005596"/>
            <w:vAlign w:val="center"/>
          </w:tcPr>
          <w:p>
            <w:pPr>
              <w:spacing w:after="0"/>
              <w:jc w:val="center"/>
            </w:pPr>
            <w:r>
              <w:rPr>
                <w:rFonts w:ascii="Calibri" w:hAnsi="Calibri"/>
                <w:b/>
                <w:i w:val="0"/>
                <w:color w:val="FFFFFF"/>
                <w:sz w:val="18"/>
              </w:rPr>
              <w:t>Resultado</w:t>
            </w:r>
          </w:p>
        </w:tc>
      </w:tr>
      <w:tr>
        <w:trPr>
          <w:cantSplit/>
        </w:trPr>
        <w:tc>
          <w:tcPr>
            <w:tcW w:type="dxa" w:w="3900"/>
            <w:vAlign w:val="center"/>
          </w:tcPr>
          <w:p>
            <w:pPr>
              <w:spacing w:after="0"/>
            </w:pPr>
            <w:r>
              <w:rPr>
                <w:rFonts w:ascii="Calibri" w:hAnsi="Calibri"/>
                <w:b/>
                <w:i w:val="0"/>
                <w:color w:val="20303C"/>
                <w:sz w:val="18"/>
              </w:rPr>
              <w:t>Segmento + región Company</w:t>
            </w:r>
          </w:p>
        </w:tc>
        <w:tc>
          <w:tcPr>
            <w:tcW w:type="dxa" w:w="1900"/>
            <w:vAlign w:val="center"/>
          </w:tcPr>
          <w:p>
            <w:pPr>
              <w:spacing w:after="0"/>
            </w:pPr>
            <w:r>
              <w:rPr>
                <w:rFonts w:ascii="Calibri" w:hAnsi="Calibri"/>
                <w:b w:val="0"/>
                <w:i w:val="0"/>
                <w:color w:val="20303C"/>
                <w:sz w:val="18"/>
              </w:rPr>
              <w:t>77871653</w:t>
            </w:r>
          </w:p>
        </w:tc>
        <w:tc>
          <w:tcPr>
            <w:tcW w:type="dxa" w:w="3560"/>
            <w:vAlign w:val="center"/>
          </w:tcPr>
          <w:p>
            <w:pPr>
              <w:spacing w:after="0"/>
            </w:pPr>
            <w:r>
              <w:rPr>
                <w:rFonts w:ascii="Calibri" w:hAnsi="Calibri"/>
                <w:b w:val="0"/>
                <w:i w:val="0"/>
                <w:color w:val="20303C"/>
                <w:sz w:val="18"/>
              </w:rPr>
              <w:t>471/471, 0 errores.</w:t>
            </w:r>
          </w:p>
        </w:tc>
      </w:tr>
      <w:tr>
        <w:trPr>
          <w:cantSplit/>
        </w:trPr>
        <w:tc>
          <w:tcPr>
            <w:tcW w:type="dxa" w:w="3900"/>
            <w:shd w:fill="F4F7F9"/>
            <w:vAlign w:val="center"/>
          </w:tcPr>
          <w:p>
            <w:pPr>
              <w:spacing w:after="0"/>
            </w:pPr>
            <w:r>
              <w:rPr>
                <w:rFonts w:ascii="Calibri" w:hAnsi="Calibri"/>
                <w:b/>
                <w:i w:val="0"/>
                <w:color w:val="20303C"/>
                <w:sz w:val="18"/>
              </w:rPr>
              <w:t>Sector estratégico Company</w:t>
            </w:r>
          </w:p>
        </w:tc>
        <w:tc>
          <w:tcPr>
            <w:tcW w:type="dxa" w:w="1900"/>
            <w:shd w:fill="F4F7F9"/>
            <w:vAlign w:val="center"/>
          </w:tcPr>
          <w:p>
            <w:pPr>
              <w:spacing w:after="0"/>
            </w:pPr>
            <w:r>
              <w:rPr>
                <w:rFonts w:ascii="Calibri" w:hAnsi="Calibri"/>
                <w:b w:val="0"/>
                <w:i w:val="0"/>
                <w:color w:val="20303C"/>
                <w:sz w:val="18"/>
              </w:rPr>
              <w:t>77871743</w:t>
            </w:r>
          </w:p>
        </w:tc>
        <w:tc>
          <w:tcPr>
            <w:tcW w:type="dxa" w:w="3560"/>
            <w:shd w:fill="F4F7F9"/>
            <w:vAlign w:val="center"/>
          </w:tcPr>
          <w:p>
            <w:pPr>
              <w:spacing w:after="0"/>
            </w:pPr>
            <w:r>
              <w:rPr>
                <w:rFonts w:ascii="Calibri" w:hAnsi="Calibri"/>
                <w:b w:val="0"/>
                <w:i w:val="0"/>
                <w:color w:val="20303C"/>
                <w:sz w:val="18"/>
              </w:rPr>
              <w:t>65/65, 0 errores.</w:t>
            </w:r>
          </w:p>
        </w:tc>
      </w:tr>
      <w:tr>
        <w:trPr>
          <w:cantSplit/>
        </w:trPr>
        <w:tc>
          <w:tcPr>
            <w:tcW w:type="dxa" w:w="3900"/>
            <w:vAlign w:val="center"/>
          </w:tcPr>
          <w:p>
            <w:pPr>
              <w:spacing w:after="0"/>
            </w:pPr>
            <w:r>
              <w:rPr>
                <w:rFonts w:ascii="Calibri" w:hAnsi="Calibri"/>
                <w:b/>
                <w:i w:val="0"/>
                <w:color w:val="20303C"/>
                <w:sz w:val="18"/>
              </w:rPr>
              <w:t>Deal–Company Primary</w:t>
            </w:r>
          </w:p>
        </w:tc>
        <w:tc>
          <w:tcPr>
            <w:tcW w:type="dxa" w:w="1900"/>
            <w:vAlign w:val="center"/>
          </w:tcPr>
          <w:p>
            <w:pPr>
              <w:spacing w:after="0"/>
            </w:pPr>
            <w:r>
              <w:rPr>
                <w:rFonts w:ascii="Calibri" w:hAnsi="Calibri"/>
                <w:b w:val="0"/>
                <w:i w:val="0"/>
                <w:color w:val="20303C"/>
                <w:sz w:val="18"/>
              </w:rPr>
              <w:t>77872707</w:t>
            </w:r>
          </w:p>
        </w:tc>
        <w:tc>
          <w:tcPr>
            <w:tcW w:type="dxa" w:w="3560"/>
            <w:vAlign w:val="center"/>
          </w:tcPr>
          <w:p>
            <w:pPr>
              <w:spacing w:after="0"/>
            </w:pPr>
            <w:r>
              <w:rPr>
                <w:rFonts w:ascii="Calibri" w:hAnsi="Calibri"/>
                <w:b w:val="0"/>
                <w:i w:val="0"/>
                <w:color w:val="20303C"/>
                <w:sz w:val="18"/>
              </w:rPr>
              <w:t>34 pares, 0 errores, 0 records nuevos.</w:t>
            </w:r>
          </w:p>
        </w:tc>
      </w:tr>
      <w:tr>
        <w:trPr>
          <w:cantSplit/>
        </w:trPr>
        <w:tc>
          <w:tcPr>
            <w:tcW w:type="dxa" w:w="3900"/>
            <w:shd w:fill="F4F7F9"/>
            <w:vAlign w:val="center"/>
          </w:tcPr>
          <w:p>
            <w:pPr>
              <w:spacing w:after="0"/>
            </w:pPr>
            <w:r>
              <w:rPr>
                <w:rFonts w:ascii="Calibri" w:hAnsi="Calibri"/>
                <w:b/>
                <w:i w:val="0"/>
                <w:color w:val="20303C"/>
                <w:sz w:val="18"/>
              </w:rPr>
              <w:t>Workflow activación Service</w:t>
            </w:r>
          </w:p>
        </w:tc>
        <w:tc>
          <w:tcPr>
            <w:tcW w:type="dxa" w:w="1900"/>
            <w:shd w:fill="F4F7F9"/>
            <w:vAlign w:val="center"/>
          </w:tcPr>
          <w:p>
            <w:pPr>
              <w:spacing w:after="0"/>
            </w:pPr>
            <w:r>
              <w:rPr>
                <w:rFonts w:ascii="Calibri" w:hAnsi="Calibri"/>
                <w:b w:val="0"/>
                <w:i w:val="0"/>
                <w:color w:val="20303C"/>
                <w:sz w:val="18"/>
              </w:rPr>
              <w:t>1852406585</w:t>
            </w:r>
          </w:p>
        </w:tc>
        <w:tc>
          <w:tcPr>
            <w:tcW w:type="dxa" w:w="3560"/>
            <w:shd w:fill="F4F7F9"/>
            <w:vAlign w:val="center"/>
          </w:tcPr>
          <w:p>
            <w:pPr>
              <w:spacing w:after="0"/>
            </w:pPr>
            <w:r>
              <w:rPr>
                <w:rFonts w:ascii="Calibri" w:hAnsi="Calibri"/>
                <w:b w:val="0"/>
                <w:i w:val="0"/>
                <w:color w:val="20303C"/>
                <w:sz w:val="18"/>
              </w:rPr>
              <w:t>5 ejecuciones completas; re-enrollment OFF.</w:t>
            </w:r>
          </w:p>
        </w:tc>
      </w:tr>
    </w:tbl>
    <w:p>
      <w:pPr>
        <w:spacing w:after="0"/>
      </w:pPr>
    </w:p>
    <w:p>
      <w:pPr>
        <w:pStyle w:val="Heading2"/>
      </w:pPr>
      <w:r>
        <w:t>14.3 Fuentes canónicas</w:t>
      </w:r>
    </w:p>
    <w:p>
      <w:pPr>
        <w:pStyle w:val="ListBullet"/>
      </w:pPr>
      <w:r>
        <w:rPr>
          <w:rFonts w:ascii="Calibri" w:hAnsi="Calibri"/>
          <w:b w:val="0"/>
          <w:i w:val="0"/>
          <w:color w:val="20303C"/>
          <w:sz w:val="22"/>
        </w:rPr>
        <w:t>Roadmap: anam-revops-implementation-roadmap-phases-2026-07-16.md.</w:t>
      </w:r>
    </w:p>
    <w:p>
      <w:pPr>
        <w:pStyle w:val="ListBullet"/>
      </w:pPr>
      <w:r>
        <w:rPr>
          <w:rFonts w:ascii="Calibri" w:hAnsi="Calibri"/>
          <w:b w:val="0"/>
          <w:i w:val="0"/>
          <w:color w:val="20303C"/>
          <w:sz w:val="22"/>
        </w:rPr>
        <w:t>Modelo vivo: anam-revops-data-model-and-object-synergies-v1.md.</w:t>
      </w:r>
    </w:p>
    <w:p>
      <w:pPr>
        <w:pStyle w:val="ListBullet"/>
      </w:pPr>
      <w:r>
        <w:rPr>
          <w:rFonts w:ascii="Calibri" w:hAnsi="Calibri"/>
          <w:b w:val="0"/>
          <w:i w:val="0"/>
          <w:color w:val="20303C"/>
          <w:sz w:val="22"/>
        </w:rPr>
        <w:t>Handoff de continuidad: anam-next-session-handoff-2026-07-16.md.</w:t>
      </w:r>
    </w:p>
    <w:p>
      <w:pPr>
        <w:pStyle w:val="ListBullet"/>
      </w:pPr>
      <w:r>
        <w:rPr>
          <w:rFonts w:ascii="Calibri" w:hAnsi="Calibri"/>
          <w:b w:val="0"/>
          <w:i w:val="0"/>
          <w:color w:val="20303C"/>
          <w:sz w:val="22"/>
        </w:rPr>
        <w:t>Fase 1: anam-phase-1-commercial-reporting-foundation-2026-07-16.md y outcome reporting change set.</w:t>
      </w:r>
    </w:p>
    <w:p>
      <w:pPr>
        <w:pStyle w:val="ListBullet"/>
      </w:pPr>
      <w:r>
        <w:rPr>
          <w:rFonts w:ascii="Calibri" w:hAnsi="Calibri"/>
          <w:b w:val="0"/>
          <w:i w:val="0"/>
          <w:color w:val="20303C"/>
          <w:sz w:val="22"/>
        </w:rPr>
        <w:t>Segmentación/KPI: anam-sector-geography-kpi-slice-change-set-2026-07-16.md.</w:t>
      </w:r>
    </w:p>
    <w:p>
      <w:pPr>
        <w:pStyle w:val="ListBullet"/>
      </w:pPr>
      <w:r>
        <w:rPr>
          <w:rFonts w:ascii="Calibri" w:hAnsi="Calibri"/>
          <w:b w:val="0"/>
          <w:i w:val="0"/>
          <w:color w:val="20303C"/>
          <w:sz w:val="22"/>
        </w:rPr>
        <w:t>Deal–Company: anam-deal-company-association-remediation-dry-run-2026-07-16.md.</w:t>
      </w:r>
    </w:p>
    <w:p>
      <w:pPr>
        <w:pStyle w:val="ListBullet"/>
      </w:pPr>
      <w:r>
        <w:rPr>
          <w:rFonts w:ascii="Calibri" w:hAnsi="Calibri"/>
          <w:b w:val="0"/>
          <w:i w:val="0"/>
          <w:color w:val="20303C"/>
          <w:sz w:val="22"/>
        </w:rPr>
        <w:t>Service: anam-service-change-set, forward pilot, workflow test y pilot dashboard execution.</w:t>
      </w:r>
    </w:p>
    <w:p>
      <w:pPr>
        <w:pStyle w:val="ListBullet"/>
      </w:pPr>
      <w:r>
        <w:rPr>
          <w:rFonts w:ascii="Calibri" w:hAnsi="Calibri"/>
          <w:b w:val="0"/>
          <w:i w:val="0"/>
          <w:color w:val="20303C"/>
          <w:sz w:val="22"/>
        </w:rPr>
        <w:t>Facturación: converged model, billing event decision, ETL operating model e intake UI.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2F8"/>
          </w:tcPr>
          <w:p>
            <w:pPr>
              <w:pStyle w:val="Callout"/>
            </w:pPr>
            <w:r>
              <w:rPr>
                <w:rFonts w:ascii="Calibri" w:hAnsi="Calibri"/>
                <w:b/>
                <w:i w:val="0"/>
                <w:color w:val="12324A"/>
                <w:sz w:val="21"/>
              </w:rPr>
              <w:t xml:space="preserve">Conclusión: </w:t>
            </w:r>
            <w:r>
              <w:rPr>
                <w:rFonts w:ascii="Calibri" w:hAnsi="Calibri"/>
                <w:b w:val="0"/>
                <w:i w:val="0"/>
                <w:color w:val="12324A"/>
                <w:sz w:val="21"/>
              </w:rPr>
              <w:t>ANAM ya dispone de una base RevOps considerablemente más gobernada y observable. El siguiente salto no consiste en crear más gráficos indiscriminadamente, sino en cerrar identidad, captura forward y facts contractuales para convertir pilotos y diagnósticos en métricas oficiales.</w:t>
            </w:r>
          </w:p>
        </w:tc>
      </w:tr>
    </w:tbl>
    <w:p>
      <w:pPr>
        <w:spacing w:after="0"/>
      </w:pPr>
    </w:p>
    <w:sectPr w:rsidR="00FC693F" w:rsidRPr="0006063C" w:rsidSect="00034616">
      <w:headerReference w:type="default" r:id="rId9"/>
      <w:headerReference w:type="first" r:id="rId10"/>
      <w:footerReference w:type="default" r:id="rId11"/>
      <w:footerReference w:type="first" r:id="rId12"/>
      <w:pgSz w:w="12240" w:h="15840"/>
      <w:pgMar w:top="1181" w:right="1440" w:bottom="1080" w:left="1440"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 xml:space="preserve">Efeonce Group SpA · efeoncepro.com · ANAM · 17 julio 2026   ·   </w:t>
    </w:r>
    <w:r>
      <w:rPr>
        <w:rFonts w:ascii="Calibri" w:hAnsi="Calibri"/>
        <w:b w:val="0"/>
        <w:i w:val="0"/>
        <w:color w:val="5B6573"/>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360"/>
      <w:jc w:val="center"/>
      <w:tblLayout w:type="fixed"/>
      <w:tblLook w:firstColumn="1" w:firstRow="1" w:lastColumn="0" w:lastRow="0" w:noHBand="0" w:noVBand="1" w:val="04A0"/>
      <w:tblInd w:w="120" w:type="dxa"/>
    </w:tblPr>
    <w:tblGrid>
      <w:gridCol w:w="1944"/>
      <w:gridCol w:w="7416"/>
    </w:tblGrid>
    <w:tr>
      <w:tc>
        <w:tcPr>
          <w:tcW w:type="dxa" w:w="1944"/>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987552" cy="230429"/>
                <wp:docPr id="1" name="Picture 1" descr="Logo de Efeonce Group" title="Logo de Efeonce Group"/>
                <wp:cNvGraphicFramePr>
                  <a:graphicFrameLocks noChangeAspect="1"/>
                </wp:cNvGraphicFramePr>
                <a:graphic>
                  <a:graphicData uri="http://schemas.openxmlformats.org/drawingml/2006/picture">
                    <pic:pic>
                      <pic:nvPicPr>
                        <pic:cNvPr id="0" name="logo-full.png"/>
                        <pic:cNvPicPr/>
                      </pic:nvPicPr>
                      <pic:blipFill>
                        <a:blip r:embed="rId1"/>
                        <a:stretch>
                          <a:fillRect/>
                        </a:stretch>
                      </pic:blipFill>
                      <pic:spPr>
                        <a:xfrm>
                          <a:off x="0" y="0"/>
                          <a:ext cx="987552" cy="230429"/>
                        </a:xfrm>
                        <a:prstGeom prst="rect"/>
                      </pic:spPr>
                    </pic:pic>
                  </a:graphicData>
                </a:graphic>
              </wp:inline>
            </w:drawing>
          </w:r>
        </w:p>
      </w:tc>
      <w:tc>
        <w:tcPr>
          <w:tcW w:type="dxa" w:w="7416"/>
          <w:tcMar>
            <w:top w:w="0" w:type="dxa"/>
            <w:start w:w="0" w:type="dxa"/>
            <w:bottom w:w="0" w:type="dxa"/>
            <w:end w:w="0" w:type="dxa"/>
          </w:tcMar>
          <w:vAlign w:val="center"/>
        </w:tcPr>
        <w:p>
          <w:pPr>
            <w:jc w:val="right"/>
          </w:pPr>
          <w:r>
            <w:rPr>
              <w:rFonts w:ascii="Calibri" w:hAnsi="Calibri"/>
              <w:b/>
              <w:i w:val="0"/>
              <w:color w:val="5B6573"/>
              <w:sz w:val="17"/>
            </w:rPr>
            <w:t>Informe RevOps, arquitectura y paneles ANAM</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12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2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59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59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30" w:right="230"/>
    </w:pPr>
    <w:rPr>
      <w:rFonts w:ascii="Calibri" w:hAnsi="Calibri"/>
      <w:color w:val="1232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