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EBB4" w14:textId="4836CEF5" w:rsidR="003E1512" w:rsidRPr="00735F0A" w:rsidRDefault="007373AB" w:rsidP="00735F0A">
      <w:pPr>
        <w:pStyle w:val="Ttulo"/>
      </w:pPr>
      <w:r w:rsidRPr="00735F0A">
        <w:t>This is the template</w:t>
      </w:r>
    </w:p>
    <w:p w14:paraId="3A3ECABF" w14:textId="44084DD6" w:rsidR="003E1512" w:rsidRDefault="00975995" w:rsidP="00735F0A">
      <w:pPr>
        <w:pStyle w:val="Subttulo"/>
      </w:pPr>
      <w:r w:rsidRPr="008465FF">
        <w:t xml:space="preserve">Short title: </w:t>
      </w:r>
      <w:r w:rsidR="007373AB">
        <w:t>Template</w:t>
      </w:r>
    </w:p>
    <w:p w14:paraId="15F4DE9A" w14:textId="3656C2C9" w:rsidR="003E1512" w:rsidRPr="00735F0A" w:rsidRDefault="007373AB" w:rsidP="00735F0A">
      <w:pPr>
        <w:pStyle w:val="Ttulo1"/>
      </w:pPr>
      <w:r w:rsidRPr="00735F0A">
        <w:t>Title 1</w:t>
      </w:r>
    </w:p>
    <w:p w14:paraId="397B6CB7" w14:textId="5B300DE3" w:rsidR="007373AB" w:rsidRDefault="007373AB" w:rsidP="00735F0A">
      <w:pPr>
        <w:pStyle w:val="Ttulo2"/>
      </w:pPr>
      <w:r w:rsidRPr="007373AB">
        <w:t>Title 2</w:t>
      </w:r>
    </w:p>
    <w:p w14:paraId="5D919CB2" w14:textId="758BB500" w:rsidR="00184D92" w:rsidRPr="00184D92" w:rsidRDefault="00184D92" w:rsidP="00184D92">
      <w:pPr>
        <w:pStyle w:val="Ttulo3"/>
      </w:pPr>
      <w:r w:rsidRPr="00184D92">
        <w:t>Title 2</w:t>
      </w:r>
    </w:p>
    <w:p w14:paraId="6E0C6BEC" w14:textId="0077F57D" w:rsidR="003E1512" w:rsidRPr="00735F0A" w:rsidRDefault="007373AB" w:rsidP="00735F0A">
      <w:pPr>
        <w:pStyle w:val="FirstParagraph"/>
      </w:pPr>
      <w:r w:rsidRPr="00735F0A">
        <w:t>This is a first paragraph text</w:t>
      </w:r>
      <w:r w:rsidR="001E24E8" w:rsidRPr="00735F0A">
        <w:t>:</w:t>
      </w:r>
      <w:r w:rsidRPr="00735F0A">
        <w:t xml:space="preserve"> </w:t>
      </w:r>
      <w:r w:rsidR="001E24E8" w:rsidRPr="00735F0A">
        <w:t>“</w:t>
      </w:r>
      <w:r w:rsidRPr="00735F0A">
        <w:t>There was Eru, the One, who in Arda is called Ilúvatar; and he made first the Ainur, the Holy Ones, that were the offspring of his thought, and they were with him before aught else was made. And he spoke to them, propounding to them themes of music; and they sang before him, and he was glad</w:t>
      </w:r>
      <w:r w:rsidR="001E24E8" w:rsidRPr="00735F0A">
        <w:t>”</w:t>
      </w:r>
      <w:r w:rsidRPr="00735F0A">
        <w:t xml:space="preserve">  (Tolkien </w:t>
      </w:r>
      <w:hyperlink w:anchor="ref-RN3586">
        <w:r w:rsidRPr="00735F0A">
          <w:t>1977</w:t>
        </w:r>
      </w:hyperlink>
      <w:r w:rsidRPr="00735F0A">
        <w:t>)</w:t>
      </w:r>
      <w:r w:rsidR="00975995" w:rsidRPr="00735F0A">
        <w:t>.</w:t>
      </w:r>
      <w:r w:rsidRPr="00735F0A">
        <w:t xml:space="preserve"> </w:t>
      </w:r>
    </w:p>
    <w:p w14:paraId="6D951C7E" w14:textId="319F20CD" w:rsidR="003E1512" w:rsidRPr="00735F0A" w:rsidRDefault="007373AB" w:rsidP="00735F0A">
      <w:pPr>
        <w:pStyle w:val="Textoindependiente"/>
      </w:pPr>
      <w:r w:rsidRPr="00735F0A">
        <w:t>And this is one of the subsequent paragraphs</w:t>
      </w:r>
      <w:r w:rsidR="00975995" w:rsidRPr="00735F0A">
        <w:t>.</w:t>
      </w:r>
      <w:r w:rsidRPr="00735F0A">
        <w:t xml:space="preserve"> </w:t>
      </w:r>
      <w:r w:rsidR="001E24E8" w:rsidRPr="00735F0A">
        <w:t>Subsequent paragraphs may, or may not, have a different formatting</w:t>
      </w:r>
      <w:r w:rsidRPr="00735F0A">
        <w:t>.</w:t>
      </w:r>
    </w:p>
    <w:p w14:paraId="589548E8" w14:textId="77777777" w:rsidR="003E1512" w:rsidRDefault="00975995" w:rsidP="00735F0A">
      <w:pPr>
        <w:pStyle w:val="Ttulo1"/>
      </w:pPr>
      <w:bookmarkStart w:id="0" w:name="tables"/>
      <w:r>
        <w:t>Tables</w:t>
      </w:r>
      <w:bookmarkEnd w:id="0"/>
    </w:p>
    <w:p w14:paraId="44CF6F82" w14:textId="77777777" w:rsidR="007152B1" w:rsidRDefault="007152B1" w:rsidP="007152B1">
      <w:pPr>
        <w:pStyle w:val="TableCaption"/>
      </w:pPr>
      <w:r>
        <w:t xml:space="preserve">Table 1: Table 1 Seed germination cues. Description of the experimental treatments used as proxies of the cues, ecological function of the cue in determining germination </w:t>
      </w:r>
      <w:r>
        <w:lastRenderedPageBreak/>
        <w:t>phenology, and prediction of the relationship between the cue and the species preferences for stress and disturbance.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1: Table 1 Seed germination cues. Description of the experimental treatments used as proxies of the cues, ecological function of the cue in determining germination phenology, and prediction of the relationship between the cue and the species preferences for stress and disturbance."/>
      </w:tblPr>
      <w:tblGrid>
        <w:gridCol w:w="1975"/>
        <w:gridCol w:w="1684"/>
        <w:gridCol w:w="1060"/>
        <w:gridCol w:w="2279"/>
        <w:gridCol w:w="1830"/>
      </w:tblGrid>
      <w:tr w:rsidR="007152B1" w14:paraId="4479FD7C" w14:textId="77777777" w:rsidTr="005C503C">
        <w:trPr>
          <w:tblHeader/>
        </w:trPr>
        <w:tc>
          <w:tcPr>
            <w:tcW w:w="0" w:type="auto"/>
          </w:tcPr>
          <w:p w14:paraId="64F599C1" w14:textId="77777777" w:rsidR="007152B1" w:rsidRPr="00A36E5A" w:rsidRDefault="007152B1" w:rsidP="00A36E5A">
            <w:pPr>
              <w:pStyle w:val="Compact"/>
            </w:pPr>
            <w:r w:rsidRPr="00A36E5A">
              <w:t>Germination.cue</w:t>
            </w:r>
          </w:p>
        </w:tc>
        <w:tc>
          <w:tcPr>
            <w:tcW w:w="0" w:type="auto"/>
          </w:tcPr>
          <w:p w14:paraId="3D185E8D" w14:textId="77777777" w:rsidR="007152B1" w:rsidRPr="00A36E5A" w:rsidRDefault="007152B1" w:rsidP="00A36E5A">
            <w:pPr>
              <w:pStyle w:val="Compact"/>
            </w:pPr>
            <w:r w:rsidRPr="00A36E5A">
              <w:t>Description</w:t>
            </w:r>
          </w:p>
        </w:tc>
        <w:tc>
          <w:tcPr>
            <w:tcW w:w="0" w:type="auto"/>
          </w:tcPr>
          <w:p w14:paraId="6AF00E1A" w14:textId="77777777" w:rsidR="007152B1" w:rsidRPr="00A36E5A" w:rsidRDefault="007152B1" w:rsidP="00A36E5A">
            <w:pPr>
              <w:pStyle w:val="Compact"/>
            </w:pPr>
            <w:r w:rsidRPr="00A36E5A">
              <w:t>Units</w:t>
            </w:r>
          </w:p>
        </w:tc>
        <w:tc>
          <w:tcPr>
            <w:tcW w:w="0" w:type="auto"/>
          </w:tcPr>
          <w:p w14:paraId="1659F535" w14:textId="77777777" w:rsidR="007152B1" w:rsidRPr="00A36E5A" w:rsidRDefault="007152B1" w:rsidP="00A36E5A">
            <w:pPr>
              <w:pStyle w:val="Compact"/>
            </w:pPr>
            <w:r w:rsidRPr="00A36E5A">
              <w:t>Ecological.function</w:t>
            </w:r>
          </w:p>
        </w:tc>
        <w:tc>
          <w:tcPr>
            <w:tcW w:w="0" w:type="auto"/>
          </w:tcPr>
          <w:p w14:paraId="1420AC2D" w14:textId="77777777" w:rsidR="007152B1" w:rsidRPr="00A36E5A" w:rsidRDefault="007152B1" w:rsidP="00A36E5A">
            <w:pPr>
              <w:pStyle w:val="Compact"/>
            </w:pPr>
            <w:r w:rsidRPr="00A36E5A">
              <w:t>Prediction</w:t>
            </w:r>
          </w:p>
        </w:tc>
      </w:tr>
      <w:tr w:rsidR="007152B1" w14:paraId="1B869236" w14:textId="77777777" w:rsidTr="005C503C">
        <w:tc>
          <w:tcPr>
            <w:tcW w:w="0" w:type="auto"/>
          </w:tcPr>
          <w:p w14:paraId="16FE4E4C" w14:textId="77777777" w:rsidR="007152B1" w:rsidRPr="00A36E5A" w:rsidRDefault="007152B1" w:rsidP="00A36E5A">
            <w:pPr>
              <w:pStyle w:val="Compact"/>
            </w:pPr>
            <w:r w:rsidRPr="00A36E5A">
              <w:t>Scarification</w:t>
            </w:r>
          </w:p>
        </w:tc>
        <w:tc>
          <w:tcPr>
            <w:tcW w:w="0" w:type="auto"/>
          </w:tcPr>
          <w:p w14:paraId="350E81B1" w14:textId="77777777" w:rsidR="007152B1" w:rsidRPr="00A36E5A" w:rsidRDefault="007152B1" w:rsidP="00A36E5A">
            <w:pPr>
              <w:pStyle w:val="Compact"/>
            </w:pPr>
            <w:r w:rsidRPr="00A36E5A">
              <w:t>Abrasion of the seed coat was applied to allow water imbibition</w:t>
            </w:r>
          </w:p>
        </w:tc>
        <w:tc>
          <w:tcPr>
            <w:tcW w:w="0" w:type="auto"/>
          </w:tcPr>
          <w:p w14:paraId="0892331A" w14:textId="77777777" w:rsidR="007152B1" w:rsidRPr="00A36E5A" w:rsidRDefault="007152B1" w:rsidP="00A36E5A">
            <w:pPr>
              <w:pStyle w:val="Compact"/>
            </w:pPr>
            <w:r w:rsidRPr="00A36E5A">
              <w:t>Binary (yes/no)</w:t>
            </w:r>
          </w:p>
        </w:tc>
        <w:tc>
          <w:tcPr>
            <w:tcW w:w="0" w:type="auto"/>
          </w:tcPr>
          <w:p w14:paraId="6BBF3114" w14:textId="77777777" w:rsidR="007152B1" w:rsidRPr="00A36E5A" w:rsidRDefault="007152B1" w:rsidP="00A36E5A">
            <w:pPr>
              <w:pStyle w:val="Compact"/>
            </w:pPr>
            <w:r w:rsidRPr="00A36E5A">
              <w:t>Delay germination until seed coat is abraded by soil movement, fire, freeze-thaw, etc.</w:t>
            </w:r>
          </w:p>
        </w:tc>
        <w:tc>
          <w:tcPr>
            <w:tcW w:w="0" w:type="auto"/>
          </w:tcPr>
          <w:p w14:paraId="20CAB4CB" w14:textId="77777777" w:rsidR="007152B1" w:rsidRPr="00A36E5A" w:rsidRDefault="007152B1" w:rsidP="00A36E5A">
            <w:pPr>
              <w:pStyle w:val="Compact"/>
            </w:pPr>
            <w:r w:rsidRPr="00A36E5A">
              <w:t>Stronger signal for high-disturbance species (e.g. germinate after soil tilling or fire)</w:t>
            </w:r>
          </w:p>
        </w:tc>
      </w:tr>
      <w:tr w:rsidR="007152B1" w14:paraId="676747B4" w14:textId="77777777" w:rsidTr="005C503C">
        <w:tc>
          <w:tcPr>
            <w:tcW w:w="0" w:type="auto"/>
          </w:tcPr>
          <w:p w14:paraId="14A3D984" w14:textId="77777777" w:rsidR="007152B1" w:rsidRPr="00A36E5A" w:rsidRDefault="007152B1" w:rsidP="00A36E5A">
            <w:pPr>
              <w:pStyle w:val="Compact"/>
            </w:pPr>
            <w:r w:rsidRPr="00A36E5A">
              <w:t>Cold stratification</w:t>
            </w:r>
          </w:p>
        </w:tc>
        <w:tc>
          <w:tcPr>
            <w:tcW w:w="0" w:type="auto"/>
          </w:tcPr>
          <w:p w14:paraId="6CDC63C2" w14:textId="77777777" w:rsidR="007152B1" w:rsidRPr="00A36E5A" w:rsidRDefault="007152B1" w:rsidP="00A36E5A">
            <w:pPr>
              <w:pStyle w:val="Compact"/>
            </w:pPr>
            <w:r w:rsidRPr="00A36E5A">
              <w:t>Seeds went through a period (&gt; 4 weeks) of cold-wet stratification (&lt; 6ºC)</w:t>
            </w:r>
          </w:p>
        </w:tc>
        <w:tc>
          <w:tcPr>
            <w:tcW w:w="0" w:type="auto"/>
          </w:tcPr>
          <w:p w14:paraId="5DEBFC44" w14:textId="77777777" w:rsidR="007152B1" w:rsidRPr="00A36E5A" w:rsidRDefault="007152B1" w:rsidP="00A36E5A">
            <w:pPr>
              <w:pStyle w:val="Compact"/>
            </w:pPr>
            <w:r w:rsidRPr="00A36E5A">
              <w:t>Binary (yes/no)</w:t>
            </w:r>
          </w:p>
        </w:tc>
        <w:tc>
          <w:tcPr>
            <w:tcW w:w="0" w:type="auto"/>
          </w:tcPr>
          <w:p w14:paraId="4139A108" w14:textId="77777777" w:rsidR="007152B1" w:rsidRPr="00A36E5A" w:rsidRDefault="007152B1" w:rsidP="00A36E5A">
            <w:pPr>
              <w:pStyle w:val="Compact"/>
            </w:pPr>
            <w:r w:rsidRPr="00A36E5A">
              <w:t>Delay germination until a cold season is passed</w:t>
            </w:r>
          </w:p>
        </w:tc>
        <w:tc>
          <w:tcPr>
            <w:tcW w:w="0" w:type="auto"/>
          </w:tcPr>
          <w:p w14:paraId="5AE39210" w14:textId="77777777" w:rsidR="007152B1" w:rsidRPr="00A36E5A" w:rsidRDefault="007152B1" w:rsidP="00A36E5A">
            <w:pPr>
              <w:pStyle w:val="Compact"/>
            </w:pPr>
            <w:r w:rsidRPr="00A36E5A">
              <w:t>Stronger signal for high-stress species (e.g. avoid autumn or winter germination)</w:t>
            </w:r>
          </w:p>
        </w:tc>
      </w:tr>
      <w:tr w:rsidR="007152B1" w14:paraId="3D37D08C" w14:textId="77777777" w:rsidTr="005C503C">
        <w:tc>
          <w:tcPr>
            <w:tcW w:w="0" w:type="auto"/>
          </w:tcPr>
          <w:p w14:paraId="0036A0B5" w14:textId="77777777" w:rsidR="007152B1" w:rsidRPr="00A36E5A" w:rsidRDefault="007152B1" w:rsidP="00A36E5A">
            <w:pPr>
              <w:pStyle w:val="Compact"/>
            </w:pPr>
            <w:r w:rsidRPr="00A36E5A">
              <w:t>Average temperature</w:t>
            </w:r>
          </w:p>
        </w:tc>
        <w:tc>
          <w:tcPr>
            <w:tcW w:w="0" w:type="auto"/>
          </w:tcPr>
          <w:p w14:paraId="4ABFEAD6" w14:textId="77777777" w:rsidR="007152B1" w:rsidRPr="00A36E5A" w:rsidRDefault="007152B1" w:rsidP="00A36E5A">
            <w:pPr>
              <w:pStyle w:val="Compact"/>
            </w:pPr>
            <w:r w:rsidRPr="00A36E5A">
              <w:t>Weighted average of the diurnal temperature cycle, weighted by the duration of each phase</w:t>
            </w:r>
          </w:p>
        </w:tc>
        <w:tc>
          <w:tcPr>
            <w:tcW w:w="0" w:type="auto"/>
          </w:tcPr>
          <w:p w14:paraId="3FA0FE97" w14:textId="77777777" w:rsidR="007152B1" w:rsidRPr="00A36E5A" w:rsidRDefault="007152B1" w:rsidP="00A36E5A">
            <w:pPr>
              <w:pStyle w:val="Compact"/>
            </w:pPr>
            <w:r w:rsidRPr="00A36E5A">
              <w:t>ºC</w:t>
            </w:r>
          </w:p>
        </w:tc>
        <w:tc>
          <w:tcPr>
            <w:tcW w:w="0" w:type="auto"/>
          </w:tcPr>
          <w:p w14:paraId="1E53CFD5" w14:textId="77777777" w:rsidR="007152B1" w:rsidRPr="00A36E5A" w:rsidRDefault="007152B1" w:rsidP="00A36E5A">
            <w:pPr>
              <w:pStyle w:val="Compact"/>
            </w:pPr>
            <w:r w:rsidRPr="00A36E5A">
              <w:t>Delay germination until the proper time of the annual temperature cycle</w:t>
            </w:r>
          </w:p>
        </w:tc>
        <w:tc>
          <w:tcPr>
            <w:tcW w:w="0" w:type="auto"/>
          </w:tcPr>
          <w:p w14:paraId="1058E437" w14:textId="77777777" w:rsidR="007152B1" w:rsidRPr="00A36E5A" w:rsidRDefault="007152B1" w:rsidP="00A36E5A">
            <w:pPr>
              <w:pStyle w:val="Compact"/>
            </w:pPr>
            <w:r w:rsidRPr="00A36E5A">
              <w:t>Stronger signal for high-stress/low-disturbance species (e.g. summer germination in alpine meadows, mires)</w:t>
            </w:r>
          </w:p>
        </w:tc>
      </w:tr>
      <w:tr w:rsidR="007152B1" w14:paraId="707C7787" w14:textId="77777777" w:rsidTr="005C503C">
        <w:tc>
          <w:tcPr>
            <w:tcW w:w="0" w:type="auto"/>
          </w:tcPr>
          <w:p w14:paraId="2148580A" w14:textId="77777777" w:rsidR="007152B1" w:rsidRPr="00A36E5A" w:rsidRDefault="007152B1" w:rsidP="00A36E5A">
            <w:pPr>
              <w:pStyle w:val="Compact"/>
            </w:pPr>
            <w:r w:rsidRPr="00A36E5A">
              <w:t>Alternating temperature</w:t>
            </w:r>
          </w:p>
        </w:tc>
        <w:tc>
          <w:tcPr>
            <w:tcW w:w="0" w:type="auto"/>
          </w:tcPr>
          <w:p w14:paraId="6F662E8D" w14:textId="77777777" w:rsidR="007152B1" w:rsidRPr="00A36E5A" w:rsidRDefault="007152B1" w:rsidP="00A36E5A">
            <w:pPr>
              <w:pStyle w:val="Compact"/>
            </w:pPr>
            <w:r w:rsidRPr="00A36E5A">
              <w:t>Different temperatures were applied during the day and night, in diurnal cycles</w:t>
            </w:r>
          </w:p>
        </w:tc>
        <w:tc>
          <w:tcPr>
            <w:tcW w:w="0" w:type="auto"/>
          </w:tcPr>
          <w:p w14:paraId="3E14DCE5" w14:textId="77777777" w:rsidR="007152B1" w:rsidRPr="00A36E5A" w:rsidRDefault="007152B1" w:rsidP="00A36E5A">
            <w:pPr>
              <w:pStyle w:val="Compact"/>
            </w:pPr>
            <w:r w:rsidRPr="00A36E5A">
              <w:t>Binary (yes/no)</w:t>
            </w:r>
          </w:p>
        </w:tc>
        <w:tc>
          <w:tcPr>
            <w:tcW w:w="0" w:type="auto"/>
          </w:tcPr>
          <w:p w14:paraId="416B18D4" w14:textId="77777777" w:rsidR="007152B1" w:rsidRPr="00A36E5A" w:rsidRDefault="007152B1" w:rsidP="00A36E5A">
            <w:pPr>
              <w:pStyle w:val="Compact"/>
            </w:pPr>
            <w:r w:rsidRPr="00A36E5A">
              <w:t>Delay germination unless close to soil surface, under open vegetation and/or a low water table</w:t>
            </w:r>
          </w:p>
        </w:tc>
        <w:tc>
          <w:tcPr>
            <w:tcW w:w="0" w:type="auto"/>
          </w:tcPr>
          <w:p w14:paraId="44A45C79" w14:textId="77777777" w:rsidR="007152B1" w:rsidRPr="00A36E5A" w:rsidRDefault="007152B1" w:rsidP="00A36E5A">
            <w:pPr>
              <w:pStyle w:val="Compact"/>
            </w:pPr>
            <w:r w:rsidRPr="00A36E5A">
              <w:t>Stronger signal for low-stress/low-disturbance species (e.g. germinate in vegetation gaps)</w:t>
            </w:r>
          </w:p>
        </w:tc>
      </w:tr>
      <w:tr w:rsidR="007152B1" w14:paraId="339CDBE2" w14:textId="77777777" w:rsidTr="005C503C">
        <w:tc>
          <w:tcPr>
            <w:tcW w:w="0" w:type="auto"/>
          </w:tcPr>
          <w:p w14:paraId="7202739F" w14:textId="77777777" w:rsidR="007152B1" w:rsidRPr="00A36E5A" w:rsidRDefault="007152B1" w:rsidP="00A36E5A">
            <w:pPr>
              <w:pStyle w:val="Compact"/>
            </w:pPr>
            <w:r w:rsidRPr="00A36E5A">
              <w:lastRenderedPageBreak/>
              <w:t>Light</w:t>
            </w:r>
          </w:p>
        </w:tc>
        <w:tc>
          <w:tcPr>
            <w:tcW w:w="0" w:type="auto"/>
          </w:tcPr>
          <w:p w14:paraId="631A8515" w14:textId="77777777" w:rsidR="007152B1" w:rsidRPr="00A36E5A" w:rsidRDefault="007152B1" w:rsidP="00A36E5A">
            <w:pPr>
              <w:pStyle w:val="Compact"/>
            </w:pPr>
            <w:r w:rsidRPr="00A36E5A">
              <w:t>Seeds were exposed to light during some part of the diurnal cycle</w:t>
            </w:r>
          </w:p>
        </w:tc>
        <w:tc>
          <w:tcPr>
            <w:tcW w:w="0" w:type="auto"/>
          </w:tcPr>
          <w:p w14:paraId="0B706D3E" w14:textId="77777777" w:rsidR="007152B1" w:rsidRPr="00A36E5A" w:rsidRDefault="007152B1" w:rsidP="00A36E5A">
            <w:pPr>
              <w:pStyle w:val="Compact"/>
            </w:pPr>
            <w:r w:rsidRPr="00A36E5A">
              <w:t>Binary (yes/no)</w:t>
            </w:r>
          </w:p>
        </w:tc>
        <w:tc>
          <w:tcPr>
            <w:tcW w:w="0" w:type="auto"/>
          </w:tcPr>
          <w:p w14:paraId="731BAB9A" w14:textId="77777777" w:rsidR="007152B1" w:rsidRPr="00A36E5A" w:rsidRDefault="007152B1" w:rsidP="00A36E5A">
            <w:pPr>
              <w:pStyle w:val="Compact"/>
            </w:pPr>
            <w:r w:rsidRPr="00A36E5A">
              <w:t>Delay germination unless close to soil surface</w:t>
            </w:r>
          </w:p>
        </w:tc>
        <w:tc>
          <w:tcPr>
            <w:tcW w:w="0" w:type="auto"/>
          </w:tcPr>
          <w:p w14:paraId="0793291C" w14:textId="77777777" w:rsidR="007152B1" w:rsidRPr="00A36E5A" w:rsidRDefault="007152B1" w:rsidP="00A36E5A">
            <w:pPr>
              <w:pStyle w:val="Compact"/>
            </w:pPr>
            <w:r w:rsidRPr="00A36E5A">
              <w:t>Stronger signal for low-stress/low-disturbance species (e.g. germinate in vegetation gaps)</w:t>
            </w:r>
          </w:p>
        </w:tc>
      </w:tr>
    </w:tbl>
    <w:p w14:paraId="7CC612AD" w14:textId="77777777" w:rsidR="007152B1" w:rsidRPr="007152B1" w:rsidRDefault="007152B1" w:rsidP="007152B1">
      <w:pPr>
        <w:pStyle w:val="Textoindependiente"/>
      </w:pPr>
    </w:p>
    <w:p w14:paraId="721AC059" w14:textId="697B4F35" w:rsidR="003E1512" w:rsidRDefault="007373AB">
      <w:pPr>
        <w:pStyle w:val="TableCaption"/>
      </w:pPr>
      <w:r>
        <w:t>A table caption</w:t>
      </w:r>
      <w:r w:rsidR="00975995">
        <w:t>.</w:t>
      </w:r>
    </w:p>
    <w:tbl>
      <w:tblPr>
        <w:tblW w:w="0" w:type="auto"/>
        <w:jc w:val="center"/>
        <w:tblLook w:val="04A0" w:firstRow="1" w:lastRow="0" w:firstColumn="1" w:lastColumn="0" w:noHBand="0" w:noVBand="1"/>
      </w:tblPr>
      <w:tblGrid>
        <w:gridCol w:w="1746"/>
        <w:gridCol w:w="1307"/>
        <w:gridCol w:w="1440"/>
        <w:gridCol w:w="1408"/>
        <w:gridCol w:w="1570"/>
      </w:tblGrid>
      <w:tr w:rsidR="001E24E8" w14:paraId="34753EDA" w14:textId="77777777" w:rsidTr="001E24E8">
        <w:trPr>
          <w:cantSplit/>
          <w:tblHeader/>
          <w:jc w:val="center"/>
        </w:trPr>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07520EE5" w14:textId="77777777" w:rsidR="001E24E8" w:rsidRDefault="001E24E8">
            <w:pPr>
              <w:spacing w:before="40" w:after="40"/>
              <w:ind w:left="100" w:right="100"/>
              <w:jc w:val="left"/>
            </w:pPr>
            <w:r>
              <w:rPr>
                <w:rFonts w:eastAsia="Arial" w:cs="Arial"/>
                <w:color w:val="111111"/>
                <w:sz w:val="22"/>
                <w:szCs w:val="22"/>
              </w:rPr>
              <w:t>Site</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721224B4" w14:textId="77777777" w:rsidR="001E24E8" w:rsidRDefault="001E24E8">
            <w:pPr>
              <w:spacing w:before="40" w:after="40"/>
              <w:ind w:left="100" w:right="100"/>
              <w:jc w:val="left"/>
            </w:pPr>
            <w:r>
              <w:rPr>
                <w:rFonts w:eastAsia="Arial" w:cs="Arial"/>
                <w:color w:val="111111"/>
                <w:sz w:val="22"/>
                <w:szCs w:val="22"/>
              </w:rPr>
              <w:t>Habitat</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3D171277" w14:textId="77777777" w:rsidR="001E24E8" w:rsidRDefault="001E24E8">
            <w:pPr>
              <w:spacing w:before="40" w:after="40"/>
              <w:ind w:left="100" w:right="100"/>
              <w:jc w:val="right"/>
            </w:pPr>
            <w:r>
              <w:rPr>
                <w:rFonts w:eastAsia="Arial" w:cs="Arial"/>
                <w:color w:val="111111"/>
                <w:sz w:val="22"/>
                <w:szCs w:val="22"/>
              </w:rPr>
              <w:t>Elevation (m)</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392C297C" w14:textId="2D706BF0" w:rsidR="001E24E8" w:rsidRDefault="001E24E8">
            <w:pPr>
              <w:spacing w:before="40" w:after="40"/>
              <w:ind w:left="100" w:right="100"/>
              <w:jc w:val="right"/>
            </w:pPr>
            <w:r>
              <w:rPr>
                <w:rFonts w:eastAsia="Arial" w:cs="Arial"/>
                <w:color w:val="111111"/>
                <w:sz w:val="22"/>
                <w:szCs w:val="22"/>
              </w:rPr>
              <w:t>Latitude (ºC)</w:t>
            </w:r>
          </w:p>
        </w:tc>
        <w:tc>
          <w:tcPr>
            <w:tcW w:w="0" w:type="auto"/>
            <w:tcBorders>
              <w:top w:val="single" w:sz="16" w:space="0" w:color="000000"/>
              <w:bottom w:val="single" w:sz="16" w:space="0" w:color="000000"/>
            </w:tcBorders>
            <w:shd w:val="clear" w:color="auto" w:fill="FFFFFF"/>
            <w:tcMar>
              <w:top w:w="0" w:type="dxa"/>
              <w:left w:w="0" w:type="dxa"/>
              <w:bottom w:w="0" w:type="dxa"/>
              <w:right w:w="0" w:type="dxa"/>
            </w:tcMar>
            <w:vAlign w:val="center"/>
          </w:tcPr>
          <w:p w14:paraId="6E40541C" w14:textId="0BBEC309" w:rsidR="001E24E8" w:rsidRDefault="001E24E8">
            <w:pPr>
              <w:spacing w:before="40" w:after="40"/>
              <w:ind w:left="100" w:right="100"/>
              <w:jc w:val="right"/>
            </w:pPr>
            <w:r>
              <w:rPr>
                <w:rFonts w:eastAsia="Arial" w:cs="Arial"/>
                <w:color w:val="111111"/>
                <w:sz w:val="22"/>
                <w:szCs w:val="22"/>
              </w:rPr>
              <w:t>Longitude (ºC)</w:t>
            </w:r>
          </w:p>
        </w:tc>
      </w:tr>
      <w:tr w:rsidR="001E24E8" w14:paraId="1C30BC64" w14:textId="77777777" w:rsidTr="001E24E8">
        <w:trPr>
          <w:cantSplit/>
          <w:jc w:val="center"/>
        </w:trPr>
        <w:tc>
          <w:tcPr>
            <w:tcW w:w="0" w:type="auto"/>
            <w:tcBorders>
              <w:bottom w:val="single" w:sz="16" w:space="0" w:color="000000"/>
            </w:tcBorders>
            <w:shd w:val="clear" w:color="auto" w:fill="FFFFFF"/>
            <w:tcMar>
              <w:top w:w="0" w:type="dxa"/>
              <w:left w:w="0" w:type="dxa"/>
              <w:bottom w:w="0" w:type="dxa"/>
              <w:right w:w="0" w:type="dxa"/>
            </w:tcMar>
            <w:vAlign w:val="center"/>
          </w:tcPr>
          <w:p w14:paraId="4509B9B2" w14:textId="77777777" w:rsidR="001E24E8" w:rsidRDefault="001E24E8">
            <w:pPr>
              <w:spacing w:before="40" w:after="40"/>
              <w:ind w:left="100" w:right="100"/>
              <w:jc w:val="left"/>
            </w:pPr>
            <w:r>
              <w:rPr>
                <w:rFonts w:eastAsia="Arial" w:cs="Arial"/>
                <w:color w:val="111111"/>
                <w:sz w:val="22"/>
                <w:szCs w:val="22"/>
              </w:rPr>
              <w:t>La Vega Lliordes</w:t>
            </w:r>
          </w:p>
        </w:tc>
        <w:tc>
          <w:tcPr>
            <w:tcW w:w="0" w:type="auto"/>
            <w:tcBorders>
              <w:bottom w:val="single" w:sz="16" w:space="0" w:color="000000"/>
            </w:tcBorders>
            <w:shd w:val="clear" w:color="auto" w:fill="FFFFFF"/>
            <w:tcMar>
              <w:top w:w="0" w:type="dxa"/>
              <w:left w:w="0" w:type="dxa"/>
              <w:bottom w:w="0" w:type="dxa"/>
              <w:right w:w="0" w:type="dxa"/>
            </w:tcMar>
            <w:vAlign w:val="center"/>
          </w:tcPr>
          <w:p w14:paraId="2125AAB9" w14:textId="77777777" w:rsidR="001E24E8" w:rsidRDefault="001E24E8">
            <w:pPr>
              <w:spacing w:before="40" w:after="40"/>
              <w:ind w:left="100" w:right="100"/>
              <w:jc w:val="left"/>
            </w:pPr>
            <w:r>
              <w:rPr>
                <w:rFonts w:eastAsia="Arial" w:cs="Arial"/>
                <w:color w:val="111111"/>
                <w:sz w:val="22"/>
                <w:szCs w:val="22"/>
              </w:rPr>
              <w:t>Alkaline fen</w:t>
            </w:r>
          </w:p>
        </w:tc>
        <w:tc>
          <w:tcPr>
            <w:tcW w:w="0" w:type="auto"/>
            <w:tcBorders>
              <w:bottom w:val="single" w:sz="16" w:space="0" w:color="000000"/>
            </w:tcBorders>
            <w:shd w:val="clear" w:color="auto" w:fill="FFFFFF"/>
            <w:tcMar>
              <w:top w:w="0" w:type="dxa"/>
              <w:left w:w="0" w:type="dxa"/>
              <w:bottom w:w="0" w:type="dxa"/>
              <w:right w:w="0" w:type="dxa"/>
            </w:tcMar>
            <w:vAlign w:val="center"/>
          </w:tcPr>
          <w:p w14:paraId="3D133281" w14:textId="77777777" w:rsidR="001E24E8" w:rsidRDefault="001E24E8">
            <w:pPr>
              <w:spacing w:before="40" w:after="40"/>
              <w:ind w:left="100" w:right="100"/>
              <w:jc w:val="right"/>
            </w:pPr>
            <w:r>
              <w:rPr>
                <w:rFonts w:eastAsia="Arial" w:cs="Arial"/>
                <w:color w:val="111111"/>
                <w:sz w:val="22"/>
                <w:szCs w:val="22"/>
              </w:rPr>
              <w:t>1878</w:t>
            </w:r>
          </w:p>
        </w:tc>
        <w:tc>
          <w:tcPr>
            <w:tcW w:w="0" w:type="auto"/>
            <w:tcBorders>
              <w:bottom w:val="single" w:sz="16" w:space="0" w:color="000000"/>
            </w:tcBorders>
            <w:shd w:val="clear" w:color="auto" w:fill="FFFFFF"/>
            <w:tcMar>
              <w:top w:w="0" w:type="dxa"/>
              <w:left w:w="0" w:type="dxa"/>
              <w:bottom w:w="0" w:type="dxa"/>
              <w:right w:w="0" w:type="dxa"/>
            </w:tcMar>
            <w:vAlign w:val="center"/>
          </w:tcPr>
          <w:p w14:paraId="24855AA7" w14:textId="77777777" w:rsidR="001E24E8" w:rsidRDefault="001E24E8">
            <w:pPr>
              <w:spacing w:before="40" w:after="40"/>
              <w:ind w:left="100" w:right="100"/>
              <w:jc w:val="right"/>
            </w:pPr>
            <w:r>
              <w:rPr>
                <w:rFonts w:eastAsia="Arial" w:cs="Arial"/>
                <w:color w:val="111111"/>
                <w:sz w:val="22"/>
                <w:szCs w:val="22"/>
              </w:rPr>
              <w:t>43.1504</w:t>
            </w:r>
          </w:p>
        </w:tc>
        <w:tc>
          <w:tcPr>
            <w:tcW w:w="0" w:type="auto"/>
            <w:tcBorders>
              <w:bottom w:val="single" w:sz="16" w:space="0" w:color="000000"/>
            </w:tcBorders>
            <w:shd w:val="clear" w:color="auto" w:fill="FFFFFF"/>
            <w:tcMar>
              <w:top w:w="0" w:type="dxa"/>
              <w:left w:w="0" w:type="dxa"/>
              <w:bottom w:w="0" w:type="dxa"/>
              <w:right w:w="0" w:type="dxa"/>
            </w:tcMar>
            <w:vAlign w:val="center"/>
          </w:tcPr>
          <w:p w14:paraId="2AF37FB4" w14:textId="77777777" w:rsidR="001E24E8" w:rsidRDefault="001E24E8">
            <w:pPr>
              <w:spacing w:before="40" w:after="40"/>
              <w:ind w:left="100" w:right="100"/>
              <w:jc w:val="right"/>
            </w:pPr>
            <w:r>
              <w:rPr>
                <w:rFonts w:eastAsia="Arial" w:cs="Arial"/>
                <w:color w:val="111111"/>
                <w:sz w:val="22"/>
                <w:szCs w:val="22"/>
              </w:rPr>
              <w:t>-4.8464</w:t>
            </w:r>
          </w:p>
        </w:tc>
      </w:tr>
    </w:tbl>
    <w:p w14:paraId="7920F78F" w14:textId="38DE56AB" w:rsidR="003E1512" w:rsidRDefault="00975995" w:rsidP="00735F0A">
      <w:pPr>
        <w:pStyle w:val="Ttulo1"/>
      </w:pPr>
      <w:bookmarkStart w:id="1" w:name="figures"/>
      <w:r>
        <w:t>Figures</w:t>
      </w:r>
      <w:bookmarkEnd w:id="1"/>
    </w:p>
    <w:p w14:paraId="54018567" w14:textId="6A9E3579" w:rsidR="003E1512" w:rsidRDefault="007373AB">
      <w:pPr>
        <w:pStyle w:val="ImageCaption"/>
      </w:pPr>
      <w:r>
        <w:t>A figure caption</w:t>
      </w:r>
      <w:r w:rsidR="00975995">
        <w:t>.</w:t>
      </w:r>
    </w:p>
    <w:p w14:paraId="5967A6EB" w14:textId="77777777" w:rsidR="003E1512" w:rsidRDefault="00975995" w:rsidP="00735F0A">
      <w:pPr>
        <w:pStyle w:val="Ttulo1"/>
      </w:pPr>
      <w:bookmarkStart w:id="2" w:name="references"/>
      <w:r>
        <w:t>References</w:t>
      </w:r>
      <w:bookmarkEnd w:id="2"/>
    </w:p>
    <w:p w14:paraId="32D31160" w14:textId="63874DBE" w:rsidR="003E1512" w:rsidRDefault="001E24E8">
      <w:pPr>
        <w:pStyle w:val="Bibliografa"/>
      </w:pPr>
      <w:bookmarkStart w:id="3" w:name="ref-RN3122"/>
      <w:bookmarkStart w:id="4" w:name="refs"/>
      <w:r>
        <w:t>Tolkien JRR</w:t>
      </w:r>
      <w:r w:rsidR="00975995">
        <w:t xml:space="preserve">. </w:t>
      </w:r>
      <w:r>
        <w:t>1977</w:t>
      </w:r>
      <w:r w:rsidR="00975995">
        <w:t>. “</w:t>
      </w:r>
      <w:r w:rsidRPr="001E24E8">
        <w:t>Ainulindalë</w:t>
      </w:r>
      <w:r w:rsidR="00975995">
        <w:t xml:space="preserve">.” </w:t>
      </w:r>
      <w:r w:rsidRPr="001E24E8">
        <w:rPr>
          <w:i/>
        </w:rPr>
        <w:t>The Silmarillion</w:t>
      </w:r>
      <w:r w:rsidR="00975995">
        <w:t xml:space="preserve"> 1 (1): </w:t>
      </w:r>
      <w:r>
        <w:t>13</w:t>
      </w:r>
      <w:r w:rsidR="00975995">
        <w:t>–</w:t>
      </w:r>
      <w:r>
        <w:t>22</w:t>
      </w:r>
      <w:r w:rsidR="00975995">
        <w:t xml:space="preserve">. </w:t>
      </w:r>
      <w:hyperlink r:id="rId7" w:history="1">
        <w:r w:rsidRPr="00973527">
          <w:rPr>
            <w:rStyle w:val="Hipervnculo"/>
          </w:rPr>
          <w:t>https://en.wikipedia.org/wiki/The_Silmarillion</w:t>
        </w:r>
      </w:hyperlink>
      <w:r w:rsidR="00975995">
        <w:t>.</w:t>
      </w:r>
      <w:bookmarkEnd w:id="3"/>
      <w:bookmarkEnd w:id="4"/>
    </w:p>
    <w:sectPr w:rsidR="003E1512" w:rsidSect="003F4869">
      <w:footerReference w:type="default" r:id="rId8"/>
      <w:pgSz w:w="12240" w:h="15840"/>
      <w:pgMar w:top="1701" w:right="1701" w:bottom="1701" w:left="1701"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C4C8" w14:textId="77777777" w:rsidR="00D2623B" w:rsidRDefault="00D2623B">
      <w:pPr>
        <w:spacing w:before="0" w:after="0" w:line="240" w:lineRule="auto"/>
      </w:pPr>
      <w:r>
        <w:separator/>
      </w:r>
    </w:p>
  </w:endnote>
  <w:endnote w:type="continuationSeparator" w:id="0">
    <w:p w14:paraId="1F9EF40A" w14:textId="77777777" w:rsidR="00D2623B" w:rsidRDefault="00D262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898836"/>
      <w:docPartObj>
        <w:docPartGallery w:val="Page Numbers (Bottom of Page)"/>
        <w:docPartUnique/>
      </w:docPartObj>
    </w:sdtPr>
    <w:sdtEndPr/>
    <w:sdtContent>
      <w:p w14:paraId="40DEDD76" w14:textId="77777777" w:rsidR="0085202B" w:rsidRDefault="00975995">
        <w:pPr>
          <w:pStyle w:val="Piedepgina"/>
          <w:jc w:val="center"/>
        </w:pPr>
        <w:r>
          <w:fldChar w:fldCharType="begin"/>
        </w:r>
        <w:r>
          <w:instrText>PAGE   \* MERGEFORMAT</w:instrText>
        </w:r>
        <w:r>
          <w:fldChar w:fldCharType="separate"/>
        </w:r>
        <w:r>
          <w:rPr>
            <w:lang w:val="es-ES"/>
          </w:rPr>
          <w:t>2</w:t>
        </w:r>
        <w:r>
          <w:fldChar w:fldCharType="end"/>
        </w:r>
      </w:p>
    </w:sdtContent>
  </w:sdt>
  <w:p w14:paraId="40E2D202" w14:textId="77777777" w:rsidR="0085202B" w:rsidRDefault="008520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C38F7" w14:textId="77777777" w:rsidR="00D2623B" w:rsidRDefault="00D2623B">
      <w:r>
        <w:separator/>
      </w:r>
    </w:p>
  </w:footnote>
  <w:footnote w:type="continuationSeparator" w:id="0">
    <w:p w14:paraId="3CD269D3" w14:textId="77777777" w:rsidR="00D2623B" w:rsidRDefault="00D26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E46AA6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816259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28807865">
    <w:abstractNumId w:val="1"/>
  </w:num>
  <w:num w:numId="2" w16cid:durableId="1537352192">
    <w:abstractNumId w:val="0"/>
  </w:num>
  <w:num w:numId="3" w16cid:durableId="1522746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86B80"/>
    <w:rsid w:val="000E6257"/>
    <w:rsid w:val="000F17F3"/>
    <w:rsid w:val="00157AAF"/>
    <w:rsid w:val="00184D92"/>
    <w:rsid w:val="001E24E8"/>
    <w:rsid w:val="003E1512"/>
    <w:rsid w:val="003F4869"/>
    <w:rsid w:val="00450F18"/>
    <w:rsid w:val="004E29B3"/>
    <w:rsid w:val="005262C7"/>
    <w:rsid w:val="00590D07"/>
    <w:rsid w:val="005C503C"/>
    <w:rsid w:val="006D16CB"/>
    <w:rsid w:val="007152B1"/>
    <w:rsid w:val="00735F0A"/>
    <w:rsid w:val="007373AB"/>
    <w:rsid w:val="00784D58"/>
    <w:rsid w:val="00816E78"/>
    <w:rsid w:val="008465FF"/>
    <w:rsid w:val="0085202B"/>
    <w:rsid w:val="008D6863"/>
    <w:rsid w:val="00975995"/>
    <w:rsid w:val="009A0526"/>
    <w:rsid w:val="00A36E5A"/>
    <w:rsid w:val="00AA2904"/>
    <w:rsid w:val="00AD684F"/>
    <w:rsid w:val="00B86B75"/>
    <w:rsid w:val="00BC48D5"/>
    <w:rsid w:val="00BF6C2D"/>
    <w:rsid w:val="00C36279"/>
    <w:rsid w:val="00CF6D5F"/>
    <w:rsid w:val="00D2623B"/>
    <w:rsid w:val="00E315A3"/>
    <w:rsid w:val="00E50EF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B3F1"/>
  <w15:docId w15:val="{B7AB3522-23DB-4C11-8F14-4B56BE58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6D5F"/>
    <w:pPr>
      <w:spacing w:before="180" w:after="180" w:line="480" w:lineRule="auto"/>
      <w:jc w:val="both"/>
    </w:pPr>
    <w:rPr>
      <w:rFonts w:ascii="Aptos" w:hAnsi="Aptos"/>
    </w:rPr>
  </w:style>
  <w:style w:type="paragraph" w:styleId="Ttulo1">
    <w:name w:val="heading 1"/>
    <w:basedOn w:val="Normal"/>
    <w:next w:val="Textoindependiente"/>
    <w:uiPriority w:val="9"/>
    <w:qFormat/>
    <w:rsid w:val="003F4869"/>
    <w:pPr>
      <w:keepNext/>
      <w:keepLines/>
      <w:spacing w:before="480" w:after="0"/>
      <w:outlineLvl w:val="0"/>
    </w:pPr>
    <w:rPr>
      <w:rFonts w:eastAsiaTheme="majorEastAsia" w:cstheme="majorBidi"/>
      <w:b/>
      <w:bCs/>
    </w:rPr>
  </w:style>
  <w:style w:type="paragraph" w:styleId="Ttulo2">
    <w:name w:val="heading 2"/>
    <w:basedOn w:val="Textoindependiente"/>
    <w:next w:val="Textoindependiente"/>
    <w:uiPriority w:val="9"/>
    <w:unhideWhenUsed/>
    <w:qFormat/>
    <w:rsid w:val="003F4869"/>
    <w:pPr>
      <w:outlineLvl w:val="1"/>
    </w:pPr>
    <w:rPr>
      <w:i/>
      <w:iCs/>
    </w:rPr>
  </w:style>
  <w:style w:type="paragraph" w:styleId="Ttulo3">
    <w:name w:val="heading 3"/>
    <w:basedOn w:val="Ttulo2"/>
    <w:next w:val="Textoindependiente"/>
    <w:uiPriority w:val="9"/>
    <w:unhideWhenUsed/>
    <w:qFormat/>
    <w:rsid w:val="00184D92"/>
    <w:pPr>
      <w:outlineLvl w:val="2"/>
    </w:pPr>
    <w:rPr>
      <w:i w:val="0"/>
      <w:iCs w:val="0"/>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rsid w:val="00735F0A"/>
  </w:style>
  <w:style w:type="paragraph" w:customStyle="1" w:styleId="FirstParagraph">
    <w:name w:val="First Paragraph"/>
    <w:basedOn w:val="Textoindependiente"/>
    <w:next w:val="Textoindependiente"/>
    <w:qFormat/>
    <w:rsid w:val="00735F0A"/>
  </w:style>
  <w:style w:type="paragraph" w:customStyle="1" w:styleId="Compact">
    <w:name w:val="Compact"/>
    <w:basedOn w:val="Textoindependiente"/>
    <w:qFormat/>
    <w:rsid w:val="00A36E5A"/>
    <w:pPr>
      <w:spacing w:before="0" w:after="120" w:line="240" w:lineRule="auto"/>
      <w:jc w:val="left"/>
    </w:pPr>
    <w:rPr>
      <w:rFonts w:cs="Times New Roman"/>
    </w:rPr>
  </w:style>
  <w:style w:type="paragraph" w:styleId="Ttulo">
    <w:name w:val="Title"/>
    <w:basedOn w:val="Normal"/>
    <w:next w:val="Textoindependiente"/>
    <w:qFormat/>
    <w:rsid w:val="003F4869"/>
    <w:pPr>
      <w:keepNext/>
      <w:keepLines/>
      <w:spacing w:before="480" w:after="240"/>
    </w:pPr>
    <w:rPr>
      <w:rFonts w:eastAsiaTheme="majorEastAsia" w:cstheme="majorBidi"/>
      <w:b/>
      <w:bCs/>
      <w:sz w:val="28"/>
      <w:szCs w:val="28"/>
    </w:rPr>
  </w:style>
  <w:style w:type="paragraph" w:styleId="Subttulo">
    <w:name w:val="Subtitle"/>
    <w:basedOn w:val="Ttulo"/>
    <w:next w:val="Textoindependiente"/>
    <w:qFormat/>
    <w:rsid w:val="008465FF"/>
    <w:pPr>
      <w:spacing w:before="240"/>
    </w:pPr>
    <w:rPr>
      <w:b w:val="0"/>
      <w:bCs w:val="0"/>
      <w:sz w:val="24"/>
      <w:szCs w:val="24"/>
    </w:rPr>
  </w:style>
  <w:style w:type="paragraph" w:customStyle="1" w:styleId="Author">
    <w:name w:val="Author"/>
    <w:next w:val="Textoindependiente"/>
    <w:qFormat/>
    <w:rsid w:val="00261F24"/>
    <w:pPr>
      <w:keepNext/>
      <w:keepLines/>
      <w:jc w:val="center"/>
    </w:pPr>
    <w:rPr>
      <w:rFonts w:ascii="Arial" w:hAnsi="Arial"/>
    </w:rPr>
  </w:style>
  <w:style w:type="paragraph" w:styleId="Fecha">
    <w:name w:val="Date"/>
    <w:next w:val="Textoindependiente"/>
    <w:qFormat/>
    <w:rsid w:val="00261F24"/>
    <w:pPr>
      <w:keepNext/>
      <w:keepLines/>
      <w:jc w:val="center"/>
    </w:pPr>
    <w:rPr>
      <w:rFonts w:ascii="Arial" w:hAnsi="Arial"/>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920D72"/>
    <w:pPr>
      <w:ind w:left="284" w:hanging="284"/>
    </w:pPr>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before="0"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Nmerodelnea">
    <w:name w:val="line number"/>
    <w:basedOn w:val="Fuentedeprrafopredeter"/>
    <w:semiHidden/>
    <w:unhideWhenUsed/>
    <w:rsid w:val="00920D72"/>
  </w:style>
  <w:style w:type="paragraph" w:styleId="Encabezado">
    <w:name w:val="header"/>
    <w:basedOn w:val="Normal"/>
    <w:link w:val="EncabezadoCar"/>
    <w:unhideWhenUsed/>
    <w:rsid w:val="00920D72"/>
    <w:pPr>
      <w:tabs>
        <w:tab w:val="center" w:pos="4252"/>
        <w:tab w:val="right" w:pos="8504"/>
      </w:tabs>
      <w:spacing w:before="0" w:after="0" w:line="240" w:lineRule="auto"/>
    </w:pPr>
  </w:style>
  <w:style w:type="character" w:customStyle="1" w:styleId="EncabezadoCar">
    <w:name w:val="Encabezado Car"/>
    <w:basedOn w:val="Fuentedeprrafopredeter"/>
    <w:link w:val="Encabezado"/>
    <w:rsid w:val="00920D72"/>
  </w:style>
  <w:style w:type="paragraph" w:styleId="Piedepgina">
    <w:name w:val="footer"/>
    <w:basedOn w:val="Normal"/>
    <w:link w:val="PiedepginaCar"/>
    <w:uiPriority w:val="99"/>
    <w:unhideWhenUsed/>
    <w:rsid w:val="00920D72"/>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920D72"/>
  </w:style>
  <w:style w:type="character" w:customStyle="1" w:styleId="hgkelc">
    <w:name w:val="hgkelc"/>
    <w:basedOn w:val="Fuentedeprrafopredeter"/>
    <w:rsid w:val="007373AB"/>
  </w:style>
  <w:style w:type="character" w:styleId="Mencinsinresolver">
    <w:name w:val="Unresolved Mention"/>
    <w:basedOn w:val="Fuentedeprrafopredeter"/>
    <w:uiPriority w:val="99"/>
    <w:semiHidden/>
    <w:unhideWhenUsed/>
    <w:rsid w:val="001E24E8"/>
    <w:rPr>
      <w:color w:val="605E5C"/>
      <w:shd w:val="clear" w:color="auto" w:fill="E1DFDD"/>
    </w:rPr>
  </w:style>
  <w:style w:type="character" w:styleId="Hipervnculovisitado">
    <w:name w:val="FollowedHyperlink"/>
    <w:basedOn w:val="Fuentedeprrafopredeter"/>
    <w:semiHidden/>
    <w:unhideWhenUsed/>
    <w:rsid w:val="001E24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6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n.wikipedia.org/wiki/The_Silmarill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399</Words>
  <Characters>2198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Mire microclimate: groundwater buffers temperature in waterlogged versus dry soils</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Mire microclimate: groundwater buffers temperature in waterlogged versus dry soils</dc:title>
  <dc:creator>EDUARDO FERNANDEZ PASCUAL</dc:creator>
  <cp:keywords/>
  <cp:lastModifiedBy>EDUARDO FERNANDEZ PASCUAL</cp:lastModifiedBy>
  <cp:revision>17</cp:revision>
  <dcterms:created xsi:type="dcterms:W3CDTF">2020-07-12T11:59:00Z</dcterms:created>
  <dcterms:modified xsi:type="dcterms:W3CDTF">2025-02-11T10:11:00Z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international-journal-of-climatology.csl</vt:lpwstr>
  </property>
  <property fmtid="{D5CDD505-2E9C-101B-9397-08002B2CF9AE}" pid="4" name="bibliography">
    <vt:lpwstr>refs.bib</vt:lpwstr>
  </property>
  <property fmtid="{D5CDD505-2E9C-101B-9397-08002B2CF9AE}" pid="5" name="link-citations">
    <vt:lpwstr>yes</vt:lpwstr>
  </property>
  <property fmtid="{D5CDD505-2E9C-101B-9397-08002B2CF9AE}" pid="6" name="output">
    <vt:lpwstr/>
  </property>
  <property fmtid="{D5CDD505-2E9C-101B-9397-08002B2CF9AE}" pid="7" name="subtitle">
    <vt:lpwstr>Short title: Testing the thermal buffer of mire groundwater</vt:lpwstr>
  </property>
</Properties>
</file>