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0749B" w14:textId="10FA3634" w:rsidR="00882CF1" w:rsidRPr="00CD4B1B" w:rsidRDefault="00CD4B1B" w:rsidP="00CD4B1B">
      <w:pPr>
        <w:pStyle w:val="Ttulo"/>
        <w:spacing w:before="120" w:after="120" w:line="252" w:lineRule="auto"/>
      </w:pPr>
      <w:r>
        <w:t>Response letter</w:t>
      </w:r>
      <w:r w:rsidR="000C282D" w:rsidRPr="00CD4B1B">
        <w:t>: Delayed seed germination to cope with environmental stress and disturbance</w:t>
      </w:r>
    </w:p>
    <w:p w14:paraId="3AD0AE15" w14:textId="4E14C6A4" w:rsidR="00F55898" w:rsidRPr="00CD4B1B" w:rsidRDefault="007E6F37" w:rsidP="00CD4B1B">
      <w:pPr>
        <w:pStyle w:val="FirstParagraph"/>
        <w:spacing w:before="120" w:after="120" w:line="252" w:lineRule="auto"/>
      </w:pPr>
      <w:r w:rsidRPr="00CD4B1B">
        <w:t>Dear Editor,</w:t>
      </w:r>
    </w:p>
    <w:p w14:paraId="5D1D19EA" w14:textId="30ECE385" w:rsidR="00F55898" w:rsidRPr="00CD4B1B" w:rsidRDefault="00F55898" w:rsidP="00CD4B1B">
      <w:pPr>
        <w:pStyle w:val="Textoindependiente"/>
        <w:spacing w:before="120" w:after="120" w:line="252" w:lineRule="auto"/>
      </w:pPr>
      <w:r w:rsidRPr="00CD4B1B">
        <w:t>We thank the reviewer for the very positive and thoughtful evaluation of our manuscript and for highlighting the strengths of the statistical framework and data curation. We are pleased that the reviewer found the modelling approach and reporting to be clear and robust.</w:t>
      </w:r>
    </w:p>
    <w:p w14:paraId="40780158" w14:textId="77777777" w:rsidR="00F55898" w:rsidRPr="00CD4B1B" w:rsidRDefault="00F55898" w:rsidP="00CD4B1B">
      <w:pPr>
        <w:pStyle w:val="Textoindependiente"/>
        <w:spacing w:before="120" w:after="120" w:line="252" w:lineRule="auto"/>
      </w:pPr>
      <w:r w:rsidRPr="00CD4B1B">
        <w:t>The reviewer raised two important conceptual points:</w:t>
      </w:r>
    </w:p>
    <w:p w14:paraId="56D876EB" w14:textId="77777777" w:rsidR="00F55898" w:rsidRPr="00CD4B1B" w:rsidRDefault="00F55898" w:rsidP="00CD4B1B">
      <w:pPr>
        <w:pStyle w:val="Textoindependiente"/>
        <w:spacing w:before="120" w:after="120" w:line="252" w:lineRule="auto"/>
      </w:pPr>
      <w:r w:rsidRPr="00CD4B1B">
        <w:t>(1) the use of ecological indicator values derived from adult plants as proxies for the regeneration environment, and</w:t>
      </w:r>
    </w:p>
    <w:p w14:paraId="642A9826" w14:textId="6B8D8206" w:rsidR="00251AFA" w:rsidRPr="00CD4B1B" w:rsidRDefault="00F55898" w:rsidP="00CD4B1B">
      <w:pPr>
        <w:pStyle w:val="Textoindependiente"/>
        <w:spacing w:before="120" w:after="120" w:line="252" w:lineRule="auto"/>
      </w:pPr>
      <w:r w:rsidRPr="00CD4B1B">
        <w:t>(2) the potential role of seed dormancy types in shaping germination responses.</w:t>
      </w:r>
    </w:p>
    <w:p w14:paraId="52D26707" w14:textId="4B1CD37E" w:rsidR="00F55898" w:rsidRPr="00CD4B1B" w:rsidRDefault="004C2795" w:rsidP="00CD4B1B">
      <w:pPr>
        <w:pStyle w:val="Textoindependiente"/>
        <w:spacing w:before="120" w:after="120" w:line="252" w:lineRule="auto"/>
      </w:pPr>
      <w:r w:rsidRPr="00CD4B1B">
        <w:t>Importantly, the reviewer’s suggestions focus primarily on clarifying the conceptual interpretation of our analyses rather than on changes to the analytical framework itself. We have therefore revised the manuscript to clarify these aspects of the conceptual framework and to better explain the assumptions underlying our approach.</w:t>
      </w:r>
      <w:r w:rsidR="00DC6477" w:rsidRPr="00CD4B1B">
        <w:t xml:space="preserve"> </w:t>
      </w:r>
      <w:r w:rsidR="00F55898" w:rsidRPr="00CD4B1B">
        <w:t>Specifically, we have clarified the rationale for using ecological indicator values as macroecological proxies of regeneration environments and discussed the implications of ontogenic niche shifts between adult plants and seeds. We have also expanded the discussion of seed dormancy types and their potential interaction with stress and disturbance regimes.</w:t>
      </w:r>
    </w:p>
    <w:p w14:paraId="3675A3AB" w14:textId="6643E6C7" w:rsidR="00F55898" w:rsidRPr="00CD4B1B" w:rsidRDefault="00F55898" w:rsidP="00CD4B1B">
      <w:pPr>
        <w:pStyle w:val="Textoindependiente"/>
        <w:spacing w:before="120" w:after="120" w:line="252" w:lineRule="auto"/>
      </w:pPr>
      <w:r w:rsidRPr="00CD4B1B">
        <w:t>All changes are detailed below and have been incorporated into the revised manuscript.</w:t>
      </w:r>
    </w:p>
    <w:p w14:paraId="5A14B7DA" w14:textId="683952AA" w:rsidR="00F55898" w:rsidRPr="00CD4B1B" w:rsidRDefault="00251AFA" w:rsidP="00CD4B1B">
      <w:pPr>
        <w:pStyle w:val="Textoindependiente"/>
        <w:spacing w:before="120" w:after="120" w:line="252" w:lineRule="auto"/>
        <w:rPr>
          <w:b/>
          <w:bCs/>
        </w:rPr>
      </w:pPr>
      <w:r w:rsidRPr="00CD4B1B">
        <w:rPr>
          <w:b/>
          <w:bCs/>
        </w:rPr>
        <w:t>Reviewer</w:t>
      </w:r>
      <w:r w:rsidR="00382192" w:rsidRPr="00CD4B1B">
        <w:rPr>
          <w:b/>
          <w:bCs/>
        </w:rPr>
        <w:t>’s</w:t>
      </w:r>
      <w:r w:rsidRPr="00CD4B1B">
        <w:rPr>
          <w:b/>
          <w:bCs/>
        </w:rPr>
        <w:t xml:space="preserve"> comment</w:t>
      </w:r>
    </w:p>
    <w:p w14:paraId="4D55BDCC" w14:textId="13C2DE71" w:rsidR="001021F6" w:rsidRPr="00CD4B1B" w:rsidRDefault="001021F6" w:rsidP="00CD4B1B">
      <w:pPr>
        <w:pStyle w:val="Textoindependiente"/>
        <w:spacing w:before="120" w:after="120" w:line="252" w:lineRule="auto"/>
        <w:rPr>
          <w:i/>
          <w:iCs/>
          <w:color w:val="4F81BD" w:themeColor="accent1"/>
        </w:rPr>
      </w:pPr>
      <w:r w:rsidRPr="00CD4B1B">
        <w:rPr>
          <w:i/>
          <w:iCs/>
          <w:color w:val="4F81BD" w:themeColor="accent1"/>
        </w:rPr>
        <w:t xml:space="preserve">This review has been somewhat difficult for me to write, because there is so little that needs to be fixed in this manuscript. The authors present a clear question regarding the delay of germination in relation to expected environmental stresses. The statistical modelling treatment and documentation of methods are perhaps the best that I have seen in a paper that I have reviewed, and the authors have carefully selected the data to work with, properly accounted for sources of non-independence through the use of mixed effects models, and presented all necessary model summary and diagnostic information for the reader to ascertain the model quality. This should be the standard for statistical reporting, and I must commend the authors for their </w:t>
      </w:r>
      <w:proofErr w:type="gramStart"/>
      <w:r w:rsidRPr="00CD4B1B">
        <w:rPr>
          <w:i/>
          <w:iCs/>
          <w:color w:val="4F81BD" w:themeColor="accent1"/>
        </w:rPr>
        <w:t>efforts,</w:t>
      </w:r>
      <w:proofErr w:type="gramEnd"/>
      <w:r w:rsidRPr="00CD4B1B">
        <w:rPr>
          <w:i/>
          <w:iCs/>
          <w:color w:val="4F81BD" w:themeColor="accent1"/>
        </w:rPr>
        <w:t xml:space="preserve"> here. The results are properly interpreted in context of how </w:t>
      </w:r>
      <w:proofErr w:type="gramStart"/>
      <w:r w:rsidRPr="00CD4B1B">
        <w:rPr>
          <w:i/>
          <w:iCs/>
          <w:color w:val="4F81BD" w:themeColor="accent1"/>
        </w:rPr>
        <w:t>they</w:t>
      </w:r>
      <w:proofErr w:type="gramEnd"/>
      <w:r w:rsidRPr="00CD4B1B">
        <w:rPr>
          <w:i/>
          <w:iCs/>
          <w:color w:val="4F81BD" w:themeColor="accent1"/>
        </w:rPr>
        <w:t xml:space="preserve"> meta-analysis was conducted and the conclusions do follow from the results and are mostly well thought out.</w:t>
      </w:r>
    </w:p>
    <w:p w14:paraId="76B5DD49" w14:textId="68C0DD03" w:rsidR="001021F6" w:rsidRPr="00CD4B1B" w:rsidRDefault="001021F6" w:rsidP="00CD4B1B">
      <w:pPr>
        <w:pStyle w:val="Textoindependiente"/>
        <w:spacing w:before="120" w:after="120" w:line="252" w:lineRule="auto"/>
        <w:rPr>
          <w:i/>
          <w:iCs/>
          <w:color w:val="4F81BD" w:themeColor="accent1"/>
        </w:rPr>
      </w:pPr>
      <w:r w:rsidRPr="00CD4B1B">
        <w:rPr>
          <w:i/>
          <w:iCs/>
          <w:color w:val="4F81BD" w:themeColor="accent1"/>
        </w:rPr>
        <w:t>There is one aspect of this manuscript that I find difficult to reconcile, though. In Supporting Information 2, the authors state "EIVs were originally developed based on the distributional limits of adult plants (Ellenberg, 1991</w:t>
      </w:r>
      <w:proofErr w:type="gramStart"/>
      <w:r w:rsidRPr="00CD4B1B">
        <w:rPr>
          <w:i/>
          <w:iCs/>
          <w:color w:val="4F81BD" w:themeColor="accent1"/>
        </w:rPr>
        <w:t>), and</w:t>
      </w:r>
      <w:proofErr w:type="gramEnd"/>
      <w:r w:rsidRPr="00CD4B1B">
        <w:rPr>
          <w:i/>
          <w:iCs/>
          <w:color w:val="4F81BD" w:themeColor="accent1"/>
        </w:rPr>
        <w:t xml:space="preserve"> should be reliable proxies of the major environmental constraints during seed germination, when compared across the European flora". I interpreted this to mean that the species are entirely classified based on their environmental tolerances and preferences as adults. I find this to be a rather bold assumption</w:t>
      </w:r>
      <w:proofErr w:type="gramStart"/>
      <w:r w:rsidRPr="00CD4B1B">
        <w:rPr>
          <w:i/>
          <w:iCs/>
          <w:color w:val="4F81BD" w:themeColor="accent1"/>
        </w:rPr>
        <w:t>, actually, as</w:t>
      </w:r>
      <w:proofErr w:type="gramEnd"/>
      <w:r w:rsidRPr="00CD4B1B">
        <w:rPr>
          <w:i/>
          <w:iCs/>
          <w:color w:val="4F81BD" w:themeColor="accent1"/>
        </w:rPr>
        <w:t xml:space="preserve"> there's no justification given in this document in support of </w:t>
      </w:r>
      <w:proofErr w:type="gramStart"/>
      <w:r w:rsidRPr="00CD4B1B">
        <w:rPr>
          <w:i/>
          <w:iCs/>
          <w:color w:val="4F81BD" w:themeColor="accent1"/>
        </w:rPr>
        <w:t>making the assumption</w:t>
      </w:r>
      <w:proofErr w:type="gramEnd"/>
      <w:r w:rsidRPr="00CD4B1B">
        <w:rPr>
          <w:i/>
          <w:iCs/>
          <w:color w:val="4F81BD" w:themeColor="accent1"/>
        </w:rPr>
        <w:t xml:space="preserve">. Furthermore, there is a readily </w:t>
      </w:r>
      <w:r w:rsidRPr="00CD4B1B">
        <w:rPr>
          <w:i/>
          <w:iCs/>
          <w:color w:val="4F81BD" w:themeColor="accent1"/>
        </w:rPr>
        <w:lastRenderedPageBreak/>
        <w:t xml:space="preserve">accessible collection of literature that is related to ontogenic niche shifts throughout a plant's life, indicating that the regeneration niche can be more restricted than that of the adult plant. The fact that an adult plant can readily occupy a habitat in which it will experience drought stress need not be reflected in the seed's germination preference, as germination is likely to occur in conditions that are wetter than average for that habitat. I think that this is a primary reason that there was no difference in germination proportions between species whose adult plants may experience drought stress and those experiencing little or no stress - the condition of having the limiting resource is necessarily met as a condition of all experimental treatments. And the authors have acknowledged this indirectly in the discussion. No water means the seeds are not imbibed, not actively respiring, and will not germinate. In natural conditions, seeds of these species may delay germination by quite a long time, especially when physical dormancy is present (Fabaceae, </w:t>
      </w:r>
      <w:proofErr w:type="spellStart"/>
      <w:r w:rsidRPr="00CD4B1B">
        <w:rPr>
          <w:i/>
          <w:iCs/>
          <w:color w:val="4F81BD" w:themeColor="accent1"/>
        </w:rPr>
        <w:t>Malvaceae</w:t>
      </w:r>
      <w:proofErr w:type="spellEnd"/>
      <w:r w:rsidRPr="00CD4B1B">
        <w:rPr>
          <w:i/>
          <w:iCs/>
          <w:color w:val="4F81BD" w:themeColor="accent1"/>
        </w:rPr>
        <w:t>).</w:t>
      </w:r>
    </w:p>
    <w:p w14:paraId="5D993281" w14:textId="1AD5BCF0" w:rsidR="001021F6" w:rsidRPr="00CD4B1B" w:rsidRDefault="001021F6" w:rsidP="00CD4B1B">
      <w:pPr>
        <w:pStyle w:val="Textoindependiente"/>
        <w:spacing w:before="120" w:after="120" w:line="252" w:lineRule="auto"/>
        <w:rPr>
          <w:i/>
          <w:iCs/>
          <w:color w:val="4F81BD" w:themeColor="accent1"/>
        </w:rPr>
      </w:pPr>
      <w:r w:rsidRPr="00CD4B1B">
        <w:rPr>
          <w:i/>
          <w:iCs/>
          <w:color w:val="4F81BD" w:themeColor="accent1"/>
        </w:rPr>
        <w:t xml:space="preserve">Overall, this is a </w:t>
      </w:r>
      <w:proofErr w:type="spellStart"/>
      <w:proofErr w:type="gramStart"/>
      <w:r w:rsidRPr="00CD4B1B">
        <w:rPr>
          <w:i/>
          <w:iCs/>
          <w:color w:val="4F81BD" w:themeColor="accent1"/>
        </w:rPr>
        <w:t>well conceived</w:t>
      </w:r>
      <w:proofErr w:type="spellEnd"/>
      <w:proofErr w:type="gramEnd"/>
      <w:r w:rsidRPr="00CD4B1B">
        <w:rPr>
          <w:i/>
          <w:iCs/>
          <w:color w:val="4F81BD" w:themeColor="accent1"/>
        </w:rPr>
        <w:t xml:space="preserve"> and </w:t>
      </w:r>
      <w:proofErr w:type="gramStart"/>
      <w:r w:rsidRPr="00CD4B1B">
        <w:rPr>
          <w:i/>
          <w:iCs/>
          <w:color w:val="4F81BD" w:themeColor="accent1"/>
        </w:rPr>
        <w:t>well written</w:t>
      </w:r>
      <w:proofErr w:type="gramEnd"/>
      <w:r w:rsidRPr="00CD4B1B">
        <w:rPr>
          <w:i/>
          <w:iCs/>
          <w:color w:val="4F81BD" w:themeColor="accent1"/>
        </w:rPr>
        <w:t xml:space="preserve"> paper. The authors have done a very good job in analyzing and </w:t>
      </w:r>
      <w:proofErr w:type="gramStart"/>
      <w:r w:rsidRPr="00CD4B1B">
        <w:rPr>
          <w:i/>
          <w:iCs/>
          <w:color w:val="4F81BD" w:themeColor="accent1"/>
        </w:rPr>
        <w:t>present</w:t>
      </w:r>
      <w:proofErr w:type="gramEnd"/>
      <w:r w:rsidRPr="00CD4B1B">
        <w:rPr>
          <w:i/>
          <w:iCs/>
          <w:color w:val="4F81BD" w:themeColor="accent1"/>
        </w:rPr>
        <w:t xml:space="preserve"> the data at hand. The assumption that adult EIV values accurately represent the germination niche of species is somewhat damaging to the concept of this paper, however. The authors should provide more support in justifying this decision and should interpret their results </w:t>
      </w:r>
      <w:proofErr w:type="gramStart"/>
      <w:r w:rsidRPr="00CD4B1B">
        <w:rPr>
          <w:i/>
          <w:iCs/>
          <w:color w:val="4F81BD" w:themeColor="accent1"/>
        </w:rPr>
        <w:t>in light of</w:t>
      </w:r>
      <w:proofErr w:type="gramEnd"/>
      <w:r w:rsidRPr="00CD4B1B">
        <w:rPr>
          <w:i/>
          <w:iCs/>
          <w:color w:val="4F81BD" w:themeColor="accent1"/>
        </w:rPr>
        <w:t xml:space="preserve"> the extant literature on ontogenic niche shifts. Another aspect that the authors have not addressed thoroughly is that of known seed dormancy type. Some decisions made in filtering acceptable species may have necessarily eliminated certain species, such as not including warm stratification treatments, which is a necessary requirement for dormancy break in species with morphophysiological dormancy. Similarly, physical dormancy may divorce seed germination behavior from temporal stresses. The potential effects of seed dormancy type on these results should be entertained by the authors.</w:t>
      </w:r>
    </w:p>
    <w:p w14:paraId="5503B30F" w14:textId="6112F327" w:rsidR="00F55898" w:rsidRPr="00CD4B1B" w:rsidRDefault="001021F6" w:rsidP="00CD4B1B">
      <w:pPr>
        <w:pStyle w:val="Textoindependiente"/>
        <w:spacing w:before="120" w:after="120" w:line="252" w:lineRule="auto"/>
        <w:rPr>
          <w:i/>
          <w:iCs/>
          <w:color w:val="4F81BD" w:themeColor="accent1"/>
        </w:rPr>
      </w:pPr>
      <w:r w:rsidRPr="00CD4B1B">
        <w:rPr>
          <w:i/>
          <w:iCs/>
          <w:color w:val="4F81BD" w:themeColor="accent1"/>
        </w:rPr>
        <w:t xml:space="preserve">While these may seem to indicate that I am fundamentally opposed to the positions in this manuscript, that is not entirely true. The authors have </w:t>
      </w:r>
      <w:proofErr w:type="gramStart"/>
      <w:r w:rsidRPr="00CD4B1B">
        <w:rPr>
          <w:i/>
          <w:iCs/>
          <w:color w:val="4F81BD" w:themeColor="accent1"/>
        </w:rPr>
        <w:t>made an assumption</w:t>
      </w:r>
      <w:proofErr w:type="gramEnd"/>
      <w:r w:rsidRPr="00CD4B1B">
        <w:rPr>
          <w:i/>
          <w:iCs/>
          <w:color w:val="4F81BD" w:themeColor="accent1"/>
        </w:rPr>
        <w:t xml:space="preserve"> that needs to be addressed. Whether that is through reanalysis, the support of previous literature, or through acknowledging the limitations of their method is up to them and the editor. Additionally, the authors should not ignore the potential effects of different dormancy types within these stress and disturbance categories.</w:t>
      </w:r>
    </w:p>
    <w:p w14:paraId="366C7C24" w14:textId="7932E148" w:rsidR="00F55898" w:rsidRPr="00CD4B1B" w:rsidRDefault="00DD7F7B" w:rsidP="00CD4B1B">
      <w:pPr>
        <w:pStyle w:val="Textoindependiente"/>
        <w:spacing w:before="120" w:after="120" w:line="252" w:lineRule="auto"/>
        <w:rPr>
          <w:b/>
          <w:bCs/>
        </w:rPr>
      </w:pPr>
      <w:r w:rsidRPr="00CD4B1B">
        <w:rPr>
          <w:b/>
          <w:bCs/>
        </w:rPr>
        <w:t>C</w:t>
      </w:r>
      <w:r w:rsidR="001021F6" w:rsidRPr="00CD4B1B">
        <w:rPr>
          <w:b/>
          <w:bCs/>
        </w:rPr>
        <w:t>onceptual point</w:t>
      </w:r>
      <w:r w:rsidR="00F55898" w:rsidRPr="00CD4B1B">
        <w:rPr>
          <w:b/>
          <w:bCs/>
        </w:rPr>
        <w:t xml:space="preserve"> 1</w:t>
      </w:r>
    </w:p>
    <w:p w14:paraId="7AE0C082" w14:textId="77787357" w:rsidR="00F55898" w:rsidRPr="00CD4B1B" w:rsidRDefault="00F55898" w:rsidP="00CD4B1B">
      <w:pPr>
        <w:pStyle w:val="Textoindependiente"/>
        <w:spacing w:before="120" w:after="120" w:line="252" w:lineRule="auto"/>
      </w:pPr>
      <w:r w:rsidRPr="00CD4B1B">
        <w:t>The reviewer questions the assumption that ecological indicator values derived from adult plants accurately represent the germination niche, noting that regeneration niches may differ from adult niches due to ontogenic niche shifts.</w:t>
      </w:r>
    </w:p>
    <w:p w14:paraId="6F5A489A" w14:textId="74995E8E" w:rsidR="00F55898" w:rsidRPr="00CD4B1B" w:rsidRDefault="00F55898" w:rsidP="00CD4B1B">
      <w:pPr>
        <w:pStyle w:val="Textoindependiente"/>
        <w:spacing w:before="120" w:after="120" w:line="252" w:lineRule="auto"/>
        <w:rPr>
          <w:u w:val="single"/>
        </w:rPr>
      </w:pPr>
      <w:r w:rsidRPr="00CD4B1B">
        <w:rPr>
          <w:u w:val="single"/>
        </w:rPr>
        <w:t>Response</w:t>
      </w:r>
    </w:p>
    <w:p w14:paraId="1F7DEC23" w14:textId="451DBEFD" w:rsidR="00F55898" w:rsidRPr="00CD4B1B" w:rsidRDefault="00F55898" w:rsidP="00CD4B1B">
      <w:pPr>
        <w:pStyle w:val="Textoindependiente"/>
        <w:spacing w:before="120" w:after="120" w:line="252" w:lineRule="auto"/>
      </w:pPr>
      <w:r w:rsidRPr="00CD4B1B">
        <w:t>We thank the reviewer for highlighting this important point. We agree that regeneration niches may differ from the ecological niches occupied by adult plants and that ontogenic niche shifts are well documented in plant ecology. Our intention was not to assume that ecological indicator values directly represent the physiological germination niche of species. Instead, we used them as macroecological proxies describing the environmental constraints under which species typically complete their life cycle.</w:t>
      </w:r>
    </w:p>
    <w:p w14:paraId="623A4178" w14:textId="437EF6BF" w:rsidR="00F55898" w:rsidRPr="00CD4B1B" w:rsidRDefault="00F55898" w:rsidP="00CD4B1B">
      <w:pPr>
        <w:pStyle w:val="Textoindependiente"/>
        <w:spacing w:before="120" w:after="120" w:line="252" w:lineRule="auto"/>
      </w:pPr>
      <w:r w:rsidRPr="00CD4B1B">
        <w:lastRenderedPageBreak/>
        <w:t>Adult plant distributions integrate long-term environmental constraints across landscapes and therefore provide a useful approximation of the regeneration environments experienced by species when comparing large numbers of taxa across broad geographic scales. Nonetheless, we acknowledge that seeds may germinate under microenvironmental conditions that differ from the average conditions experienced by adult plants, particularly with respect to soil moisture availability.</w:t>
      </w:r>
    </w:p>
    <w:p w14:paraId="70075E52" w14:textId="77777777" w:rsidR="00694192" w:rsidRPr="00CD4B1B" w:rsidRDefault="00F55898" w:rsidP="00CD4B1B">
      <w:pPr>
        <w:pStyle w:val="Textoindependiente"/>
        <w:spacing w:before="120" w:after="120" w:line="252" w:lineRule="auto"/>
      </w:pPr>
      <w:r w:rsidRPr="00CD4B1B">
        <w:t xml:space="preserve">To clarify this issue, we have </w:t>
      </w:r>
    </w:p>
    <w:p w14:paraId="552EDFB9" w14:textId="2B8C5C82" w:rsidR="00694192" w:rsidRPr="00CD4B1B" w:rsidRDefault="00694192" w:rsidP="00CD4B1B">
      <w:pPr>
        <w:pStyle w:val="Textoindependiente"/>
        <w:numPr>
          <w:ilvl w:val="0"/>
          <w:numId w:val="5"/>
        </w:numPr>
        <w:spacing w:before="120" w:after="120" w:line="252" w:lineRule="auto"/>
      </w:pPr>
      <w:r w:rsidRPr="00CD4B1B">
        <w:t>R</w:t>
      </w:r>
      <w:r w:rsidR="00F55898" w:rsidRPr="00CD4B1B">
        <w:t xml:space="preserve">evised the Methods section </w:t>
      </w:r>
      <w:r w:rsidRPr="00CD4B1B">
        <w:t xml:space="preserve">[lines </w:t>
      </w:r>
      <w:r w:rsidR="00AB76B7" w:rsidRPr="00CD4B1B">
        <w:t>206-219</w:t>
      </w:r>
      <w:r w:rsidRPr="00CD4B1B">
        <w:t>] “</w:t>
      </w:r>
      <w:r w:rsidR="00B76E37" w:rsidRPr="00CD4B1B">
        <w:t>EIVs describe the position of species along environmental gradients based on their typical occurrence within plant communities. Rather than representing strict environmental limits, EIVs approximate the average environmental conditions under which species most commonly occur as members of established plant communities. Because these values are derived from the distribution of adult plants, they do not directly represent the physiological germination niche. Regeneration niches may differ from adult niches due to ontogenetic niche shifts across the plant life cycle (</w:t>
      </w:r>
      <w:hyperlink w:anchor="ref-RN6011">
        <w:r w:rsidR="00B76E37" w:rsidRPr="00CD4B1B">
          <w:rPr>
            <w:rStyle w:val="Hipervnculo"/>
            <w:color w:val="auto"/>
          </w:rPr>
          <w:t>Nakazawa 2015</w:t>
        </w:r>
      </w:hyperlink>
      <w:r w:rsidR="00B76E37" w:rsidRPr="00CD4B1B">
        <w:t xml:space="preserve">; </w:t>
      </w:r>
      <w:hyperlink w:anchor="ref-RN6012">
        <w:r w:rsidR="00B76E37" w:rsidRPr="00CD4B1B">
          <w:rPr>
            <w:rStyle w:val="Hipervnculo"/>
            <w:color w:val="auto"/>
          </w:rPr>
          <w:t>Dayrell et al. 2018</w:t>
        </w:r>
      </w:hyperlink>
      <w:r w:rsidR="00B76E37" w:rsidRPr="00CD4B1B">
        <w:t>). Nevertheless, when comparing large numbers of species across broad geographic gradients, adult plant distributions provide a useful macroecological proxy of the environmental regimes under which regeneration typically occurs (</w:t>
      </w:r>
      <w:hyperlink w:anchor="ref-RN3132">
        <w:r w:rsidR="00B76E37" w:rsidRPr="00CD4B1B">
          <w:rPr>
            <w:rStyle w:val="Hipervnculo"/>
            <w:color w:val="auto"/>
          </w:rPr>
          <w:t>Jurado &amp; Flores 2005</w:t>
        </w:r>
      </w:hyperlink>
      <w:r w:rsidR="00B76E37" w:rsidRPr="00CD4B1B">
        <w:t>). In this context, EIVs are interpreted here as indicators of the environmental conditions experienced by species across their life cycle rather than as direct predictors of germination physiology.</w:t>
      </w:r>
      <w:r w:rsidRPr="00CD4B1B">
        <w:t>”.</w:t>
      </w:r>
    </w:p>
    <w:p w14:paraId="2A0A999A" w14:textId="32C74D62" w:rsidR="00F55898" w:rsidRPr="00CD4B1B" w:rsidRDefault="00694192" w:rsidP="00CD4B1B">
      <w:pPr>
        <w:pStyle w:val="Textoindependiente"/>
        <w:numPr>
          <w:ilvl w:val="0"/>
          <w:numId w:val="5"/>
        </w:numPr>
        <w:spacing w:before="120" w:after="120" w:line="252" w:lineRule="auto"/>
      </w:pPr>
      <w:r w:rsidRPr="00CD4B1B">
        <w:t>A</w:t>
      </w:r>
      <w:r w:rsidR="00F55898" w:rsidRPr="00CD4B1B">
        <w:t>dded discussion acknowledging the possibility of ontogenic niche shifts and their implications for interpreting our results</w:t>
      </w:r>
      <w:r w:rsidRPr="00CD4B1B">
        <w:t xml:space="preserve"> [lines </w:t>
      </w:r>
      <w:r w:rsidR="00953FC9" w:rsidRPr="00CD4B1B">
        <w:t>389-396</w:t>
      </w:r>
      <w:r w:rsidRPr="00CD4B1B">
        <w:t>] “</w:t>
      </w:r>
      <w:r w:rsidR="00AD7184" w:rsidRPr="00CD4B1B">
        <w:t>An additional explanation may relate to ontogenic niche shifts between adult plants and seeds (</w:t>
      </w:r>
      <w:hyperlink w:anchor="ref-RN6011">
        <w:r w:rsidR="00AD7184" w:rsidRPr="00CD4B1B">
          <w:rPr>
            <w:rStyle w:val="Hipervnculo"/>
            <w:color w:val="auto"/>
          </w:rPr>
          <w:t>Nakazawa 2015</w:t>
        </w:r>
      </w:hyperlink>
      <w:r w:rsidR="00AD7184" w:rsidRPr="00CD4B1B">
        <w:t xml:space="preserve">; </w:t>
      </w:r>
      <w:hyperlink w:anchor="ref-RN6012">
        <w:r w:rsidR="00AD7184" w:rsidRPr="00CD4B1B">
          <w:rPr>
            <w:rStyle w:val="Hipervnculo"/>
            <w:color w:val="auto"/>
          </w:rPr>
          <w:t>Dayrell et al. 2018</w:t>
        </w:r>
      </w:hyperlink>
      <w:r w:rsidR="00AD7184" w:rsidRPr="00CD4B1B">
        <w:t>). Species that occupy drought-prone habitats as adults may nevertheless germinate during episodic periods of higher soil moisture following rainfall events (</w:t>
      </w:r>
      <w:hyperlink w:anchor="ref-RN5468">
        <w:r w:rsidR="00AD7184" w:rsidRPr="00CD4B1B">
          <w:rPr>
            <w:rStyle w:val="Hipervnculo"/>
            <w:color w:val="auto"/>
          </w:rPr>
          <w:t>Jiménez-Alfaro et al. 2018</w:t>
        </w:r>
      </w:hyperlink>
      <w:r w:rsidR="00AD7184" w:rsidRPr="00CD4B1B">
        <w:t>). Under such conditions, germination occurs in transient microsites that are wetter than the average conditions experienced by adult plants. Consequently, ecological indicator values reflecting adult distributions may not fully capture the environmental conditions under which germination takes place.</w:t>
      </w:r>
      <w:r w:rsidRPr="00CD4B1B">
        <w:t>”.</w:t>
      </w:r>
    </w:p>
    <w:p w14:paraId="44DBD6AA" w14:textId="18D20830" w:rsidR="00F55898" w:rsidRPr="00CD4B1B" w:rsidRDefault="001021F6" w:rsidP="00CD4B1B">
      <w:pPr>
        <w:pStyle w:val="Textoindependiente"/>
        <w:spacing w:before="120" w:after="120" w:line="252" w:lineRule="auto"/>
        <w:rPr>
          <w:b/>
          <w:bCs/>
        </w:rPr>
      </w:pPr>
      <w:r w:rsidRPr="00CD4B1B">
        <w:rPr>
          <w:b/>
          <w:bCs/>
        </w:rPr>
        <w:t>Conceptual point 2</w:t>
      </w:r>
    </w:p>
    <w:p w14:paraId="2D320C54" w14:textId="60A29D18" w:rsidR="00F55898" w:rsidRPr="00CD4B1B" w:rsidRDefault="00F55898" w:rsidP="00CD4B1B">
      <w:pPr>
        <w:pStyle w:val="Textoindependiente"/>
        <w:spacing w:before="120" w:after="120" w:line="252" w:lineRule="auto"/>
      </w:pPr>
      <w:r w:rsidRPr="00CD4B1B">
        <w:t>The reviewer notes that different seed dormancy types (e.g., physical dormancy, morphophysiological dormancy) may influence germination responses and that the dataset filtering could exclude certain dormancy mechanisms.</w:t>
      </w:r>
    </w:p>
    <w:p w14:paraId="1AFD694E" w14:textId="45CFF11D" w:rsidR="00F55898" w:rsidRPr="00CD4B1B" w:rsidRDefault="00F55898" w:rsidP="00CD4B1B">
      <w:pPr>
        <w:pStyle w:val="Textoindependiente"/>
        <w:spacing w:before="120" w:after="120" w:line="252" w:lineRule="auto"/>
        <w:rPr>
          <w:u w:val="single"/>
        </w:rPr>
      </w:pPr>
      <w:r w:rsidRPr="00CD4B1B">
        <w:rPr>
          <w:u w:val="single"/>
        </w:rPr>
        <w:t>Response</w:t>
      </w:r>
    </w:p>
    <w:p w14:paraId="3280CADA" w14:textId="3F9BF855" w:rsidR="00F55898" w:rsidRPr="00CD4B1B" w:rsidRDefault="00F55898" w:rsidP="00CD4B1B">
      <w:pPr>
        <w:pStyle w:val="Textoindependiente"/>
        <w:spacing w:before="120" w:after="120" w:line="252" w:lineRule="auto"/>
      </w:pPr>
      <w:r w:rsidRPr="00CD4B1B">
        <w:t>We appreciate this insightful suggestion. We agree that different dormancy types represent distinct physiological mechanisms controlling germination timing and that they may interact with environmental stress and disturbance regimes.</w:t>
      </w:r>
    </w:p>
    <w:p w14:paraId="2F035107" w14:textId="091782C7" w:rsidR="00F55898" w:rsidRPr="00CD4B1B" w:rsidRDefault="00F55898" w:rsidP="00CD4B1B">
      <w:pPr>
        <w:pStyle w:val="Textoindependiente"/>
        <w:spacing w:before="120" w:after="120" w:line="252" w:lineRule="auto"/>
      </w:pPr>
      <w:r w:rsidRPr="00CD4B1B">
        <w:t>Our dataset intentionally focused on widely comparable germination treatments and therefore excluded complex experimental protocols such as warm stratification or multi-step dormancy-</w:t>
      </w:r>
      <w:r w:rsidRPr="00CD4B1B">
        <w:lastRenderedPageBreak/>
        <w:t xml:space="preserve">breaking treatments. While this decision allowed us to harmonize heterogeneous germination data across </w:t>
      </w:r>
      <w:proofErr w:type="gramStart"/>
      <w:r w:rsidRPr="00CD4B1B">
        <w:t>a large number of</w:t>
      </w:r>
      <w:proofErr w:type="gramEnd"/>
      <w:r w:rsidRPr="00CD4B1B">
        <w:t xml:space="preserve"> species and studies, it may reduce the representation of some dormancy mechanisms, particularly morphophysiological dormancy.</w:t>
      </w:r>
    </w:p>
    <w:p w14:paraId="10FD53E1" w14:textId="77777777" w:rsidR="00C43E5E" w:rsidRPr="00CD4B1B" w:rsidRDefault="00F55898" w:rsidP="00CD4B1B">
      <w:pPr>
        <w:pStyle w:val="Textoindependiente"/>
        <w:spacing w:before="120" w:after="120" w:line="252" w:lineRule="auto"/>
      </w:pPr>
      <w:r w:rsidRPr="00CD4B1B">
        <w:t>To address this issue, we have</w:t>
      </w:r>
      <w:r w:rsidR="00C43E5E" w:rsidRPr="00CD4B1B">
        <w:t>:</w:t>
      </w:r>
    </w:p>
    <w:p w14:paraId="26E8A6DE" w14:textId="39002F94" w:rsidR="00C43E5E" w:rsidRPr="00CD4B1B" w:rsidRDefault="00C43E5E" w:rsidP="00CD4B1B">
      <w:pPr>
        <w:pStyle w:val="Textoindependiente"/>
        <w:numPr>
          <w:ilvl w:val="0"/>
          <w:numId w:val="8"/>
        </w:numPr>
        <w:spacing w:before="120" w:after="120" w:line="252" w:lineRule="auto"/>
      </w:pPr>
      <w:r w:rsidRPr="00CD4B1B">
        <w:t>E</w:t>
      </w:r>
      <w:r w:rsidR="00F55898" w:rsidRPr="00CD4B1B">
        <w:t xml:space="preserve">xpanded the Discussion section to acknowledge the potential influence of dormancy type on germination responses </w:t>
      </w:r>
      <w:r w:rsidRPr="00CD4B1B">
        <w:t xml:space="preserve">[lines </w:t>
      </w:r>
      <w:r w:rsidR="00695FBC" w:rsidRPr="00CD4B1B">
        <w:t>487-500</w:t>
      </w:r>
      <w:r w:rsidRPr="00CD4B1B">
        <w:t>] “</w:t>
      </w:r>
      <w:r w:rsidR="00CD4B1B" w:rsidRPr="00CD4B1B">
        <w:t xml:space="preserve">Another aspect that could influence germination responses across stress–disturbance regimes is the diversity of seed dormancy types among species. Different dormancy mechanisms (e.g., physiological, physical or morphophysiological dormancy) regulate germination timing through distinct environmental cues (Baskin &amp; Baskin 2014; </w:t>
      </w:r>
      <w:proofErr w:type="spellStart"/>
      <w:r w:rsidR="00CD4B1B" w:rsidRPr="00CD4B1B">
        <w:t>Poschlod</w:t>
      </w:r>
      <w:proofErr w:type="spellEnd"/>
      <w:r w:rsidR="00CD4B1B" w:rsidRPr="00CD4B1B">
        <w:t xml:space="preserve"> et al. 2026). Because our </w:t>
      </w:r>
      <w:proofErr w:type="gramStart"/>
      <w:r w:rsidR="00CD4B1B" w:rsidRPr="00CD4B1B">
        <w:t>dataset</w:t>
      </w:r>
      <w:proofErr w:type="gramEnd"/>
      <w:r w:rsidR="00CD4B1B" w:rsidRPr="00CD4B1B">
        <w:t xml:space="preserve"> focused on widely comparable germination treatments, complex dormancy-breaking protocols such as warm stratification, move-along treatments to expose seeds to a series of temperature regimes that simulate annual seasonal cycle, or other multi-step treatments were excluded. While this approach maximizes comparability across studies, it may result in the underrepresentation of certain dormancy mechanisms, e.g., morphophysiological dormancy in forest herbs adapted to low disturbance and stress (Vandelook &amp; Van Assche 2008). Integrating macroecological analyses with detailed dormancy classifications (Rosbakh et al. 2023) represents an important direction for future research.</w:t>
      </w:r>
      <w:r w:rsidRPr="00CD4B1B">
        <w:t>”.</w:t>
      </w:r>
    </w:p>
    <w:p w14:paraId="15E0749F" w14:textId="465662BF" w:rsidR="00882CF1" w:rsidRDefault="00882CF1" w:rsidP="00F55898">
      <w:pPr>
        <w:pStyle w:val="Textoindependiente"/>
      </w:pPr>
    </w:p>
    <w:sectPr w:rsidR="00882CF1" w:rsidSect="00CD4B1B">
      <w:footerReference w:type="default" r:id="rId8"/>
      <w:pgSz w:w="12240" w:h="15840"/>
      <w:pgMar w:top="1440" w:right="1080" w:bottom="1440" w:left="108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6D760" w14:textId="77777777" w:rsidR="00A95CD3" w:rsidRDefault="00A95CD3">
      <w:pPr>
        <w:spacing w:before="0" w:after="0" w:line="240" w:lineRule="auto"/>
      </w:pPr>
      <w:r>
        <w:separator/>
      </w:r>
    </w:p>
  </w:endnote>
  <w:endnote w:type="continuationSeparator" w:id="0">
    <w:p w14:paraId="3DCCF831" w14:textId="77777777" w:rsidR="00A95CD3" w:rsidRDefault="00A95CD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1898836"/>
      <w:docPartObj>
        <w:docPartGallery w:val="Page Numbers (Bottom of Page)"/>
        <w:docPartUnique/>
      </w:docPartObj>
    </w:sdtPr>
    <w:sdtEndPr/>
    <w:sdtContent>
      <w:p w14:paraId="15E074A2" w14:textId="77777777" w:rsidR="006F4E12" w:rsidRDefault="000C282D">
        <w:pPr>
          <w:pStyle w:val="Piedepgina"/>
          <w:jc w:val="center"/>
        </w:pPr>
        <w:r>
          <w:fldChar w:fldCharType="begin"/>
        </w:r>
        <w:r>
          <w:instrText>PAGE   \* MERGEFORMAT</w:instrText>
        </w:r>
        <w:r>
          <w:fldChar w:fldCharType="separate"/>
        </w:r>
        <w:r>
          <w:rPr>
            <w:lang w:val="es-ES"/>
          </w:rPr>
          <w:t>2</w:t>
        </w:r>
        <w:r>
          <w:fldChar w:fldCharType="end"/>
        </w:r>
      </w:p>
    </w:sdtContent>
  </w:sdt>
  <w:p w14:paraId="15E074A3" w14:textId="77777777" w:rsidR="006F4E12" w:rsidRDefault="006F4E1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60AE4" w14:textId="77777777" w:rsidR="00A95CD3" w:rsidRDefault="00A95CD3">
      <w:r>
        <w:separator/>
      </w:r>
    </w:p>
  </w:footnote>
  <w:footnote w:type="continuationSeparator" w:id="0">
    <w:p w14:paraId="31D53E3E" w14:textId="77777777" w:rsidR="00A95CD3" w:rsidRDefault="00A95C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8E46AA6E"/>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0000A990"/>
    <w:multiLevelType w:val="multilevel"/>
    <w:tmpl w:val="69E25A0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2C1AE401"/>
    <w:multiLevelType w:val="multilevel"/>
    <w:tmpl w:val="F816259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40DD19A4"/>
    <w:multiLevelType w:val="hybridMultilevel"/>
    <w:tmpl w:val="D5362B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632D7479"/>
    <w:multiLevelType w:val="hybridMultilevel"/>
    <w:tmpl w:val="39ACDFF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7B780B97"/>
    <w:multiLevelType w:val="hybridMultilevel"/>
    <w:tmpl w:val="08AE5F14"/>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7C0E6AF7"/>
    <w:multiLevelType w:val="hybridMultilevel"/>
    <w:tmpl w:val="39ACDFF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28807865">
    <w:abstractNumId w:val="2"/>
  </w:num>
  <w:num w:numId="2" w16cid:durableId="1537352192">
    <w:abstractNumId w:val="0"/>
  </w:num>
  <w:num w:numId="3" w16cid:durableId="1522746871">
    <w:abstractNumId w:val="2"/>
  </w:num>
  <w:num w:numId="4" w16cid:durableId="31421010">
    <w:abstractNumId w:val="1"/>
  </w:num>
  <w:num w:numId="5" w16cid:durableId="1521776897">
    <w:abstractNumId w:val="4"/>
  </w:num>
  <w:num w:numId="6" w16cid:durableId="1654678144">
    <w:abstractNumId w:val="6"/>
  </w:num>
  <w:num w:numId="7" w16cid:durableId="827675177">
    <w:abstractNumId w:val="3"/>
  </w:num>
  <w:num w:numId="8" w16cid:durableId="12099508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CF1"/>
    <w:rsid w:val="000C282D"/>
    <w:rsid w:val="001021F6"/>
    <w:rsid w:val="001F7829"/>
    <w:rsid w:val="00251AFA"/>
    <w:rsid w:val="002C4627"/>
    <w:rsid w:val="003178E1"/>
    <w:rsid w:val="00382192"/>
    <w:rsid w:val="00466C24"/>
    <w:rsid w:val="004901CA"/>
    <w:rsid w:val="004C2795"/>
    <w:rsid w:val="00586629"/>
    <w:rsid w:val="00694192"/>
    <w:rsid w:val="00695FBC"/>
    <w:rsid w:val="006B1720"/>
    <w:rsid w:val="006F4E12"/>
    <w:rsid w:val="00734E37"/>
    <w:rsid w:val="00745D2E"/>
    <w:rsid w:val="007E6F37"/>
    <w:rsid w:val="008822F3"/>
    <w:rsid w:val="00882CF1"/>
    <w:rsid w:val="00953FC9"/>
    <w:rsid w:val="00A94546"/>
    <w:rsid w:val="00A95CD3"/>
    <w:rsid w:val="00AB76B7"/>
    <w:rsid w:val="00AD7184"/>
    <w:rsid w:val="00AF1CE3"/>
    <w:rsid w:val="00B76E37"/>
    <w:rsid w:val="00C43E5E"/>
    <w:rsid w:val="00CD4B1B"/>
    <w:rsid w:val="00DC6477"/>
    <w:rsid w:val="00DD7F7B"/>
    <w:rsid w:val="00DF59FB"/>
    <w:rsid w:val="00E77DB0"/>
    <w:rsid w:val="00F268F8"/>
    <w:rsid w:val="00F55898"/>
    <w:rsid w:val="00FE2EB2"/>
  </w:rsids>
  <m:mathPr>
    <m:mathFont m:val="Cambria Math"/>
    <m:brkBin m:val="before"/>
    <m:brkBinSub m:val="--"/>
    <m:smallFrac m:val="0"/>
    <m:dispDef m:val="0"/>
    <m:lMargin m:val="0"/>
    <m:rMargin m:val="0"/>
    <m:defJc m:val="centerGroup"/>
    <m:wrapRight/>
    <m:intLim m:val="subSup"/>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0749B"/>
  <w15:docId w15:val="{ED38EF63-AC3B-4994-872E-39EC8BF53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F6D5F"/>
    <w:pPr>
      <w:spacing w:before="180" w:after="180" w:line="480" w:lineRule="auto"/>
      <w:jc w:val="both"/>
    </w:pPr>
    <w:rPr>
      <w:rFonts w:ascii="Aptos" w:hAnsi="Aptos"/>
    </w:rPr>
  </w:style>
  <w:style w:type="paragraph" w:styleId="Ttulo1">
    <w:name w:val="heading 1"/>
    <w:basedOn w:val="Normal"/>
    <w:next w:val="Textoindependiente"/>
    <w:uiPriority w:val="9"/>
    <w:qFormat/>
    <w:rsid w:val="003F4869"/>
    <w:pPr>
      <w:keepNext/>
      <w:keepLines/>
      <w:spacing w:before="480" w:after="0"/>
      <w:outlineLvl w:val="0"/>
    </w:pPr>
    <w:rPr>
      <w:rFonts w:eastAsiaTheme="majorEastAsia" w:cstheme="majorBidi"/>
      <w:b/>
      <w:bCs/>
    </w:rPr>
  </w:style>
  <w:style w:type="paragraph" w:styleId="Ttulo2">
    <w:name w:val="heading 2"/>
    <w:basedOn w:val="Textoindependiente"/>
    <w:next w:val="Textoindependiente"/>
    <w:uiPriority w:val="9"/>
    <w:unhideWhenUsed/>
    <w:qFormat/>
    <w:rsid w:val="003F4869"/>
    <w:pPr>
      <w:outlineLvl w:val="1"/>
    </w:pPr>
    <w:rPr>
      <w:i/>
      <w:iCs/>
    </w:rPr>
  </w:style>
  <w:style w:type="paragraph" w:styleId="Ttulo3">
    <w:name w:val="heading 3"/>
    <w:basedOn w:val="Ttulo2"/>
    <w:next w:val="Textoindependiente"/>
    <w:uiPriority w:val="9"/>
    <w:unhideWhenUsed/>
    <w:qFormat/>
    <w:rsid w:val="00184D92"/>
    <w:pPr>
      <w:outlineLvl w:val="2"/>
    </w:pPr>
    <w:rPr>
      <w:i w:val="0"/>
      <w:iCs w:val="0"/>
      <w:u w:val="single"/>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rsid w:val="00735F0A"/>
  </w:style>
  <w:style w:type="paragraph" w:customStyle="1" w:styleId="FirstParagraph">
    <w:name w:val="First Paragraph"/>
    <w:basedOn w:val="Textoindependiente"/>
    <w:next w:val="Textoindependiente"/>
    <w:qFormat/>
    <w:rsid w:val="00735F0A"/>
  </w:style>
  <w:style w:type="paragraph" w:customStyle="1" w:styleId="Compact">
    <w:name w:val="Compact"/>
    <w:basedOn w:val="Textoindependiente"/>
    <w:qFormat/>
    <w:rsid w:val="00A36E5A"/>
    <w:pPr>
      <w:spacing w:before="0" w:after="120" w:line="240" w:lineRule="auto"/>
      <w:jc w:val="left"/>
    </w:pPr>
    <w:rPr>
      <w:rFonts w:cs="Times New Roman"/>
    </w:rPr>
  </w:style>
  <w:style w:type="paragraph" w:styleId="Ttulo">
    <w:name w:val="Title"/>
    <w:basedOn w:val="Normal"/>
    <w:next w:val="Textoindependiente"/>
    <w:qFormat/>
    <w:rsid w:val="003F4869"/>
    <w:pPr>
      <w:keepNext/>
      <w:keepLines/>
      <w:spacing w:before="480" w:after="240"/>
    </w:pPr>
    <w:rPr>
      <w:rFonts w:eastAsiaTheme="majorEastAsia" w:cstheme="majorBidi"/>
      <w:b/>
      <w:bCs/>
      <w:sz w:val="28"/>
      <w:szCs w:val="28"/>
    </w:rPr>
  </w:style>
  <w:style w:type="paragraph" w:styleId="Subttulo">
    <w:name w:val="Subtitle"/>
    <w:basedOn w:val="Ttulo"/>
    <w:next w:val="Textoindependiente"/>
    <w:qFormat/>
    <w:rsid w:val="008465FF"/>
    <w:pPr>
      <w:spacing w:before="240"/>
    </w:pPr>
    <w:rPr>
      <w:b w:val="0"/>
      <w:bCs w:val="0"/>
      <w:sz w:val="24"/>
      <w:szCs w:val="24"/>
    </w:rPr>
  </w:style>
  <w:style w:type="paragraph" w:customStyle="1" w:styleId="Author">
    <w:name w:val="Author"/>
    <w:next w:val="Textoindependiente"/>
    <w:qFormat/>
    <w:rsid w:val="00261F24"/>
    <w:pPr>
      <w:keepNext/>
      <w:keepLines/>
      <w:jc w:val="center"/>
    </w:pPr>
    <w:rPr>
      <w:rFonts w:ascii="Arial" w:hAnsi="Arial"/>
    </w:rPr>
  </w:style>
  <w:style w:type="paragraph" w:styleId="Fecha">
    <w:name w:val="Date"/>
    <w:next w:val="Textoindependiente"/>
    <w:qFormat/>
    <w:rsid w:val="00261F24"/>
    <w:pPr>
      <w:keepNext/>
      <w:keepLines/>
      <w:jc w:val="center"/>
    </w:pPr>
    <w:rPr>
      <w:rFonts w:ascii="Arial" w:hAnsi="Arial"/>
    </w:r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rsid w:val="00920D72"/>
    <w:pPr>
      <w:ind w:left="284" w:hanging="284"/>
    </w:pPr>
  </w:style>
  <w:style w:type="paragraph" w:styleId="Textodebloque">
    <w:name w:val="Block Text"/>
    <w:basedOn w:val="Textoindependiente"/>
    <w:next w:val="Textoindependiente"/>
    <w:uiPriority w:val="9"/>
    <w:unhideWhenUsed/>
    <w:qFormat/>
    <w:pPr>
      <w:spacing w:before="100" w:after="100"/>
    </w:pPr>
    <w:rPr>
      <w:rFonts w:asciiTheme="majorHAnsi" w:eastAsiaTheme="majorEastAsia" w:hAnsiTheme="majorHAnsi" w:cstheme="majorBidi"/>
      <w:bCs/>
      <w:sz w:val="20"/>
      <w:szCs w:val="20"/>
    </w:r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before="0"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styleId="Nmerodelnea">
    <w:name w:val="line number"/>
    <w:basedOn w:val="Fuentedeprrafopredeter"/>
    <w:semiHidden/>
    <w:unhideWhenUsed/>
    <w:rsid w:val="00920D72"/>
  </w:style>
  <w:style w:type="paragraph" w:styleId="Encabezado">
    <w:name w:val="header"/>
    <w:basedOn w:val="Normal"/>
    <w:link w:val="EncabezadoCar"/>
    <w:unhideWhenUsed/>
    <w:rsid w:val="00920D72"/>
    <w:pPr>
      <w:tabs>
        <w:tab w:val="center" w:pos="4252"/>
        <w:tab w:val="right" w:pos="8504"/>
      </w:tabs>
      <w:spacing w:before="0" w:after="0" w:line="240" w:lineRule="auto"/>
    </w:pPr>
  </w:style>
  <w:style w:type="character" w:customStyle="1" w:styleId="EncabezadoCar">
    <w:name w:val="Encabezado Car"/>
    <w:basedOn w:val="Fuentedeprrafopredeter"/>
    <w:link w:val="Encabezado"/>
    <w:rsid w:val="00920D72"/>
  </w:style>
  <w:style w:type="paragraph" w:styleId="Piedepgina">
    <w:name w:val="footer"/>
    <w:basedOn w:val="Normal"/>
    <w:link w:val="PiedepginaCar"/>
    <w:uiPriority w:val="99"/>
    <w:unhideWhenUsed/>
    <w:rsid w:val="00920D72"/>
    <w:pPr>
      <w:tabs>
        <w:tab w:val="center" w:pos="4252"/>
        <w:tab w:val="right" w:pos="8504"/>
      </w:tabs>
      <w:spacing w:before="0" w:after="0" w:line="240" w:lineRule="auto"/>
    </w:pPr>
  </w:style>
  <w:style w:type="character" w:customStyle="1" w:styleId="PiedepginaCar">
    <w:name w:val="Pie de página Car"/>
    <w:basedOn w:val="Fuentedeprrafopredeter"/>
    <w:link w:val="Piedepgina"/>
    <w:uiPriority w:val="99"/>
    <w:rsid w:val="00920D72"/>
  </w:style>
  <w:style w:type="character" w:customStyle="1" w:styleId="hgkelc">
    <w:name w:val="hgkelc"/>
    <w:basedOn w:val="Fuentedeprrafopredeter"/>
    <w:rsid w:val="007373AB"/>
  </w:style>
  <w:style w:type="character" w:styleId="Mencinsinresolver">
    <w:name w:val="Unresolved Mention"/>
    <w:basedOn w:val="Fuentedeprrafopredeter"/>
    <w:uiPriority w:val="99"/>
    <w:semiHidden/>
    <w:unhideWhenUsed/>
    <w:rsid w:val="001E24E8"/>
    <w:rPr>
      <w:color w:val="605E5C"/>
      <w:shd w:val="clear" w:color="auto" w:fill="E1DFDD"/>
    </w:rPr>
  </w:style>
  <w:style w:type="character" w:styleId="Hipervnculovisitado">
    <w:name w:val="FollowedHyperlink"/>
    <w:basedOn w:val="Fuentedeprrafopredeter"/>
    <w:semiHidden/>
    <w:unhideWhenUsed/>
    <w:rsid w:val="001E24E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50602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EA9A14-7ACF-47B8-BAF2-FA410AD672DD}">
  <ds:schemaRefs>
    <ds:schemaRef ds:uri="http://schemas.openxmlformats.org/officeDocument/2006/bibliography"/>
  </ds:schemaRefs>
</ds:datastoreItem>
</file>

<file path=docMetadata/LabelInfo.xml><?xml version="1.0" encoding="utf-8"?>
<clbl:labelList xmlns:clbl="http://schemas.microsoft.com/office/2020/mipLabelMetadata">
  <clbl:label id="{05ea74a3-92c5-4c31-978a-925c3c799cd0}" enabled="0" method="" siteId="{05ea74a3-92c5-4c31-978a-925c3c799cd0}" removed="1"/>
</clbl:labelList>
</file>

<file path=docProps/app.xml><?xml version="1.0" encoding="utf-8"?>
<Properties xmlns="http://schemas.openxmlformats.org/officeDocument/2006/extended-properties" xmlns:vt="http://schemas.openxmlformats.org/officeDocument/2006/docPropsVTypes">
  <Template>Normal</Template>
  <TotalTime>48</TotalTime>
  <Pages>4</Pages>
  <Words>1610</Words>
  <Characters>9455</Characters>
  <Application>Microsoft Office Word</Application>
  <DocSecurity>0</DocSecurity>
  <Lines>163</Lines>
  <Paragraphs>37</Paragraphs>
  <ScaleCrop>false</ScaleCrop>
  <HeadingPairs>
    <vt:vector size="2" baseType="variant">
      <vt:variant>
        <vt:lpstr>Título</vt:lpstr>
      </vt:variant>
      <vt:variant>
        <vt:i4>1</vt:i4>
      </vt:variant>
    </vt:vector>
  </HeadingPairs>
  <TitlesOfParts>
    <vt:vector size="1" baseType="lpstr">
      <vt:lpstr>Mire microclimate: groundwater buffers temperature in waterlogged versus dry soils</vt:lpstr>
    </vt:vector>
  </TitlesOfParts>
  <Company/>
  <LinksUpToDate>false</LinksUpToDate>
  <CharactersWithSpaces>11028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Delayed seed germination to cope with environmental stress and disturbance</dc:title>
  <dc:subject/>
  <dc:creator>EDUARDO FERNANDEZ PASCUAL</dc:creator>
  <cp:keywords/>
  <cp:lastModifiedBy>EDUARDO FERNANDEZ PASCUAL</cp:lastModifiedBy>
  <cp:revision>21</cp:revision>
  <dcterms:created xsi:type="dcterms:W3CDTF">2026-03-04T00:47:00Z</dcterms:created>
  <dcterms:modified xsi:type="dcterms:W3CDTF">2026-03-12T15:33:00Z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link-citations">
    <vt:lpwstr>True</vt:lpwstr>
  </property>
  <property fmtid="{D5CDD505-2E9C-101B-9397-08002B2CF9AE}" pid="4" name="output">
    <vt:lpwstr/>
  </property>
</Properties>
</file>