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EBB4" w14:textId="77777777" w:rsidR="003E1512" w:rsidRPr="008465FF" w:rsidRDefault="00975995" w:rsidP="008465FF">
      <w:pPr>
        <w:pStyle w:val="Ttulo"/>
      </w:pPr>
      <w:r w:rsidRPr="008465FF">
        <w:t>Mire microclimate: groundwater buffers temperature in waterlogged versus dry soils</w:t>
      </w:r>
    </w:p>
    <w:p w14:paraId="35E8147C" w14:textId="77777777" w:rsidR="003E1512" w:rsidRPr="008465FF" w:rsidRDefault="00975995" w:rsidP="008465FF">
      <w:pPr>
        <w:pStyle w:val="Subttulo"/>
      </w:pPr>
      <w:r w:rsidRPr="008465FF">
        <w:t>Short title: Testing the thermal buffer of mire groundwater</w:t>
      </w:r>
    </w:p>
    <w:p w14:paraId="2366A673" w14:textId="77777777" w:rsidR="003E1512" w:rsidRDefault="00975995">
      <w:pPr>
        <w:pStyle w:val="FirstParagraph"/>
      </w:pPr>
      <w:r>
        <w:t>Eduardo Fernández-Pascual</w:t>
      </w:r>
      <w:r>
        <w:rPr>
          <w:vertAlign w:val="superscript"/>
        </w:rPr>
        <w:t>1</w:t>
      </w:r>
      <w:r>
        <w:t xml:space="preserve"> </w:t>
      </w:r>
      <w:r>
        <w:rPr>
          <w:vertAlign w:val="superscript"/>
        </w:rPr>
        <w:t>+</w:t>
      </w:r>
      <w:r>
        <w:t>, Eva Correia-Álvarez</w:t>
      </w:r>
      <w:r>
        <w:rPr>
          <w:vertAlign w:val="superscript"/>
        </w:rPr>
        <w:t>2</w:t>
      </w:r>
    </w:p>
    <w:p w14:paraId="340C559B" w14:textId="77777777" w:rsidR="003E1512" w:rsidRDefault="00975995">
      <w:pPr>
        <w:pStyle w:val="Textoindependiente"/>
      </w:pPr>
      <w:r>
        <w:rPr>
          <w:vertAlign w:val="superscript"/>
        </w:rPr>
        <w:t>1</w:t>
      </w:r>
      <w:r>
        <w:t xml:space="preserve"> Universidad de Oviedo, </w:t>
      </w:r>
      <w:r>
        <w:rPr>
          <w:vertAlign w:val="superscript"/>
        </w:rPr>
        <w:t>2</w:t>
      </w:r>
      <w:r>
        <w:t xml:space="preserve"> Independent researcher</w:t>
      </w:r>
    </w:p>
    <w:p w14:paraId="583CEE41" w14:textId="77777777" w:rsidR="003E1512" w:rsidRDefault="00975995">
      <w:pPr>
        <w:pStyle w:val="Textoindependiente"/>
      </w:pPr>
      <w:r>
        <w:rPr>
          <w:vertAlign w:val="superscript"/>
        </w:rPr>
        <w:t>+</w:t>
      </w:r>
      <w:r>
        <w:t xml:space="preserve"> Correspondence: Departamento de Biología de Organismos y Sistemas, Universidad de Oviedo, C/ Catedrático Rodrigo Uría, 33006 Oviedo/Uviéu, Spain. Email: </w:t>
      </w:r>
      <w:hyperlink r:id="rId7">
        <w:r>
          <w:rPr>
            <w:rStyle w:val="Hipervnculo"/>
          </w:rPr>
          <w:t>efernandezpascual@gmail.com</w:t>
        </w:r>
      </w:hyperlink>
      <w:r>
        <w:t>. Telephone: +34985104787.</w:t>
      </w:r>
    </w:p>
    <w:p w14:paraId="348D1060" w14:textId="77777777" w:rsidR="003E1512" w:rsidRPr="008465FF" w:rsidRDefault="00975995" w:rsidP="008465FF">
      <w:pPr>
        <w:pStyle w:val="Ttulo1"/>
      </w:pPr>
      <w:bookmarkStart w:id="0" w:name="graphical-abstract"/>
      <w:r w:rsidRPr="008465FF">
        <w:t>Graphical abstract</w:t>
      </w:r>
      <w:bookmarkEnd w:id="0"/>
    </w:p>
    <w:p w14:paraId="22BA07C5" w14:textId="77777777" w:rsidR="003E1512" w:rsidRDefault="00975995">
      <w:pPr>
        <w:pStyle w:val="CaptionedFigure"/>
      </w:pPr>
      <w:r>
        <w:rPr>
          <w:noProof/>
        </w:rPr>
        <w:drawing>
          <wp:inline distT="0" distB="0" distL="0" distR="0" wp14:anchorId="664E4FB6" wp14:editId="6554F007">
            <wp:extent cx="1801368" cy="1801368"/>
            <wp:effectExtent l="0" t="0" r="0" b="0"/>
            <wp:docPr id="1" name="Picture" descr="Mires are semi-terrestrial wetlands that remain waterlogged for most of the year. Waterlogged soils experience a thermal buffer effect that isolates them from surrounding temperature variations. This article tests the buffer effect in waterlogged mire soils and adjacent dry soils."/>
            <wp:cNvGraphicFramePr/>
            <a:graphic xmlns:a="http://schemas.openxmlformats.org/drawingml/2006/main">
              <a:graphicData uri="http://schemas.openxmlformats.org/drawingml/2006/picture">
                <pic:pic xmlns:pic="http://schemas.openxmlformats.org/drawingml/2006/picture">
                  <pic:nvPicPr>
                    <pic:cNvPr id="0" name="Picture" descr="Laguna%20de%20Reconcos.jpg"/>
                    <pic:cNvPicPr>
                      <a:picLocks noChangeAspect="1" noChangeArrowheads="1"/>
                    </pic:cNvPicPr>
                  </pic:nvPicPr>
                  <pic:blipFill>
                    <a:blip r:embed="rId8"/>
                    <a:stretch>
                      <a:fillRect/>
                    </a:stretch>
                  </pic:blipFill>
                  <pic:spPr bwMode="auto">
                    <a:xfrm>
                      <a:off x="0" y="0"/>
                      <a:ext cx="1801368" cy="1801368"/>
                    </a:xfrm>
                    <a:prstGeom prst="rect">
                      <a:avLst/>
                    </a:prstGeom>
                    <a:noFill/>
                    <a:ln w="9525">
                      <a:noFill/>
                      <a:headEnd/>
                      <a:tailEnd/>
                    </a:ln>
                  </pic:spPr>
                </pic:pic>
              </a:graphicData>
            </a:graphic>
          </wp:inline>
        </w:drawing>
      </w:r>
    </w:p>
    <w:p w14:paraId="55C8E2B0" w14:textId="77777777" w:rsidR="003E1512" w:rsidRDefault="00975995">
      <w:pPr>
        <w:pStyle w:val="ImageCaption"/>
      </w:pPr>
      <w:r>
        <w:t>Mires are semi-terrestrial wetlands that remain waterlogged for most of the year. Waterlogged soils experience a thermal buffer effect that isolates them from surrounding temperature variations. This article tests the buffer effect in waterlogged mire soils and adjacent dry soils.</w:t>
      </w:r>
    </w:p>
    <w:p w14:paraId="16AD56C7" w14:textId="77777777" w:rsidR="003E1512" w:rsidRDefault="00975995" w:rsidP="008465FF">
      <w:pPr>
        <w:pStyle w:val="Ttulo1"/>
      </w:pPr>
      <w:bookmarkStart w:id="1" w:name="abstract"/>
      <w:r>
        <w:lastRenderedPageBreak/>
        <w:t>Abstract</w:t>
      </w:r>
      <w:bookmarkEnd w:id="1"/>
    </w:p>
    <w:p w14:paraId="12E6C5CB" w14:textId="77777777" w:rsidR="003E1512" w:rsidRDefault="00975995" w:rsidP="008465FF">
      <w:pPr>
        <w:pStyle w:val="Ttulo1"/>
      </w:pPr>
      <w:bookmarkStart w:id="2" w:name="keywords"/>
      <w:r>
        <w:t>Keywords</w:t>
      </w:r>
      <w:bookmarkEnd w:id="2"/>
    </w:p>
    <w:p w14:paraId="3A3ECABF" w14:textId="77777777" w:rsidR="003E1512" w:rsidRDefault="00975995">
      <w:pPr>
        <w:pStyle w:val="FirstParagraph"/>
      </w:pPr>
      <w:r>
        <w:t>azonal vegetation, bog, datalogger, fen, microniche, peatland, soil temperature, wetland</w:t>
      </w:r>
    </w:p>
    <w:p w14:paraId="15F4DE9A" w14:textId="77777777" w:rsidR="003E1512" w:rsidRDefault="00975995" w:rsidP="008465FF">
      <w:pPr>
        <w:pStyle w:val="Ttulo1"/>
      </w:pPr>
      <w:bookmarkStart w:id="3" w:name="introduction"/>
      <w:r>
        <w:t>Introduction</w:t>
      </w:r>
      <w:bookmarkEnd w:id="3"/>
    </w:p>
    <w:p w14:paraId="6E0C6BEC" w14:textId="77777777" w:rsidR="003E1512" w:rsidRDefault="00975995">
      <w:pPr>
        <w:pStyle w:val="FirstParagraph"/>
      </w:pPr>
      <w:r>
        <w:t xml:space="preserve">Climate change (Ipcc </w:t>
      </w:r>
      <w:hyperlink w:anchor="ref-RN3586">
        <w:r>
          <w:rPr>
            <w:rStyle w:val="Hipervnculo"/>
          </w:rPr>
          <w:t>2014</w:t>
        </w:r>
      </w:hyperlink>
      <w:r>
        <w:t xml:space="preserve">) affects global biodiversity, from drylands (Huang et al. </w:t>
      </w:r>
      <w:hyperlink w:anchor="ref-RN4672">
        <w:r>
          <w:rPr>
            <w:rStyle w:val="Hipervnculo"/>
          </w:rPr>
          <w:t>2016</w:t>
        </w:r>
      </w:hyperlink>
      <w:r>
        <w:t xml:space="preserve">) to forests (Seidl et al. </w:t>
      </w:r>
      <w:hyperlink w:anchor="ref-RN4673">
        <w:r>
          <w:rPr>
            <w:rStyle w:val="Hipervnculo"/>
          </w:rPr>
          <w:t>2017</w:t>
        </w:r>
      </w:hyperlink>
      <w:r>
        <w:t xml:space="preserve">) and oceans (Hoegh-Guldberg et al. </w:t>
      </w:r>
      <w:hyperlink w:anchor="ref-RN4674">
        <w:r>
          <w:rPr>
            <w:rStyle w:val="Hipervnculo"/>
          </w:rPr>
          <w:t>2017</w:t>
        </w:r>
      </w:hyperlink>
      <w:r>
        <w:t xml:space="preserve">). Traditional models of species responses to global warming are based on macroclimatic data from weather stations. Recently, several authors have pointed out the need of complementing these models with </w:t>
      </w:r>
      <w:r>
        <w:rPr>
          <w:i/>
        </w:rPr>
        <w:t>in situ</w:t>
      </w:r>
      <w:r>
        <w:t xml:space="preserve"> microclimatic measures (Lembrechts, Nijs, and Lenoir </w:t>
      </w:r>
      <w:hyperlink w:anchor="ref-RN4758">
        <w:r>
          <w:rPr>
            <w:rStyle w:val="Hipervnculo"/>
          </w:rPr>
          <w:t>2019</w:t>
        </w:r>
      </w:hyperlink>
      <w:r>
        <w:t xml:space="preserve">; Lembrechts et al. </w:t>
      </w:r>
      <w:hyperlink w:anchor="ref-RN4759">
        <w:r>
          <w:rPr>
            <w:rStyle w:val="Hipervnculo"/>
          </w:rPr>
          <w:t>2019</w:t>
        </w:r>
      </w:hyperlink>
      <w:r>
        <w:t xml:space="preserve">; Maclean, Mosedale, and Bennie </w:t>
      </w:r>
      <w:hyperlink w:anchor="ref-RN4760">
        <w:r>
          <w:rPr>
            <w:rStyle w:val="Hipervnculo"/>
          </w:rPr>
          <w:t>2019</w:t>
        </w:r>
      </w:hyperlink>
      <w:r>
        <w:t xml:space="preserve">; Philippov and Yurchenko </w:t>
      </w:r>
      <w:hyperlink w:anchor="ref-RN4761">
        <w:r>
          <w:rPr>
            <w:rStyle w:val="Hipervnculo"/>
          </w:rPr>
          <w:t>2019</w:t>
        </w:r>
      </w:hyperlink>
      <w:r>
        <w:t xml:space="preserve">). As has being shown for European forests (Zellweger et al. </w:t>
      </w:r>
      <w:hyperlink w:anchor="ref-RN4763">
        <w:r>
          <w:rPr>
            <w:rStyle w:val="Hipervnculo"/>
          </w:rPr>
          <w:t>2020</w:t>
        </w:r>
      </w:hyperlink>
      <w:r>
        <w:t xml:space="preserve">), ecosystems usually respond to broad climate changes through local processes. An accurate prediction of species responses requires to focus on physiologically-relevant variables related to critical plant growth periods (Gardner, Maclean, and Gaston </w:t>
      </w:r>
      <w:hyperlink w:anchor="ref-RN4765">
        <w:r>
          <w:rPr>
            <w:rStyle w:val="Hipervnculo"/>
          </w:rPr>
          <w:t>2019</w:t>
        </w:r>
      </w:hyperlink>
      <w:r>
        <w:t>).</w:t>
      </w:r>
    </w:p>
    <w:p w14:paraId="6D951C7E" w14:textId="77777777" w:rsidR="003E1512" w:rsidRDefault="00975995">
      <w:pPr>
        <w:pStyle w:val="Textoindependiente"/>
      </w:pPr>
      <w:r>
        <w:t xml:space="preserve">Mires are permanent semi-terrestrial peatlands whose soils remain waterlogged but not inundated during most of the year (Wheeler and Proctor </w:t>
      </w:r>
      <w:hyperlink w:anchor="ref-RN3161">
        <w:r>
          <w:rPr>
            <w:rStyle w:val="Hipervnculo"/>
          </w:rPr>
          <w:t>2000</w:t>
        </w:r>
      </w:hyperlink>
      <w:r>
        <w:t xml:space="preserve">). They are azonal habitats whose existence depends on local soil properties rather than macroclimatic zonation (Breckle </w:t>
      </w:r>
      <w:hyperlink w:anchor="ref-RN3328">
        <w:r>
          <w:rPr>
            <w:rStyle w:val="Hipervnculo"/>
          </w:rPr>
          <w:t>2002</w:t>
        </w:r>
      </w:hyperlink>
      <w:r>
        <w:t xml:space="preserve">). Groundwater can produce a buffer effect on soil temperature, keeping soils warmer than the air during cold periods, and vice versa (Ellenberg </w:t>
      </w:r>
      <w:hyperlink w:anchor="ref-RN3344">
        <w:r>
          <w:rPr>
            <w:rStyle w:val="Hipervnculo"/>
          </w:rPr>
          <w:t>1988</w:t>
        </w:r>
      </w:hyperlink>
      <w:r>
        <w:t xml:space="preserve">; Geiger, Aron, and Todhunter </w:t>
      </w:r>
      <w:hyperlink w:anchor="ref-RN3201">
        <w:r>
          <w:rPr>
            <w:rStyle w:val="Hipervnculo"/>
          </w:rPr>
          <w:t>2009</w:t>
        </w:r>
      </w:hyperlink>
      <w:r>
        <w:t xml:space="preserve">). Root-zone temperature is a major determinant of plant ecophysiology (Körner and Paulsen </w:t>
      </w:r>
      <w:hyperlink w:anchor="ref-RN3024">
        <w:r>
          <w:rPr>
            <w:rStyle w:val="Hipervnculo"/>
          </w:rPr>
          <w:t>2004</w:t>
        </w:r>
      </w:hyperlink>
      <w:r>
        <w:t xml:space="preserve">), so the groundwater buffer effect is expected to allow mire plants to live in a wider range of air temperatures than they could otherwise. Indeed, mires have a relatively homogeneous flora despite being distributed from Mediterranean to Boreal biomes, </w:t>
      </w:r>
      <w:r>
        <w:lastRenderedPageBreak/>
        <w:t xml:space="preserve">and from low valleys to the alpine belt (Peterka et al. </w:t>
      </w:r>
      <w:hyperlink w:anchor="ref-RN4678">
        <w:r>
          <w:rPr>
            <w:rStyle w:val="Hipervnculo"/>
          </w:rPr>
          <w:t>2017</w:t>
        </w:r>
      </w:hyperlink>
      <w:r>
        <w:t xml:space="preserve">). Recently, soil temperature measurements have become available for mires of North America (Raney, Fridley, and Leopold </w:t>
      </w:r>
      <w:hyperlink w:anchor="ref-RN3204">
        <w:r>
          <w:rPr>
            <w:rStyle w:val="Hipervnculo"/>
          </w:rPr>
          <w:t>2014</w:t>
        </w:r>
      </w:hyperlink>
      <w:r>
        <w:t xml:space="preserve">), Western Europe (Fernandez-Pascual et al. </w:t>
      </w:r>
      <w:hyperlink w:anchor="ref-RN2356">
        <w:r>
          <w:rPr>
            <w:rStyle w:val="Hipervnculo"/>
          </w:rPr>
          <w:t>2015</w:t>
        </w:r>
      </w:hyperlink>
      <w:r>
        <w:t xml:space="preserve">) and Central Europe (Horsák et al. </w:t>
      </w:r>
      <w:hyperlink w:anchor="ref-RN4675">
        <w:r>
          <w:rPr>
            <w:rStyle w:val="Hipervnculo"/>
          </w:rPr>
          <w:t>2018</w:t>
        </w:r>
      </w:hyperlink>
      <w:r>
        <w:t xml:space="preserve">). Their comparison with air temperatures derived from models has shown that mire soils are indeed warmer in winter and cooler in summer, thus giving support to the existence of the groundwater thermal buffer (Fernandez-Pascual et al. </w:t>
      </w:r>
      <w:hyperlink w:anchor="ref-RN2356">
        <w:r>
          <w:rPr>
            <w:rStyle w:val="Hipervnculo"/>
          </w:rPr>
          <w:t>2015</w:t>
        </w:r>
      </w:hyperlink>
      <w:r>
        <w:t xml:space="preserve">; Horsák et al. </w:t>
      </w:r>
      <w:hyperlink w:anchor="ref-RN4675">
        <w:r>
          <w:rPr>
            <w:rStyle w:val="Hipervnculo"/>
          </w:rPr>
          <w:t>2018</w:t>
        </w:r>
      </w:hyperlink>
      <w:r>
        <w:t xml:space="preserve">). Furthermore, the effect has been linked to the composition of mire flora and fauna (Horsák et al. </w:t>
      </w:r>
      <w:hyperlink w:anchor="ref-RN4675">
        <w:r>
          <w:rPr>
            <w:rStyle w:val="Hipervnculo"/>
          </w:rPr>
          <w:t>2018</w:t>
        </w:r>
      </w:hyperlink>
      <w:r>
        <w:t xml:space="preserve">; Schenková et al. </w:t>
      </w:r>
      <w:hyperlink w:anchor="ref-RN4679">
        <w:r>
          <w:rPr>
            <w:rStyle w:val="Hipervnculo"/>
          </w:rPr>
          <w:t>2020</w:t>
        </w:r>
      </w:hyperlink>
      <w:r>
        <w:t xml:space="preserve">), the growth rings of mire trees (Raney et al. </w:t>
      </w:r>
      <w:hyperlink w:anchor="ref-RN3060">
        <w:r>
          <w:rPr>
            <w:rStyle w:val="Hipervnculo"/>
          </w:rPr>
          <w:t>2016</w:t>
        </w:r>
      </w:hyperlink>
      <w:r>
        <w:t xml:space="preserve">) and the role of mires as glacial refugia (Jiménez-Alfaro et al. </w:t>
      </w:r>
      <w:hyperlink w:anchor="ref-RN2513">
        <w:r>
          <w:rPr>
            <w:rStyle w:val="Hipervnculo"/>
          </w:rPr>
          <w:t>2016</w:t>
        </w:r>
      </w:hyperlink>
      <w:r>
        <w:t xml:space="preserve">; Dítě et al. </w:t>
      </w:r>
      <w:hyperlink w:anchor="ref-RN4680">
        <w:r>
          <w:rPr>
            <w:rStyle w:val="Hipervnculo"/>
          </w:rPr>
          <w:t>2017</w:t>
        </w:r>
      </w:hyperlink>
      <w:r>
        <w:t>).</w:t>
      </w:r>
    </w:p>
    <w:p w14:paraId="0C72ED03" w14:textId="77777777" w:rsidR="003E1512" w:rsidRDefault="00975995">
      <w:pPr>
        <w:pStyle w:val="Textoindependiente"/>
      </w:pPr>
      <w:r>
        <w:t xml:space="preserve">Mires meet certain criteria that make them especially vulnerable to climate change (Horsák et al. </w:t>
      </w:r>
      <w:hyperlink w:anchor="ref-RN4675">
        <w:r>
          <w:rPr>
            <w:rStyle w:val="Hipervnculo"/>
          </w:rPr>
          <w:t>2018</w:t>
        </w:r>
      </w:hyperlink>
      <w:r>
        <w:t xml:space="preserve">): (a) preponderance of species that evolved under a cold climate; (b) low productivity due to nutrient limitation, making them sensitive to increased nutrient cycling caused by warming (Cornelissen et al. </w:t>
      </w:r>
      <w:hyperlink w:anchor="ref-RN4676">
        <w:r>
          <w:rPr>
            <w:rStyle w:val="Hipervnculo"/>
          </w:rPr>
          <w:t>2007</w:t>
        </w:r>
      </w:hyperlink>
      <w:r>
        <w:t xml:space="preserve">); and (c) scattered distribution pattern, which limits species dispersal and migration (Pearson and Dawson </w:t>
      </w:r>
      <w:hyperlink w:anchor="ref-RN4677">
        <w:r>
          <w:rPr>
            <w:rStyle w:val="Hipervnculo"/>
          </w:rPr>
          <w:t>2005</w:t>
        </w:r>
      </w:hyperlink>
      <w:r>
        <w:t xml:space="preserve">). Therefore, mires are priority habitats for biodiversiuty conservation, harbouring high numbers of endangered species (Bergamini et al. </w:t>
      </w:r>
      <w:hyperlink w:anchor="ref-RN3122">
        <w:r>
          <w:rPr>
            <w:rStyle w:val="Hipervnculo"/>
          </w:rPr>
          <w:t>2009</w:t>
        </w:r>
      </w:hyperlink>
      <w:r>
        <w:t xml:space="preserve">), and supporting highly-adapted floras in spatially-reduced areas (Grootjans et al. </w:t>
      </w:r>
      <w:hyperlink w:anchor="ref-RN2960">
        <w:r>
          <w:rPr>
            <w:rStyle w:val="Hipervnculo"/>
          </w:rPr>
          <w:t>2006</w:t>
        </w:r>
      </w:hyperlink>
      <w:r>
        <w:t xml:space="preserve">). Worringly, mires retain high levels of methane which can be released due to global warming (Koffi et al. </w:t>
      </w:r>
      <w:hyperlink w:anchor="ref-RN4764">
        <w:r>
          <w:rPr>
            <w:rStyle w:val="Hipervnculo"/>
          </w:rPr>
          <w:t>2020</w:t>
        </w:r>
      </w:hyperlink>
      <w:r>
        <w:t xml:space="preserve">). Habitat distribution models have predicted a loss of mire surface as a consequence of ongoing climate change (Essl et al. </w:t>
      </w:r>
      <w:hyperlink w:anchor="ref-RN2937">
        <w:r>
          <w:rPr>
            <w:rStyle w:val="Hipervnculo"/>
          </w:rPr>
          <w:t>2012</w:t>
        </w:r>
      </w:hyperlink>
      <w:r>
        <w:t>).</w:t>
      </w:r>
    </w:p>
    <w:p w14:paraId="2FFB3A79" w14:textId="77777777" w:rsidR="003E1512" w:rsidRDefault="00975995">
      <w:pPr>
        <w:pStyle w:val="Textoindependiente"/>
      </w:pPr>
      <w:r>
        <w:t xml:space="preserve">It is evident that the groundwater buffer effect will play a determinant role in the response of mire habitats to climate change. As is the case for all azonal habitats, locally measured temperatures are essential to understand this response. Available references recorded temperatures only on the waterlogged soils, using model-derived air temperatures for comparison (Fernandez-Pascual et al. </w:t>
      </w:r>
      <w:hyperlink w:anchor="ref-RN2356">
        <w:r>
          <w:rPr>
            <w:rStyle w:val="Hipervnculo"/>
          </w:rPr>
          <w:t>2015</w:t>
        </w:r>
      </w:hyperlink>
      <w:r>
        <w:t xml:space="preserve">; Horsák et al. </w:t>
      </w:r>
      <w:hyperlink w:anchor="ref-RN4675">
        <w:r>
          <w:rPr>
            <w:rStyle w:val="Hipervnculo"/>
          </w:rPr>
          <w:t>2018</w:t>
        </w:r>
      </w:hyperlink>
      <w:r>
        <w:t xml:space="preserve">; Schenková et al. </w:t>
      </w:r>
      <w:hyperlink w:anchor="ref-RN4679">
        <w:r>
          <w:rPr>
            <w:rStyle w:val="Hipervnculo"/>
          </w:rPr>
          <w:t>2020</w:t>
        </w:r>
      </w:hyperlink>
      <w:r>
        <w:t xml:space="preserve">); or recorded temperatures in both wet and dry spots but for less than a year, lacking representativeness throughout the growth cycle of mire vegetation (Raney, Fridley, and Leopold </w:t>
      </w:r>
      <w:hyperlink w:anchor="ref-RN3204">
        <w:r>
          <w:rPr>
            <w:rStyle w:val="Hipervnculo"/>
          </w:rPr>
          <w:t>2014</w:t>
        </w:r>
      </w:hyperlink>
      <w:r>
        <w:t xml:space="preserve">; Raney et al. </w:t>
      </w:r>
      <w:hyperlink w:anchor="ref-RN3060">
        <w:r>
          <w:rPr>
            <w:rStyle w:val="Hipervnculo"/>
          </w:rPr>
          <w:t>2016</w:t>
        </w:r>
      </w:hyperlink>
      <w:r>
        <w:t xml:space="preserve">). This article </w:t>
      </w:r>
      <w:r>
        <w:lastRenderedPageBreak/>
        <w:t xml:space="preserve">provides the first measurement of the thermal buffer against surrounding non-mire areas, based on soil temperatures recorded during a period of five years. These measures are used to test the hypotheses that, when compared to adjacent dry soils, waterlogged mire soil are (i) warmer in winter and (ii) colder in summer; and have less thermal amplitude in (iii) daily and (iv) annual scales. In addition, we compare </w:t>
      </w:r>
      <w:r>
        <w:rPr>
          <w:i/>
        </w:rPr>
        <w:t>in situ</w:t>
      </w:r>
      <w:r>
        <w:t xml:space="preserve"> measurements with data derived from the CHELSA climatic models (Karger et al. </w:t>
      </w:r>
      <w:hyperlink w:anchor="ref-RN4766">
        <w:r>
          <w:rPr>
            <w:rStyle w:val="Hipervnculo"/>
          </w:rPr>
          <w:t>2017</w:t>
        </w:r>
      </w:hyperlink>
      <w:r>
        <w:t>).</w:t>
      </w:r>
    </w:p>
    <w:p w14:paraId="53FEF824" w14:textId="77777777" w:rsidR="003E1512" w:rsidRDefault="00975995" w:rsidP="008465FF">
      <w:pPr>
        <w:pStyle w:val="Ttulo1"/>
      </w:pPr>
      <w:bookmarkStart w:id="4" w:name="materials-and-methods"/>
      <w:r>
        <w:t>Materials and methods</w:t>
      </w:r>
      <w:bookmarkEnd w:id="4"/>
    </w:p>
    <w:p w14:paraId="77826227" w14:textId="77777777" w:rsidR="003E1512" w:rsidRDefault="00975995">
      <w:pPr>
        <w:pStyle w:val="FirstParagraph"/>
      </w:pPr>
      <w:r>
        <w:t xml:space="preserve">This study took place in the temperate oceanic region of north-western Spain (43º N, 5º W). Local geography and climate are dominated by the Cantabrian Mountains (&gt; 1500 m above sea level), which run parallel to the coast and trap the prevailing NW Atlantic winds. The resulting humid climate harbours the south-western limit of mire communities in Europe (Jiménez-Alfaro, Díaz González, and Fernández-Pascual </w:t>
      </w:r>
      <w:hyperlink w:anchor="ref-RN2982">
        <w:r>
          <w:rPr>
            <w:rStyle w:val="Hipervnculo"/>
          </w:rPr>
          <w:t>2011</w:t>
        </w:r>
      </w:hyperlink>
      <w:r>
        <w:t xml:space="preserve">; Fernández Prieto, Fernández Ordóñez, and Collado Prieto </w:t>
      </w:r>
      <w:hyperlink w:anchor="ref-RN3246">
        <w:r>
          <w:rPr>
            <w:rStyle w:val="Hipervnculo"/>
          </w:rPr>
          <w:t>1985</w:t>
        </w:r>
      </w:hyperlink>
      <w:r>
        <w:t>). Rain-fed raised bogs and acid valley mires can be found from the coast to just below the treeline, in poorly drained valleys and former glacial lakes. Glacial lakes undergoing silting develop transition mires and quaking bogs communities in the water-to-land transition. Spring fens appear in the mountains above 1000 m; they range from soft-water poor fens on acid bedrocks, to alkaline calcareous fens on limestone.</w:t>
      </w:r>
    </w:p>
    <w:p w14:paraId="5FFC73A4" w14:textId="77777777" w:rsidR="003E1512" w:rsidRDefault="00975995">
      <w:pPr>
        <w:pStyle w:val="Textoindependiente"/>
      </w:pPr>
      <w:r>
        <w:t xml:space="preserve">We selected 8 mire sites representing the regional elevation gradient of mire vegetation and the different mire types (Table ??)). In each site, we buried two dataloggers (M-Log5W, GeoPrecision, Ettlingen, Germany) at a depth of 5 cm below the upper layer of the soil: one datalogger in a flat waterlogged spot within the mire; the other one in the close vicinity, but in a flat and dry area outside the mire. The vegetation was always either mire or pasture, with no shrubs, trees or any other landscape features shading the measuring points. Dataloggers recorded temperature on an hourly basis and stayed on site for approximately five years, after </w:t>
      </w:r>
      <w:r>
        <w:lastRenderedPageBreak/>
        <w:t>which we retrieved them and downloaded their records. At the moment of retrieval, the internal clock of all dataloggers had not deviated for more than four hours.</w:t>
      </w:r>
    </w:p>
    <w:p w14:paraId="72ED55FB" w14:textId="77777777" w:rsidR="003E1512" w:rsidRDefault="00975995">
      <w:pPr>
        <w:pStyle w:val="Textoindependiente"/>
      </w:pPr>
      <w:r>
        <w:t>To clean the logs we took the following steps: (i) removing records from the first week after installation, to account for the installation process and the settling of the soils; and (ii) keeping only time series with records for both the dry and waterlogged points, because some of the dataloggers had failed at different points in time. Afterwards, we calculated four bioclimatic variables for each datalogger: (1) the mean diurnal range; i.e. the average for the whole period of the daily differences between the maximum and the minimum temperatures recorded in the day; (2) the maximum temperature of the warmest month; i.e. the average of the daily maximum records, for the warmst month; (3) the minimum temperature of the codlest month; i.e. the average of the daily minimum records, for the coldest month; and (4) the annual range; i.e. the difference between the maximum temperature of the warmest month and the minimum temperature of the coldest month. To compare our measurements with model-based predictions of air temperature, we downloaded from CHELSA the same bioclimatic variables for our measuring coordinates.</w:t>
      </w:r>
    </w:p>
    <w:p w14:paraId="1608849C" w14:textId="77777777" w:rsidR="003E1512" w:rsidRDefault="00975995">
      <w:pPr>
        <w:pStyle w:val="Textoindependiente"/>
      </w:pPr>
      <w:r>
        <w:t>To test if the differences between the dry and the waterlogged points of each site was significant, we used paired t-tests. Tests were one-tailed, according to the following hypotheses: the dry point would have a higher diurnal range, a higher maximum temperature, a lower minimum temperature, and a higher annual range. To test whether the CHELSA values predicted our measurements, we fitted linear models.</w:t>
      </w:r>
    </w:p>
    <w:p w14:paraId="5FD4030D" w14:textId="77777777" w:rsidR="003E1512" w:rsidRDefault="00975995" w:rsidP="008465FF">
      <w:pPr>
        <w:pStyle w:val="Ttulo1"/>
      </w:pPr>
      <w:bookmarkStart w:id="5" w:name="results"/>
      <w:r>
        <w:t>Results</w:t>
      </w:r>
      <w:bookmarkEnd w:id="5"/>
    </w:p>
    <w:p w14:paraId="6385F445" w14:textId="77777777" w:rsidR="003E1512" w:rsidRDefault="00975995">
      <w:pPr>
        <w:pStyle w:val="FirstParagraph"/>
      </w:pPr>
      <w:r>
        <w:t>Dataloggers recorded temperatures for five years in five of the sites, four years in two, and two years in one. Time series showed considerably less variation at waterlogged points, for all eight site comparisons (Fig. 1).</w:t>
      </w:r>
    </w:p>
    <w:p w14:paraId="24F8E026" w14:textId="77777777" w:rsidR="003E1512" w:rsidRDefault="00975995">
      <w:pPr>
        <w:pStyle w:val="Textoindependiente"/>
      </w:pPr>
      <w:r>
        <w:lastRenderedPageBreak/>
        <w:t>Bioclimatic variables (Table ?? and Fig. 2) supported this notion. The mean annual range was wider at dry points, as was the mean diurnal range. Maximum temperatures of the warmest months were usually higher at dry measuring points. The opposite was true for the minimums of the coldest months, in which case temperature was generally colder at dry points, although the difference was less pronounced than for the maximums (Fig. 2).</w:t>
      </w:r>
    </w:p>
    <w:p w14:paraId="7ABBC68D" w14:textId="77777777" w:rsidR="003E1512" w:rsidRDefault="00975995">
      <w:pPr>
        <w:pStyle w:val="Textoindependiente"/>
      </w:pPr>
      <w:r>
        <w:t>Patterns regarding the maximum temperatures and annual range were especially noticeable at both low (El Molinucu, La Malva) and high (La Recoleta) elevations. The pattern for the diurnal range, however, was more prominent just at the low sites (El Molinucu, La Malva), whereas the minimuns of the coldest months were especially colder at high elevations (La Bruxa, La Veiga Cimera) (Table ??).</w:t>
      </w:r>
    </w:p>
    <w:p w14:paraId="10BD0AA2" w14:textId="77777777" w:rsidR="003E1512" w:rsidRDefault="00975995">
      <w:pPr>
        <w:pStyle w:val="Textoindependiente"/>
      </w:pPr>
      <w:r>
        <w:t>T-tests supported the original hypotheses; namely waterlogged measuring points had (a) smaller diurnal fluctuactions (t = , p = , effect size = ºC); (b) lower maximums (t = , p = , effect size = ºC); (c) higher minimums (t = , p = , effect size = ºC), and (d) smaller annual fluctuations (t = , p = , effect size = ºC).</w:t>
      </w:r>
    </w:p>
    <w:p w14:paraId="3F4DA29F" w14:textId="77777777" w:rsidR="003E1512" w:rsidRDefault="00975995">
      <w:pPr>
        <w:pStyle w:val="Textoindependiente"/>
      </w:pPr>
      <w:r>
        <w:t>The CHELSA climatic model (Table ?? and Fig. 3) predicted well the minimuns of the coldest month, especially at dry points (R</w:t>
      </w:r>
      <w:r>
        <w:rPr>
          <w:vertAlign w:val="superscript"/>
        </w:rPr>
        <w:t>2</w:t>
      </w:r>
      <w:r>
        <w:t xml:space="preserve"> = 0.78) but also at waterlogged points (R</w:t>
      </w:r>
      <w:r>
        <w:rPr>
          <w:vertAlign w:val="superscript"/>
        </w:rPr>
        <w:t>2</w:t>
      </w:r>
      <w:r>
        <w:t xml:space="preserve"> = 0.66). CHELSA also predicted to some extent the maximums at the warmest month in dry points (R</w:t>
      </w:r>
      <w:r>
        <w:rPr>
          <w:vertAlign w:val="superscript"/>
        </w:rPr>
        <w:t>2</w:t>
      </w:r>
      <w:r>
        <w:t xml:space="preserve"> = 0.42), but failed to predict waterlogged points (R</w:t>
      </w:r>
      <w:r>
        <w:rPr>
          <w:vertAlign w:val="superscript"/>
        </w:rPr>
        <w:t>2</w:t>
      </w:r>
      <w:r>
        <w:t xml:space="preserve"> = 0.16). CHELSA did not predict the values for the annual and diurnal range, at both dry and waterlogged points.</w:t>
      </w:r>
    </w:p>
    <w:p w14:paraId="20648954" w14:textId="77777777" w:rsidR="003E1512" w:rsidRDefault="00975995" w:rsidP="008465FF">
      <w:pPr>
        <w:pStyle w:val="Ttulo1"/>
      </w:pPr>
      <w:bookmarkStart w:id="6" w:name="discussion"/>
      <w:r>
        <w:t>Discussion</w:t>
      </w:r>
      <w:bookmarkEnd w:id="6"/>
    </w:p>
    <w:p w14:paraId="4BF50DA4" w14:textId="77777777" w:rsidR="003E1512" w:rsidRDefault="00975995">
      <w:pPr>
        <w:pStyle w:val="FirstParagraph"/>
      </w:pPr>
      <w:r>
        <w:t xml:space="preserve">The results presented here prove the existence of a thermal buffer effect in waterlogged mire soils, when compared with adjacent dry soils. The mire thermal buffer had been compared previously with air temperatures derived from models, with generally similar results (Fernandez-Pascual et al. </w:t>
      </w:r>
      <w:hyperlink w:anchor="ref-RN2356">
        <w:r>
          <w:rPr>
            <w:rStyle w:val="Hipervnculo"/>
          </w:rPr>
          <w:t>2015</w:t>
        </w:r>
      </w:hyperlink>
      <w:r>
        <w:t xml:space="preserve">; Horsák et al. </w:t>
      </w:r>
      <w:hyperlink w:anchor="ref-RN4675">
        <w:r>
          <w:rPr>
            <w:rStyle w:val="Hipervnculo"/>
          </w:rPr>
          <w:t>2018</w:t>
        </w:r>
      </w:hyperlink>
      <w:r>
        <w:t xml:space="preserve">). The mire buffer had also been compared to dry soils but only during the growing </w:t>
      </w:r>
      <w:r>
        <w:lastRenderedPageBreak/>
        <w:t xml:space="preserve">season (Raney, Fridley, and Leopold </w:t>
      </w:r>
      <w:hyperlink w:anchor="ref-RN3204">
        <w:r>
          <w:rPr>
            <w:rStyle w:val="Hipervnculo"/>
          </w:rPr>
          <w:t>2014</w:t>
        </w:r>
      </w:hyperlink>
      <w:r>
        <w:t xml:space="preserve">; Raney et al. </w:t>
      </w:r>
      <w:hyperlink w:anchor="ref-RN3060">
        <w:r>
          <w:rPr>
            <w:rStyle w:val="Hipervnculo"/>
          </w:rPr>
          <w:t>2016</w:t>
        </w:r>
      </w:hyperlink>
      <w:r>
        <w:t xml:space="preserve">); our results confirm those findings and extend them to the full year. Therefore, there exists a thermal buffer effect in mire soils that makes their temperatures less extreme than the surrounding landscape. This highlights the importance of using fine-scale microclimatic data to assess vegetation responses to climate change (Storlie et al. </w:t>
      </w:r>
      <w:hyperlink w:anchor="ref-RN4683">
        <w:r>
          <w:rPr>
            <w:rStyle w:val="Hipervnculo"/>
          </w:rPr>
          <w:t>2014</w:t>
        </w:r>
      </w:hyperlink>
      <w:r>
        <w:t xml:space="preserve">; Lembrechts, Nijs, and Lenoir </w:t>
      </w:r>
      <w:hyperlink w:anchor="ref-RN4758">
        <w:r>
          <w:rPr>
            <w:rStyle w:val="Hipervnculo"/>
          </w:rPr>
          <w:t>2019</w:t>
        </w:r>
      </w:hyperlink>
      <w:r>
        <w:t xml:space="preserve">; Zellweger et al. </w:t>
      </w:r>
      <w:hyperlink w:anchor="ref-RN4763">
        <w:r>
          <w:rPr>
            <w:rStyle w:val="Hipervnculo"/>
          </w:rPr>
          <w:t>2020</w:t>
        </w:r>
      </w:hyperlink>
      <w:r>
        <w:t>).</w:t>
      </w:r>
    </w:p>
    <w:p w14:paraId="13193A47" w14:textId="77777777" w:rsidR="003E1512" w:rsidRDefault="00975995">
      <w:pPr>
        <w:pStyle w:val="Textoindependiente"/>
      </w:pPr>
      <w:r>
        <w:t xml:space="preserve">One important difference with previous studies is the importance of the buffer during winter. The articles that had used model air temperatures as a control concluded that the buffer effect was stronger at the cold end of the thermal gradient, i.e. in winter and at night (Fernandez-Pascual et al. </w:t>
      </w:r>
      <w:hyperlink w:anchor="ref-RN2356">
        <w:r>
          <w:rPr>
            <w:rStyle w:val="Hipervnculo"/>
          </w:rPr>
          <w:t>2015</w:t>
        </w:r>
      </w:hyperlink>
      <w:r>
        <w:t xml:space="preserve">; Horsák et al. </w:t>
      </w:r>
      <w:hyperlink w:anchor="ref-RN4675">
        <w:r>
          <w:rPr>
            <w:rStyle w:val="Hipervnculo"/>
          </w:rPr>
          <w:t>2018</w:t>
        </w:r>
      </w:hyperlink>
      <w:r>
        <w:t xml:space="preserve">). In the case of this investigation, the situation was reverse: the effect was weaker when considering the minimum temperatures of the cold period. This indicates the importance of identifying root temperatures when working with plant communities. At high elevations of the study region, the soil can remain covered by snow for periods of winter, and this has its own insulating effect on soil temperatures (Körner </w:t>
      </w:r>
      <w:hyperlink w:anchor="ref-RN2392">
        <w:r>
          <w:rPr>
            <w:rStyle w:val="Hipervnculo"/>
          </w:rPr>
          <w:t>2003</w:t>
        </w:r>
      </w:hyperlink>
      <w:r>
        <w:t xml:space="preserve">). Indeed, snow cover has being described as one of the vertical features that affects vegetation distribution in a local manner (Maclean, Mosedale, and Bennie </w:t>
      </w:r>
      <w:hyperlink w:anchor="ref-RN4760">
        <w:r>
          <w:rPr>
            <w:rStyle w:val="Hipervnculo"/>
          </w:rPr>
          <w:t>2019</w:t>
        </w:r>
      </w:hyperlink>
      <w:r>
        <w:t>).</w:t>
      </w:r>
    </w:p>
    <w:p w14:paraId="49DD6645" w14:textId="77777777" w:rsidR="003E1512" w:rsidRDefault="00975995">
      <w:pPr>
        <w:pStyle w:val="Textoindependiente"/>
      </w:pPr>
      <w:r>
        <w:t xml:space="preserve">In concordance with our results, the air temperature measured at 0.5 m from the surface of boreal bogs is lower at the wetter zones, at least during the warmest months (Philippov and Yurchenko </w:t>
      </w:r>
      <w:hyperlink w:anchor="ref-RN4761">
        <w:r>
          <w:rPr>
            <w:rStyle w:val="Hipervnculo"/>
          </w:rPr>
          <w:t>2019</w:t>
        </w:r>
      </w:hyperlink>
      <w:r>
        <w:t xml:space="preserve">). Thus, the water buffering effect seems to take place both at southern and northern latitudes and may affect not only the temperature in the soil but also the air temperature within certain highness from the soil. Nonetheless, Philippov </w:t>
      </w:r>
      <w:r>
        <w:rPr>
          <w:i/>
        </w:rPr>
        <w:t>et al.</w:t>
      </w:r>
      <w:r>
        <w:t xml:space="preserve"> did not record winter months, so more monitoring is needed at more northern latitudes, where the winter effect may be more relevant (Horsák et al. </w:t>
      </w:r>
      <w:hyperlink w:anchor="ref-RN4675">
        <w:r>
          <w:rPr>
            <w:rStyle w:val="Hipervnculo"/>
          </w:rPr>
          <w:t>2018</w:t>
        </w:r>
      </w:hyperlink>
      <w:r>
        <w:t>).</w:t>
      </w:r>
    </w:p>
    <w:p w14:paraId="4DA952E9" w14:textId="77777777" w:rsidR="003E1512" w:rsidRDefault="00975995">
      <w:pPr>
        <w:pStyle w:val="Textoindependiente"/>
      </w:pPr>
      <w:r>
        <w:t xml:space="preserve">The buffering effect was much stronger during the summer. This was most noticeable in the two lowest elevations, El Molinucu and La Malva. La Malva showed specially high summer temperatures within the dry soils (&gt; 40 ºC). This site is in a </w:t>
      </w:r>
      <w:r>
        <w:lastRenderedPageBreak/>
        <w:t xml:space="preserve">southeast-facing slope on limestone, a place experiencing sub-Mediterranean conditions at the micro-scale (Sánchez de Dios, Benito-Garzón, and Sainz-Ollero </w:t>
      </w:r>
      <w:hyperlink w:anchor="ref-RN4681">
        <w:r>
          <w:rPr>
            <w:rStyle w:val="Hipervnculo"/>
          </w:rPr>
          <w:t>2009</w:t>
        </w:r>
      </w:hyperlink>
      <w:r>
        <w:t xml:space="preserve">). This suggests the importance of groundwater in the existence of mire vegetation in Mediterranean areas (Hoyos et al. </w:t>
      </w:r>
      <w:hyperlink w:anchor="ref-RN4682">
        <w:r>
          <w:rPr>
            <w:rStyle w:val="Hipervnculo"/>
          </w:rPr>
          <w:t>1996</w:t>
        </w:r>
      </w:hyperlink>
      <w:r>
        <w:t xml:space="preserve">), not only from the water-availability aspect, but also providing cooling regulation during summer (Ellenberg </w:t>
      </w:r>
      <w:hyperlink w:anchor="ref-RN3344">
        <w:r>
          <w:rPr>
            <w:rStyle w:val="Hipervnculo"/>
          </w:rPr>
          <w:t>1988</w:t>
        </w:r>
      </w:hyperlink>
      <w:r>
        <w:t>). The buffering was also prominent at one of the highest elevations, La Recoleta, which may be explained by the high saturation of water in this kind of habitat, a quaking bog.</w:t>
      </w:r>
    </w:p>
    <w:p w14:paraId="73DE996C" w14:textId="77777777" w:rsidR="003E1512" w:rsidRDefault="00975995">
      <w:pPr>
        <w:pStyle w:val="Textoindependiente"/>
      </w:pPr>
      <w:r>
        <w:t xml:space="preserve">Most of the current models to predict vegetation and species distribution use macroclimatic parameters, like the ones obtained from CHELSA (Karger et al. </w:t>
      </w:r>
      <w:hyperlink w:anchor="ref-RN4766">
        <w:r>
          <w:rPr>
            <w:rStyle w:val="Hipervnculo"/>
          </w:rPr>
          <w:t>2017</w:t>
        </w:r>
      </w:hyperlink>
      <w:r>
        <w:t xml:space="preserve">). This study revealed that CHELSA can predict quite well the minimum temperatures at the coldest month in the mire habitats. However, it fails to predict temperatures at the warm extremes, especially at the waterlogged points. This brings out the importance of studying local factors as drivers of microclimatic changes (Zellweger et al. </w:t>
      </w:r>
      <w:hyperlink w:anchor="ref-RN4762">
        <w:r>
          <w:rPr>
            <w:rStyle w:val="Hipervnculo"/>
          </w:rPr>
          <w:t>2019</w:t>
        </w:r>
      </w:hyperlink>
      <w:r>
        <w:t>). These factors contribute to landscape heterogeinity, producing safe sites that can act as micro-refugees and buffer species from regional climatic warming.</w:t>
      </w:r>
    </w:p>
    <w:p w14:paraId="3DB0A9D6" w14:textId="77777777" w:rsidR="003E1512" w:rsidRDefault="00975995">
      <w:pPr>
        <w:pStyle w:val="Textoindependiente"/>
      </w:pPr>
      <w:r>
        <w:t xml:space="preserve">In summary, this article shows that waterlogged mire soils have a thermal buffer when compared to adjacent soils, contributing to their behaviour as mild island habitats in a landscape that can be more thermally variable (Horsák et al. </w:t>
      </w:r>
      <w:hyperlink w:anchor="ref-RN4675">
        <w:r>
          <w:rPr>
            <w:rStyle w:val="Hipervnculo"/>
          </w:rPr>
          <w:t>2018</w:t>
        </w:r>
      </w:hyperlink>
      <w:r>
        <w:t>). The effect occurs during cold and warm periods, but it is stronger during the summer at least in the study area. Future recording schemes are needed to obtain local soil temperatures from other latitudes, and from more microtopographies within the same mire. Our study provides useful microclimate parameters to improve the current models that predict the impact of global warming on specific ecosystems.</w:t>
      </w:r>
    </w:p>
    <w:p w14:paraId="3D705C45" w14:textId="77777777" w:rsidR="003E1512" w:rsidRDefault="00975995" w:rsidP="008465FF">
      <w:pPr>
        <w:pStyle w:val="Ttulo1"/>
      </w:pPr>
      <w:bookmarkStart w:id="7" w:name="data-availability"/>
      <w:r>
        <w:lastRenderedPageBreak/>
        <w:t>Data availability</w:t>
      </w:r>
      <w:bookmarkEnd w:id="7"/>
    </w:p>
    <w:p w14:paraId="1A90A1A1" w14:textId="77777777" w:rsidR="003E1512" w:rsidRDefault="00975995">
      <w:pPr>
        <w:pStyle w:val="FirstParagraph"/>
      </w:pPr>
      <w:r>
        <w:t>Upon publication, the original temperature records along with R analysis scripts will be uploaded to a public repository in GitHub.</w:t>
      </w:r>
    </w:p>
    <w:p w14:paraId="399559CE" w14:textId="77777777" w:rsidR="003E1512" w:rsidRDefault="00975995" w:rsidP="008465FF">
      <w:pPr>
        <w:pStyle w:val="Ttulo1"/>
      </w:pPr>
      <w:bookmarkStart w:id="8" w:name="acknowledgements"/>
      <w:r>
        <w:t>Acknowledgements</w:t>
      </w:r>
      <w:bookmarkEnd w:id="8"/>
    </w:p>
    <w:p w14:paraId="31A31625" w14:textId="77777777" w:rsidR="003E1512" w:rsidRDefault="00975995">
      <w:pPr>
        <w:pStyle w:val="FirstParagraph"/>
      </w:pPr>
      <w:r>
        <w:t>E.F.P. received financial support from the Government of Asturias and the FP7 – Marie Curie - COFUND programme of the European Commission (Grant ‘Clarín’ ACB17-19).</w:t>
      </w:r>
    </w:p>
    <w:p w14:paraId="589548E8" w14:textId="77777777" w:rsidR="003E1512" w:rsidRDefault="00975995" w:rsidP="008465FF">
      <w:pPr>
        <w:pStyle w:val="Ttulo1"/>
      </w:pPr>
      <w:bookmarkStart w:id="9" w:name="tables"/>
      <w:r>
        <w:t>Tables</w:t>
      </w:r>
      <w:bookmarkEnd w:id="9"/>
    </w:p>
    <w:p w14:paraId="721AC059" w14:textId="77777777" w:rsidR="003E1512" w:rsidRDefault="00975995">
      <w:pPr>
        <w:pStyle w:val="TableCaption"/>
      </w:pPr>
      <w:r>
        <w:t>Mire sites included in this study, indicating the type of fen, the elevation, coordinates, and length of the temperature recording period.</w:t>
      </w:r>
    </w:p>
    <w:tbl>
      <w:tblPr>
        <w:tblW w:w="0" w:type="auto"/>
        <w:jc w:val="center"/>
        <w:tblLayout w:type="fixed"/>
        <w:tblLook w:val="04A0" w:firstRow="1" w:lastRow="0" w:firstColumn="1" w:lastColumn="0" w:noHBand="0" w:noVBand="1"/>
      </w:tblPr>
      <w:tblGrid>
        <w:gridCol w:w="1440"/>
        <w:gridCol w:w="1440"/>
        <w:gridCol w:w="1440"/>
        <w:gridCol w:w="1440"/>
        <w:gridCol w:w="1440"/>
        <w:gridCol w:w="1440"/>
      </w:tblGrid>
      <w:tr w:rsidR="003E1512" w14:paraId="34753EDA" w14:textId="77777777">
        <w:trPr>
          <w:cantSplit/>
          <w:tblHeader/>
          <w:jc w:val="center"/>
        </w:trPr>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520EE5" w14:textId="77777777" w:rsidR="003E1512" w:rsidRDefault="00975995">
            <w:pPr>
              <w:spacing w:before="40" w:after="40"/>
              <w:ind w:left="100" w:right="100"/>
              <w:jc w:val="left"/>
            </w:pPr>
            <w:r>
              <w:rPr>
                <w:rFonts w:eastAsia="Arial" w:cs="Arial"/>
                <w:color w:val="111111"/>
                <w:sz w:val="22"/>
                <w:szCs w:val="22"/>
              </w:rPr>
              <w:t>Site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1224B4" w14:textId="77777777" w:rsidR="003E1512" w:rsidRDefault="00975995">
            <w:pPr>
              <w:spacing w:before="40" w:after="40"/>
              <w:ind w:left="100" w:right="100"/>
              <w:jc w:val="left"/>
            </w:pPr>
            <w:r>
              <w:rPr>
                <w:rFonts w:eastAsia="Arial" w:cs="Arial"/>
                <w:color w:val="111111"/>
                <w:sz w:val="22"/>
                <w:szCs w:val="22"/>
              </w:rPr>
              <w:t>Habitat</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171277" w14:textId="77777777" w:rsidR="003E1512" w:rsidRDefault="00975995">
            <w:pPr>
              <w:spacing w:before="40" w:after="40"/>
              <w:ind w:left="100" w:right="100"/>
              <w:jc w:val="right"/>
            </w:pPr>
            <w:r>
              <w:rPr>
                <w:rFonts w:eastAsia="Arial" w:cs="Arial"/>
                <w:color w:val="111111"/>
                <w:sz w:val="22"/>
                <w:szCs w:val="22"/>
              </w:rPr>
              <w:t>Elevation (m)</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2C297C" w14:textId="77777777" w:rsidR="003E1512" w:rsidRDefault="00975995">
            <w:pPr>
              <w:spacing w:before="40" w:after="40"/>
              <w:ind w:left="100" w:right="100"/>
              <w:jc w:val="right"/>
            </w:pPr>
            <w:r>
              <w:rPr>
                <w:rFonts w:eastAsia="Arial" w:cs="Arial"/>
                <w:color w:val="111111"/>
                <w:sz w:val="22"/>
                <w:szCs w:val="22"/>
              </w:rPr>
              <w:t>Latitude (ÂºC)</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E40541C" w14:textId="77777777" w:rsidR="003E1512" w:rsidRDefault="00975995">
            <w:pPr>
              <w:spacing w:before="40" w:after="40"/>
              <w:ind w:left="100" w:right="100"/>
              <w:jc w:val="right"/>
            </w:pPr>
            <w:r>
              <w:rPr>
                <w:rFonts w:eastAsia="Arial" w:cs="Arial"/>
                <w:color w:val="111111"/>
                <w:sz w:val="22"/>
                <w:szCs w:val="22"/>
              </w:rPr>
              <w:t>Longitude (ÂºC)</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E79CC0" w14:textId="77777777" w:rsidR="003E1512" w:rsidRDefault="00975995">
            <w:pPr>
              <w:spacing w:before="40" w:after="40"/>
              <w:ind w:left="100" w:right="100"/>
              <w:jc w:val="right"/>
            </w:pPr>
            <w:r>
              <w:rPr>
                <w:rFonts w:eastAsia="Arial" w:cs="Arial"/>
                <w:color w:val="111111"/>
                <w:sz w:val="22"/>
                <w:szCs w:val="22"/>
              </w:rPr>
              <w:t>Records (days)</w:t>
            </w:r>
          </w:p>
        </w:tc>
      </w:tr>
      <w:tr w:rsidR="003E1512" w14:paraId="7BFA24DD" w14:textId="77777777">
        <w:trPr>
          <w:cantSplit/>
          <w:jc w:val="center"/>
        </w:trPr>
        <w:tc>
          <w:tcPr>
            <w:tcW w:w="1440" w:type="dxa"/>
            <w:shd w:val="clear" w:color="auto" w:fill="FFFFFF"/>
            <w:tcMar>
              <w:top w:w="0" w:type="dxa"/>
              <w:left w:w="0" w:type="dxa"/>
              <w:bottom w:w="0" w:type="dxa"/>
              <w:right w:w="0" w:type="dxa"/>
            </w:tcMar>
            <w:vAlign w:val="center"/>
          </w:tcPr>
          <w:p w14:paraId="10F90784" w14:textId="77777777" w:rsidR="003E1512" w:rsidRDefault="00975995">
            <w:pPr>
              <w:spacing w:before="40" w:after="40"/>
              <w:ind w:left="100" w:right="100"/>
              <w:jc w:val="left"/>
            </w:pPr>
            <w:r>
              <w:rPr>
                <w:rFonts w:eastAsia="Arial" w:cs="Arial"/>
                <w:color w:val="111111"/>
                <w:sz w:val="22"/>
                <w:szCs w:val="22"/>
              </w:rPr>
              <w:t>El Molinucu</w:t>
            </w:r>
          </w:p>
        </w:tc>
        <w:tc>
          <w:tcPr>
            <w:tcW w:w="1440" w:type="dxa"/>
            <w:shd w:val="clear" w:color="auto" w:fill="FFFFFF"/>
            <w:tcMar>
              <w:top w:w="0" w:type="dxa"/>
              <w:left w:w="0" w:type="dxa"/>
              <w:bottom w:w="0" w:type="dxa"/>
              <w:right w:w="0" w:type="dxa"/>
            </w:tcMar>
            <w:vAlign w:val="center"/>
          </w:tcPr>
          <w:p w14:paraId="3CA21005" w14:textId="77777777" w:rsidR="003E1512" w:rsidRDefault="00975995">
            <w:pPr>
              <w:spacing w:before="40" w:after="40"/>
              <w:ind w:left="100" w:right="100"/>
              <w:jc w:val="left"/>
            </w:pPr>
            <w:r>
              <w:rPr>
                <w:rFonts w:eastAsia="Arial" w:cs="Arial"/>
                <w:color w:val="111111"/>
                <w:sz w:val="22"/>
                <w:szCs w:val="22"/>
              </w:rPr>
              <w:t>Raised bog</w:t>
            </w:r>
          </w:p>
        </w:tc>
        <w:tc>
          <w:tcPr>
            <w:tcW w:w="1440" w:type="dxa"/>
            <w:shd w:val="clear" w:color="auto" w:fill="FFFFFF"/>
            <w:tcMar>
              <w:top w:w="0" w:type="dxa"/>
              <w:left w:w="0" w:type="dxa"/>
              <w:bottom w:w="0" w:type="dxa"/>
              <w:right w:w="0" w:type="dxa"/>
            </w:tcMar>
            <w:vAlign w:val="center"/>
          </w:tcPr>
          <w:p w14:paraId="304D6B15" w14:textId="77777777" w:rsidR="003E1512" w:rsidRDefault="00975995">
            <w:pPr>
              <w:spacing w:before="40" w:after="40"/>
              <w:ind w:left="100" w:right="100"/>
              <w:jc w:val="right"/>
            </w:pPr>
            <w:r>
              <w:rPr>
                <w:rFonts w:eastAsia="Arial" w:cs="Arial"/>
                <w:color w:val="111111"/>
                <w:sz w:val="22"/>
                <w:szCs w:val="22"/>
              </w:rPr>
              <w:t>284</w:t>
            </w:r>
          </w:p>
        </w:tc>
        <w:tc>
          <w:tcPr>
            <w:tcW w:w="1440" w:type="dxa"/>
            <w:shd w:val="clear" w:color="auto" w:fill="FFFFFF"/>
            <w:tcMar>
              <w:top w:w="0" w:type="dxa"/>
              <w:left w:w="0" w:type="dxa"/>
              <w:bottom w:w="0" w:type="dxa"/>
              <w:right w:w="0" w:type="dxa"/>
            </w:tcMar>
            <w:vAlign w:val="center"/>
          </w:tcPr>
          <w:p w14:paraId="2511C13F" w14:textId="77777777" w:rsidR="003E1512" w:rsidRDefault="00975995">
            <w:pPr>
              <w:spacing w:before="40" w:after="40"/>
              <w:ind w:left="100" w:right="100"/>
              <w:jc w:val="right"/>
            </w:pPr>
            <w:r>
              <w:rPr>
                <w:rFonts w:eastAsia="Arial" w:cs="Arial"/>
                <w:color w:val="111111"/>
                <w:sz w:val="22"/>
                <w:szCs w:val="22"/>
              </w:rPr>
              <w:t>43.3924</w:t>
            </w:r>
          </w:p>
        </w:tc>
        <w:tc>
          <w:tcPr>
            <w:tcW w:w="1440" w:type="dxa"/>
            <w:shd w:val="clear" w:color="auto" w:fill="FFFFFF"/>
            <w:tcMar>
              <w:top w:w="0" w:type="dxa"/>
              <w:left w:w="0" w:type="dxa"/>
              <w:bottom w:w="0" w:type="dxa"/>
              <w:right w:w="0" w:type="dxa"/>
            </w:tcMar>
            <w:vAlign w:val="center"/>
          </w:tcPr>
          <w:p w14:paraId="352F65B4" w14:textId="77777777" w:rsidR="003E1512" w:rsidRDefault="00975995">
            <w:pPr>
              <w:spacing w:before="40" w:after="40"/>
              <w:ind w:left="100" w:right="100"/>
              <w:jc w:val="right"/>
            </w:pPr>
            <w:r>
              <w:rPr>
                <w:rFonts w:eastAsia="Arial" w:cs="Arial"/>
                <w:color w:val="111111"/>
                <w:sz w:val="22"/>
                <w:szCs w:val="22"/>
              </w:rPr>
              <w:t>-5.5392</w:t>
            </w:r>
          </w:p>
        </w:tc>
        <w:tc>
          <w:tcPr>
            <w:tcW w:w="1440" w:type="dxa"/>
            <w:shd w:val="clear" w:color="auto" w:fill="FFFFFF"/>
            <w:tcMar>
              <w:top w:w="0" w:type="dxa"/>
              <w:left w:w="0" w:type="dxa"/>
              <w:bottom w:w="0" w:type="dxa"/>
              <w:right w:w="0" w:type="dxa"/>
            </w:tcMar>
            <w:vAlign w:val="center"/>
          </w:tcPr>
          <w:p w14:paraId="765D7FBB" w14:textId="77777777" w:rsidR="003E1512" w:rsidRDefault="00975995">
            <w:pPr>
              <w:spacing w:before="40" w:after="40"/>
              <w:ind w:left="100" w:right="100"/>
              <w:jc w:val="right"/>
            </w:pPr>
            <w:r>
              <w:rPr>
                <w:rFonts w:eastAsia="Arial" w:cs="Arial"/>
                <w:color w:val="111111"/>
                <w:sz w:val="22"/>
                <w:szCs w:val="22"/>
              </w:rPr>
              <w:t>1421</w:t>
            </w:r>
          </w:p>
        </w:tc>
      </w:tr>
      <w:tr w:rsidR="003E1512" w14:paraId="6CB99CDF" w14:textId="77777777">
        <w:trPr>
          <w:cantSplit/>
          <w:jc w:val="center"/>
        </w:trPr>
        <w:tc>
          <w:tcPr>
            <w:tcW w:w="1440" w:type="dxa"/>
            <w:shd w:val="clear" w:color="auto" w:fill="FFFFFF"/>
            <w:tcMar>
              <w:top w:w="0" w:type="dxa"/>
              <w:left w:w="0" w:type="dxa"/>
              <w:bottom w:w="0" w:type="dxa"/>
              <w:right w:w="0" w:type="dxa"/>
            </w:tcMar>
            <w:vAlign w:val="center"/>
          </w:tcPr>
          <w:p w14:paraId="46651CE8" w14:textId="77777777" w:rsidR="003E1512" w:rsidRDefault="00975995">
            <w:pPr>
              <w:spacing w:before="40" w:after="40"/>
              <w:ind w:left="100" w:right="100"/>
              <w:jc w:val="left"/>
            </w:pPr>
            <w:r>
              <w:rPr>
                <w:rFonts w:eastAsia="Arial" w:cs="Arial"/>
                <w:color w:val="111111"/>
                <w:sz w:val="22"/>
                <w:szCs w:val="22"/>
              </w:rPr>
              <w:t>La Malva</w:t>
            </w:r>
          </w:p>
        </w:tc>
        <w:tc>
          <w:tcPr>
            <w:tcW w:w="1440" w:type="dxa"/>
            <w:shd w:val="clear" w:color="auto" w:fill="FFFFFF"/>
            <w:tcMar>
              <w:top w:w="0" w:type="dxa"/>
              <w:left w:w="0" w:type="dxa"/>
              <w:bottom w:w="0" w:type="dxa"/>
              <w:right w:w="0" w:type="dxa"/>
            </w:tcMar>
            <w:vAlign w:val="center"/>
          </w:tcPr>
          <w:p w14:paraId="3012DC67" w14:textId="77777777" w:rsidR="003E1512" w:rsidRDefault="00975995">
            <w:pPr>
              <w:spacing w:before="40" w:after="40"/>
              <w:ind w:left="100" w:right="100"/>
              <w:jc w:val="left"/>
            </w:pPr>
            <w:r>
              <w:rPr>
                <w:rFonts w:eastAsia="Arial" w:cs="Arial"/>
                <w:color w:val="111111"/>
                <w:sz w:val="22"/>
                <w:szCs w:val="22"/>
              </w:rPr>
              <w:t>Alkaline fen</w:t>
            </w:r>
          </w:p>
        </w:tc>
        <w:tc>
          <w:tcPr>
            <w:tcW w:w="1440" w:type="dxa"/>
            <w:shd w:val="clear" w:color="auto" w:fill="FFFFFF"/>
            <w:tcMar>
              <w:top w:w="0" w:type="dxa"/>
              <w:left w:w="0" w:type="dxa"/>
              <w:bottom w:w="0" w:type="dxa"/>
              <w:right w:w="0" w:type="dxa"/>
            </w:tcMar>
            <w:vAlign w:val="center"/>
          </w:tcPr>
          <w:p w14:paraId="5E9E3960" w14:textId="77777777" w:rsidR="003E1512" w:rsidRDefault="00975995">
            <w:pPr>
              <w:spacing w:before="40" w:after="40"/>
              <w:ind w:left="100" w:right="100"/>
              <w:jc w:val="right"/>
            </w:pPr>
            <w:r>
              <w:rPr>
                <w:rFonts w:eastAsia="Arial" w:cs="Arial"/>
                <w:color w:val="111111"/>
                <w:sz w:val="22"/>
                <w:szCs w:val="22"/>
              </w:rPr>
              <w:t>700</w:t>
            </w:r>
          </w:p>
        </w:tc>
        <w:tc>
          <w:tcPr>
            <w:tcW w:w="1440" w:type="dxa"/>
            <w:shd w:val="clear" w:color="auto" w:fill="FFFFFF"/>
            <w:tcMar>
              <w:top w:w="0" w:type="dxa"/>
              <w:left w:w="0" w:type="dxa"/>
              <w:bottom w:w="0" w:type="dxa"/>
              <w:right w:w="0" w:type="dxa"/>
            </w:tcMar>
            <w:vAlign w:val="center"/>
          </w:tcPr>
          <w:p w14:paraId="770C0F88" w14:textId="77777777" w:rsidR="003E1512" w:rsidRDefault="00975995">
            <w:pPr>
              <w:spacing w:before="40" w:after="40"/>
              <w:ind w:left="100" w:right="100"/>
              <w:jc w:val="right"/>
            </w:pPr>
            <w:r>
              <w:rPr>
                <w:rFonts w:eastAsia="Arial" w:cs="Arial"/>
                <w:color w:val="111111"/>
                <w:sz w:val="22"/>
                <w:szCs w:val="22"/>
              </w:rPr>
              <w:t>43.1176</w:t>
            </w:r>
          </w:p>
        </w:tc>
        <w:tc>
          <w:tcPr>
            <w:tcW w:w="1440" w:type="dxa"/>
            <w:shd w:val="clear" w:color="auto" w:fill="FFFFFF"/>
            <w:tcMar>
              <w:top w:w="0" w:type="dxa"/>
              <w:left w:w="0" w:type="dxa"/>
              <w:bottom w:w="0" w:type="dxa"/>
              <w:right w:w="0" w:type="dxa"/>
            </w:tcMar>
            <w:vAlign w:val="center"/>
          </w:tcPr>
          <w:p w14:paraId="24BCD7AF" w14:textId="77777777" w:rsidR="003E1512" w:rsidRDefault="00975995">
            <w:pPr>
              <w:spacing w:before="40" w:after="40"/>
              <w:ind w:left="100" w:right="100"/>
              <w:jc w:val="right"/>
            </w:pPr>
            <w:r>
              <w:rPr>
                <w:rFonts w:eastAsia="Arial" w:cs="Arial"/>
                <w:color w:val="111111"/>
                <w:sz w:val="22"/>
                <w:szCs w:val="22"/>
              </w:rPr>
              <w:t>-6.2543</w:t>
            </w:r>
          </w:p>
        </w:tc>
        <w:tc>
          <w:tcPr>
            <w:tcW w:w="1440" w:type="dxa"/>
            <w:shd w:val="clear" w:color="auto" w:fill="FFFFFF"/>
            <w:tcMar>
              <w:top w:w="0" w:type="dxa"/>
              <w:left w:w="0" w:type="dxa"/>
              <w:bottom w:w="0" w:type="dxa"/>
              <w:right w:w="0" w:type="dxa"/>
            </w:tcMar>
            <w:vAlign w:val="center"/>
          </w:tcPr>
          <w:p w14:paraId="7BAB110A" w14:textId="77777777" w:rsidR="003E1512" w:rsidRDefault="00975995">
            <w:pPr>
              <w:spacing w:before="40" w:after="40"/>
              <w:ind w:left="100" w:right="100"/>
              <w:jc w:val="right"/>
            </w:pPr>
            <w:r>
              <w:rPr>
                <w:rFonts w:eastAsia="Arial" w:cs="Arial"/>
                <w:color w:val="111111"/>
                <w:sz w:val="22"/>
                <w:szCs w:val="22"/>
              </w:rPr>
              <w:t>1347</w:t>
            </w:r>
          </w:p>
        </w:tc>
      </w:tr>
      <w:tr w:rsidR="003E1512" w14:paraId="0D064790" w14:textId="77777777">
        <w:trPr>
          <w:cantSplit/>
          <w:jc w:val="center"/>
        </w:trPr>
        <w:tc>
          <w:tcPr>
            <w:tcW w:w="1440" w:type="dxa"/>
            <w:shd w:val="clear" w:color="auto" w:fill="FFFFFF"/>
            <w:tcMar>
              <w:top w:w="0" w:type="dxa"/>
              <w:left w:w="0" w:type="dxa"/>
              <w:bottom w:w="0" w:type="dxa"/>
              <w:right w:w="0" w:type="dxa"/>
            </w:tcMar>
            <w:vAlign w:val="center"/>
          </w:tcPr>
          <w:p w14:paraId="27C41B1D" w14:textId="77777777" w:rsidR="003E1512" w:rsidRDefault="00975995">
            <w:pPr>
              <w:spacing w:before="40" w:after="40"/>
              <w:ind w:left="100" w:right="100"/>
              <w:jc w:val="left"/>
            </w:pPr>
            <w:r>
              <w:rPr>
                <w:rFonts w:eastAsia="Arial" w:cs="Arial"/>
                <w:color w:val="111111"/>
                <w:sz w:val="22"/>
                <w:szCs w:val="22"/>
              </w:rPr>
              <w:t>La Vega Comeya</w:t>
            </w:r>
          </w:p>
        </w:tc>
        <w:tc>
          <w:tcPr>
            <w:tcW w:w="1440" w:type="dxa"/>
            <w:shd w:val="clear" w:color="auto" w:fill="FFFFFF"/>
            <w:tcMar>
              <w:top w:w="0" w:type="dxa"/>
              <w:left w:w="0" w:type="dxa"/>
              <w:bottom w:w="0" w:type="dxa"/>
              <w:right w:w="0" w:type="dxa"/>
            </w:tcMar>
            <w:vAlign w:val="center"/>
          </w:tcPr>
          <w:p w14:paraId="2950E401" w14:textId="77777777" w:rsidR="003E1512" w:rsidRDefault="00975995">
            <w:pPr>
              <w:spacing w:before="40" w:after="40"/>
              <w:ind w:left="100" w:right="100"/>
              <w:jc w:val="left"/>
            </w:pPr>
            <w:r>
              <w:rPr>
                <w:rFonts w:eastAsia="Arial" w:cs="Arial"/>
                <w:color w:val="111111"/>
                <w:sz w:val="22"/>
                <w:szCs w:val="22"/>
              </w:rPr>
              <w:t>Raised bog</w:t>
            </w:r>
          </w:p>
        </w:tc>
        <w:tc>
          <w:tcPr>
            <w:tcW w:w="1440" w:type="dxa"/>
            <w:shd w:val="clear" w:color="auto" w:fill="FFFFFF"/>
            <w:tcMar>
              <w:top w:w="0" w:type="dxa"/>
              <w:left w:w="0" w:type="dxa"/>
              <w:bottom w:w="0" w:type="dxa"/>
              <w:right w:w="0" w:type="dxa"/>
            </w:tcMar>
            <w:vAlign w:val="center"/>
          </w:tcPr>
          <w:p w14:paraId="1F47C43F" w14:textId="77777777" w:rsidR="003E1512" w:rsidRDefault="00975995">
            <w:pPr>
              <w:spacing w:before="40" w:after="40"/>
              <w:ind w:left="100" w:right="100"/>
              <w:jc w:val="right"/>
            </w:pPr>
            <w:r>
              <w:rPr>
                <w:rFonts w:eastAsia="Arial" w:cs="Arial"/>
                <w:color w:val="111111"/>
                <w:sz w:val="22"/>
                <w:szCs w:val="22"/>
              </w:rPr>
              <w:t>822</w:t>
            </w:r>
          </w:p>
        </w:tc>
        <w:tc>
          <w:tcPr>
            <w:tcW w:w="1440" w:type="dxa"/>
            <w:shd w:val="clear" w:color="auto" w:fill="FFFFFF"/>
            <w:tcMar>
              <w:top w:w="0" w:type="dxa"/>
              <w:left w:w="0" w:type="dxa"/>
              <w:bottom w:w="0" w:type="dxa"/>
              <w:right w:w="0" w:type="dxa"/>
            </w:tcMar>
            <w:vAlign w:val="center"/>
          </w:tcPr>
          <w:p w14:paraId="1F405C1C" w14:textId="77777777" w:rsidR="003E1512" w:rsidRDefault="00975995">
            <w:pPr>
              <w:spacing w:before="40" w:after="40"/>
              <w:ind w:left="100" w:right="100"/>
              <w:jc w:val="right"/>
            </w:pPr>
            <w:r>
              <w:rPr>
                <w:rFonts w:eastAsia="Arial" w:cs="Arial"/>
                <w:color w:val="111111"/>
                <w:sz w:val="22"/>
                <w:szCs w:val="22"/>
              </w:rPr>
              <w:t>43.2856</w:t>
            </w:r>
          </w:p>
        </w:tc>
        <w:tc>
          <w:tcPr>
            <w:tcW w:w="1440" w:type="dxa"/>
            <w:shd w:val="clear" w:color="auto" w:fill="FFFFFF"/>
            <w:tcMar>
              <w:top w:w="0" w:type="dxa"/>
              <w:left w:w="0" w:type="dxa"/>
              <w:bottom w:w="0" w:type="dxa"/>
              <w:right w:w="0" w:type="dxa"/>
            </w:tcMar>
            <w:vAlign w:val="center"/>
          </w:tcPr>
          <w:p w14:paraId="031A72FF" w14:textId="77777777" w:rsidR="003E1512" w:rsidRDefault="00975995">
            <w:pPr>
              <w:spacing w:before="40" w:after="40"/>
              <w:ind w:left="100" w:right="100"/>
              <w:jc w:val="right"/>
            </w:pPr>
            <w:r>
              <w:rPr>
                <w:rFonts w:eastAsia="Arial" w:cs="Arial"/>
                <w:color w:val="111111"/>
                <w:sz w:val="22"/>
                <w:szCs w:val="22"/>
              </w:rPr>
              <w:t>-4.9885</w:t>
            </w:r>
          </w:p>
        </w:tc>
        <w:tc>
          <w:tcPr>
            <w:tcW w:w="1440" w:type="dxa"/>
            <w:shd w:val="clear" w:color="auto" w:fill="FFFFFF"/>
            <w:tcMar>
              <w:top w:w="0" w:type="dxa"/>
              <w:left w:w="0" w:type="dxa"/>
              <w:bottom w:w="0" w:type="dxa"/>
              <w:right w:w="0" w:type="dxa"/>
            </w:tcMar>
            <w:vAlign w:val="center"/>
          </w:tcPr>
          <w:p w14:paraId="28BA456E" w14:textId="77777777" w:rsidR="003E1512" w:rsidRDefault="00975995">
            <w:pPr>
              <w:spacing w:before="40" w:after="40"/>
              <w:ind w:left="100" w:right="100"/>
              <w:jc w:val="right"/>
            </w:pPr>
            <w:r>
              <w:rPr>
                <w:rFonts w:eastAsia="Arial" w:cs="Arial"/>
                <w:color w:val="111111"/>
                <w:sz w:val="22"/>
                <w:szCs w:val="22"/>
              </w:rPr>
              <w:t>664</w:t>
            </w:r>
          </w:p>
        </w:tc>
      </w:tr>
      <w:tr w:rsidR="003E1512" w14:paraId="7609A1B4" w14:textId="77777777">
        <w:trPr>
          <w:cantSplit/>
          <w:jc w:val="center"/>
        </w:trPr>
        <w:tc>
          <w:tcPr>
            <w:tcW w:w="1440" w:type="dxa"/>
            <w:shd w:val="clear" w:color="auto" w:fill="FFFFFF"/>
            <w:tcMar>
              <w:top w:w="0" w:type="dxa"/>
              <w:left w:w="0" w:type="dxa"/>
              <w:bottom w:w="0" w:type="dxa"/>
              <w:right w:w="0" w:type="dxa"/>
            </w:tcMar>
            <w:vAlign w:val="center"/>
          </w:tcPr>
          <w:p w14:paraId="44F40514" w14:textId="77777777" w:rsidR="003E1512" w:rsidRDefault="00975995">
            <w:pPr>
              <w:spacing w:before="40" w:after="40"/>
              <w:ind w:left="100" w:right="100"/>
              <w:jc w:val="left"/>
            </w:pPr>
            <w:r>
              <w:rPr>
                <w:rFonts w:eastAsia="Arial" w:cs="Arial"/>
                <w:color w:val="111111"/>
                <w:sz w:val="22"/>
                <w:szCs w:val="22"/>
              </w:rPr>
              <w:t>La Bruxa</w:t>
            </w:r>
          </w:p>
        </w:tc>
        <w:tc>
          <w:tcPr>
            <w:tcW w:w="1440" w:type="dxa"/>
            <w:shd w:val="clear" w:color="auto" w:fill="FFFFFF"/>
            <w:tcMar>
              <w:top w:w="0" w:type="dxa"/>
              <w:left w:w="0" w:type="dxa"/>
              <w:bottom w:w="0" w:type="dxa"/>
              <w:right w:w="0" w:type="dxa"/>
            </w:tcMar>
            <w:vAlign w:val="center"/>
          </w:tcPr>
          <w:p w14:paraId="607398B8" w14:textId="77777777" w:rsidR="003E1512" w:rsidRDefault="00975995">
            <w:pPr>
              <w:spacing w:before="40" w:after="40"/>
              <w:ind w:left="100" w:right="100"/>
              <w:jc w:val="left"/>
            </w:pPr>
            <w:r>
              <w:rPr>
                <w:rFonts w:eastAsia="Arial" w:cs="Arial"/>
                <w:color w:val="111111"/>
                <w:sz w:val="22"/>
                <w:szCs w:val="22"/>
              </w:rPr>
              <w:t>Alkaline fen</w:t>
            </w:r>
          </w:p>
        </w:tc>
        <w:tc>
          <w:tcPr>
            <w:tcW w:w="1440" w:type="dxa"/>
            <w:shd w:val="clear" w:color="auto" w:fill="FFFFFF"/>
            <w:tcMar>
              <w:top w:w="0" w:type="dxa"/>
              <w:left w:w="0" w:type="dxa"/>
              <w:bottom w:w="0" w:type="dxa"/>
              <w:right w:w="0" w:type="dxa"/>
            </w:tcMar>
            <w:vAlign w:val="center"/>
          </w:tcPr>
          <w:p w14:paraId="4DB6BD7C" w14:textId="77777777" w:rsidR="003E1512" w:rsidRDefault="00975995">
            <w:pPr>
              <w:spacing w:before="40" w:after="40"/>
              <w:ind w:left="100" w:right="100"/>
              <w:jc w:val="right"/>
            </w:pPr>
            <w:r>
              <w:rPr>
                <w:rFonts w:eastAsia="Arial" w:cs="Arial"/>
                <w:color w:val="111111"/>
                <w:sz w:val="22"/>
                <w:szCs w:val="22"/>
              </w:rPr>
              <w:t>1528</w:t>
            </w:r>
          </w:p>
        </w:tc>
        <w:tc>
          <w:tcPr>
            <w:tcW w:w="1440" w:type="dxa"/>
            <w:shd w:val="clear" w:color="auto" w:fill="FFFFFF"/>
            <w:tcMar>
              <w:top w:w="0" w:type="dxa"/>
              <w:left w:w="0" w:type="dxa"/>
              <w:bottom w:w="0" w:type="dxa"/>
              <w:right w:w="0" w:type="dxa"/>
            </w:tcMar>
            <w:vAlign w:val="center"/>
          </w:tcPr>
          <w:p w14:paraId="76901470" w14:textId="77777777" w:rsidR="003E1512" w:rsidRDefault="00975995">
            <w:pPr>
              <w:spacing w:before="40" w:after="40"/>
              <w:ind w:left="100" w:right="100"/>
              <w:jc w:val="right"/>
            </w:pPr>
            <w:r>
              <w:rPr>
                <w:rFonts w:eastAsia="Arial" w:cs="Arial"/>
                <w:color w:val="111111"/>
                <w:sz w:val="22"/>
                <w:szCs w:val="22"/>
              </w:rPr>
              <w:t>43.0232</w:t>
            </w:r>
          </w:p>
        </w:tc>
        <w:tc>
          <w:tcPr>
            <w:tcW w:w="1440" w:type="dxa"/>
            <w:shd w:val="clear" w:color="auto" w:fill="FFFFFF"/>
            <w:tcMar>
              <w:top w:w="0" w:type="dxa"/>
              <w:left w:w="0" w:type="dxa"/>
              <w:bottom w:w="0" w:type="dxa"/>
              <w:right w:w="0" w:type="dxa"/>
            </w:tcMar>
            <w:vAlign w:val="center"/>
          </w:tcPr>
          <w:p w14:paraId="106CF717" w14:textId="77777777" w:rsidR="003E1512" w:rsidRDefault="00975995">
            <w:pPr>
              <w:spacing w:before="40" w:after="40"/>
              <w:ind w:left="100" w:right="100"/>
              <w:jc w:val="right"/>
            </w:pPr>
            <w:r>
              <w:rPr>
                <w:rFonts w:eastAsia="Arial" w:cs="Arial"/>
                <w:color w:val="111111"/>
                <w:sz w:val="22"/>
                <w:szCs w:val="22"/>
              </w:rPr>
              <w:t>-6.2113</w:t>
            </w:r>
          </w:p>
        </w:tc>
        <w:tc>
          <w:tcPr>
            <w:tcW w:w="1440" w:type="dxa"/>
            <w:shd w:val="clear" w:color="auto" w:fill="FFFFFF"/>
            <w:tcMar>
              <w:top w:w="0" w:type="dxa"/>
              <w:left w:w="0" w:type="dxa"/>
              <w:bottom w:w="0" w:type="dxa"/>
              <w:right w:w="0" w:type="dxa"/>
            </w:tcMar>
            <w:vAlign w:val="center"/>
          </w:tcPr>
          <w:p w14:paraId="3F4FDE22" w14:textId="77777777" w:rsidR="003E1512" w:rsidRDefault="00975995">
            <w:pPr>
              <w:spacing w:before="40" w:after="40"/>
              <w:ind w:left="100" w:right="100"/>
              <w:jc w:val="right"/>
            </w:pPr>
            <w:r>
              <w:rPr>
                <w:rFonts w:eastAsia="Arial" w:cs="Arial"/>
                <w:color w:val="111111"/>
                <w:sz w:val="22"/>
                <w:szCs w:val="22"/>
              </w:rPr>
              <w:t>1850</w:t>
            </w:r>
          </w:p>
        </w:tc>
      </w:tr>
      <w:tr w:rsidR="003E1512" w14:paraId="78D04CDC" w14:textId="77777777">
        <w:trPr>
          <w:cantSplit/>
          <w:jc w:val="center"/>
        </w:trPr>
        <w:tc>
          <w:tcPr>
            <w:tcW w:w="1440" w:type="dxa"/>
            <w:shd w:val="clear" w:color="auto" w:fill="FFFFFF"/>
            <w:tcMar>
              <w:top w:w="0" w:type="dxa"/>
              <w:left w:w="0" w:type="dxa"/>
              <w:bottom w:w="0" w:type="dxa"/>
              <w:right w:w="0" w:type="dxa"/>
            </w:tcMar>
            <w:vAlign w:val="center"/>
          </w:tcPr>
          <w:p w14:paraId="6A8D710C" w14:textId="77777777" w:rsidR="003E1512" w:rsidRDefault="00975995">
            <w:pPr>
              <w:spacing w:before="40" w:after="40"/>
              <w:ind w:left="100" w:right="100"/>
              <w:jc w:val="left"/>
            </w:pPr>
            <w:r>
              <w:rPr>
                <w:rFonts w:eastAsia="Arial" w:cs="Arial"/>
                <w:color w:val="111111"/>
                <w:sz w:val="22"/>
                <w:szCs w:val="22"/>
              </w:rPr>
              <w:t>La Veiga Cimera</w:t>
            </w:r>
          </w:p>
        </w:tc>
        <w:tc>
          <w:tcPr>
            <w:tcW w:w="1440" w:type="dxa"/>
            <w:shd w:val="clear" w:color="auto" w:fill="FFFFFF"/>
            <w:tcMar>
              <w:top w:w="0" w:type="dxa"/>
              <w:left w:w="0" w:type="dxa"/>
              <w:bottom w:w="0" w:type="dxa"/>
              <w:right w:w="0" w:type="dxa"/>
            </w:tcMar>
            <w:vAlign w:val="center"/>
          </w:tcPr>
          <w:p w14:paraId="4F36C089" w14:textId="77777777" w:rsidR="003E1512" w:rsidRDefault="00975995">
            <w:pPr>
              <w:spacing w:before="40" w:after="40"/>
              <w:ind w:left="100" w:right="100"/>
              <w:jc w:val="left"/>
            </w:pPr>
            <w:r>
              <w:rPr>
                <w:rFonts w:eastAsia="Arial" w:cs="Arial"/>
                <w:color w:val="111111"/>
                <w:sz w:val="22"/>
                <w:szCs w:val="22"/>
              </w:rPr>
              <w:t>Acid fen</w:t>
            </w:r>
          </w:p>
        </w:tc>
        <w:tc>
          <w:tcPr>
            <w:tcW w:w="1440" w:type="dxa"/>
            <w:shd w:val="clear" w:color="auto" w:fill="FFFFFF"/>
            <w:tcMar>
              <w:top w:w="0" w:type="dxa"/>
              <w:left w:w="0" w:type="dxa"/>
              <w:bottom w:w="0" w:type="dxa"/>
              <w:right w:w="0" w:type="dxa"/>
            </w:tcMar>
            <w:vAlign w:val="center"/>
          </w:tcPr>
          <w:p w14:paraId="0285262F" w14:textId="77777777" w:rsidR="003E1512" w:rsidRDefault="00975995">
            <w:pPr>
              <w:spacing w:before="40" w:after="40"/>
              <w:ind w:left="100" w:right="100"/>
              <w:jc w:val="right"/>
            </w:pPr>
            <w:r>
              <w:rPr>
                <w:rFonts w:eastAsia="Arial" w:cs="Arial"/>
                <w:color w:val="111111"/>
                <w:sz w:val="22"/>
                <w:szCs w:val="22"/>
              </w:rPr>
              <w:t>1552</w:t>
            </w:r>
          </w:p>
        </w:tc>
        <w:tc>
          <w:tcPr>
            <w:tcW w:w="1440" w:type="dxa"/>
            <w:shd w:val="clear" w:color="auto" w:fill="FFFFFF"/>
            <w:tcMar>
              <w:top w:w="0" w:type="dxa"/>
              <w:left w:w="0" w:type="dxa"/>
              <w:bottom w:w="0" w:type="dxa"/>
              <w:right w:w="0" w:type="dxa"/>
            </w:tcMar>
            <w:vAlign w:val="center"/>
          </w:tcPr>
          <w:p w14:paraId="49168774" w14:textId="77777777" w:rsidR="003E1512" w:rsidRDefault="00975995">
            <w:pPr>
              <w:spacing w:before="40" w:after="40"/>
              <w:ind w:left="100" w:right="100"/>
              <w:jc w:val="right"/>
            </w:pPr>
            <w:r>
              <w:rPr>
                <w:rFonts w:eastAsia="Arial" w:cs="Arial"/>
                <w:color w:val="111111"/>
                <w:sz w:val="22"/>
                <w:szCs w:val="22"/>
              </w:rPr>
              <w:t>43.0252</w:t>
            </w:r>
          </w:p>
        </w:tc>
        <w:tc>
          <w:tcPr>
            <w:tcW w:w="1440" w:type="dxa"/>
            <w:shd w:val="clear" w:color="auto" w:fill="FFFFFF"/>
            <w:tcMar>
              <w:top w:w="0" w:type="dxa"/>
              <w:left w:w="0" w:type="dxa"/>
              <w:bottom w:w="0" w:type="dxa"/>
              <w:right w:w="0" w:type="dxa"/>
            </w:tcMar>
            <w:vAlign w:val="center"/>
          </w:tcPr>
          <w:p w14:paraId="005757B2" w14:textId="77777777" w:rsidR="003E1512" w:rsidRDefault="00975995">
            <w:pPr>
              <w:spacing w:before="40" w:after="40"/>
              <w:ind w:left="100" w:right="100"/>
              <w:jc w:val="right"/>
            </w:pPr>
            <w:r>
              <w:rPr>
                <w:rFonts w:eastAsia="Arial" w:cs="Arial"/>
                <w:color w:val="111111"/>
                <w:sz w:val="22"/>
                <w:szCs w:val="22"/>
              </w:rPr>
              <w:t>-6.2539</w:t>
            </w:r>
          </w:p>
        </w:tc>
        <w:tc>
          <w:tcPr>
            <w:tcW w:w="1440" w:type="dxa"/>
            <w:shd w:val="clear" w:color="auto" w:fill="FFFFFF"/>
            <w:tcMar>
              <w:top w:w="0" w:type="dxa"/>
              <w:left w:w="0" w:type="dxa"/>
              <w:bottom w:w="0" w:type="dxa"/>
              <w:right w:w="0" w:type="dxa"/>
            </w:tcMar>
            <w:vAlign w:val="center"/>
          </w:tcPr>
          <w:p w14:paraId="31CBF705" w14:textId="77777777" w:rsidR="003E1512" w:rsidRDefault="00975995">
            <w:pPr>
              <w:spacing w:before="40" w:after="40"/>
              <w:ind w:left="100" w:right="100"/>
              <w:jc w:val="right"/>
            </w:pPr>
            <w:r>
              <w:rPr>
                <w:rFonts w:eastAsia="Arial" w:cs="Arial"/>
                <w:color w:val="111111"/>
                <w:sz w:val="22"/>
                <w:szCs w:val="22"/>
              </w:rPr>
              <w:t>1850</w:t>
            </w:r>
          </w:p>
        </w:tc>
      </w:tr>
      <w:tr w:rsidR="003E1512" w14:paraId="196BC48C" w14:textId="77777777">
        <w:trPr>
          <w:cantSplit/>
          <w:jc w:val="center"/>
        </w:trPr>
        <w:tc>
          <w:tcPr>
            <w:tcW w:w="1440" w:type="dxa"/>
            <w:shd w:val="clear" w:color="auto" w:fill="FFFFFF"/>
            <w:tcMar>
              <w:top w:w="0" w:type="dxa"/>
              <w:left w:w="0" w:type="dxa"/>
              <w:bottom w:w="0" w:type="dxa"/>
              <w:right w:w="0" w:type="dxa"/>
            </w:tcMar>
            <w:vAlign w:val="center"/>
          </w:tcPr>
          <w:p w14:paraId="6A219E89" w14:textId="77777777" w:rsidR="003E1512" w:rsidRDefault="00975995">
            <w:pPr>
              <w:spacing w:before="40" w:after="40"/>
              <w:ind w:left="100" w:right="100"/>
              <w:jc w:val="left"/>
            </w:pPr>
            <w:r>
              <w:rPr>
                <w:rFonts w:eastAsia="Arial" w:cs="Arial"/>
                <w:color w:val="111111"/>
                <w:sz w:val="22"/>
                <w:szCs w:val="22"/>
              </w:rPr>
              <w:t>La Recoleta</w:t>
            </w:r>
          </w:p>
        </w:tc>
        <w:tc>
          <w:tcPr>
            <w:tcW w:w="1440" w:type="dxa"/>
            <w:shd w:val="clear" w:color="auto" w:fill="FFFFFF"/>
            <w:tcMar>
              <w:top w:w="0" w:type="dxa"/>
              <w:left w:w="0" w:type="dxa"/>
              <w:bottom w:w="0" w:type="dxa"/>
              <w:right w:w="0" w:type="dxa"/>
            </w:tcMar>
            <w:vAlign w:val="center"/>
          </w:tcPr>
          <w:p w14:paraId="26CBEF79" w14:textId="77777777" w:rsidR="003E1512" w:rsidRDefault="00975995">
            <w:pPr>
              <w:spacing w:before="40" w:after="40"/>
              <w:ind w:left="100" w:right="100"/>
              <w:jc w:val="left"/>
            </w:pPr>
            <w:r>
              <w:rPr>
                <w:rFonts w:eastAsia="Arial" w:cs="Arial"/>
                <w:color w:val="111111"/>
                <w:sz w:val="22"/>
                <w:szCs w:val="22"/>
              </w:rPr>
              <w:t>Quaking bog</w:t>
            </w:r>
          </w:p>
        </w:tc>
        <w:tc>
          <w:tcPr>
            <w:tcW w:w="1440" w:type="dxa"/>
            <w:shd w:val="clear" w:color="auto" w:fill="FFFFFF"/>
            <w:tcMar>
              <w:top w:w="0" w:type="dxa"/>
              <w:left w:w="0" w:type="dxa"/>
              <w:bottom w:w="0" w:type="dxa"/>
              <w:right w:w="0" w:type="dxa"/>
            </w:tcMar>
            <w:vAlign w:val="center"/>
          </w:tcPr>
          <w:p w14:paraId="78AEB88A" w14:textId="77777777" w:rsidR="003E1512" w:rsidRDefault="00975995">
            <w:pPr>
              <w:spacing w:before="40" w:after="40"/>
              <w:ind w:left="100" w:right="100"/>
              <w:jc w:val="right"/>
            </w:pPr>
            <w:r>
              <w:rPr>
                <w:rFonts w:eastAsia="Arial" w:cs="Arial"/>
                <w:color w:val="111111"/>
                <w:sz w:val="22"/>
                <w:szCs w:val="22"/>
              </w:rPr>
              <w:t>1768</w:t>
            </w:r>
          </w:p>
        </w:tc>
        <w:tc>
          <w:tcPr>
            <w:tcW w:w="1440" w:type="dxa"/>
            <w:shd w:val="clear" w:color="auto" w:fill="FFFFFF"/>
            <w:tcMar>
              <w:top w:w="0" w:type="dxa"/>
              <w:left w:w="0" w:type="dxa"/>
              <w:bottom w:w="0" w:type="dxa"/>
              <w:right w:w="0" w:type="dxa"/>
            </w:tcMar>
            <w:vAlign w:val="center"/>
          </w:tcPr>
          <w:p w14:paraId="61EA8030" w14:textId="77777777" w:rsidR="003E1512" w:rsidRDefault="00975995">
            <w:pPr>
              <w:spacing w:before="40" w:after="40"/>
              <w:ind w:left="100" w:right="100"/>
              <w:jc w:val="right"/>
            </w:pPr>
            <w:r>
              <w:rPr>
                <w:rFonts w:eastAsia="Arial" w:cs="Arial"/>
                <w:color w:val="111111"/>
                <w:sz w:val="22"/>
                <w:szCs w:val="22"/>
              </w:rPr>
              <w:t>43.0167</w:t>
            </w:r>
          </w:p>
        </w:tc>
        <w:tc>
          <w:tcPr>
            <w:tcW w:w="1440" w:type="dxa"/>
            <w:shd w:val="clear" w:color="auto" w:fill="FFFFFF"/>
            <w:tcMar>
              <w:top w:w="0" w:type="dxa"/>
              <w:left w:w="0" w:type="dxa"/>
              <w:bottom w:w="0" w:type="dxa"/>
              <w:right w:w="0" w:type="dxa"/>
            </w:tcMar>
            <w:vAlign w:val="center"/>
          </w:tcPr>
          <w:p w14:paraId="7C44AD97" w14:textId="77777777" w:rsidR="003E1512" w:rsidRDefault="00975995">
            <w:pPr>
              <w:spacing w:before="40" w:after="40"/>
              <w:ind w:left="100" w:right="100"/>
              <w:jc w:val="right"/>
            </w:pPr>
            <w:r>
              <w:rPr>
                <w:rFonts w:eastAsia="Arial" w:cs="Arial"/>
                <w:color w:val="111111"/>
                <w:sz w:val="22"/>
                <w:szCs w:val="22"/>
              </w:rPr>
              <w:t>-6.1112</w:t>
            </w:r>
          </w:p>
        </w:tc>
        <w:tc>
          <w:tcPr>
            <w:tcW w:w="1440" w:type="dxa"/>
            <w:shd w:val="clear" w:color="auto" w:fill="FFFFFF"/>
            <w:tcMar>
              <w:top w:w="0" w:type="dxa"/>
              <w:left w:w="0" w:type="dxa"/>
              <w:bottom w:w="0" w:type="dxa"/>
              <w:right w:w="0" w:type="dxa"/>
            </w:tcMar>
            <w:vAlign w:val="center"/>
          </w:tcPr>
          <w:p w14:paraId="71C4793B" w14:textId="77777777" w:rsidR="003E1512" w:rsidRDefault="00975995">
            <w:pPr>
              <w:spacing w:before="40" w:after="40"/>
              <w:ind w:left="100" w:right="100"/>
              <w:jc w:val="right"/>
            </w:pPr>
            <w:r>
              <w:rPr>
                <w:rFonts w:eastAsia="Arial" w:cs="Arial"/>
                <w:color w:val="111111"/>
                <w:sz w:val="22"/>
                <w:szCs w:val="22"/>
              </w:rPr>
              <w:t>1854</w:t>
            </w:r>
          </w:p>
        </w:tc>
      </w:tr>
      <w:tr w:rsidR="003E1512" w14:paraId="70E6103C" w14:textId="77777777">
        <w:trPr>
          <w:cantSplit/>
          <w:jc w:val="center"/>
        </w:trPr>
        <w:tc>
          <w:tcPr>
            <w:tcW w:w="1440" w:type="dxa"/>
            <w:shd w:val="clear" w:color="auto" w:fill="FFFFFF"/>
            <w:tcMar>
              <w:top w:w="0" w:type="dxa"/>
              <w:left w:w="0" w:type="dxa"/>
              <w:bottom w:w="0" w:type="dxa"/>
              <w:right w:w="0" w:type="dxa"/>
            </w:tcMar>
            <w:vAlign w:val="center"/>
          </w:tcPr>
          <w:p w14:paraId="565FE8EE" w14:textId="77777777" w:rsidR="003E1512" w:rsidRDefault="00975995">
            <w:pPr>
              <w:spacing w:before="40" w:after="40"/>
              <w:ind w:left="100" w:right="100"/>
              <w:jc w:val="left"/>
            </w:pPr>
            <w:r>
              <w:rPr>
                <w:rFonts w:eastAsia="Arial" w:cs="Arial"/>
                <w:color w:val="111111"/>
                <w:sz w:val="22"/>
                <w:szCs w:val="22"/>
              </w:rPr>
              <w:t>El Riotuertu</w:t>
            </w:r>
          </w:p>
        </w:tc>
        <w:tc>
          <w:tcPr>
            <w:tcW w:w="1440" w:type="dxa"/>
            <w:shd w:val="clear" w:color="auto" w:fill="FFFFFF"/>
            <w:tcMar>
              <w:top w:w="0" w:type="dxa"/>
              <w:left w:w="0" w:type="dxa"/>
              <w:bottom w:w="0" w:type="dxa"/>
              <w:right w:w="0" w:type="dxa"/>
            </w:tcMar>
            <w:vAlign w:val="center"/>
          </w:tcPr>
          <w:p w14:paraId="3877C389" w14:textId="77777777" w:rsidR="003E1512" w:rsidRDefault="00975995">
            <w:pPr>
              <w:spacing w:before="40" w:after="40"/>
              <w:ind w:left="100" w:right="100"/>
              <w:jc w:val="left"/>
            </w:pPr>
            <w:r>
              <w:rPr>
                <w:rFonts w:eastAsia="Arial" w:cs="Arial"/>
                <w:color w:val="111111"/>
                <w:sz w:val="22"/>
                <w:szCs w:val="22"/>
              </w:rPr>
              <w:t>Alkaline fen</w:t>
            </w:r>
          </w:p>
        </w:tc>
        <w:tc>
          <w:tcPr>
            <w:tcW w:w="1440" w:type="dxa"/>
            <w:shd w:val="clear" w:color="auto" w:fill="FFFFFF"/>
            <w:tcMar>
              <w:top w:w="0" w:type="dxa"/>
              <w:left w:w="0" w:type="dxa"/>
              <w:bottom w:w="0" w:type="dxa"/>
              <w:right w:w="0" w:type="dxa"/>
            </w:tcMar>
            <w:vAlign w:val="center"/>
          </w:tcPr>
          <w:p w14:paraId="659526C6" w14:textId="77777777" w:rsidR="003E1512" w:rsidRDefault="00975995">
            <w:pPr>
              <w:spacing w:before="40" w:after="40"/>
              <w:ind w:left="100" w:right="100"/>
              <w:jc w:val="right"/>
            </w:pPr>
            <w:r>
              <w:rPr>
                <w:rFonts w:eastAsia="Arial" w:cs="Arial"/>
                <w:color w:val="111111"/>
                <w:sz w:val="22"/>
                <w:szCs w:val="22"/>
              </w:rPr>
              <w:t>1820</w:t>
            </w:r>
          </w:p>
        </w:tc>
        <w:tc>
          <w:tcPr>
            <w:tcW w:w="1440" w:type="dxa"/>
            <w:shd w:val="clear" w:color="auto" w:fill="FFFFFF"/>
            <w:tcMar>
              <w:top w:w="0" w:type="dxa"/>
              <w:left w:w="0" w:type="dxa"/>
              <w:bottom w:w="0" w:type="dxa"/>
              <w:right w:w="0" w:type="dxa"/>
            </w:tcMar>
            <w:vAlign w:val="center"/>
          </w:tcPr>
          <w:p w14:paraId="25FD6920" w14:textId="77777777" w:rsidR="003E1512" w:rsidRDefault="00975995">
            <w:pPr>
              <w:spacing w:before="40" w:after="40"/>
              <w:ind w:left="100" w:right="100"/>
              <w:jc w:val="right"/>
            </w:pPr>
            <w:r>
              <w:rPr>
                <w:rFonts w:eastAsia="Arial" w:cs="Arial"/>
                <w:color w:val="111111"/>
                <w:sz w:val="22"/>
                <w:szCs w:val="22"/>
              </w:rPr>
              <w:t>43.0096</w:t>
            </w:r>
          </w:p>
        </w:tc>
        <w:tc>
          <w:tcPr>
            <w:tcW w:w="1440" w:type="dxa"/>
            <w:shd w:val="clear" w:color="auto" w:fill="FFFFFF"/>
            <w:tcMar>
              <w:top w:w="0" w:type="dxa"/>
              <w:left w:w="0" w:type="dxa"/>
              <w:bottom w:w="0" w:type="dxa"/>
              <w:right w:w="0" w:type="dxa"/>
            </w:tcMar>
            <w:vAlign w:val="center"/>
          </w:tcPr>
          <w:p w14:paraId="05B6B962" w14:textId="77777777" w:rsidR="003E1512" w:rsidRDefault="00975995">
            <w:pPr>
              <w:spacing w:before="40" w:after="40"/>
              <w:ind w:left="100" w:right="100"/>
              <w:jc w:val="right"/>
            </w:pPr>
            <w:r>
              <w:rPr>
                <w:rFonts w:eastAsia="Arial" w:cs="Arial"/>
                <w:color w:val="111111"/>
                <w:sz w:val="22"/>
                <w:szCs w:val="22"/>
              </w:rPr>
              <w:t>-5.9479</w:t>
            </w:r>
          </w:p>
        </w:tc>
        <w:tc>
          <w:tcPr>
            <w:tcW w:w="1440" w:type="dxa"/>
            <w:shd w:val="clear" w:color="auto" w:fill="FFFFFF"/>
            <w:tcMar>
              <w:top w:w="0" w:type="dxa"/>
              <w:left w:w="0" w:type="dxa"/>
              <w:bottom w:w="0" w:type="dxa"/>
              <w:right w:w="0" w:type="dxa"/>
            </w:tcMar>
            <w:vAlign w:val="center"/>
          </w:tcPr>
          <w:p w14:paraId="4DF2A663" w14:textId="77777777" w:rsidR="003E1512" w:rsidRDefault="00975995">
            <w:pPr>
              <w:spacing w:before="40" w:after="40"/>
              <w:ind w:left="100" w:right="100"/>
              <w:jc w:val="right"/>
            </w:pPr>
            <w:r>
              <w:rPr>
                <w:rFonts w:eastAsia="Arial" w:cs="Arial"/>
                <w:color w:val="111111"/>
                <w:sz w:val="22"/>
                <w:szCs w:val="22"/>
              </w:rPr>
              <w:t>1852</w:t>
            </w:r>
          </w:p>
        </w:tc>
      </w:tr>
      <w:tr w:rsidR="003E1512" w14:paraId="1C30BC64" w14:textId="77777777">
        <w:trPr>
          <w:cantSplit/>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14:paraId="4509B9B2" w14:textId="77777777" w:rsidR="003E1512" w:rsidRDefault="00975995">
            <w:pPr>
              <w:spacing w:before="40" w:after="40"/>
              <w:ind w:left="100" w:right="100"/>
              <w:jc w:val="left"/>
            </w:pPr>
            <w:r>
              <w:rPr>
                <w:rFonts w:eastAsia="Arial" w:cs="Arial"/>
                <w:color w:val="111111"/>
                <w:sz w:val="22"/>
                <w:szCs w:val="22"/>
              </w:rPr>
              <w:t>La Vega Lliordes</w:t>
            </w:r>
          </w:p>
        </w:tc>
        <w:tc>
          <w:tcPr>
            <w:tcW w:w="1440" w:type="dxa"/>
            <w:tcBorders>
              <w:bottom w:val="single" w:sz="16" w:space="0" w:color="000000"/>
            </w:tcBorders>
            <w:shd w:val="clear" w:color="auto" w:fill="FFFFFF"/>
            <w:tcMar>
              <w:top w:w="0" w:type="dxa"/>
              <w:left w:w="0" w:type="dxa"/>
              <w:bottom w:w="0" w:type="dxa"/>
              <w:right w:w="0" w:type="dxa"/>
            </w:tcMar>
            <w:vAlign w:val="center"/>
          </w:tcPr>
          <w:p w14:paraId="2125AAB9" w14:textId="77777777" w:rsidR="003E1512" w:rsidRDefault="00975995">
            <w:pPr>
              <w:spacing w:before="40" w:after="40"/>
              <w:ind w:left="100" w:right="100"/>
              <w:jc w:val="left"/>
            </w:pPr>
            <w:r>
              <w:rPr>
                <w:rFonts w:eastAsia="Arial" w:cs="Arial"/>
                <w:color w:val="111111"/>
                <w:sz w:val="22"/>
                <w:szCs w:val="22"/>
              </w:rPr>
              <w:t>Alkaline fen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3D133281" w14:textId="77777777" w:rsidR="003E1512" w:rsidRDefault="00975995">
            <w:pPr>
              <w:spacing w:before="40" w:after="40"/>
              <w:ind w:left="100" w:right="100"/>
              <w:jc w:val="right"/>
            </w:pPr>
            <w:r>
              <w:rPr>
                <w:rFonts w:eastAsia="Arial" w:cs="Arial"/>
                <w:color w:val="111111"/>
                <w:sz w:val="22"/>
                <w:szCs w:val="22"/>
              </w:rPr>
              <w:t>1878</w:t>
            </w:r>
          </w:p>
        </w:tc>
        <w:tc>
          <w:tcPr>
            <w:tcW w:w="1440" w:type="dxa"/>
            <w:tcBorders>
              <w:bottom w:val="single" w:sz="16" w:space="0" w:color="000000"/>
            </w:tcBorders>
            <w:shd w:val="clear" w:color="auto" w:fill="FFFFFF"/>
            <w:tcMar>
              <w:top w:w="0" w:type="dxa"/>
              <w:left w:w="0" w:type="dxa"/>
              <w:bottom w:w="0" w:type="dxa"/>
              <w:right w:w="0" w:type="dxa"/>
            </w:tcMar>
            <w:vAlign w:val="center"/>
          </w:tcPr>
          <w:p w14:paraId="24855AA7" w14:textId="77777777" w:rsidR="003E1512" w:rsidRDefault="00975995">
            <w:pPr>
              <w:spacing w:before="40" w:after="40"/>
              <w:ind w:left="100" w:right="100"/>
              <w:jc w:val="right"/>
            </w:pPr>
            <w:r>
              <w:rPr>
                <w:rFonts w:eastAsia="Arial" w:cs="Arial"/>
                <w:color w:val="111111"/>
                <w:sz w:val="22"/>
                <w:szCs w:val="22"/>
              </w:rPr>
              <w:t>43.1504</w:t>
            </w:r>
          </w:p>
        </w:tc>
        <w:tc>
          <w:tcPr>
            <w:tcW w:w="1440" w:type="dxa"/>
            <w:tcBorders>
              <w:bottom w:val="single" w:sz="16" w:space="0" w:color="000000"/>
            </w:tcBorders>
            <w:shd w:val="clear" w:color="auto" w:fill="FFFFFF"/>
            <w:tcMar>
              <w:top w:w="0" w:type="dxa"/>
              <w:left w:w="0" w:type="dxa"/>
              <w:bottom w:w="0" w:type="dxa"/>
              <w:right w:w="0" w:type="dxa"/>
            </w:tcMar>
            <w:vAlign w:val="center"/>
          </w:tcPr>
          <w:p w14:paraId="2AF37FB4" w14:textId="77777777" w:rsidR="003E1512" w:rsidRDefault="00975995">
            <w:pPr>
              <w:spacing w:before="40" w:after="40"/>
              <w:ind w:left="100" w:right="100"/>
              <w:jc w:val="right"/>
            </w:pPr>
            <w:r>
              <w:rPr>
                <w:rFonts w:eastAsia="Arial" w:cs="Arial"/>
                <w:color w:val="111111"/>
                <w:sz w:val="22"/>
                <w:szCs w:val="22"/>
              </w:rPr>
              <w:t>-4.8464</w:t>
            </w:r>
          </w:p>
        </w:tc>
        <w:tc>
          <w:tcPr>
            <w:tcW w:w="1440" w:type="dxa"/>
            <w:tcBorders>
              <w:bottom w:val="single" w:sz="16" w:space="0" w:color="000000"/>
            </w:tcBorders>
            <w:shd w:val="clear" w:color="auto" w:fill="FFFFFF"/>
            <w:tcMar>
              <w:top w:w="0" w:type="dxa"/>
              <w:left w:w="0" w:type="dxa"/>
              <w:bottom w:w="0" w:type="dxa"/>
              <w:right w:w="0" w:type="dxa"/>
            </w:tcMar>
            <w:vAlign w:val="center"/>
          </w:tcPr>
          <w:p w14:paraId="5A76D75C" w14:textId="77777777" w:rsidR="003E1512" w:rsidRDefault="00975995">
            <w:pPr>
              <w:spacing w:before="40" w:after="40"/>
              <w:ind w:left="100" w:right="100"/>
              <w:jc w:val="right"/>
            </w:pPr>
            <w:r>
              <w:rPr>
                <w:rFonts w:eastAsia="Arial" w:cs="Arial"/>
                <w:color w:val="111111"/>
                <w:sz w:val="22"/>
                <w:szCs w:val="22"/>
              </w:rPr>
              <w:t>1809</w:t>
            </w:r>
          </w:p>
        </w:tc>
      </w:tr>
    </w:tbl>
    <w:p w14:paraId="14B8053F" w14:textId="77777777" w:rsidR="003E1512" w:rsidRDefault="00975995">
      <w:pPr>
        <w:pStyle w:val="TableCaption"/>
      </w:pPr>
      <w:r>
        <w:lastRenderedPageBreak/>
        <w:t>Groundwater buffer effect per mire and bioclimatic variable. The buffer effect was calculated as the difference between the value in the waterlogged and the dry sites.</w:t>
      </w:r>
    </w:p>
    <w:tbl>
      <w:tblPr>
        <w:tblW w:w="0" w:type="auto"/>
        <w:jc w:val="center"/>
        <w:tblLayout w:type="fixed"/>
        <w:tblLook w:val="04A0" w:firstRow="1" w:lastRow="0" w:firstColumn="1" w:lastColumn="0" w:noHBand="0" w:noVBand="1"/>
      </w:tblPr>
      <w:tblGrid>
        <w:gridCol w:w="1440"/>
        <w:gridCol w:w="1440"/>
        <w:gridCol w:w="1440"/>
        <w:gridCol w:w="1440"/>
        <w:gridCol w:w="1440"/>
      </w:tblGrid>
      <w:tr w:rsidR="003E1512" w14:paraId="3FEAE307" w14:textId="77777777">
        <w:trPr>
          <w:cantSplit/>
          <w:tblHeader/>
          <w:jc w:val="center"/>
        </w:trPr>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AE0F36" w14:textId="77777777" w:rsidR="003E1512" w:rsidRDefault="00975995">
            <w:pPr>
              <w:spacing w:before="40" w:after="40"/>
              <w:ind w:left="100" w:right="100"/>
              <w:jc w:val="left"/>
            </w:pPr>
            <w:r>
              <w:rPr>
                <w:rFonts w:eastAsia="Arial" w:cs="Arial"/>
                <w:color w:val="111111"/>
                <w:sz w:val="22"/>
                <w:szCs w:val="22"/>
              </w:rPr>
              <w:t>Site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A8A75D8" w14:textId="77777777" w:rsidR="003E1512" w:rsidRDefault="00975995">
            <w:pPr>
              <w:spacing w:before="40" w:after="40"/>
              <w:ind w:left="100" w:right="100"/>
              <w:jc w:val="right"/>
            </w:pPr>
            <w:r>
              <w:rPr>
                <w:rFonts w:eastAsia="Arial" w:cs="Arial"/>
                <w:color w:val="111111"/>
                <w:sz w:val="22"/>
                <w:szCs w:val="22"/>
              </w:rPr>
              <w:t>Annual range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CD7903F" w14:textId="77777777" w:rsidR="003E1512" w:rsidRDefault="00975995">
            <w:pPr>
              <w:spacing w:before="40" w:after="40"/>
              <w:ind w:left="100" w:right="100"/>
              <w:jc w:val="right"/>
            </w:pPr>
            <w:r>
              <w:rPr>
                <w:rFonts w:eastAsia="Arial" w:cs="Arial"/>
                <w:color w:val="111111"/>
                <w:sz w:val="22"/>
                <w:szCs w:val="22"/>
              </w:rPr>
              <w:t>Diurnal range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4C5A43F" w14:textId="77777777" w:rsidR="003E1512" w:rsidRDefault="00975995">
            <w:pPr>
              <w:spacing w:before="40" w:after="40"/>
              <w:ind w:left="100" w:right="100"/>
              <w:jc w:val="right"/>
            </w:pPr>
            <w:r>
              <w:rPr>
                <w:rFonts w:eastAsia="Arial" w:cs="Arial"/>
                <w:color w:val="111111"/>
                <w:sz w:val="22"/>
                <w:szCs w:val="22"/>
              </w:rPr>
              <w:t>Summer max</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D3AB2D2" w14:textId="77777777" w:rsidR="003E1512" w:rsidRDefault="00975995">
            <w:pPr>
              <w:spacing w:before="40" w:after="40"/>
              <w:ind w:left="100" w:right="100"/>
              <w:jc w:val="right"/>
            </w:pPr>
            <w:r>
              <w:rPr>
                <w:rFonts w:eastAsia="Arial" w:cs="Arial"/>
                <w:color w:val="111111"/>
                <w:sz w:val="22"/>
                <w:szCs w:val="22"/>
              </w:rPr>
              <w:t>Winter min</w:t>
            </w:r>
          </w:p>
        </w:tc>
      </w:tr>
      <w:tr w:rsidR="003E1512" w14:paraId="7DE46D9D" w14:textId="77777777">
        <w:trPr>
          <w:cantSplit/>
          <w:jc w:val="center"/>
        </w:trPr>
        <w:tc>
          <w:tcPr>
            <w:tcW w:w="1440" w:type="dxa"/>
            <w:shd w:val="clear" w:color="auto" w:fill="FFFFFF"/>
            <w:tcMar>
              <w:top w:w="0" w:type="dxa"/>
              <w:left w:w="0" w:type="dxa"/>
              <w:bottom w:w="0" w:type="dxa"/>
              <w:right w:w="0" w:type="dxa"/>
            </w:tcMar>
            <w:vAlign w:val="center"/>
          </w:tcPr>
          <w:p w14:paraId="31145AFC" w14:textId="77777777" w:rsidR="003E1512" w:rsidRDefault="00975995">
            <w:pPr>
              <w:spacing w:before="40" w:after="40"/>
              <w:ind w:left="100" w:right="100"/>
              <w:jc w:val="left"/>
            </w:pPr>
            <w:r>
              <w:rPr>
                <w:rFonts w:eastAsia="Arial" w:cs="Arial"/>
                <w:color w:val="111111"/>
                <w:sz w:val="22"/>
                <w:szCs w:val="22"/>
              </w:rPr>
              <w:t>El Molinucu</w:t>
            </w:r>
          </w:p>
        </w:tc>
        <w:tc>
          <w:tcPr>
            <w:tcW w:w="1440" w:type="dxa"/>
            <w:shd w:val="clear" w:color="auto" w:fill="FFFFFF"/>
            <w:tcMar>
              <w:top w:w="0" w:type="dxa"/>
              <w:left w:w="0" w:type="dxa"/>
              <w:bottom w:w="0" w:type="dxa"/>
              <w:right w:w="0" w:type="dxa"/>
            </w:tcMar>
            <w:vAlign w:val="center"/>
          </w:tcPr>
          <w:p w14:paraId="74F34E69" w14:textId="77777777" w:rsidR="003E1512" w:rsidRDefault="00975995">
            <w:pPr>
              <w:spacing w:before="40" w:after="40"/>
              <w:ind w:left="100" w:right="100"/>
              <w:jc w:val="right"/>
            </w:pPr>
            <w:r>
              <w:rPr>
                <w:rFonts w:eastAsia="Arial" w:cs="Arial"/>
                <w:color w:val="111111"/>
                <w:sz w:val="22"/>
                <w:szCs w:val="22"/>
              </w:rPr>
              <w:t>-7.80</w:t>
            </w:r>
          </w:p>
        </w:tc>
        <w:tc>
          <w:tcPr>
            <w:tcW w:w="1440" w:type="dxa"/>
            <w:shd w:val="clear" w:color="auto" w:fill="FFFFFF"/>
            <w:tcMar>
              <w:top w:w="0" w:type="dxa"/>
              <w:left w:w="0" w:type="dxa"/>
              <w:bottom w:w="0" w:type="dxa"/>
              <w:right w:w="0" w:type="dxa"/>
            </w:tcMar>
            <w:vAlign w:val="center"/>
          </w:tcPr>
          <w:p w14:paraId="3513FC52" w14:textId="77777777" w:rsidR="003E1512" w:rsidRDefault="00975995">
            <w:pPr>
              <w:spacing w:before="40" w:after="40"/>
              <w:ind w:left="100" w:right="100"/>
              <w:jc w:val="right"/>
            </w:pPr>
            <w:r>
              <w:rPr>
                <w:rFonts w:eastAsia="Arial" w:cs="Arial"/>
                <w:color w:val="111111"/>
                <w:sz w:val="22"/>
                <w:szCs w:val="22"/>
              </w:rPr>
              <w:t>-4.90</w:t>
            </w:r>
          </w:p>
        </w:tc>
        <w:tc>
          <w:tcPr>
            <w:tcW w:w="1440" w:type="dxa"/>
            <w:shd w:val="clear" w:color="auto" w:fill="FFFFFF"/>
            <w:tcMar>
              <w:top w:w="0" w:type="dxa"/>
              <w:left w:w="0" w:type="dxa"/>
              <w:bottom w:w="0" w:type="dxa"/>
              <w:right w:w="0" w:type="dxa"/>
            </w:tcMar>
            <w:vAlign w:val="center"/>
          </w:tcPr>
          <w:p w14:paraId="5AC39819" w14:textId="77777777" w:rsidR="003E1512" w:rsidRDefault="00975995">
            <w:pPr>
              <w:spacing w:before="40" w:after="40"/>
              <w:ind w:left="100" w:right="100"/>
              <w:jc w:val="right"/>
            </w:pPr>
            <w:r>
              <w:rPr>
                <w:rFonts w:eastAsia="Arial" w:cs="Arial"/>
                <w:color w:val="111111"/>
                <w:sz w:val="22"/>
                <w:szCs w:val="22"/>
              </w:rPr>
              <w:t>-6.59</w:t>
            </w:r>
          </w:p>
        </w:tc>
        <w:tc>
          <w:tcPr>
            <w:tcW w:w="1440" w:type="dxa"/>
            <w:shd w:val="clear" w:color="auto" w:fill="FFFFFF"/>
            <w:tcMar>
              <w:top w:w="0" w:type="dxa"/>
              <w:left w:w="0" w:type="dxa"/>
              <w:bottom w:w="0" w:type="dxa"/>
              <w:right w:w="0" w:type="dxa"/>
            </w:tcMar>
            <w:vAlign w:val="center"/>
          </w:tcPr>
          <w:p w14:paraId="1CAEEDC5" w14:textId="77777777" w:rsidR="003E1512" w:rsidRDefault="00975995">
            <w:pPr>
              <w:spacing w:before="40" w:after="40"/>
              <w:ind w:left="100" w:right="100"/>
              <w:jc w:val="right"/>
            </w:pPr>
            <w:r>
              <w:rPr>
                <w:rFonts w:eastAsia="Arial" w:cs="Arial"/>
                <w:color w:val="111111"/>
                <w:sz w:val="22"/>
                <w:szCs w:val="22"/>
              </w:rPr>
              <w:t>1.21</w:t>
            </w:r>
          </w:p>
        </w:tc>
      </w:tr>
      <w:tr w:rsidR="003E1512" w14:paraId="5894E2E6" w14:textId="77777777">
        <w:trPr>
          <w:cantSplit/>
          <w:jc w:val="center"/>
        </w:trPr>
        <w:tc>
          <w:tcPr>
            <w:tcW w:w="1440" w:type="dxa"/>
            <w:shd w:val="clear" w:color="auto" w:fill="FFFFFF"/>
            <w:tcMar>
              <w:top w:w="0" w:type="dxa"/>
              <w:left w:w="0" w:type="dxa"/>
              <w:bottom w:w="0" w:type="dxa"/>
              <w:right w:w="0" w:type="dxa"/>
            </w:tcMar>
            <w:vAlign w:val="center"/>
          </w:tcPr>
          <w:p w14:paraId="3F4E1214" w14:textId="77777777" w:rsidR="003E1512" w:rsidRDefault="00975995">
            <w:pPr>
              <w:spacing w:before="40" w:after="40"/>
              <w:ind w:left="100" w:right="100"/>
              <w:jc w:val="left"/>
            </w:pPr>
            <w:r>
              <w:rPr>
                <w:rFonts w:eastAsia="Arial" w:cs="Arial"/>
                <w:color w:val="111111"/>
                <w:sz w:val="22"/>
                <w:szCs w:val="22"/>
              </w:rPr>
              <w:t>El Riotuertu</w:t>
            </w:r>
          </w:p>
        </w:tc>
        <w:tc>
          <w:tcPr>
            <w:tcW w:w="1440" w:type="dxa"/>
            <w:shd w:val="clear" w:color="auto" w:fill="FFFFFF"/>
            <w:tcMar>
              <w:top w:w="0" w:type="dxa"/>
              <w:left w:w="0" w:type="dxa"/>
              <w:bottom w:w="0" w:type="dxa"/>
              <w:right w:w="0" w:type="dxa"/>
            </w:tcMar>
            <w:vAlign w:val="center"/>
          </w:tcPr>
          <w:p w14:paraId="31184E6D" w14:textId="77777777" w:rsidR="003E1512" w:rsidRDefault="00975995">
            <w:pPr>
              <w:spacing w:before="40" w:after="40"/>
              <w:ind w:left="100" w:right="100"/>
              <w:jc w:val="right"/>
            </w:pPr>
            <w:r>
              <w:rPr>
                <w:rFonts w:eastAsia="Arial" w:cs="Arial"/>
                <w:color w:val="111111"/>
                <w:sz w:val="22"/>
                <w:szCs w:val="22"/>
              </w:rPr>
              <w:t>-3.62</w:t>
            </w:r>
          </w:p>
        </w:tc>
        <w:tc>
          <w:tcPr>
            <w:tcW w:w="1440" w:type="dxa"/>
            <w:shd w:val="clear" w:color="auto" w:fill="FFFFFF"/>
            <w:tcMar>
              <w:top w:w="0" w:type="dxa"/>
              <w:left w:w="0" w:type="dxa"/>
              <w:bottom w:w="0" w:type="dxa"/>
              <w:right w:w="0" w:type="dxa"/>
            </w:tcMar>
            <w:vAlign w:val="center"/>
          </w:tcPr>
          <w:p w14:paraId="0C85782E" w14:textId="77777777" w:rsidR="003E1512" w:rsidRDefault="00975995">
            <w:pPr>
              <w:spacing w:before="40" w:after="40"/>
              <w:ind w:left="100" w:right="100"/>
              <w:jc w:val="right"/>
            </w:pPr>
            <w:r>
              <w:rPr>
                <w:rFonts w:eastAsia="Arial" w:cs="Arial"/>
                <w:color w:val="111111"/>
                <w:sz w:val="22"/>
                <w:szCs w:val="22"/>
              </w:rPr>
              <w:t>1.12</w:t>
            </w:r>
          </w:p>
        </w:tc>
        <w:tc>
          <w:tcPr>
            <w:tcW w:w="1440" w:type="dxa"/>
            <w:shd w:val="clear" w:color="auto" w:fill="FFFFFF"/>
            <w:tcMar>
              <w:top w:w="0" w:type="dxa"/>
              <w:left w:w="0" w:type="dxa"/>
              <w:bottom w:w="0" w:type="dxa"/>
              <w:right w:w="0" w:type="dxa"/>
            </w:tcMar>
            <w:vAlign w:val="center"/>
          </w:tcPr>
          <w:p w14:paraId="7760223F" w14:textId="77777777" w:rsidR="003E1512" w:rsidRDefault="00975995">
            <w:pPr>
              <w:spacing w:before="40" w:after="40"/>
              <w:ind w:left="100" w:right="100"/>
              <w:jc w:val="right"/>
            </w:pPr>
            <w:r>
              <w:rPr>
                <w:rFonts w:eastAsia="Arial" w:cs="Arial"/>
                <w:color w:val="111111"/>
                <w:sz w:val="22"/>
                <w:szCs w:val="22"/>
              </w:rPr>
              <w:t>-2.28</w:t>
            </w:r>
          </w:p>
        </w:tc>
        <w:tc>
          <w:tcPr>
            <w:tcW w:w="1440" w:type="dxa"/>
            <w:shd w:val="clear" w:color="auto" w:fill="FFFFFF"/>
            <w:tcMar>
              <w:top w:w="0" w:type="dxa"/>
              <w:left w:w="0" w:type="dxa"/>
              <w:bottom w:w="0" w:type="dxa"/>
              <w:right w:w="0" w:type="dxa"/>
            </w:tcMar>
            <w:vAlign w:val="center"/>
          </w:tcPr>
          <w:p w14:paraId="3E0ECB2A" w14:textId="77777777" w:rsidR="003E1512" w:rsidRDefault="00975995">
            <w:pPr>
              <w:spacing w:before="40" w:after="40"/>
              <w:ind w:left="100" w:right="100"/>
              <w:jc w:val="right"/>
            </w:pPr>
            <w:r>
              <w:rPr>
                <w:rFonts w:eastAsia="Arial" w:cs="Arial"/>
                <w:color w:val="111111"/>
                <w:sz w:val="22"/>
                <w:szCs w:val="22"/>
              </w:rPr>
              <w:t>1.34</w:t>
            </w:r>
          </w:p>
        </w:tc>
      </w:tr>
      <w:tr w:rsidR="003E1512" w14:paraId="07629C38" w14:textId="77777777">
        <w:trPr>
          <w:cantSplit/>
          <w:jc w:val="center"/>
        </w:trPr>
        <w:tc>
          <w:tcPr>
            <w:tcW w:w="1440" w:type="dxa"/>
            <w:shd w:val="clear" w:color="auto" w:fill="FFFFFF"/>
            <w:tcMar>
              <w:top w:w="0" w:type="dxa"/>
              <w:left w:w="0" w:type="dxa"/>
              <w:bottom w:w="0" w:type="dxa"/>
              <w:right w:w="0" w:type="dxa"/>
            </w:tcMar>
            <w:vAlign w:val="center"/>
          </w:tcPr>
          <w:p w14:paraId="62D166D2" w14:textId="77777777" w:rsidR="003E1512" w:rsidRDefault="00975995">
            <w:pPr>
              <w:spacing w:before="40" w:after="40"/>
              <w:ind w:left="100" w:right="100"/>
              <w:jc w:val="left"/>
            </w:pPr>
            <w:r>
              <w:rPr>
                <w:rFonts w:eastAsia="Arial" w:cs="Arial"/>
                <w:color w:val="111111"/>
                <w:sz w:val="22"/>
                <w:szCs w:val="22"/>
              </w:rPr>
              <w:t>La Bruxa</w:t>
            </w:r>
          </w:p>
        </w:tc>
        <w:tc>
          <w:tcPr>
            <w:tcW w:w="1440" w:type="dxa"/>
            <w:shd w:val="clear" w:color="auto" w:fill="FFFFFF"/>
            <w:tcMar>
              <w:top w:w="0" w:type="dxa"/>
              <w:left w:w="0" w:type="dxa"/>
              <w:bottom w:w="0" w:type="dxa"/>
              <w:right w:w="0" w:type="dxa"/>
            </w:tcMar>
            <w:vAlign w:val="center"/>
          </w:tcPr>
          <w:p w14:paraId="16627B41" w14:textId="77777777" w:rsidR="003E1512" w:rsidRDefault="00975995">
            <w:pPr>
              <w:spacing w:before="40" w:after="40"/>
              <w:ind w:left="100" w:right="100"/>
              <w:jc w:val="right"/>
            </w:pPr>
            <w:r>
              <w:rPr>
                <w:rFonts w:eastAsia="Arial" w:cs="Arial"/>
                <w:color w:val="111111"/>
                <w:sz w:val="22"/>
                <w:szCs w:val="22"/>
              </w:rPr>
              <w:t>-1.09</w:t>
            </w:r>
          </w:p>
        </w:tc>
        <w:tc>
          <w:tcPr>
            <w:tcW w:w="1440" w:type="dxa"/>
            <w:shd w:val="clear" w:color="auto" w:fill="FFFFFF"/>
            <w:tcMar>
              <w:top w:w="0" w:type="dxa"/>
              <w:left w:w="0" w:type="dxa"/>
              <w:bottom w:w="0" w:type="dxa"/>
              <w:right w:w="0" w:type="dxa"/>
            </w:tcMar>
            <w:vAlign w:val="center"/>
          </w:tcPr>
          <w:p w14:paraId="5B1F34D8" w14:textId="77777777" w:rsidR="003E1512" w:rsidRDefault="00975995">
            <w:pPr>
              <w:spacing w:before="40" w:after="40"/>
              <w:ind w:left="100" w:right="100"/>
              <w:jc w:val="right"/>
            </w:pPr>
            <w:r>
              <w:rPr>
                <w:rFonts w:eastAsia="Arial" w:cs="Arial"/>
                <w:color w:val="111111"/>
                <w:sz w:val="22"/>
                <w:szCs w:val="22"/>
              </w:rPr>
              <w:t>-0.88</w:t>
            </w:r>
          </w:p>
        </w:tc>
        <w:tc>
          <w:tcPr>
            <w:tcW w:w="1440" w:type="dxa"/>
            <w:shd w:val="clear" w:color="auto" w:fill="FFFFFF"/>
            <w:tcMar>
              <w:top w:w="0" w:type="dxa"/>
              <w:left w:w="0" w:type="dxa"/>
              <w:bottom w:w="0" w:type="dxa"/>
              <w:right w:w="0" w:type="dxa"/>
            </w:tcMar>
            <w:vAlign w:val="center"/>
          </w:tcPr>
          <w:p w14:paraId="573B2034" w14:textId="77777777" w:rsidR="003E1512" w:rsidRDefault="00975995">
            <w:pPr>
              <w:spacing w:before="40" w:after="40"/>
              <w:ind w:left="100" w:right="100"/>
              <w:jc w:val="right"/>
            </w:pPr>
            <w:r>
              <w:rPr>
                <w:rFonts w:eastAsia="Arial" w:cs="Arial"/>
                <w:color w:val="111111"/>
                <w:sz w:val="22"/>
                <w:szCs w:val="22"/>
              </w:rPr>
              <w:t>0.99</w:t>
            </w:r>
          </w:p>
        </w:tc>
        <w:tc>
          <w:tcPr>
            <w:tcW w:w="1440" w:type="dxa"/>
            <w:shd w:val="clear" w:color="auto" w:fill="FFFFFF"/>
            <w:tcMar>
              <w:top w:w="0" w:type="dxa"/>
              <w:left w:w="0" w:type="dxa"/>
              <w:bottom w:w="0" w:type="dxa"/>
              <w:right w:w="0" w:type="dxa"/>
            </w:tcMar>
            <w:vAlign w:val="center"/>
          </w:tcPr>
          <w:p w14:paraId="124F4DA6" w14:textId="77777777" w:rsidR="003E1512" w:rsidRDefault="00975995">
            <w:pPr>
              <w:spacing w:before="40" w:after="40"/>
              <w:ind w:left="100" w:right="100"/>
              <w:jc w:val="right"/>
            </w:pPr>
            <w:r>
              <w:rPr>
                <w:rFonts w:eastAsia="Arial" w:cs="Arial"/>
                <w:color w:val="111111"/>
                <w:sz w:val="22"/>
                <w:szCs w:val="22"/>
              </w:rPr>
              <w:t>2.08</w:t>
            </w:r>
          </w:p>
        </w:tc>
      </w:tr>
      <w:tr w:rsidR="003E1512" w14:paraId="08BC37CD" w14:textId="77777777">
        <w:trPr>
          <w:cantSplit/>
          <w:jc w:val="center"/>
        </w:trPr>
        <w:tc>
          <w:tcPr>
            <w:tcW w:w="1440" w:type="dxa"/>
            <w:shd w:val="clear" w:color="auto" w:fill="FFFFFF"/>
            <w:tcMar>
              <w:top w:w="0" w:type="dxa"/>
              <w:left w:w="0" w:type="dxa"/>
              <w:bottom w:w="0" w:type="dxa"/>
              <w:right w:w="0" w:type="dxa"/>
            </w:tcMar>
            <w:vAlign w:val="center"/>
          </w:tcPr>
          <w:p w14:paraId="6D0FCBAF" w14:textId="77777777" w:rsidR="003E1512" w:rsidRDefault="00975995">
            <w:pPr>
              <w:spacing w:before="40" w:after="40"/>
              <w:ind w:left="100" w:right="100"/>
              <w:jc w:val="left"/>
            </w:pPr>
            <w:r>
              <w:rPr>
                <w:rFonts w:eastAsia="Arial" w:cs="Arial"/>
                <w:color w:val="111111"/>
                <w:sz w:val="22"/>
                <w:szCs w:val="22"/>
              </w:rPr>
              <w:t>La Malva</w:t>
            </w:r>
          </w:p>
        </w:tc>
        <w:tc>
          <w:tcPr>
            <w:tcW w:w="1440" w:type="dxa"/>
            <w:shd w:val="clear" w:color="auto" w:fill="FFFFFF"/>
            <w:tcMar>
              <w:top w:w="0" w:type="dxa"/>
              <w:left w:w="0" w:type="dxa"/>
              <w:bottom w:w="0" w:type="dxa"/>
              <w:right w:w="0" w:type="dxa"/>
            </w:tcMar>
            <w:vAlign w:val="center"/>
          </w:tcPr>
          <w:p w14:paraId="1205F363" w14:textId="77777777" w:rsidR="003E1512" w:rsidRDefault="00975995">
            <w:pPr>
              <w:spacing w:before="40" w:after="40"/>
              <w:ind w:left="100" w:right="100"/>
              <w:jc w:val="right"/>
            </w:pPr>
            <w:r>
              <w:rPr>
                <w:rFonts w:eastAsia="Arial" w:cs="Arial"/>
                <w:color w:val="111111"/>
                <w:sz w:val="22"/>
                <w:szCs w:val="22"/>
              </w:rPr>
              <w:t>-10.81</w:t>
            </w:r>
          </w:p>
        </w:tc>
        <w:tc>
          <w:tcPr>
            <w:tcW w:w="1440" w:type="dxa"/>
            <w:shd w:val="clear" w:color="auto" w:fill="FFFFFF"/>
            <w:tcMar>
              <w:top w:w="0" w:type="dxa"/>
              <w:left w:w="0" w:type="dxa"/>
              <w:bottom w:w="0" w:type="dxa"/>
              <w:right w:w="0" w:type="dxa"/>
            </w:tcMar>
            <w:vAlign w:val="center"/>
          </w:tcPr>
          <w:p w14:paraId="0956C55B" w14:textId="77777777" w:rsidR="003E1512" w:rsidRDefault="00975995">
            <w:pPr>
              <w:spacing w:before="40" w:after="40"/>
              <w:ind w:left="100" w:right="100"/>
              <w:jc w:val="right"/>
            </w:pPr>
            <w:r>
              <w:rPr>
                <w:rFonts w:eastAsia="Arial" w:cs="Arial"/>
                <w:color w:val="111111"/>
                <w:sz w:val="22"/>
                <w:szCs w:val="22"/>
              </w:rPr>
              <w:t>-5.14</w:t>
            </w:r>
          </w:p>
        </w:tc>
        <w:tc>
          <w:tcPr>
            <w:tcW w:w="1440" w:type="dxa"/>
            <w:shd w:val="clear" w:color="auto" w:fill="FFFFFF"/>
            <w:tcMar>
              <w:top w:w="0" w:type="dxa"/>
              <w:left w:w="0" w:type="dxa"/>
              <w:bottom w:w="0" w:type="dxa"/>
              <w:right w:w="0" w:type="dxa"/>
            </w:tcMar>
            <w:vAlign w:val="center"/>
          </w:tcPr>
          <w:p w14:paraId="60DDE3DC" w14:textId="77777777" w:rsidR="003E1512" w:rsidRDefault="00975995">
            <w:pPr>
              <w:spacing w:before="40" w:after="40"/>
              <w:ind w:left="100" w:right="100"/>
              <w:jc w:val="right"/>
            </w:pPr>
            <w:r>
              <w:rPr>
                <w:rFonts w:eastAsia="Arial" w:cs="Arial"/>
                <w:color w:val="111111"/>
                <w:sz w:val="22"/>
                <w:szCs w:val="22"/>
              </w:rPr>
              <w:t>-10.25</w:t>
            </w:r>
          </w:p>
        </w:tc>
        <w:tc>
          <w:tcPr>
            <w:tcW w:w="1440" w:type="dxa"/>
            <w:shd w:val="clear" w:color="auto" w:fill="FFFFFF"/>
            <w:tcMar>
              <w:top w:w="0" w:type="dxa"/>
              <w:left w:w="0" w:type="dxa"/>
              <w:bottom w:w="0" w:type="dxa"/>
              <w:right w:w="0" w:type="dxa"/>
            </w:tcMar>
            <w:vAlign w:val="center"/>
          </w:tcPr>
          <w:p w14:paraId="3B7B6AC7" w14:textId="77777777" w:rsidR="003E1512" w:rsidRDefault="00975995">
            <w:pPr>
              <w:spacing w:before="40" w:after="40"/>
              <w:ind w:left="100" w:right="100"/>
              <w:jc w:val="right"/>
            </w:pPr>
            <w:r>
              <w:rPr>
                <w:rFonts w:eastAsia="Arial" w:cs="Arial"/>
                <w:color w:val="111111"/>
                <w:sz w:val="22"/>
                <w:szCs w:val="22"/>
              </w:rPr>
              <w:t>0.56</w:t>
            </w:r>
          </w:p>
        </w:tc>
      </w:tr>
      <w:tr w:rsidR="003E1512" w14:paraId="00CDFD7F" w14:textId="77777777">
        <w:trPr>
          <w:cantSplit/>
          <w:jc w:val="center"/>
        </w:trPr>
        <w:tc>
          <w:tcPr>
            <w:tcW w:w="1440" w:type="dxa"/>
            <w:shd w:val="clear" w:color="auto" w:fill="FFFFFF"/>
            <w:tcMar>
              <w:top w:w="0" w:type="dxa"/>
              <w:left w:w="0" w:type="dxa"/>
              <w:bottom w:w="0" w:type="dxa"/>
              <w:right w:w="0" w:type="dxa"/>
            </w:tcMar>
            <w:vAlign w:val="center"/>
          </w:tcPr>
          <w:p w14:paraId="37B56F57" w14:textId="77777777" w:rsidR="003E1512" w:rsidRDefault="00975995">
            <w:pPr>
              <w:spacing w:before="40" w:after="40"/>
              <w:ind w:left="100" w:right="100"/>
              <w:jc w:val="left"/>
            </w:pPr>
            <w:r>
              <w:rPr>
                <w:rFonts w:eastAsia="Arial" w:cs="Arial"/>
                <w:color w:val="111111"/>
                <w:sz w:val="22"/>
                <w:szCs w:val="22"/>
              </w:rPr>
              <w:t>La Recoleta</w:t>
            </w:r>
          </w:p>
        </w:tc>
        <w:tc>
          <w:tcPr>
            <w:tcW w:w="1440" w:type="dxa"/>
            <w:shd w:val="clear" w:color="auto" w:fill="FFFFFF"/>
            <w:tcMar>
              <w:top w:w="0" w:type="dxa"/>
              <w:left w:w="0" w:type="dxa"/>
              <w:bottom w:w="0" w:type="dxa"/>
              <w:right w:w="0" w:type="dxa"/>
            </w:tcMar>
            <w:vAlign w:val="center"/>
          </w:tcPr>
          <w:p w14:paraId="467D3B77" w14:textId="77777777" w:rsidR="003E1512" w:rsidRDefault="00975995">
            <w:pPr>
              <w:spacing w:before="40" w:after="40"/>
              <w:ind w:left="100" w:right="100"/>
              <w:jc w:val="right"/>
            </w:pPr>
            <w:r>
              <w:rPr>
                <w:rFonts w:eastAsia="Arial" w:cs="Arial"/>
                <w:color w:val="111111"/>
                <w:sz w:val="22"/>
                <w:szCs w:val="22"/>
              </w:rPr>
              <w:t>-8.81</w:t>
            </w:r>
          </w:p>
        </w:tc>
        <w:tc>
          <w:tcPr>
            <w:tcW w:w="1440" w:type="dxa"/>
            <w:shd w:val="clear" w:color="auto" w:fill="FFFFFF"/>
            <w:tcMar>
              <w:top w:w="0" w:type="dxa"/>
              <w:left w:w="0" w:type="dxa"/>
              <w:bottom w:w="0" w:type="dxa"/>
              <w:right w:w="0" w:type="dxa"/>
            </w:tcMar>
            <w:vAlign w:val="center"/>
          </w:tcPr>
          <w:p w14:paraId="4D5F1C6C" w14:textId="77777777" w:rsidR="003E1512" w:rsidRDefault="00975995">
            <w:pPr>
              <w:spacing w:before="40" w:after="40"/>
              <w:ind w:left="100" w:right="100"/>
              <w:jc w:val="right"/>
            </w:pPr>
            <w:r>
              <w:rPr>
                <w:rFonts w:eastAsia="Arial" w:cs="Arial"/>
                <w:color w:val="111111"/>
                <w:sz w:val="22"/>
                <w:szCs w:val="22"/>
              </w:rPr>
              <w:t>-2.62</w:t>
            </w:r>
          </w:p>
        </w:tc>
        <w:tc>
          <w:tcPr>
            <w:tcW w:w="1440" w:type="dxa"/>
            <w:shd w:val="clear" w:color="auto" w:fill="FFFFFF"/>
            <w:tcMar>
              <w:top w:w="0" w:type="dxa"/>
              <w:left w:w="0" w:type="dxa"/>
              <w:bottom w:w="0" w:type="dxa"/>
              <w:right w:w="0" w:type="dxa"/>
            </w:tcMar>
            <w:vAlign w:val="center"/>
          </w:tcPr>
          <w:p w14:paraId="54D22D0E" w14:textId="77777777" w:rsidR="003E1512" w:rsidRDefault="00975995">
            <w:pPr>
              <w:spacing w:before="40" w:after="40"/>
              <w:ind w:left="100" w:right="100"/>
              <w:jc w:val="right"/>
            </w:pPr>
            <w:r>
              <w:rPr>
                <w:rFonts w:eastAsia="Arial" w:cs="Arial"/>
                <w:color w:val="111111"/>
                <w:sz w:val="22"/>
                <w:szCs w:val="22"/>
              </w:rPr>
              <w:t>-8.85</w:t>
            </w:r>
          </w:p>
        </w:tc>
        <w:tc>
          <w:tcPr>
            <w:tcW w:w="1440" w:type="dxa"/>
            <w:shd w:val="clear" w:color="auto" w:fill="FFFFFF"/>
            <w:tcMar>
              <w:top w:w="0" w:type="dxa"/>
              <w:left w:w="0" w:type="dxa"/>
              <w:bottom w:w="0" w:type="dxa"/>
              <w:right w:w="0" w:type="dxa"/>
            </w:tcMar>
            <w:vAlign w:val="center"/>
          </w:tcPr>
          <w:p w14:paraId="1E17596A" w14:textId="77777777" w:rsidR="003E1512" w:rsidRDefault="00975995">
            <w:pPr>
              <w:spacing w:before="40" w:after="40"/>
              <w:ind w:left="100" w:right="100"/>
              <w:jc w:val="right"/>
            </w:pPr>
            <w:r>
              <w:rPr>
                <w:rFonts w:eastAsia="Arial" w:cs="Arial"/>
                <w:color w:val="111111"/>
                <w:sz w:val="22"/>
                <w:szCs w:val="22"/>
              </w:rPr>
              <w:t>-0.04</w:t>
            </w:r>
          </w:p>
        </w:tc>
      </w:tr>
      <w:tr w:rsidR="003E1512" w14:paraId="30B5603C" w14:textId="77777777">
        <w:trPr>
          <w:cantSplit/>
          <w:jc w:val="center"/>
        </w:trPr>
        <w:tc>
          <w:tcPr>
            <w:tcW w:w="1440" w:type="dxa"/>
            <w:shd w:val="clear" w:color="auto" w:fill="FFFFFF"/>
            <w:tcMar>
              <w:top w:w="0" w:type="dxa"/>
              <w:left w:w="0" w:type="dxa"/>
              <w:bottom w:w="0" w:type="dxa"/>
              <w:right w:w="0" w:type="dxa"/>
            </w:tcMar>
            <w:vAlign w:val="center"/>
          </w:tcPr>
          <w:p w14:paraId="79829746" w14:textId="77777777" w:rsidR="003E1512" w:rsidRDefault="00975995">
            <w:pPr>
              <w:spacing w:before="40" w:after="40"/>
              <w:ind w:left="100" w:right="100"/>
              <w:jc w:val="left"/>
            </w:pPr>
            <w:r>
              <w:rPr>
                <w:rFonts w:eastAsia="Arial" w:cs="Arial"/>
                <w:color w:val="111111"/>
                <w:sz w:val="22"/>
                <w:szCs w:val="22"/>
              </w:rPr>
              <w:t>La Vega Comeya</w:t>
            </w:r>
          </w:p>
        </w:tc>
        <w:tc>
          <w:tcPr>
            <w:tcW w:w="1440" w:type="dxa"/>
            <w:shd w:val="clear" w:color="auto" w:fill="FFFFFF"/>
            <w:tcMar>
              <w:top w:w="0" w:type="dxa"/>
              <w:left w:w="0" w:type="dxa"/>
              <w:bottom w:w="0" w:type="dxa"/>
              <w:right w:w="0" w:type="dxa"/>
            </w:tcMar>
            <w:vAlign w:val="center"/>
          </w:tcPr>
          <w:p w14:paraId="21F243BB" w14:textId="77777777" w:rsidR="003E1512" w:rsidRDefault="00975995">
            <w:pPr>
              <w:spacing w:before="40" w:after="40"/>
              <w:ind w:left="100" w:right="100"/>
              <w:jc w:val="right"/>
            </w:pPr>
            <w:r>
              <w:rPr>
                <w:rFonts w:eastAsia="Arial" w:cs="Arial"/>
                <w:color w:val="111111"/>
                <w:sz w:val="22"/>
                <w:szCs w:val="22"/>
              </w:rPr>
              <w:t>-3.63</w:t>
            </w:r>
          </w:p>
        </w:tc>
        <w:tc>
          <w:tcPr>
            <w:tcW w:w="1440" w:type="dxa"/>
            <w:shd w:val="clear" w:color="auto" w:fill="FFFFFF"/>
            <w:tcMar>
              <w:top w:w="0" w:type="dxa"/>
              <w:left w:w="0" w:type="dxa"/>
              <w:bottom w:w="0" w:type="dxa"/>
              <w:right w:w="0" w:type="dxa"/>
            </w:tcMar>
            <w:vAlign w:val="center"/>
          </w:tcPr>
          <w:p w14:paraId="661D2024" w14:textId="77777777" w:rsidR="003E1512" w:rsidRDefault="00975995">
            <w:pPr>
              <w:spacing w:before="40" w:after="40"/>
              <w:ind w:left="100" w:right="100"/>
              <w:jc w:val="right"/>
            </w:pPr>
            <w:r>
              <w:rPr>
                <w:rFonts w:eastAsia="Arial" w:cs="Arial"/>
                <w:color w:val="111111"/>
                <w:sz w:val="22"/>
                <w:szCs w:val="22"/>
              </w:rPr>
              <w:t>-2.99</w:t>
            </w:r>
          </w:p>
        </w:tc>
        <w:tc>
          <w:tcPr>
            <w:tcW w:w="1440" w:type="dxa"/>
            <w:shd w:val="clear" w:color="auto" w:fill="FFFFFF"/>
            <w:tcMar>
              <w:top w:w="0" w:type="dxa"/>
              <w:left w:w="0" w:type="dxa"/>
              <w:bottom w:w="0" w:type="dxa"/>
              <w:right w:w="0" w:type="dxa"/>
            </w:tcMar>
            <w:vAlign w:val="center"/>
          </w:tcPr>
          <w:p w14:paraId="066702A9" w14:textId="77777777" w:rsidR="003E1512" w:rsidRDefault="00975995">
            <w:pPr>
              <w:spacing w:before="40" w:after="40"/>
              <w:ind w:left="100" w:right="100"/>
              <w:jc w:val="right"/>
            </w:pPr>
            <w:r>
              <w:rPr>
                <w:rFonts w:eastAsia="Arial" w:cs="Arial"/>
                <w:color w:val="111111"/>
                <w:sz w:val="22"/>
                <w:szCs w:val="22"/>
              </w:rPr>
              <w:t>-3.51</w:t>
            </w:r>
          </w:p>
        </w:tc>
        <w:tc>
          <w:tcPr>
            <w:tcW w:w="1440" w:type="dxa"/>
            <w:shd w:val="clear" w:color="auto" w:fill="FFFFFF"/>
            <w:tcMar>
              <w:top w:w="0" w:type="dxa"/>
              <w:left w:w="0" w:type="dxa"/>
              <w:bottom w:w="0" w:type="dxa"/>
              <w:right w:w="0" w:type="dxa"/>
            </w:tcMar>
            <w:vAlign w:val="center"/>
          </w:tcPr>
          <w:p w14:paraId="38DDD15B" w14:textId="77777777" w:rsidR="003E1512" w:rsidRDefault="00975995">
            <w:pPr>
              <w:spacing w:before="40" w:after="40"/>
              <w:ind w:left="100" w:right="100"/>
              <w:jc w:val="right"/>
            </w:pPr>
            <w:r>
              <w:rPr>
                <w:rFonts w:eastAsia="Arial" w:cs="Arial"/>
                <w:color w:val="111111"/>
                <w:sz w:val="22"/>
                <w:szCs w:val="22"/>
              </w:rPr>
              <w:t>0.12</w:t>
            </w:r>
          </w:p>
        </w:tc>
      </w:tr>
      <w:tr w:rsidR="003E1512" w14:paraId="08E7B58C" w14:textId="77777777">
        <w:trPr>
          <w:cantSplit/>
          <w:jc w:val="center"/>
        </w:trPr>
        <w:tc>
          <w:tcPr>
            <w:tcW w:w="1440" w:type="dxa"/>
            <w:shd w:val="clear" w:color="auto" w:fill="FFFFFF"/>
            <w:tcMar>
              <w:top w:w="0" w:type="dxa"/>
              <w:left w:w="0" w:type="dxa"/>
              <w:bottom w:w="0" w:type="dxa"/>
              <w:right w:w="0" w:type="dxa"/>
            </w:tcMar>
            <w:vAlign w:val="center"/>
          </w:tcPr>
          <w:p w14:paraId="39399EE9" w14:textId="77777777" w:rsidR="003E1512" w:rsidRDefault="00975995">
            <w:pPr>
              <w:spacing w:before="40" w:after="40"/>
              <w:ind w:left="100" w:right="100"/>
              <w:jc w:val="left"/>
            </w:pPr>
            <w:r>
              <w:rPr>
                <w:rFonts w:eastAsia="Arial" w:cs="Arial"/>
                <w:color w:val="111111"/>
                <w:sz w:val="22"/>
                <w:szCs w:val="22"/>
              </w:rPr>
              <w:t>La Vega Lliordes</w:t>
            </w:r>
          </w:p>
        </w:tc>
        <w:tc>
          <w:tcPr>
            <w:tcW w:w="1440" w:type="dxa"/>
            <w:shd w:val="clear" w:color="auto" w:fill="FFFFFF"/>
            <w:tcMar>
              <w:top w:w="0" w:type="dxa"/>
              <w:left w:w="0" w:type="dxa"/>
              <w:bottom w:w="0" w:type="dxa"/>
              <w:right w:w="0" w:type="dxa"/>
            </w:tcMar>
            <w:vAlign w:val="center"/>
          </w:tcPr>
          <w:p w14:paraId="72922490" w14:textId="77777777" w:rsidR="003E1512" w:rsidRDefault="00975995">
            <w:pPr>
              <w:spacing w:before="40" w:after="40"/>
              <w:ind w:left="100" w:right="100"/>
              <w:jc w:val="right"/>
            </w:pPr>
            <w:r>
              <w:rPr>
                <w:rFonts w:eastAsia="Arial" w:cs="Arial"/>
                <w:color w:val="111111"/>
                <w:sz w:val="22"/>
                <w:szCs w:val="22"/>
              </w:rPr>
              <w:t>-1.26</w:t>
            </w:r>
          </w:p>
        </w:tc>
        <w:tc>
          <w:tcPr>
            <w:tcW w:w="1440" w:type="dxa"/>
            <w:shd w:val="clear" w:color="auto" w:fill="FFFFFF"/>
            <w:tcMar>
              <w:top w:w="0" w:type="dxa"/>
              <w:left w:w="0" w:type="dxa"/>
              <w:bottom w:w="0" w:type="dxa"/>
              <w:right w:w="0" w:type="dxa"/>
            </w:tcMar>
            <w:vAlign w:val="center"/>
          </w:tcPr>
          <w:p w14:paraId="6B9192EF" w14:textId="77777777" w:rsidR="003E1512" w:rsidRDefault="00975995">
            <w:pPr>
              <w:spacing w:before="40" w:after="40"/>
              <w:ind w:left="100" w:right="100"/>
              <w:jc w:val="right"/>
            </w:pPr>
            <w:r>
              <w:rPr>
                <w:rFonts w:eastAsia="Arial" w:cs="Arial"/>
                <w:color w:val="111111"/>
                <w:sz w:val="22"/>
                <w:szCs w:val="22"/>
              </w:rPr>
              <w:t>-0.71</w:t>
            </w:r>
          </w:p>
        </w:tc>
        <w:tc>
          <w:tcPr>
            <w:tcW w:w="1440" w:type="dxa"/>
            <w:shd w:val="clear" w:color="auto" w:fill="FFFFFF"/>
            <w:tcMar>
              <w:top w:w="0" w:type="dxa"/>
              <w:left w:w="0" w:type="dxa"/>
              <w:bottom w:w="0" w:type="dxa"/>
              <w:right w:w="0" w:type="dxa"/>
            </w:tcMar>
            <w:vAlign w:val="center"/>
          </w:tcPr>
          <w:p w14:paraId="4ABEC6F2" w14:textId="77777777" w:rsidR="003E1512" w:rsidRDefault="00975995">
            <w:pPr>
              <w:spacing w:before="40" w:after="40"/>
              <w:ind w:left="100" w:right="100"/>
              <w:jc w:val="right"/>
            </w:pPr>
            <w:r>
              <w:rPr>
                <w:rFonts w:eastAsia="Arial" w:cs="Arial"/>
                <w:color w:val="111111"/>
                <w:sz w:val="22"/>
                <w:szCs w:val="22"/>
              </w:rPr>
              <w:t>-0.28</w:t>
            </w:r>
          </w:p>
        </w:tc>
        <w:tc>
          <w:tcPr>
            <w:tcW w:w="1440" w:type="dxa"/>
            <w:shd w:val="clear" w:color="auto" w:fill="FFFFFF"/>
            <w:tcMar>
              <w:top w:w="0" w:type="dxa"/>
              <w:left w:w="0" w:type="dxa"/>
              <w:bottom w:w="0" w:type="dxa"/>
              <w:right w:w="0" w:type="dxa"/>
            </w:tcMar>
            <w:vAlign w:val="center"/>
          </w:tcPr>
          <w:p w14:paraId="13E30FF4" w14:textId="77777777" w:rsidR="003E1512" w:rsidRDefault="00975995">
            <w:pPr>
              <w:spacing w:before="40" w:after="40"/>
              <w:ind w:left="100" w:right="100"/>
              <w:jc w:val="right"/>
            </w:pPr>
            <w:r>
              <w:rPr>
                <w:rFonts w:eastAsia="Arial" w:cs="Arial"/>
                <w:color w:val="111111"/>
                <w:sz w:val="22"/>
                <w:szCs w:val="22"/>
              </w:rPr>
              <w:t>0.98</w:t>
            </w:r>
          </w:p>
        </w:tc>
      </w:tr>
      <w:tr w:rsidR="003E1512" w14:paraId="411E86EF" w14:textId="77777777">
        <w:trPr>
          <w:cantSplit/>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14:paraId="3C2C6E49" w14:textId="77777777" w:rsidR="003E1512" w:rsidRDefault="00975995">
            <w:pPr>
              <w:spacing w:before="40" w:after="40"/>
              <w:ind w:left="100" w:right="100"/>
              <w:jc w:val="left"/>
            </w:pPr>
            <w:r>
              <w:rPr>
                <w:rFonts w:eastAsia="Arial" w:cs="Arial"/>
                <w:color w:val="111111"/>
                <w:sz w:val="22"/>
                <w:szCs w:val="22"/>
              </w:rPr>
              <w:t>La Veiga Cimera</w:t>
            </w:r>
          </w:p>
        </w:tc>
        <w:tc>
          <w:tcPr>
            <w:tcW w:w="1440" w:type="dxa"/>
            <w:tcBorders>
              <w:bottom w:val="single" w:sz="16" w:space="0" w:color="000000"/>
            </w:tcBorders>
            <w:shd w:val="clear" w:color="auto" w:fill="FFFFFF"/>
            <w:tcMar>
              <w:top w:w="0" w:type="dxa"/>
              <w:left w:w="0" w:type="dxa"/>
              <w:bottom w:w="0" w:type="dxa"/>
              <w:right w:w="0" w:type="dxa"/>
            </w:tcMar>
            <w:vAlign w:val="center"/>
          </w:tcPr>
          <w:p w14:paraId="0F8FC9BA" w14:textId="77777777" w:rsidR="003E1512" w:rsidRDefault="00975995">
            <w:pPr>
              <w:spacing w:before="40" w:after="40"/>
              <w:ind w:left="100" w:right="100"/>
              <w:jc w:val="right"/>
            </w:pPr>
            <w:r>
              <w:rPr>
                <w:rFonts w:eastAsia="Arial" w:cs="Arial"/>
                <w:color w:val="111111"/>
                <w:sz w:val="22"/>
                <w:szCs w:val="22"/>
              </w:rPr>
              <w:t>-3.41</w:t>
            </w:r>
          </w:p>
        </w:tc>
        <w:tc>
          <w:tcPr>
            <w:tcW w:w="1440" w:type="dxa"/>
            <w:tcBorders>
              <w:bottom w:val="single" w:sz="16" w:space="0" w:color="000000"/>
            </w:tcBorders>
            <w:shd w:val="clear" w:color="auto" w:fill="FFFFFF"/>
            <w:tcMar>
              <w:top w:w="0" w:type="dxa"/>
              <w:left w:w="0" w:type="dxa"/>
              <w:bottom w:w="0" w:type="dxa"/>
              <w:right w:w="0" w:type="dxa"/>
            </w:tcMar>
            <w:vAlign w:val="center"/>
          </w:tcPr>
          <w:p w14:paraId="1A3AAAEE" w14:textId="77777777" w:rsidR="003E1512" w:rsidRDefault="00975995">
            <w:pPr>
              <w:spacing w:before="40" w:after="40"/>
              <w:ind w:left="100" w:right="100"/>
              <w:jc w:val="right"/>
            </w:pPr>
            <w:r>
              <w:rPr>
                <w:rFonts w:eastAsia="Arial" w:cs="Arial"/>
                <w:color w:val="111111"/>
                <w:sz w:val="22"/>
                <w:szCs w:val="22"/>
              </w:rPr>
              <w:t>-2.21</w:t>
            </w:r>
          </w:p>
        </w:tc>
        <w:tc>
          <w:tcPr>
            <w:tcW w:w="1440" w:type="dxa"/>
            <w:tcBorders>
              <w:bottom w:val="single" w:sz="16" w:space="0" w:color="000000"/>
            </w:tcBorders>
            <w:shd w:val="clear" w:color="auto" w:fill="FFFFFF"/>
            <w:tcMar>
              <w:top w:w="0" w:type="dxa"/>
              <w:left w:w="0" w:type="dxa"/>
              <w:bottom w:w="0" w:type="dxa"/>
              <w:right w:w="0" w:type="dxa"/>
            </w:tcMar>
            <w:vAlign w:val="center"/>
          </w:tcPr>
          <w:p w14:paraId="57BC3571" w14:textId="77777777" w:rsidR="003E1512" w:rsidRDefault="00975995">
            <w:pPr>
              <w:spacing w:before="40" w:after="40"/>
              <w:ind w:left="100" w:right="100"/>
              <w:jc w:val="right"/>
            </w:pPr>
            <w:r>
              <w:rPr>
                <w:rFonts w:eastAsia="Arial" w:cs="Arial"/>
                <w:color w:val="111111"/>
                <w:sz w:val="22"/>
                <w:szCs w:val="22"/>
              </w:rPr>
              <w:t>-3.47</w:t>
            </w:r>
          </w:p>
        </w:tc>
        <w:tc>
          <w:tcPr>
            <w:tcW w:w="1440" w:type="dxa"/>
            <w:tcBorders>
              <w:bottom w:val="single" w:sz="16" w:space="0" w:color="000000"/>
            </w:tcBorders>
            <w:shd w:val="clear" w:color="auto" w:fill="FFFFFF"/>
            <w:tcMar>
              <w:top w:w="0" w:type="dxa"/>
              <w:left w:w="0" w:type="dxa"/>
              <w:bottom w:w="0" w:type="dxa"/>
              <w:right w:w="0" w:type="dxa"/>
            </w:tcMar>
            <w:vAlign w:val="center"/>
          </w:tcPr>
          <w:p w14:paraId="6A5B06BE" w14:textId="77777777" w:rsidR="003E1512" w:rsidRDefault="00975995">
            <w:pPr>
              <w:spacing w:before="40" w:after="40"/>
              <w:ind w:left="100" w:right="100"/>
              <w:jc w:val="right"/>
            </w:pPr>
            <w:r>
              <w:rPr>
                <w:rFonts w:eastAsia="Arial" w:cs="Arial"/>
                <w:color w:val="111111"/>
                <w:sz w:val="22"/>
                <w:szCs w:val="22"/>
              </w:rPr>
              <w:t>-0.06</w:t>
            </w:r>
          </w:p>
        </w:tc>
      </w:tr>
    </w:tbl>
    <w:p w14:paraId="4B2B457B" w14:textId="77777777" w:rsidR="003E1512" w:rsidRDefault="00975995">
      <w:pPr>
        <w:pStyle w:val="TableCaption"/>
      </w:pPr>
      <w:r>
        <w:t>Results of the linear models predicting the soil bioclimatic variables from the CHELSA air temperatures, per bioclimatic variable and groundwater situation.</w:t>
      </w:r>
    </w:p>
    <w:tbl>
      <w:tblPr>
        <w:tblW w:w="0" w:type="auto"/>
        <w:jc w:val="center"/>
        <w:tblLayout w:type="fixed"/>
        <w:tblLook w:val="04A0" w:firstRow="1" w:lastRow="0" w:firstColumn="1" w:lastColumn="0" w:noHBand="0" w:noVBand="1"/>
      </w:tblPr>
      <w:tblGrid>
        <w:gridCol w:w="1440"/>
        <w:gridCol w:w="1440"/>
        <w:gridCol w:w="1440"/>
        <w:gridCol w:w="1440"/>
        <w:gridCol w:w="1440"/>
      </w:tblGrid>
      <w:tr w:rsidR="003E1512" w14:paraId="2EAD892E" w14:textId="77777777">
        <w:trPr>
          <w:cantSplit/>
          <w:tblHeader/>
          <w:jc w:val="center"/>
        </w:trPr>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6156489" w14:textId="77777777" w:rsidR="003E1512" w:rsidRDefault="00975995">
            <w:pPr>
              <w:spacing w:before="40" w:after="40"/>
              <w:ind w:left="100" w:right="100"/>
              <w:jc w:val="left"/>
            </w:pPr>
            <w:r>
              <w:rPr>
                <w:rFonts w:eastAsia="Arial" w:cs="Arial"/>
                <w:color w:val="111111"/>
                <w:sz w:val="22"/>
                <w:szCs w:val="22"/>
              </w:rPr>
              <w:t>Variable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DBEC858" w14:textId="77777777" w:rsidR="003E1512" w:rsidRDefault="00975995">
            <w:pPr>
              <w:spacing w:before="40" w:after="40"/>
              <w:ind w:left="100" w:right="100"/>
              <w:jc w:val="left"/>
            </w:pPr>
            <w:r>
              <w:rPr>
                <w:rFonts w:eastAsia="Arial" w:cs="Arial"/>
                <w:color w:val="111111"/>
                <w:sz w:val="22"/>
                <w:szCs w:val="22"/>
              </w:rPr>
              <w:t>Groundwater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189303" w14:textId="77777777" w:rsidR="003E1512" w:rsidRDefault="00975995">
            <w:pPr>
              <w:spacing w:before="40" w:after="40"/>
              <w:ind w:left="100" w:right="100"/>
              <w:jc w:val="right"/>
            </w:pPr>
            <w:r>
              <w:rPr>
                <w:rFonts w:eastAsia="Arial" w:cs="Arial"/>
                <w:color w:val="111111"/>
                <w:sz w:val="22"/>
                <w:szCs w:val="22"/>
              </w:rPr>
              <w:t>t</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8CCB907" w14:textId="77777777" w:rsidR="003E1512" w:rsidRDefault="00975995">
            <w:pPr>
              <w:spacing w:before="40" w:after="40"/>
              <w:ind w:left="100" w:right="100"/>
              <w:jc w:val="right"/>
            </w:pPr>
            <w:r>
              <w:rPr>
                <w:rFonts w:eastAsia="Arial" w:cs="Arial"/>
                <w:color w:val="111111"/>
                <w:sz w:val="22"/>
                <w:szCs w:val="22"/>
              </w:rPr>
              <w:t>p</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0E2FA6A" w14:textId="77777777" w:rsidR="003E1512" w:rsidRDefault="00975995">
            <w:pPr>
              <w:spacing w:before="40" w:after="40"/>
              <w:ind w:left="100" w:right="100"/>
              <w:jc w:val="right"/>
            </w:pPr>
            <w:r>
              <w:rPr>
                <w:rFonts w:eastAsia="Arial" w:cs="Arial"/>
                <w:color w:val="111111"/>
                <w:sz w:val="22"/>
                <w:szCs w:val="22"/>
              </w:rPr>
              <w:t>R2</w:t>
            </w:r>
          </w:p>
        </w:tc>
      </w:tr>
      <w:tr w:rsidR="003E1512" w14:paraId="72193405" w14:textId="77777777">
        <w:trPr>
          <w:cantSplit/>
          <w:jc w:val="center"/>
        </w:trPr>
        <w:tc>
          <w:tcPr>
            <w:tcW w:w="1440" w:type="dxa"/>
            <w:shd w:val="clear" w:color="auto" w:fill="FFFFFF"/>
            <w:tcMar>
              <w:top w:w="0" w:type="dxa"/>
              <w:left w:w="0" w:type="dxa"/>
              <w:bottom w:w="0" w:type="dxa"/>
              <w:right w:w="0" w:type="dxa"/>
            </w:tcMar>
            <w:vAlign w:val="center"/>
          </w:tcPr>
          <w:p w14:paraId="527466ED" w14:textId="77777777" w:rsidR="003E1512" w:rsidRDefault="00975995">
            <w:pPr>
              <w:spacing w:before="40" w:after="40"/>
              <w:ind w:left="100" w:right="100"/>
              <w:jc w:val="left"/>
            </w:pPr>
            <w:r>
              <w:rPr>
                <w:rFonts w:eastAsia="Arial" w:cs="Arial"/>
                <w:color w:val="111111"/>
                <w:sz w:val="22"/>
                <w:szCs w:val="22"/>
              </w:rPr>
              <w:t>Annual range</w:t>
            </w:r>
          </w:p>
        </w:tc>
        <w:tc>
          <w:tcPr>
            <w:tcW w:w="1440" w:type="dxa"/>
            <w:shd w:val="clear" w:color="auto" w:fill="FFFFFF"/>
            <w:tcMar>
              <w:top w:w="0" w:type="dxa"/>
              <w:left w:w="0" w:type="dxa"/>
              <w:bottom w:w="0" w:type="dxa"/>
              <w:right w:w="0" w:type="dxa"/>
            </w:tcMar>
            <w:vAlign w:val="center"/>
          </w:tcPr>
          <w:p w14:paraId="569D7B4C" w14:textId="77777777" w:rsidR="003E1512" w:rsidRDefault="00975995">
            <w:pPr>
              <w:spacing w:before="40" w:after="40"/>
              <w:ind w:left="100" w:right="100"/>
              <w:jc w:val="left"/>
            </w:pPr>
            <w:r>
              <w:rPr>
                <w:rFonts w:eastAsia="Arial" w:cs="Arial"/>
                <w:color w:val="111111"/>
                <w:sz w:val="22"/>
                <w:szCs w:val="22"/>
              </w:rPr>
              <w:t>Dry</w:t>
            </w:r>
          </w:p>
        </w:tc>
        <w:tc>
          <w:tcPr>
            <w:tcW w:w="1440" w:type="dxa"/>
            <w:shd w:val="clear" w:color="auto" w:fill="FFFFFF"/>
            <w:tcMar>
              <w:top w:w="0" w:type="dxa"/>
              <w:left w:w="0" w:type="dxa"/>
              <w:bottom w:w="0" w:type="dxa"/>
              <w:right w:w="0" w:type="dxa"/>
            </w:tcMar>
            <w:vAlign w:val="center"/>
          </w:tcPr>
          <w:p w14:paraId="728FED58" w14:textId="77777777" w:rsidR="003E1512" w:rsidRDefault="00975995">
            <w:pPr>
              <w:spacing w:before="40" w:after="40"/>
              <w:ind w:left="100" w:right="100"/>
              <w:jc w:val="right"/>
            </w:pPr>
            <w:r>
              <w:rPr>
                <w:rFonts w:eastAsia="Arial" w:cs="Arial"/>
                <w:color w:val="111111"/>
                <w:sz w:val="22"/>
                <w:szCs w:val="22"/>
              </w:rPr>
              <w:t>0.012</w:t>
            </w:r>
          </w:p>
        </w:tc>
        <w:tc>
          <w:tcPr>
            <w:tcW w:w="1440" w:type="dxa"/>
            <w:shd w:val="clear" w:color="auto" w:fill="FFFFFF"/>
            <w:tcMar>
              <w:top w:w="0" w:type="dxa"/>
              <w:left w:w="0" w:type="dxa"/>
              <w:bottom w:w="0" w:type="dxa"/>
              <w:right w:w="0" w:type="dxa"/>
            </w:tcMar>
            <w:vAlign w:val="center"/>
          </w:tcPr>
          <w:p w14:paraId="169147E6" w14:textId="77777777" w:rsidR="003E1512" w:rsidRDefault="00975995">
            <w:pPr>
              <w:spacing w:before="40" w:after="40"/>
              <w:ind w:left="100" w:right="100"/>
              <w:jc w:val="right"/>
            </w:pPr>
            <w:r>
              <w:rPr>
                <w:rFonts w:eastAsia="Arial" w:cs="Arial"/>
                <w:color w:val="111111"/>
                <w:sz w:val="22"/>
                <w:szCs w:val="22"/>
              </w:rPr>
              <w:t>0.991</w:t>
            </w:r>
          </w:p>
        </w:tc>
        <w:tc>
          <w:tcPr>
            <w:tcW w:w="1440" w:type="dxa"/>
            <w:shd w:val="clear" w:color="auto" w:fill="FFFFFF"/>
            <w:tcMar>
              <w:top w:w="0" w:type="dxa"/>
              <w:left w:w="0" w:type="dxa"/>
              <w:bottom w:w="0" w:type="dxa"/>
              <w:right w:w="0" w:type="dxa"/>
            </w:tcMar>
            <w:vAlign w:val="center"/>
          </w:tcPr>
          <w:p w14:paraId="5E801101" w14:textId="77777777" w:rsidR="003E1512" w:rsidRDefault="00975995">
            <w:pPr>
              <w:spacing w:before="40" w:after="40"/>
              <w:ind w:left="100" w:right="100"/>
              <w:jc w:val="right"/>
            </w:pPr>
            <w:r>
              <w:rPr>
                <w:rFonts w:eastAsia="Arial" w:cs="Arial"/>
                <w:color w:val="111111"/>
                <w:sz w:val="22"/>
                <w:szCs w:val="22"/>
              </w:rPr>
              <w:t>-0.17</w:t>
            </w:r>
          </w:p>
        </w:tc>
      </w:tr>
      <w:tr w:rsidR="003E1512" w14:paraId="7807D7BF" w14:textId="77777777">
        <w:trPr>
          <w:cantSplit/>
          <w:jc w:val="center"/>
        </w:trPr>
        <w:tc>
          <w:tcPr>
            <w:tcW w:w="1440" w:type="dxa"/>
            <w:shd w:val="clear" w:color="auto" w:fill="FFFFFF"/>
            <w:tcMar>
              <w:top w:w="0" w:type="dxa"/>
              <w:left w:w="0" w:type="dxa"/>
              <w:bottom w:w="0" w:type="dxa"/>
              <w:right w:w="0" w:type="dxa"/>
            </w:tcMar>
            <w:vAlign w:val="center"/>
          </w:tcPr>
          <w:p w14:paraId="4BED89CB" w14:textId="77777777" w:rsidR="003E1512" w:rsidRDefault="00975995">
            <w:pPr>
              <w:spacing w:before="40" w:after="40"/>
              <w:ind w:left="100" w:right="100"/>
              <w:jc w:val="left"/>
            </w:pPr>
            <w:r>
              <w:rPr>
                <w:rFonts w:eastAsia="Arial" w:cs="Arial"/>
                <w:color w:val="111111"/>
                <w:sz w:val="22"/>
                <w:szCs w:val="22"/>
              </w:rPr>
              <w:t>Annual range</w:t>
            </w:r>
          </w:p>
        </w:tc>
        <w:tc>
          <w:tcPr>
            <w:tcW w:w="1440" w:type="dxa"/>
            <w:shd w:val="clear" w:color="auto" w:fill="FFFFFF"/>
            <w:tcMar>
              <w:top w:w="0" w:type="dxa"/>
              <w:left w:w="0" w:type="dxa"/>
              <w:bottom w:w="0" w:type="dxa"/>
              <w:right w:w="0" w:type="dxa"/>
            </w:tcMar>
            <w:vAlign w:val="center"/>
          </w:tcPr>
          <w:p w14:paraId="72CC12D3" w14:textId="77777777" w:rsidR="003E1512" w:rsidRDefault="00975995">
            <w:pPr>
              <w:spacing w:before="40" w:after="40"/>
              <w:ind w:left="100" w:right="100"/>
              <w:jc w:val="left"/>
            </w:pPr>
            <w:r>
              <w:rPr>
                <w:rFonts w:eastAsia="Arial" w:cs="Arial"/>
                <w:color w:val="111111"/>
                <w:sz w:val="22"/>
                <w:szCs w:val="22"/>
              </w:rPr>
              <w:t>Waterlogged</w:t>
            </w:r>
          </w:p>
        </w:tc>
        <w:tc>
          <w:tcPr>
            <w:tcW w:w="1440" w:type="dxa"/>
            <w:shd w:val="clear" w:color="auto" w:fill="FFFFFF"/>
            <w:tcMar>
              <w:top w:w="0" w:type="dxa"/>
              <w:left w:w="0" w:type="dxa"/>
              <w:bottom w:w="0" w:type="dxa"/>
              <w:right w:w="0" w:type="dxa"/>
            </w:tcMar>
            <w:vAlign w:val="center"/>
          </w:tcPr>
          <w:p w14:paraId="19FB1FF1" w14:textId="77777777" w:rsidR="003E1512" w:rsidRDefault="00975995">
            <w:pPr>
              <w:spacing w:before="40" w:after="40"/>
              <w:ind w:left="100" w:right="100"/>
              <w:jc w:val="right"/>
            </w:pPr>
            <w:r>
              <w:rPr>
                <w:rFonts w:eastAsia="Arial" w:cs="Arial"/>
                <w:color w:val="111111"/>
                <w:sz w:val="22"/>
                <w:szCs w:val="22"/>
              </w:rPr>
              <w:t>-0.334</w:t>
            </w:r>
          </w:p>
        </w:tc>
        <w:tc>
          <w:tcPr>
            <w:tcW w:w="1440" w:type="dxa"/>
            <w:shd w:val="clear" w:color="auto" w:fill="FFFFFF"/>
            <w:tcMar>
              <w:top w:w="0" w:type="dxa"/>
              <w:left w:w="0" w:type="dxa"/>
              <w:bottom w:w="0" w:type="dxa"/>
              <w:right w:w="0" w:type="dxa"/>
            </w:tcMar>
            <w:vAlign w:val="center"/>
          </w:tcPr>
          <w:p w14:paraId="52051A9F" w14:textId="77777777" w:rsidR="003E1512" w:rsidRDefault="00975995">
            <w:pPr>
              <w:spacing w:before="40" w:after="40"/>
              <w:ind w:left="100" w:right="100"/>
              <w:jc w:val="right"/>
            </w:pPr>
            <w:r>
              <w:rPr>
                <w:rFonts w:eastAsia="Arial" w:cs="Arial"/>
                <w:color w:val="111111"/>
                <w:sz w:val="22"/>
                <w:szCs w:val="22"/>
              </w:rPr>
              <w:t>0.750</w:t>
            </w:r>
          </w:p>
        </w:tc>
        <w:tc>
          <w:tcPr>
            <w:tcW w:w="1440" w:type="dxa"/>
            <w:shd w:val="clear" w:color="auto" w:fill="FFFFFF"/>
            <w:tcMar>
              <w:top w:w="0" w:type="dxa"/>
              <w:left w:w="0" w:type="dxa"/>
              <w:bottom w:w="0" w:type="dxa"/>
              <w:right w:w="0" w:type="dxa"/>
            </w:tcMar>
            <w:vAlign w:val="center"/>
          </w:tcPr>
          <w:p w14:paraId="28DB16D6" w14:textId="77777777" w:rsidR="003E1512" w:rsidRDefault="00975995">
            <w:pPr>
              <w:spacing w:before="40" w:after="40"/>
              <w:ind w:left="100" w:right="100"/>
              <w:jc w:val="right"/>
            </w:pPr>
            <w:r>
              <w:rPr>
                <w:rFonts w:eastAsia="Arial" w:cs="Arial"/>
                <w:color w:val="111111"/>
                <w:sz w:val="22"/>
                <w:szCs w:val="22"/>
              </w:rPr>
              <w:t>-0.15</w:t>
            </w:r>
          </w:p>
        </w:tc>
      </w:tr>
      <w:tr w:rsidR="003E1512" w14:paraId="7B804308" w14:textId="77777777">
        <w:trPr>
          <w:cantSplit/>
          <w:jc w:val="center"/>
        </w:trPr>
        <w:tc>
          <w:tcPr>
            <w:tcW w:w="1440" w:type="dxa"/>
            <w:shd w:val="clear" w:color="auto" w:fill="FFFFFF"/>
            <w:tcMar>
              <w:top w:w="0" w:type="dxa"/>
              <w:left w:w="0" w:type="dxa"/>
              <w:bottom w:w="0" w:type="dxa"/>
              <w:right w:w="0" w:type="dxa"/>
            </w:tcMar>
            <w:vAlign w:val="center"/>
          </w:tcPr>
          <w:p w14:paraId="5FECA994" w14:textId="77777777" w:rsidR="003E1512" w:rsidRDefault="00975995">
            <w:pPr>
              <w:spacing w:before="40" w:after="40"/>
              <w:ind w:left="100" w:right="100"/>
              <w:jc w:val="left"/>
            </w:pPr>
            <w:r>
              <w:rPr>
                <w:rFonts w:eastAsia="Arial" w:cs="Arial"/>
                <w:color w:val="111111"/>
                <w:sz w:val="22"/>
                <w:szCs w:val="22"/>
              </w:rPr>
              <w:t>Diurnal range</w:t>
            </w:r>
          </w:p>
        </w:tc>
        <w:tc>
          <w:tcPr>
            <w:tcW w:w="1440" w:type="dxa"/>
            <w:shd w:val="clear" w:color="auto" w:fill="FFFFFF"/>
            <w:tcMar>
              <w:top w:w="0" w:type="dxa"/>
              <w:left w:w="0" w:type="dxa"/>
              <w:bottom w:w="0" w:type="dxa"/>
              <w:right w:w="0" w:type="dxa"/>
            </w:tcMar>
            <w:vAlign w:val="center"/>
          </w:tcPr>
          <w:p w14:paraId="153281E3" w14:textId="77777777" w:rsidR="003E1512" w:rsidRDefault="00975995">
            <w:pPr>
              <w:spacing w:before="40" w:after="40"/>
              <w:ind w:left="100" w:right="100"/>
              <w:jc w:val="left"/>
            </w:pPr>
            <w:r>
              <w:rPr>
                <w:rFonts w:eastAsia="Arial" w:cs="Arial"/>
                <w:color w:val="111111"/>
                <w:sz w:val="22"/>
                <w:szCs w:val="22"/>
              </w:rPr>
              <w:t>Dry</w:t>
            </w:r>
          </w:p>
        </w:tc>
        <w:tc>
          <w:tcPr>
            <w:tcW w:w="1440" w:type="dxa"/>
            <w:shd w:val="clear" w:color="auto" w:fill="FFFFFF"/>
            <w:tcMar>
              <w:top w:w="0" w:type="dxa"/>
              <w:left w:w="0" w:type="dxa"/>
              <w:bottom w:w="0" w:type="dxa"/>
              <w:right w:w="0" w:type="dxa"/>
            </w:tcMar>
            <w:vAlign w:val="center"/>
          </w:tcPr>
          <w:p w14:paraId="4DADA340" w14:textId="77777777" w:rsidR="003E1512" w:rsidRDefault="00975995">
            <w:pPr>
              <w:spacing w:before="40" w:after="40"/>
              <w:ind w:left="100" w:right="100"/>
              <w:jc w:val="right"/>
            </w:pPr>
            <w:r>
              <w:rPr>
                <w:rFonts w:eastAsia="Arial" w:cs="Arial"/>
                <w:color w:val="111111"/>
                <w:sz w:val="22"/>
                <w:szCs w:val="22"/>
              </w:rPr>
              <w:t>0.016</w:t>
            </w:r>
          </w:p>
        </w:tc>
        <w:tc>
          <w:tcPr>
            <w:tcW w:w="1440" w:type="dxa"/>
            <w:shd w:val="clear" w:color="auto" w:fill="FFFFFF"/>
            <w:tcMar>
              <w:top w:w="0" w:type="dxa"/>
              <w:left w:w="0" w:type="dxa"/>
              <w:bottom w:w="0" w:type="dxa"/>
              <w:right w:w="0" w:type="dxa"/>
            </w:tcMar>
            <w:vAlign w:val="center"/>
          </w:tcPr>
          <w:p w14:paraId="195CBA86" w14:textId="77777777" w:rsidR="003E1512" w:rsidRDefault="00975995">
            <w:pPr>
              <w:spacing w:before="40" w:after="40"/>
              <w:ind w:left="100" w:right="100"/>
              <w:jc w:val="right"/>
            </w:pPr>
            <w:r>
              <w:rPr>
                <w:rFonts w:eastAsia="Arial" w:cs="Arial"/>
                <w:color w:val="111111"/>
                <w:sz w:val="22"/>
                <w:szCs w:val="22"/>
              </w:rPr>
              <w:t>0.988</w:t>
            </w:r>
          </w:p>
        </w:tc>
        <w:tc>
          <w:tcPr>
            <w:tcW w:w="1440" w:type="dxa"/>
            <w:shd w:val="clear" w:color="auto" w:fill="FFFFFF"/>
            <w:tcMar>
              <w:top w:w="0" w:type="dxa"/>
              <w:left w:w="0" w:type="dxa"/>
              <w:bottom w:w="0" w:type="dxa"/>
              <w:right w:w="0" w:type="dxa"/>
            </w:tcMar>
            <w:vAlign w:val="center"/>
          </w:tcPr>
          <w:p w14:paraId="156C6C37" w14:textId="77777777" w:rsidR="003E1512" w:rsidRDefault="00975995">
            <w:pPr>
              <w:spacing w:before="40" w:after="40"/>
              <w:ind w:left="100" w:right="100"/>
              <w:jc w:val="right"/>
            </w:pPr>
            <w:r>
              <w:rPr>
                <w:rFonts w:eastAsia="Arial" w:cs="Arial"/>
                <w:color w:val="111111"/>
                <w:sz w:val="22"/>
                <w:szCs w:val="22"/>
              </w:rPr>
              <w:t>-0.17</w:t>
            </w:r>
          </w:p>
        </w:tc>
      </w:tr>
      <w:tr w:rsidR="003E1512" w14:paraId="7D1A6053" w14:textId="77777777">
        <w:trPr>
          <w:cantSplit/>
          <w:jc w:val="center"/>
        </w:trPr>
        <w:tc>
          <w:tcPr>
            <w:tcW w:w="1440" w:type="dxa"/>
            <w:shd w:val="clear" w:color="auto" w:fill="FFFFFF"/>
            <w:tcMar>
              <w:top w:w="0" w:type="dxa"/>
              <w:left w:w="0" w:type="dxa"/>
              <w:bottom w:w="0" w:type="dxa"/>
              <w:right w:w="0" w:type="dxa"/>
            </w:tcMar>
            <w:vAlign w:val="center"/>
          </w:tcPr>
          <w:p w14:paraId="02988DEF" w14:textId="77777777" w:rsidR="003E1512" w:rsidRDefault="00975995">
            <w:pPr>
              <w:spacing w:before="40" w:after="40"/>
              <w:ind w:left="100" w:right="100"/>
              <w:jc w:val="left"/>
            </w:pPr>
            <w:r>
              <w:rPr>
                <w:rFonts w:eastAsia="Arial" w:cs="Arial"/>
                <w:color w:val="111111"/>
                <w:sz w:val="22"/>
                <w:szCs w:val="22"/>
              </w:rPr>
              <w:t>Diurnal range</w:t>
            </w:r>
          </w:p>
        </w:tc>
        <w:tc>
          <w:tcPr>
            <w:tcW w:w="1440" w:type="dxa"/>
            <w:shd w:val="clear" w:color="auto" w:fill="FFFFFF"/>
            <w:tcMar>
              <w:top w:w="0" w:type="dxa"/>
              <w:left w:w="0" w:type="dxa"/>
              <w:bottom w:w="0" w:type="dxa"/>
              <w:right w:w="0" w:type="dxa"/>
            </w:tcMar>
            <w:vAlign w:val="center"/>
          </w:tcPr>
          <w:p w14:paraId="3189BF66" w14:textId="77777777" w:rsidR="003E1512" w:rsidRDefault="00975995">
            <w:pPr>
              <w:spacing w:before="40" w:after="40"/>
              <w:ind w:left="100" w:right="100"/>
              <w:jc w:val="left"/>
            </w:pPr>
            <w:r>
              <w:rPr>
                <w:rFonts w:eastAsia="Arial" w:cs="Arial"/>
                <w:color w:val="111111"/>
                <w:sz w:val="22"/>
                <w:szCs w:val="22"/>
              </w:rPr>
              <w:t>Waterlogged</w:t>
            </w:r>
          </w:p>
        </w:tc>
        <w:tc>
          <w:tcPr>
            <w:tcW w:w="1440" w:type="dxa"/>
            <w:shd w:val="clear" w:color="auto" w:fill="FFFFFF"/>
            <w:tcMar>
              <w:top w:w="0" w:type="dxa"/>
              <w:left w:w="0" w:type="dxa"/>
              <w:bottom w:w="0" w:type="dxa"/>
              <w:right w:w="0" w:type="dxa"/>
            </w:tcMar>
            <w:vAlign w:val="center"/>
          </w:tcPr>
          <w:p w14:paraId="0C808107" w14:textId="77777777" w:rsidR="003E1512" w:rsidRDefault="00975995">
            <w:pPr>
              <w:spacing w:before="40" w:after="40"/>
              <w:ind w:left="100" w:right="100"/>
              <w:jc w:val="right"/>
            </w:pPr>
            <w:r>
              <w:rPr>
                <w:rFonts w:eastAsia="Arial" w:cs="Arial"/>
                <w:color w:val="111111"/>
                <w:sz w:val="22"/>
                <w:szCs w:val="22"/>
              </w:rPr>
              <w:t>1.354</w:t>
            </w:r>
          </w:p>
        </w:tc>
        <w:tc>
          <w:tcPr>
            <w:tcW w:w="1440" w:type="dxa"/>
            <w:shd w:val="clear" w:color="auto" w:fill="FFFFFF"/>
            <w:tcMar>
              <w:top w:w="0" w:type="dxa"/>
              <w:left w:w="0" w:type="dxa"/>
              <w:bottom w:w="0" w:type="dxa"/>
              <w:right w:w="0" w:type="dxa"/>
            </w:tcMar>
            <w:vAlign w:val="center"/>
          </w:tcPr>
          <w:p w14:paraId="38E2B346" w14:textId="77777777" w:rsidR="003E1512" w:rsidRDefault="00975995">
            <w:pPr>
              <w:spacing w:before="40" w:after="40"/>
              <w:ind w:left="100" w:right="100"/>
              <w:jc w:val="right"/>
            </w:pPr>
            <w:r>
              <w:rPr>
                <w:rFonts w:eastAsia="Arial" w:cs="Arial"/>
                <w:color w:val="111111"/>
                <w:sz w:val="22"/>
                <w:szCs w:val="22"/>
              </w:rPr>
              <w:t>0.225</w:t>
            </w:r>
          </w:p>
        </w:tc>
        <w:tc>
          <w:tcPr>
            <w:tcW w:w="1440" w:type="dxa"/>
            <w:shd w:val="clear" w:color="auto" w:fill="FFFFFF"/>
            <w:tcMar>
              <w:top w:w="0" w:type="dxa"/>
              <w:left w:w="0" w:type="dxa"/>
              <w:bottom w:w="0" w:type="dxa"/>
              <w:right w:w="0" w:type="dxa"/>
            </w:tcMar>
            <w:vAlign w:val="center"/>
          </w:tcPr>
          <w:p w14:paraId="6C045413" w14:textId="77777777" w:rsidR="003E1512" w:rsidRDefault="00975995">
            <w:pPr>
              <w:spacing w:before="40" w:after="40"/>
              <w:ind w:left="100" w:right="100"/>
              <w:jc w:val="right"/>
            </w:pPr>
            <w:r>
              <w:rPr>
                <w:rFonts w:eastAsia="Arial" w:cs="Arial"/>
                <w:color w:val="111111"/>
                <w:sz w:val="22"/>
                <w:szCs w:val="22"/>
              </w:rPr>
              <w:t>0.11</w:t>
            </w:r>
          </w:p>
        </w:tc>
      </w:tr>
      <w:tr w:rsidR="003E1512" w14:paraId="794903E8" w14:textId="77777777">
        <w:trPr>
          <w:cantSplit/>
          <w:jc w:val="center"/>
        </w:trPr>
        <w:tc>
          <w:tcPr>
            <w:tcW w:w="1440" w:type="dxa"/>
            <w:shd w:val="clear" w:color="auto" w:fill="FFFFFF"/>
            <w:tcMar>
              <w:top w:w="0" w:type="dxa"/>
              <w:left w:w="0" w:type="dxa"/>
              <w:bottom w:w="0" w:type="dxa"/>
              <w:right w:w="0" w:type="dxa"/>
            </w:tcMar>
            <w:vAlign w:val="center"/>
          </w:tcPr>
          <w:p w14:paraId="77EE4111" w14:textId="77777777" w:rsidR="003E1512" w:rsidRDefault="00975995">
            <w:pPr>
              <w:spacing w:before="40" w:after="40"/>
              <w:ind w:left="100" w:right="100"/>
              <w:jc w:val="left"/>
            </w:pPr>
            <w:r>
              <w:rPr>
                <w:rFonts w:eastAsia="Arial" w:cs="Arial"/>
                <w:color w:val="111111"/>
                <w:sz w:val="22"/>
                <w:szCs w:val="22"/>
              </w:rPr>
              <w:lastRenderedPageBreak/>
              <w:t>Summer max</w:t>
            </w:r>
          </w:p>
        </w:tc>
        <w:tc>
          <w:tcPr>
            <w:tcW w:w="1440" w:type="dxa"/>
            <w:shd w:val="clear" w:color="auto" w:fill="FFFFFF"/>
            <w:tcMar>
              <w:top w:w="0" w:type="dxa"/>
              <w:left w:w="0" w:type="dxa"/>
              <w:bottom w:w="0" w:type="dxa"/>
              <w:right w:w="0" w:type="dxa"/>
            </w:tcMar>
            <w:vAlign w:val="center"/>
          </w:tcPr>
          <w:p w14:paraId="0A431F31" w14:textId="77777777" w:rsidR="003E1512" w:rsidRDefault="00975995">
            <w:pPr>
              <w:spacing w:before="40" w:after="40"/>
              <w:ind w:left="100" w:right="100"/>
              <w:jc w:val="left"/>
            </w:pPr>
            <w:r>
              <w:rPr>
                <w:rFonts w:eastAsia="Arial" w:cs="Arial"/>
                <w:color w:val="111111"/>
                <w:sz w:val="22"/>
                <w:szCs w:val="22"/>
              </w:rPr>
              <w:t>Dry</w:t>
            </w:r>
          </w:p>
        </w:tc>
        <w:tc>
          <w:tcPr>
            <w:tcW w:w="1440" w:type="dxa"/>
            <w:shd w:val="clear" w:color="auto" w:fill="FFFFFF"/>
            <w:tcMar>
              <w:top w:w="0" w:type="dxa"/>
              <w:left w:w="0" w:type="dxa"/>
              <w:bottom w:w="0" w:type="dxa"/>
              <w:right w:w="0" w:type="dxa"/>
            </w:tcMar>
            <w:vAlign w:val="center"/>
          </w:tcPr>
          <w:p w14:paraId="4C105193" w14:textId="77777777" w:rsidR="003E1512" w:rsidRDefault="00975995">
            <w:pPr>
              <w:spacing w:before="40" w:after="40"/>
              <w:ind w:left="100" w:right="100"/>
              <w:jc w:val="right"/>
            </w:pPr>
            <w:r>
              <w:rPr>
                <w:rFonts w:eastAsia="Arial" w:cs="Arial"/>
                <w:color w:val="111111"/>
                <w:sz w:val="22"/>
                <w:szCs w:val="22"/>
              </w:rPr>
              <w:t>2.450</w:t>
            </w:r>
          </w:p>
        </w:tc>
        <w:tc>
          <w:tcPr>
            <w:tcW w:w="1440" w:type="dxa"/>
            <w:shd w:val="clear" w:color="auto" w:fill="FFFFFF"/>
            <w:tcMar>
              <w:top w:w="0" w:type="dxa"/>
              <w:left w:w="0" w:type="dxa"/>
              <w:bottom w:w="0" w:type="dxa"/>
              <w:right w:w="0" w:type="dxa"/>
            </w:tcMar>
            <w:vAlign w:val="center"/>
          </w:tcPr>
          <w:p w14:paraId="291645C7" w14:textId="77777777" w:rsidR="003E1512" w:rsidRDefault="00975995">
            <w:pPr>
              <w:spacing w:before="40" w:after="40"/>
              <w:ind w:left="100" w:right="100"/>
              <w:jc w:val="right"/>
            </w:pPr>
            <w:r>
              <w:rPr>
                <w:rFonts w:eastAsia="Arial" w:cs="Arial"/>
                <w:color w:val="111111"/>
                <w:sz w:val="22"/>
                <w:szCs w:val="22"/>
              </w:rPr>
              <w:t>0.050</w:t>
            </w:r>
          </w:p>
        </w:tc>
        <w:tc>
          <w:tcPr>
            <w:tcW w:w="1440" w:type="dxa"/>
            <w:shd w:val="clear" w:color="auto" w:fill="FFFFFF"/>
            <w:tcMar>
              <w:top w:w="0" w:type="dxa"/>
              <w:left w:w="0" w:type="dxa"/>
              <w:bottom w:w="0" w:type="dxa"/>
              <w:right w:w="0" w:type="dxa"/>
            </w:tcMar>
            <w:vAlign w:val="center"/>
          </w:tcPr>
          <w:p w14:paraId="567FA0CF" w14:textId="77777777" w:rsidR="003E1512" w:rsidRDefault="00975995">
            <w:pPr>
              <w:spacing w:before="40" w:after="40"/>
              <w:ind w:left="100" w:right="100"/>
              <w:jc w:val="right"/>
            </w:pPr>
            <w:r>
              <w:rPr>
                <w:rFonts w:eastAsia="Arial" w:cs="Arial"/>
                <w:color w:val="111111"/>
                <w:sz w:val="22"/>
                <w:szCs w:val="22"/>
              </w:rPr>
              <w:t>0.42</w:t>
            </w:r>
          </w:p>
        </w:tc>
      </w:tr>
      <w:tr w:rsidR="003E1512" w14:paraId="689F64F1" w14:textId="77777777">
        <w:trPr>
          <w:cantSplit/>
          <w:jc w:val="center"/>
        </w:trPr>
        <w:tc>
          <w:tcPr>
            <w:tcW w:w="1440" w:type="dxa"/>
            <w:shd w:val="clear" w:color="auto" w:fill="FFFFFF"/>
            <w:tcMar>
              <w:top w:w="0" w:type="dxa"/>
              <w:left w:w="0" w:type="dxa"/>
              <w:bottom w:w="0" w:type="dxa"/>
              <w:right w:w="0" w:type="dxa"/>
            </w:tcMar>
            <w:vAlign w:val="center"/>
          </w:tcPr>
          <w:p w14:paraId="0127CBE7" w14:textId="77777777" w:rsidR="003E1512" w:rsidRDefault="00975995">
            <w:pPr>
              <w:spacing w:before="40" w:after="40"/>
              <w:ind w:left="100" w:right="100"/>
              <w:jc w:val="left"/>
            </w:pPr>
            <w:r>
              <w:rPr>
                <w:rFonts w:eastAsia="Arial" w:cs="Arial"/>
                <w:color w:val="111111"/>
                <w:sz w:val="22"/>
                <w:szCs w:val="22"/>
              </w:rPr>
              <w:t>Summer max</w:t>
            </w:r>
          </w:p>
        </w:tc>
        <w:tc>
          <w:tcPr>
            <w:tcW w:w="1440" w:type="dxa"/>
            <w:shd w:val="clear" w:color="auto" w:fill="FFFFFF"/>
            <w:tcMar>
              <w:top w:w="0" w:type="dxa"/>
              <w:left w:w="0" w:type="dxa"/>
              <w:bottom w:w="0" w:type="dxa"/>
              <w:right w:w="0" w:type="dxa"/>
            </w:tcMar>
            <w:vAlign w:val="center"/>
          </w:tcPr>
          <w:p w14:paraId="6EC610B1" w14:textId="77777777" w:rsidR="003E1512" w:rsidRDefault="00975995">
            <w:pPr>
              <w:spacing w:before="40" w:after="40"/>
              <w:ind w:left="100" w:right="100"/>
              <w:jc w:val="left"/>
            </w:pPr>
            <w:r>
              <w:rPr>
                <w:rFonts w:eastAsia="Arial" w:cs="Arial"/>
                <w:color w:val="111111"/>
                <w:sz w:val="22"/>
                <w:szCs w:val="22"/>
              </w:rPr>
              <w:t>Waterlogged</w:t>
            </w:r>
          </w:p>
        </w:tc>
        <w:tc>
          <w:tcPr>
            <w:tcW w:w="1440" w:type="dxa"/>
            <w:shd w:val="clear" w:color="auto" w:fill="FFFFFF"/>
            <w:tcMar>
              <w:top w:w="0" w:type="dxa"/>
              <w:left w:w="0" w:type="dxa"/>
              <w:bottom w:w="0" w:type="dxa"/>
              <w:right w:w="0" w:type="dxa"/>
            </w:tcMar>
            <w:vAlign w:val="center"/>
          </w:tcPr>
          <w:p w14:paraId="3F7B43D9" w14:textId="77777777" w:rsidR="003E1512" w:rsidRDefault="00975995">
            <w:pPr>
              <w:spacing w:before="40" w:after="40"/>
              <w:ind w:left="100" w:right="100"/>
              <w:jc w:val="right"/>
            </w:pPr>
            <w:r>
              <w:rPr>
                <w:rFonts w:eastAsia="Arial" w:cs="Arial"/>
                <w:color w:val="111111"/>
                <w:sz w:val="22"/>
                <w:szCs w:val="22"/>
              </w:rPr>
              <w:t>1.527</w:t>
            </w:r>
          </w:p>
        </w:tc>
        <w:tc>
          <w:tcPr>
            <w:tcW w:w="1440" w:type="dxa"/>
            <w:shd w:val="clear" w:color="auto" w:fill="FFFFFF"/>
            <w:tcMar>
              <w:top w:w="0" w:type="dxa"/>
              <w:left w:w="0" w:type="dxa"/>
              <w:bottom w:w="0" w:type="dxa"/>
              <w:right w:w="0" w:type="dxa"/>
            </w:tcMar>
            <w:vAlign w:val="center"/>
          </w:tcPr>
          <w:p w14:paraId="76E6B046" w14:textId="77777777" w:rsidR="003E1512" w:rsidRDefault="00975995">
            <w:pPr>
              <w:spacing w:before="40" w:after="40"/>
              <w:ind w:left="100" w:right="100"/>
              <w:jc w:val="right"/>
            </w:pPr>
            <w:r>
              <w:rPr>
                <w:rFonts w:eastAsia="Arial" w:cs="Arial"/>
                <w:color w:val="111111"/>
                <w:sz w:val="22"/>
                <w:szCs w:val="22"/>
              </w:rPr>
              <w:t>0.178</w:t>
            </w:r>
          </w:p>
        </w:tc>
        <w:tc>
          <w:tcPr>
            <w:tcW w:w="1440" w:type="dxa"/>
            <w:shd w:val="clear" w:color="auto" w:fill="FFFFFF"/>
            <w:tcMar>
              <w:top w:w="0" w:type="dxa"/>
              <w:left w:w="0" w:type="dxa"/>
              <w:bottom w:w="0" w:type="dxa"/>
              <w:right w:w="0" w:type="dxa"/>
            </w:tcMar>
            <w:vAlign w:val="center"/>
          </w:tcPr>
          <w:p w14:paraId="0B056279" w14:textId="77777777" w:rsidR="003E1512" w:rsidRDefault="00975995">
            <w:pPr>
              <w:spacing w:before="40" w:after="40"/>
              <w:ind w:left="100" w:right="100"/>
              <w:jc w:val="right"/>
            </w:pPr>
            <w:r>
              <w:rPr>
                <w:rFonts w:eastAsia="Arial" w:cs="Arial"/>
                <w:color w:val="111111"/>
                <w:sz w:val="22"/>
                <w:szCs w:val="22"/>
              </w:rPr>
              <w:t>0.16</w:t>
            </w:r>
          </w:p>
        </w:tc>
      </w:tr>
      <w:tr w:rsidR="003E1512" w14:paraId="77410475" w14:textId="77777777">
        <w:trPr>
          <w:cantSplit/>
          <w:jc w:val="center"/>
        </w:trPr>
        <w:tc>
          <w:tcPr>
            <w:tcW w:w="1440" w:type="dxa"/>
            <w:shd w:val="clear" w:color="auto" w:fill="FFFFFF"/>
            <w:tcMar>
              <w:top w:w="0" w:type="dxa"/>
              <w:left w:w="0" w:type="dxa"/>
              <w:bottom w:w="0" w:type="dxa"/>
              <w:right w:w="0" w:type="dxa"/>
            </w:tcMar>
            <w:vAlign w:val="center"/>
          </w:tcPr>
          <w:p w14:paraId="45F0591A" w14:textId="77777777" w:rsidR="003E1512" w:rsidRDefault="00975995">
            <w:pPr>
              <w:spacing w:before="40" w:after="40"/>
              <w:ind w:left="100" w:right="100"/>
              <w:jc w:val="left"/>
            </w:pPr>
            <w:r>
              <w:rPr>
                <w:rFonts w:eastAsia="Arial" w:cs="Arial"/>
                <w:color w:val="111111"/>
                <w:sz w:val="22"/>
                <w:szCs w:val="22"/>
              </w:rPr>
              <w:t>Winter min</w:t>
            </w:r>
          </w:p>
        </w:tc>
        <w:tc>
          <w:tcPr>
            <w:tcW w:w="1440" w:type="dxa"/>
            <w:shd w:val="clear" w:color="auto" w:fill="FFFFFF"/>
            <w:tcMar>
              <w:top w:w="0" w:type="dxa"/>
              <w:left w:w="0" w:type="dxa"/>
              <w:bottom w:w="0" w:type="dxa"/>
              <w:right w:w="0" w:type="dxa"/>
            </w:tcMar>
            <w:vAlign w:val="center"/>
          </w:tcPr>
          <w:p w14:paraId="30971556" w14:textId="77777777" w:rsidR="003E1512" w:rsidRDefault="00975995">
            <w:pPr>
              <w:spacing w:before="40" w:after="40"/>
              <w:ind w:left="100" w:right="100"/>
              <w:jc w:val="left"/>
            </w:pPr>
            <w:r>
              <w:rPr>
                <w:rFonts w:eastAsia="Arial" w:cs="Arial"/>
                <w:color w:val="111111"/>
                <w:sz w:val="22"/>
                <w:szCs w:val="22"/>
              </w:rPr>
              <w:t>Dry</w:t>
            </w:r>
          </w:p>
        </w:tc>
        <w:tc>
          <w:tcPr>
            <w:tcW w:w="1440" w:type="dxa"/>
            <w:shd w:val="clear" w:color="auto" w:fill="FFFFFF"/>
            <w:tcMar>
              <w:top w:w="0" w:type="dxa"/>
              <w:left w:w="0" w:type="dxa"/>
              <w:bottom w:w="0" w:type="dxa"/>
              <w:right w:w="0" w:type="dxa"/>
            </w:tcMar>
            <w:vAlign w:val="center"/>
          </w:tcPr>
          <w:p w14:paraId="2F1A4462" w14:textId="77777777" w:rsidR="003E1512" w:rsidRDefault="00975995">
            <w:pPr>
              <w:spacing w:before="40" w:after="40"/>
              <w:ind w:left="100" w:right="100"/>
              <w:jc w:val="right"/>
            </w:pPr>
            <w:r>
              <w:rPr>
                <w:rFonts w:eastAsia="Arial" w:cs="Arial"/>
                <w:color w:val="111111"/>
                <w:sz w:val="22"/>
                <w:szCs w:val="22"/>
              </w:rPr>
              <w:t>5.115</w:t>
            </w:r>
          </w:p>
        </w:tc>
        <w:tc>
          <w:tcPr>
            <w:tcW w:w="1440" w:type="dxa"/>
            <w:shd w:val="clear" w:color="auto" w:fill="FFFFFF"/>
            <w:tcMar>
              <w:top w:w="0" w:type="dxa"/>
              <w:left w:w="0" w:type="dxa"/>
              <w:bottom w:w="0" w:type="dxa"/>
              <w:right w:w="0" w:type="dxa"/>
            </w:tcMar>
            <w:vAlign w:val="center"/>
          </w:tcPr>
          <w:p w14:paraId="1DBE29A9" w14:textId="77777777" w:rsidR="003E1512" w:rsidRDefault="00975995">
            <w:pPr>
              <w:spacing w:before="40" w:after="40"/>
              <w:ind w:left="100" w:right="100"/>
              <w:jc w:val="right"/>
            </w:pPr>
            <w:r>
              <w:rPr>
                <w:rFonts w:eastAsia="Arial" w:cs="Arial"/>
                <w:color w:val="111111"/>
                <w:sz w:val="22"/>
                <w:szCs w:val="22"/>
              </w:rPr>
              <w:t>0.002</w:t>
            </w:r>
          </w:p>
        </w:tc>
        <w:tc>
          <w:tcPr>
            <w:tcW w:w="1440" w:type="dxa"/>
            <w:shd w:val="clear" w:color="auto" w:fill="FFFFFF"/>
            <w:tcMar>
              <w:top w:w="0" w:type="dxa"/>
              <w:left w:w="0" w:type="dxa"/>
              <w:bottom w:w="0" w:type="dxa"/>
              <w:right w:w="0" w:type="dxa"/>
            </w:tcMar>
            <w:vAlign w:val="center"/>
          </w:tcPr>
          <w:p w14:paraId="23510BDE" w14:textId="77777777" w:rsidR="003E1512" w:rsidRDefault="00975995">
            <w:pPr>
              <w:spacing w:before="40" w:after="40"/>
              <w:ind w:left="100" w:right="100"/>
              <w:jc w:val="right"/>
            </w:pPr>
            <w:r>
              <w:rPr>
                <w:rFonts w:eastAsia="Arial" w:cs="Arial"/>
                <w:color w:val="111111"/>
                <w:sz w:val="22"/>
                <w:szCs w:val="22"/>
              </w:rPr>
              <w:t>0.78</w:t>
            </w:r>
          </w:p>
        </w:tc>
      </w:tr>
      <w:tr w:rsidR="003E1512" w14:paraId="1202C5DE" w14:textId="77777777">
        <w:trPr>
          <w:cantSplit/>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14:paraId="14550148" w14:textId="77777777" w:rsidR="003E1512" w:rsidRDefault="00975995">
            <w:pPr>
              <w:spacing w:before="40" w:after="40"/>
              <w:ind w:left="100" w:right="100"/>
              <w:jc w:val="left"/>
            </w:pPr>
            <w:r>
              <w:rPr>
                <w:rFonts w:eastAsia="Arial" w:cs="Arial"/>
                <w:color w:val="111111"/>
                <w:sz w:val="22"/>
                <w:szCs w:val="22"/>
              </w:rPr>
              <w:t>Winter min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1C1ED58A" w14:textId="77777777" w:rsidR="003E1512" w:rsidRDefault="00975995">
            <w:pPr>
              <w:spacing w:before="40" w:after="40"/>
              <w:ind w:left="100" w:right="100"/>
              <w:jc w:val="left"/>
            </w:pPr>
            <w:r>
              <w:rPr>
                <w:rFonts w:eastAsia="Arial" w:cs="Arial"/>
                <w:color w:val="111111"/>
                <w:sz w:val="22"/>
                <w:szCs w:val="22"/>
              </w:rPr>
              <w:t>Waterlogged</w:t>
            </w:r>
          </w:p>
        </w:tc>
        <w:tc>
          <w:tcPr>
            <w:tcW w:w="1440" w:type="dxa"/>
            <w:tcBorders>
              <w:bottom w:val="single" w:sz="16" w:space="0" w:color="000000"/>
            </w:tcBorders>
            <w:shd w:val="clear" w:color="auto" w:fill="FFFFFF"/>
            <w:tcMar>
              <w:top w:w="0" w:type="dxa"/>
              <w:left w:w="0" w:type="dxa"/>
              <w:bottom w:w="0" w:type="dxa"/>
              <w:right w:w="0" w:type="dxa"/>
            </w:tcMar>
            <w:vAlign w:val="center"/>
          </w:tcPr>
          <w:p w14:paraId="65F2D351" w14:textId="77777777" w:rsidR="003E1512" w:rsidRDefault="00975995">
            <w:pPr>
              <w:spacing w:before="40" w:after="40"/>
              <w:ind w:left="100" w:right="100"/>
              <w:jc w:val="right"/>
            </w:pPr>
            <w:r>
              <w:rPr>
                <w:rFonts w:eastAsia="Arial" w:cs="Arial"/>
                <w:color w:val="111111"/>
                <w:sz w:val="22"/>
                <w:szCs w:val="22"/>
              </w:rPr>
              <w:t>3.809</w:t>
            </w:r>
          </w:p>
        </w:tc>
        <w:tc>
          <w:tcPr>
            <w:tcW w:w="1440" w:type="dxa"/>
            <w:tcBorders>
              <w:bottom w:val="single" w:sz="16" w:space="0" w:color="000000"/>
            </w:tcBorders>
            <w:shd w:val="clear" w:color="auto" w:fill="FFFFFF"/>
            <w:tcMar>
              <w:top w:w="0" w:type="dxa"/>
              <w:left w:w="0" w:type="dxa"/>
              <w:bottom w:w="0" w:type="dxa"/>
              <w:right w:w="0" w:type="dxa"/>
            </w:tcMar>
            <w:vAlign w:val="center"/>
          </w:tcPr>
          <w:p w14:paraId="2FA1AF81" w14:textId="77777777" w:rsidR="003E1512" w:rsidRDefault="00975995">
            <w:pPr>
              <w:spacing w:before="40" w:after="40"/>
              <w:ind w:left="100" w:right="100"/>
              <w:jc w:val="right"/>
            </w:pPr>
            <w:r>
              <w:rPr>
                <w:rFonts w:eastAsia="Arial" w:cs="Arial"/>
                <w:color w:val="111111"/>
                <w:sz w:val="22"/>
                <w:szCs w:val="22"/>
              </w:rPr>
              <w:t>0.009</w:t>
            </w:r>
          </w:p>
        </w:tc>
        <w:tc>
          <w:tcPr>
            <w:tcW w:w="1440" w:type="dxa"/>
            <w:tcBorders>
              <w:bottom w:val="single" w:sz="16" w:space="0" w:color="000000"/>
            </w:tcBorders>
            <w:shd w:val="clear" w:color="auto" w:fill="FFFFFF"/>
            <w:tcMar>
              <w:top w:w="0" w:type="dxa"/>
              <w:left w:w="0" w:type="dxa"/>
              <w:bottom w:w="0" w:type="dxa"/>
              <w:right w:w="0" w:type="dxa"/>
            </w:tcMar>
            <w:vAlign w:val="center"/>
          </w:tcPr>
          <w:p w14:paraId="68D6C2F9" w14:textId="77777777" w:rsidR="003E1512" w:rsidRDefault="00975995">
            <w:pPr>
              <w:spacing w:before="40" w:after="40"/>
              <w:ind w:left="100" w:right="100"/>
              <w:jc w:val="right"/>
            </w:pPr>
            <w:r>
              <w:rPr>
                <w:rFonts w:eastAsia="Arial" w:cs="Arial"/>
                <w:color w:val="111111"/>
                <w:sz w:val="22"/>
                <w:szCs w:val="22"/>
              </w:rPr>
              <w:t>0.66</w:t>
            </w:r>
          </w:p>
        </w:tc>
      </w:tr>
    </w:tbl>
    <w:p w14:paraId="0F6D8F59" w14:textId="77777777" w:rsidR="003E1512" w:rsidRDefault="00975995" w:rsidP="008465FF">
      <w:pPr>
        <w:pStyle w:val="Ttulo1"/>
      </w:pPr>
      <w:bookmarkStart w:id="10" w:name="figures"/>
      <w:r>
        <w:lastRenderedPageBreak/>
        <w:t>Figures</w:t>
      </w:r>
      <w:bookmarkEnd w:id="10"/>
    </w:p>
    <w:p w14:paraId="7920F78F" w14:textId="77777777" w:rsidR="003E1512" w:rsidRDefault="00975995">
      <w:pPr>
        <w:pStyle w:val="CaptionedFigure"/>
      </w:pPr>
      <w:r>
        <w:rPr>
          <w:noProof/>
        </w:rPr>
        <w:drawing>
          <wp:inline distT="0" distB="0" distL="0" distR="0" wp14:anchorId="06892080" wp14:editId="55B08DD0">
            <wp:extent cx="5600700" cy="4800600"/>
            <wp:effectExtent l="0" t="0" r="0" b="0"/>
            <wp:docPr id="2" name="Picture" descr="Figure 1: Hourly soil temperature records at the mire sites. The blue series was recorded within the mire, in a waterloged area. The red series was recorded in a neighbouring dry area. Dataloggers were buried at 5 cm depth."/>
            <wp:cNvGraphicFramePr/>
            <a:graphic xmlns:a="http://schemas.openxmlformats.org/drawingml/2006/main">
              <a:graphicData uri="http://schemas.openxmlformats.org/drawingml/2006/picture">
                <pic:pic xmlns:pic="http://schemas.openxmlformats.org/drawingml/2006/picture">
                  <pic:nvPicPr>
                    <pic:cNvPr id="0" name="Picture" descr="ms_files/figure-docx/fig1-1.png"/>
                    <pic:cNvPicPr>
                      <a:picLocks noChangeAspect="1" noChangeArrowheads="1"/>
                    </pic:cNvPicPr>
                  </pic:nvPicPr>
                  <pic:blipFill>
                    <a:blip r:embed="rId9"/>
                    <a:stretch>
                      <a:fillRect/>
                    </a:stretch>
                  </pic:blipFill>
                  <pic:spPr bwMode="auto">
                    <a:xfrm>
                      <a:off x="0" y="0"/>
                      <a:ext cx="5600700" cy="4800600"/>
                    </a:xfrm>
                    <a:prstGeom prst="rect">
                      <a:avLst/>
                    </a:prstGeom>
                    <a:noFill/>
                    <a:ln w="9525">
                      <a:noFill/>
                      <a:headEnd/>
                      <a:tailEnd/>
                    </a:ln>
                  </pic:spPr>
                </pic:pic>
              </a:graphicData>
            </a:graphic>
          </wp:inline>
        </w:drawing>
      </w:r>
    </w:p>
    <w:p w14:paraId="00C62BEE" w14:textId="77777777" w:rsidR="003E1512" w:rsidRDefault="00975995">
      <w:pPr>
        <w:pStyle w:val="ImageCaption"/>
      </w:pPr>
      <w:r>
        <w:t>Figure 1: Hourly soil temperature records at the mire sites. The blue series was recorded within the mire, in a waterloged area. The red series was recorded in a neighbouring dry area. Dataloggers were buried at 5 cm depth.</w:t>
      </w:r>
    </w:p>
    <w:p w14:paraId="4D8FEA0E" w14:textId="77777777" w:rsidR="003E1512" w:rsidRDefault="00975995">
      <w:pPr>
        <w:pStyle w:val="CaptionedFigure"/>
      </w:pPr>
      <w:r>
        <w:rPr>
          <w:noProof/>
        </w:rPr>
        <w:lastRenderedPageBreak/>
        <w:drawing>
          <wp:inline distT="0" distB="0" distL="0" distR="0" wp14:anchorId="713D510E" wp14:editId="585B86E3">
            <wp:extent cx="5600700" cy="2400300"/>
            <wp:effectExtent l="0" t="0" r="0" b="0"/>
            <wp:docPr id="3" name="Picture" descr="Figure 2: Average bioclimatic variables in the dry and waterlogged sites. The bars represent the mean value, and the bars the standard error of 8 records."/>
            <wp:cNvGraphicFramePr/>
            <a:graphic xmlns:a="http://schemas.openxmlformats.org/drawingml/2006/main">
              <a:graphicData uri="http://schemas.openxmlformats.org/drawingml/2006/picture">
                <pic:pic xmlns:pic="http://schemas.openxmlformats.org/drawingml/2006/picture">
                  <pic:nvPicPr>
                    <pic:cNvPr id="0" name="Picture" descr="ms_files/figure-docx/fig2-1.png"/>
                    <pic:cNvPicPr>
                      <a:picLocks noChangeAspect="1" noChangeArrowheads="1"/>
                    </pic:cNvPicPr>
                  </pic:nvPicPr>
                  <pic:blipFill>
                    <a:blip r:embed="rId10"/>
                    <a:stretch>
                      <a:fillRect/>
                    </a:stretch>
                  </pic:blipFill>
                  <pic:spPr bwMode="auto">
                    <a:xfrm>
                      <a:off x="0" y="0"/>
                      <a:ext cx="5600700" cy="2400300"/>
                    </a:xfrm>
                    <a:prstGeom prst="rect">
                      <a:avLst/>
                    </a:prstGeom>
                    <a:noFill/>
                    <a:ln w="9525">
                      <a:noFill/>
                      <a:headEnd/>
                      <a:tailEnd/>
                    </a:ln>
                  </pic:spPr>
                </pic:pic>
              </a:graphicData>
            </a:graphic>
          </wp:inline>
        </w:drawing>
      </w:r>
    </w:p>
    <w:p w14:paraId="2512F574" w14:textId="77777777" w:rsidR="003E1512" w:rsidRDefault="00975995">
      <w:pPr>
        <w:pStyle w:val="ImageCaption"/>
      </w:pPr>
      <w:r>
        <w:t>Figure 2: Average bioclimatic variables in the dry and waterlogged sites. The bars represent the mean value, and the bars the standard error of 8 records.</w:t>
      </w:r>
    </w:p>
    <w:p w14:paraId="635F2454" w14:textId="77777777" w:rsidR="003E1512" w:rsidRDefault="00975995">
      <w:pPr>
        <w:pStyle w:val="CaptionedFigure"/>
      </w:pPr>
      <w:r>
        <w:rPr>
          <w:noProof/>
        </w:rPr>
        <w:lastRenderedPageBreak/>
        <w:drawing>
          <wp:inline distT="0" distB="0" distL="0" distR="0" wp14:anchorId="4A529598" wp14:editId="5D41CDF8">
            <wp:extent cx="5600700" cy="5600700"/>
            <wp:effectExtent l="0" t="0" r="0" b="0"/>
            <wp:docPr id="4" name="Picture" descr="Figure 3: Scatter plots of the bioclimatic variables predicted by CHELSA air temperatures vs. soil temperatures measured in situ, in dry and waterlogged sites."/>
            <wp:cNvGraphicFramePr/>
            <a:graphic xmlns:a="http://schemas.openxmlformats.org/drawingml/2006/main">
              <a:graphicData uri="http://schemas.openxmlformats.org/drawingml/2006/picture">
                <pic:pic xmlns:pic="http://schemas.openxmlformats.org/drawingml/2006/picture">
                  <pic:nvPicPr>
                    <pic:cNvPr id="0" name="Picture" descr="ms_files/figure-docx/fig3-1.png"/>
                    <pic:cNvPicPr>
                      <a:picLocks noChangeAspect="1" noChangeArrowheads="1"/>
                    </pic:cNvPicPr>
                  </pic:nvPicPr>
                  <pic:blipFill>
                    <a:blip r:embed="rId11"/>
                    <a:stretch>
                      <a:fillRect/>
                    </a:stretch>
                  </pic:blipFill>
                  <pic:spPr bwMode="auto">
                    <a:xfrm>
                      <a:off x="0" y="0"/>
                      <a:ext cx="5600700" cy="5600700"/>
                    </a:xfrm>
                    <a:prstGeom prst="rect">
                      <a:avLst/>
                    </a:prstGeom>
                    <a:noFill/>
                    <a:ln w="9525">
                      <a:noFill/>
                      <a:headEnd/>
                      <a:tailEnd/>
                    </a:ln>
                  </pic:spPr>
                </pic:pic>
              </a:graphicData>
            </a:graphic>
          </wp:inline>
        </w:drawing>
      </w:r>
    </w:p>
    <w:p w14:paraId="54018567" w14:textId="77777777" w:rsidR="003E1512" w:rsidRDefault="00975995">
      <w:pPr>
        <w:pStyle w:val="ImageCaption"/>
      </w:pPr>
      <w:r>
        <w:t>Figure 3: Scatter plots of the bioclimatic variables predicted by CHELSA air temperatures vs. soil temperatures measured in situ, in dry and waterlogged sites.</w:t>
      </w:r>
    </w:p>
    <w:p w14:paraId="5967A6EB" w14:textId="77777777" w:rsidR="003E1512" w:rsidRDefault="00975995" w:rsidP="008465FF">
      <w:pPr>
        <w:pStyle w:val="Ttulo1"/>
      </w:pPr>
      <w:bookmarkStart w:id="11" w:name="references"/>
      <w:r>
        <w:t>References</w:t>
      </w:r>
      <w:bookmarkEnd w:id="11"/>
    </w:p>
    <w:p w14:paraId="787B71CA" w14:textId="77777777" w:rsidR="003E1512" w:rsidRDefault="00975995">
      <w:pPr>
        <w:pStyle w:val="Bibliografa"/>
      </w:pPr>
      <w:bookmarkStart w:id="12" w:name="ref-RN3122"/>
      <w:bookmarkStart w:id="13" w:name="refs"/>
      <w:r>
        <w:t xml:space="preserve">Bergamini, A., M. Peintinger, S. Fakheran, H. Moradi, B. Schmid, and J. Joshi. 2009. “Loss of habitat specialists despite conservation management in fen remnants </w:t>
      </w:r>
      <w:r>
        <w:lastRenderedPageBreak/>
        <w:t xml:space="preserve">1995-2006.” Journal Article. </w:t>
      </w:r>
      <w:r>
        <w:rPr>
          <w:i/>
        </w:rPr>
        <w:t>Perspectives in Plant Ecology, Evolution and Systematics</w:t>
      </w:r>
      <w:r>
        <w:t xml:space="preserve"> 11 (1): 65–79. </w:t>
      </w:r>
      <w:hyperlink r:id="rId12">
        <w:r>
          <w:rPr>
            <w:rStyle w:val="Hipervnculo"/>
          </w:rPr>
          <w:t>https://doi.org/10.1016/j.ppees.2008.10.001</w:t>
        </w:r>
      </w:hyperlink>
      <w:r>
        <w:t>.</w:t>
      </w:r>
    </w:p>
    <w:p w14:paraId="32C94C38" w14:textId="77777777" w:rsidR="003E1512" w:rsidRDefault="00975995">
      <w:pPr>
        <w:pStyle w:val="Bibliografa"/>
      </w:pPr>
      <w:bookmarkStart w:id="14" w:name="ref-RN3328"/>
      <w:bookmarkEnd w:id="12"/>
      <w:r>
        <w:t xml:space="preserve">Breckle, Siegmar-Walter. 2002. </w:t>
      </w:r>
      <w:r>
        <w:rPr>
          <w:i/>
        </w:rPr>
        <w:t>Walter’s Vegetation of the Earth: The Ecological Systems of the Geo-biosphere</w:t>
      </w:r>
      <w:r>
        <w:t>. Book. Berlin - Heidelberg - New York: Springer.</w:t>
      </w:r>
    </w:p>
    <w:p w14:paraId="6F7DC14E" w14:textId="77777777" w:rsidR="003E1512" w:rsidRDefault="00975995">
      <w:pPr>
        <w:pStyle w:val="Bibliografa"/>
      </w:pPr>
      <w:bookmarkStart w:id="15" w:name="ref-RN4676"/>
      <w:bookmarkEnd w:id="14"/>
      <w:r>
        <w:t xml:space="preserve">Cornelissen, Johannes H. C., Peter M. Van Bodegom, Rien Aerts, Terry V. Callaghan, Richard S. P. Van Logtestijn, Juha Alatalo, F. Stuart Chapin, et al. 2007. “Global negative vegetation feedback to climate warming responses of leaf litter decomposition rates in cold biomes.” Journal Article. </w:t>
      </w:r>
      <w:r>
        <w:rPr>
          <w:i/>
        </w:rPr>
        <w:t>Ecology Letters</w:t>
      </w:r>
      <w:r>
        <w:t xml:space="preserve"> 10 (7): 619–27. </w:t>
      </w:r>
      <w:hyperlink r:id="rId13">
        <w:r>
          <w:rPr>
            <w:rStyle w:val="Hipervnculo"/>
          </w:rPr>
          <w:t>https://doi.org/10.1111/j.1461-0248.2007.01051.x</w:t>
        </w:r>
      </w:hyperlink>
      <w:r>
        <w:t>.</w:t>
      </w:r>
    </w:p>
    <w:p w14:paraId="466DB9AF" w14:textId="77777777" w:rsidR="003E1512" w:rsidRDefault="00975995">
      <w:pPr>
        <w:pStyle w:val="Bibliografa"/>
      </w:pPr>
      <w:bookmarkStart w:id="16" w:name="ref-RN4680"/>
      <w:bookmarkEnd w:id="15"/>
      <w:r>
        <w:t xml:space="preserve">Dítě, Daniel, Tomáš Peterka, Zuzana Dítětová, Petra Hájková, and Michal Hájek. 2017. “Arcto-Alpine species at their niche margin: the Western Carpathian refugia of </w:t>
      </w:r>
      <w:r>
        <w:rPr>
          <w:i/>
        </w:rPr>
        <w:t>Juncus castaneus</w:t>
      </w:r>
      <w:r>
        <w:t xml:space="preserve"> and </w:t>
      </w:r>
      <w:r>
        <w:rPr>
          <w:i/>
        </w:rPr>
        <w:t>J. triglumis</w:t>
      </w:r>
      <w:r>
        <w:t xml:space="preserve"> in Slovakia.” Journal Article. </w:t>
      </w:r>
      <w:r>
        <w:rPr>
          <w:i/>
        </w:rPr>
        <w:t>Annales Botanici Fennici</w:t>
      </w:r>
      <w:r>
        <w:t xml:space="preserve"> 54 (1–3): 67–82, 16. </w:t>
      </w:r>
      <w:hyperlink r:id="rId14">
        <w:r>
          <w:rPr>
            <w:rStyle w:val="Hipervnculo"/>
          </w:rPr>
          <w:t>https://doi.org/10.5735/085.054.0311</w:t>
        </w:r>
      </w:hyperlink>
      <w:r>
        <w:t>.</w:t>
      </w:r>
    </w:p>
    <w:p w14:paraId="7A793B39" w14:textId="77777777" w:rsidR="003E1512" w:rsidRDefault="00975995">
      <w:pPr>
        <w:pStyle w:val="Bibliografa"/>
      </w:pPr>
      <w:bookmarkStart w:id="17" w:name="ref-RN3344"/>
      <w:bookmarkEnd w:id="16"/>
      <w:r>
        <w:t xml:space="preserve">Ellenberg, Heinz. 1988. “Spring areas and adjacent swamps.” Book Section. In </w:t>
      </w:r>
      <w:r>
        <w:rPr>
          <w:i/>
        </w:rPr>
        <w:t>Vegetation Ecology of Central Europe</w:t>
      </w:r>
      <w:r>
        <w:t>, 313–13. Cambridge: Cambridge University Press.</w:t>
      </w:r>
    </w:p>
    <w:p w14:paraId="17E1F2F2" w14:textId="77777777" w:rsidR="003E1512" w:rsidRDefault="00975995">
      <w:pPr>
        <w:pStyle w:val="Bibliografa"/>
      </w:pPr>
      <w:bookmarkStart w:id="18" w:name="ref-RN2937"/>
      <w:bookmarkEnd w:id="17"/>
      <w:r>
        <w:t xml:space="preserve">Essl, Franz, Stefan Dullinger, Dietmar Moser, Wolfgang Rabitsch, and Ingrid Kleinbauer. 2012. “Vulnerability of mires under climate change: implications for nature conservation and climate change adaptation.” Journal Article. </w:t>
      </w:r>
      <w:r>
        <w:rPr>
          <w:i/>
        </w:rPr>
        <w:t>Biodiversity and Conservation</w:t>
      </w:r>
      <w:r>
        <w:t xml:space="preserve"> 21: 655–69.</w:t>
      </w:r>
    </w:p>
    <w:p w14:paraId="5231DD7E" w14:textId="77777777" w:rsidR="003E1512" w:rsidRDefault="00975995">
      <w:pPr>
        <w:pStyle w:val="Bibliografa"/>
      </w:pPr>
      <w:bookmarkStart w:id="19" w:name="ref-RN2356"/>
      <w:bookmarkEnd w:id="18"/>
      <w:r>
        <w:t xml:space="preserve">Fernandez-Pascual, Eduardo, Borja Jimenez-Alfaro, Michal Hajek, Tomas E. Diaz, Hugh W. Pritchard, Eduardo Fernández-Pascual, Borja Jiménez-Alfaro, et al. 2015. “Soil thermal buffer and regeneration niche may favour calcareous fen resilience to climate change.” Journal Article. </w:t>
      </w:r>
      <w:r>
        <w:rPr>
          <w:i/>
        </w:rPr>
        <w:t>Folia Geobotanica</w:t>
      </w:r>
      <w:r>
        <w:t xml:space="preserve"> 50 (4): 293–301. </w:t>
      </w:r>
      <w:hyperlink r:id="rId15">
        <w:r>
          <w:rPr>
            <w:rStyle w:val="Hipervnculo"/>
          </w:rPr>
          <w:t>https://doi.org/10.1007/s12224-015-9223-y</w:t>
        </w:r>
      </w:hyperlink>
      <w:r>
        <w:t>.</w:t>
      </w:r>
    </w:p>
    <w:p w14:paraId="5E0B11B9" w14:textId="77777777" w:rsidR="003E1512" w:rsidRDefault="00975995">
      <w:pPr>
        <w:pStyle w:val="Bibliografa"/>
      </w:pPr>
      <w:bookmarkStart w:id="20" w:name="ref-RN3246"/>
      <w:bookmarkEnd w:id="19"/>
      <w:r>
        <w:t xml:space="preserve">Fernández Prieto, José Antonio, María del Carmen Fernández Ordóñez, and Miguel Ángel Collado Prieto. 1985. “Datos sobre la vegetación de las turberas de </w:t>
      </w:r>
      <w:r>
        <w:lastRenderedPageBreak/>
        <w:t xml:space="preserve">esfagnos galaico-asturianas y orocantábricas.” Journal Article. </w:t>
      </w:r>
      <w:r>
        <w:rPr>
          <w:i/>
        </w:rPr>
        <w:t>Lazaroa</w:t>
      </w:r>
      <w:r>
        <w:t xml:space="preserve"> 7: 443–71.</w:t>
      </w:r>
    </w:p>
    <w:p w14:paraId="69B3D613" w14:textId="77777777" w:rsidR="003E1512" w:rsidRDefault="00975995">
      <w:pPr>
        <w:pStyle w:val="Bibliografa"/>
      </w:pPr>
      <w:bookmarkStart w:id="21" w:name="ref-RN4765"/>
      <w:bookmarkEnd w:id="20"/>
      <w:r>
        <w:t xml:space="preserve">Gardner, Alexandra S., Ilya M. D. Maclean, and Kevin J. Gaston. 2019. “Climatic predictors of species distributions neglect biophysiologically meaningful variables.” Journal Article. </w:t>
      </w:r>
      <w:r>
        <w:rPr>
          <w:i/>
        </w:rPr>
        <w:t>Diversity and Distributions</w:t>
      </w:r>
      <w:r>
        <w:t xml:space="preserve"> 25 (8): 1318–33. </w:t>
      </w:r>
      <w:hyperlink r:id="rId16">
        <w:r>
          <w:rPr>
            <w:rStyle w:val="Hipervnculo"/>
          </w:rPr>
          <w:t>https://doi.org/10.1111/ddi.12939</w:t>
        </w:r>
      </w:hyperlink>
      <w:r>
        <w:t>.</w:t>
      </w:r>
    </w:p>
    <w:p w14:paraId="33287803" w14:textId="77777777" w:rsidR="003E1512" w:rsidRDefault="00975995">
      <w:pPr>
        <w:pStyle w:val="Bibliografa"/>
      </w:pPr>
      <w:bookmarkStart w:id="22" w:name="ref-RN3201"/>
      <w:bookmarkEnd w:id="21"/>
      <w:r>
        <w:t xml:space="preserve">Geiger, Rudolf, Robert H. Aron, and Paul Todhunter. 2009. </w:t>
      </w:r>
      <w:r>
        <w:rPr>
          <w:i/>
        </w:rPr>
        <w:t>The Climate Near the Ground</w:t>
      </w:r>
      <w:r>
        <w:t>. Book. Lanham: Rowman &amp; Littlefield.</w:t>
      </w:r>
    </w:p>
    <w:p w14:paraId="3290CE27" w14:textId="77777777" w:rsidR="003E1512" w:rsidRDefault="00975995">
      <w:pPr>
        <w:pStyle w:val="Bibliografa"/>
      </w:pPr>
      <w:bookmarkStart w:id="23" w:name="ref-RN2960"/>
      <w:bookmarkEnd w:id="22"/>
      <w:r>
        <w:t xml:space="preserve">Grootjans, A. P., E. B. Adema, W. Bleuten, H. Joosten, M. Madaras, and M. Janáková. 2006. “Hydrological landscape settings of base-rich fen mires and fen meadows: an overview.” Journal Article. </w:t>
      </w:r>
      <w:r>
        <w:rPr>
          <w:i/>
        </w:rPr>
        <w:t>Applied Vegetation Science</w:t>
      </w:r>
      <w:r>
        <w:t xml:space="preserve"> 9: 175–84. </w:t>
      </w:r>
      <w:hyperlink r:id="rId17">
        <w:r>
          <w:rPr>
            <w:rStyle w:val="Hipervnculo"/>
          </w:rPr>
          <w:t>http://search.ebscohost.com/login.aspx?direct=true&amp;db=aph&amp;AN=25691039&amp;lang=es&amp;site=ehost-live</w:t>
        </w:r>
      </w:hyperlink>
      <w:r>
        <w:t>.</w:t>
      </w:r>
    </w:p>
    <w:p w14:paraId="78417772" w14:textId="77777777" w:rsidR="003E1512" w:rsidRDefault="00975995">
      <w:pPr>
        <w:pStyle w:val="Bibliografa"/>
      </w:pPr>
      <w:bookmarkStart w:id="24" w:name="ref-RN4674"/>
      <w:bookmarkEnd w:id="23"/>
      <w:r>
        <w:t xml:space="preserve">Hoegh-Guldberg, Ove, Elvira S. Poloczanska, William Skirving, and Sophie Dove. 2017. “Coral reef ecosystems under climate change and ocean acidification.” Journal Article. </w:t>
      </w:r>
      <w:r>
        <w:rPr>
          <w:i/>
        </w:rPr>
        <w:t>Frontiers in Marine Science</w:t>
      </w:r>
      <w:r>
        <w:t xml:space="preserve"> 4 (158). </w:t>
      </w:r>
      <w:hyperlink r:id="rId18">
        <w:r>
          <w:rPr>
            <w:rStyle w:val="Hipervnculo"/>
          </w:rPr>
          <w:t>https://doi.org/10.3389/fmars.2017.00158</w:t>
        </w:r>
      </w:hyperlink>
      <w:r>
        <w:t>.</w:t>
      </w:r>
    </w:p>
    <w:p w14:paraId="029042FC" w14:textId="77777777" w:rsidR="003E1512" w:rsidRDefault="00975995">
      <w:pPr>
        <w:pStyle w:val="Bibliografa"/>
      </w:pPr>
      <w:bookmarkStart w:id="25" w:name="ref-RN4675"/>
      <w:bookmarkEnd w:id="24"/>
      <w:r>
        <w:t xml:space="preserve">Horsák, Michal, Vendula Polášková, Marie Zhai, Jindřiška Bojková, Vít Syrovátka, Vanda Šorfová, Jana Schenková, Marek Polášek, Tomáš Peterka, and Michal Hájek. 2018. “Spring-fen habitat islands in a warming climate: partitioning the effects of mesoclimate air and water temperature on aquatic and terrestrial biota.” Journal Article. </w:t>
      </w:r>
      <w:r>
        <w:rPr>
          <w:i/>
        </w:rPr>
        <w:t>Science of the Total Environment</w:t>
      </w:r>
      <w:r>
        <w:t xml:space="preserve"> 634: 355–65. </w:t>
      </w:r>
      <w:hyperlink r:id="rId19">
        <w:r>
          <w:rPr>
            <w:rStyle w:val="Hipervnculo"/>
          </w:rPr>
          <w:t>https://doi.org/https://doi.org/10.1016/j.scitotenv.2018.03.319</w:t>
        </w:r>
      </w:hyperlink>
      <w:r>
        <w:t>.</w:t>
      </w:r>
    </w:p>
    <w:p w14:paraId="736666AE" w14:textId="77777777" w:rsidR="003E1512" w:rsidRDefault="00975995">
      <w:pPr>
        <w:pStyle w:val="Bibliografa"/>
      </w:pPr>
      <w:bookmarkStart w:id="26" w:name="ref-RN4682"/>
      <w:bookmarkEnd w:id="25"/>
      <w:r>
        <w:t xml:space="preserve">Hoyos, D de, Jesús Muñoz Fuente, A Negro, Juan José Aldasoro, JC Vega, and Gonzalo Moreno Moral. 1996. “A survey on Cantabrian mires (Spain).” Journal Article. </w:t>
      </w:r>
      <w:r>
        <w:rPr>
          <w:i/>
        </w:rPr>
        <w:t>Anales Del Jardín Botánico de Madrid</w:t>
      </w:r>
      <w:r>
        <w:t xml:space="preserve"> 54 (1): 472–89.</w:t>
      </w:r>
    </w:p>
    <w:p w14:paraId="3A7E16B4" w14:textId="77777777" w:rsidR="003E1512" w:rsidRDefault="00975995">
      <w:pPr>
        <w:pStyle w:val="Bibliografa"/>
      </w:pPr>
      <w:bookmarkStart w:id="27" w:name="ref-RN4672"/>
      <w:bookmarkEnd w:id="26"/>
      <w:r>
        <w:lastRenderedPageBreak/>
        <w:t xml:space="preserve">Huang, Jianping, Haipeng Yu, Xiaodan Guan, Guoyin Wang, and Ruixia Guo. 2016. “Accelerated dryland expansion under climate change.” Journal Article. </w:t>
      </w:r>
      <w:r>
        <w:rPr>
          <w:i/>
        </w:rPr>
        <w:t>Nature Climate Change</w:t>
      </w:r>
      <w:r>
        <w:t xml:space="preserve"> 6 (2): 166–71. </w:t>
      </w:r>
      <w:hyperlink r:id="rId20">
        <w:r>
          <w:rPr>
            <w:rStyle w:val="Hipervnculo"/>
          </w:rPr>
          <w:t>https://doi.org/10.1038/nclimate2837</w:t>
        </w:r>
      </w:hyperlink>
      <w:r>
        <w:t>.</w:t>
      </w:r>
    </w:p>
    <w:p w14:paraId="1239BAC1" w14:textId="77777777" w:rsidR="003E1512" w:rsidRDefault="00975995">
      <w:pPr>
        <w:pStyle w:val="Bibliografa"/>
      </w:pPr>
      <w:bookmarkStart w:id="28" w:name="ref-RN3586"/>
      <w:bookmarkEnd w:id="27"/>
      <w:r>
        <w:t xml:space="preserve">Ipcc. 2014. </w:t>
      </w:r>
      <w:r>
        <w:rPr>
          <w:i/>
        </w:rPr>
        <w:t>Climate Change 2014: Synthesis Report. Contribution of Working Groups I, II and III to the Fifth Assessment Report of the Intergovernmental Panel on Climate Change [Core Writing Team, R.K. Pachauri and L.A. Meyer (eds.)]</w:t>
      </w:r>
      <w:r>
        <w:t>. Book. Geneva: IPCC.</w:t>
      </w:r>
    </w:p>
    <w:p w14:paraId="4BBE3CE7" w14:textId="77777777" w:rsidR="003E1512" w:rsidRDefault="00975995">
      <w:pPr>
        <w:pStyle w:val="Bibliografa"/>
      </w:pPr>
      <w:bookmarkStart w:id="29" w:name="ref-RN2982"/>
      <w:bookmarkEnd w:id="28"/>
      <w:r>
        <w:t xml:space="preserve">Jiménez-Alfaro, Borja, Tomás Díaz González, and Eduardo Fernández-Pascual. 2011. “Grupos de vegetación y hábitats de tremedales neutro-basófilos en las montañas pirenaico-cantábricas.” Journal Article. </w:t>
      </w:r>
      <w:r>
        <w:rPr>
          <w:i/>
        </w:rPr>
        <w:t>Acta Botanica Barcinonensia</w:t>
      </w:r>
      <w:r>
        <w:t xml:space="preserve"> 53: 47–60.</w:t>
      </w:r>
    </w:p>
    <w:p w14:paraId="5C334BFF" w14:textId="77777777" w:rsidR="003E1512" w:rsidRDefault="00975995">
      <w:pPr>
        <w:pStyle w:val="Bibliografa"/>
      </w:pPr>
      <w:bookmarkStart w:id="30" w:name="ref-RN2513"/>
      <w:bookmarkEnd w:id="29"/>
      <w:r>
        <w:t xml:space="preserve">Jiménez-Alfaro, Borja, Laura García-Calvo, Pedro García, and José Luis Acebes. 2016. “Anticipating extinctions of glacial relict populations in mountain refugia.” Journal Article. </w:t>
      </w:r>
      <w:r>
        <w:rPr>
          <w:i/>
        </w:rPr>
        <w:t>Biological Conservation</w:t>
      </w:r>
      <w:r>
        <w:t xml:space="preserve"> 201: 243–51.</w:t>
      </w:r>
    </w:p>
    <w:p w14:paraId="36F76CEC" w14:textId="77777777" w:rsidR="003E1512" w:rsidRDefault="00975995">
      <w:pPr>
        <w:pStyle w:val="Bibliografa"/>
      </w:pPr>
      <w:bookmarkStart w:id="31" w:name="ref-RN4766"/>
      <w:bookmarkEnd w:id="30"/>
      <w:r>
        <w:t xml:space="preserve">Karger, Dirk Nikolaus, Olaf Conrad, Jürgen Böhner, Tobias Kawohl, Holger Kreft, Rodrigo Wilber Soria-Auza, Niklaus E. Zimmermann, H. Peter Linder, and Michael Kessler. 2017. “Climatologies at high resolution for the earth’s land surface areas.” Journal Article. </w:t>
      </w:r>
      <w:r>
        <w:rPr>
          <w:i/>
        </w:rPr>
        <w:t>Scientific Data</w:t>
      </w:r>
      <w:r>
        <w:t xml:space="preserve"> 4 (1): 170122. </w:t>
      </w:r>
      <w:hyperlink r:id="rId21">
        <w:r>
          <w:rPr>
            <w:rStyle w:val="Hipervnculo"/>
          </w:rPr>
          <w:t>https://doi.org/10.1038/sdata.2017.122</w:t>
        </w:r>
      </w:hyperlink>
      <w:r>
        <w:t>.</w:t>
      </w:r>
    </w:p>
    <w:p w14:paraId="4D1A7A2B" w14:textId="77777777" w:rsidR="003E1512" w:rsidRDefault="00975995">
      <w:pPr>
        <w:pStyle w:val="Bibliografa"/>
      </w:pPr>
      <w:bookmarkStart w:id="32" w:name="ref-RN4764"/>
      <w:bookmarkEnd w:id="31"/>
      <w:r>
        <w:t xml:space="preserve">Koffi, Ernest N., Peter Bergamaschi, Romain Alkama, and Alessandro Cescatti. 2020. “An observation-constrained assessment of the climate sensitivity and future trajectories of wetland methane emissions.” Journal Article. </w:t>
      </w:r>
      <w:r>
        <w:rPr>
          <w:i/>
        </w:rPr>
        <w:t>Science Advances</w:t>
      </w:r>
      <w:r>
        <w:t xml:space="preserve"> 6 (15): eaay4444. </w:t>
      </w:r>
      <w:hyperlink r:id="rId22">
        <w:r>
          <w:rPr>
            <w:rStyle w:val="Hipervnculo"/>
          </w:rPr>
          <w:t>https://doi.org/10.1126/sciadv.aay4444</w:t>
        </w:r>
      </w:hyperlink>
      <w:r>
        <w:t>.</w:t>
      </w:r>
    </w:p>
    <w:p w14:paraId="0BCD94B2" w14:textId="77777777" w:rsidR="003E1512" w:rsidRDefault="00975995">
      <w:pPr>
        <w:pStyle w:val="Bibliografa"/>
      </w:pPr>
      <w:bookmarkStart w:id="33" w:name="ref-RN2392"/>
      <w:bookmarkEnd w:id="32"/>
      <w:r>
        <w:t xml:space="preserve">Körner, Christian. 2003. </w:t>
      </w:r>
      <w:r>
        <w:rPr>
          <w:i/>
        </w:rPr>
        <w:t>Alpine Plant Life: Functional Plant Ecology of High Mountain Ecosystems</w:t>
      </w:r>
      <w:r>
        <w:t>. Book. 2nd ed. Berlin - Heidelberg - New York: Springer.</w:t>
      </w:r>
    </w:p>
    <w:p w14:paraId="68CE38AB" w14:textId="77777777" w:rsidR="003E1512" w:rsidRDefault="00975995">
      <w:pPr>
        <w:pStyle w:val="Bibliografa"/>
      </w:pPr>
      <w:bookmarkStart w:id="34" w:name="ref-RN3024"/>
      <w:bookmarkEnd w:id="33"/>
      <w:r>
        <w:t xml:space="preserve">Körner, Christian, and Jens Paulsen. 2004. “A world-wide study of high altitude treeline temperatures.” Journal Article. </w:t>
      </w:r>
      <w:r>
        <w:rPr>
          <w:i/>
        </w:rPr>
        <w:t>Journal of Biogeography</w:t>
      </w:r>
      <w:r>
        <w:t xml:space="preserve"> 31: 713–32. </w:t>
      </w:r>
      <w:hyperlink r:id="rId23">
        <w:r>
          <w:rPr>
            <w:rStyle w:val="Hipervnculo"/>
          </w:rPr>
          <w:t>http://10.0.4.87/j.1365-2699.2003.01043.x http://search.ebscohost.com/login.aspx?direct=true&amp;db=aph&amp;AN=12823821&amp;lang=es&amp;site=ehost-live</w:t>
        </w:r>
      </w:hyperlink>
      <w:r>
        <w:t>.</w:t>
      </w:r>
    </w:p>
    <w:p w14:paraId="4A60E750" w14:textId="77777777" w:rsidR="003E1512" w:rsidRDefault="00975995">
      <w:pPr>
        <w:pStyle w:val="Bibliografa"/>
      </w:pPr>
      <w:bookmarkStart w:id="35" w:name="ref-RN4759"/>
      <w:bookmarkEnd w:id="34"/>
      <w:r>
        <w:t xml:space="preserve">Lembrechts, Jonas J., Jonathan Lenoir, Nina Roth, Tarek Hattab, Ann Milbau, Sylvia Haider, Loïc Pellissier, et al. 2019. “Comparing temperature data sources for use in species distribution models: from in-situ logging to remote sensing.” Journal Article. </w:t>
      </w:r>
      <w:r>
        <w:rPr>
          <w:i/>
        </w:rPr>
        <w:t>Global Ecology and Biogeography</w:t>
      </w:r>
      <w:r>
        <w:t xml:space="preserve"> 28 (11): 1578–96. </w:t>
      </w:r>
      <w:hyperlink r:id="rId24">
        <w:r>
          <w:rPr>
            <w:rStyle w:val="Hipervnculo"/>
          </w:rPr>
          <w:t>https://doi.org/10.1111/geb.12974</w:t>
        </w:r>
      </w:hyperlink>
      <w:r>
        <w:t>.</w:t>
      </w:r>
    </w:p>
    <w:p w14:paraId="0296D72F" w14:textId="77777777" w:rsidR="003E1512" w:rsidRDefault="00975995">
      <w:pPr>
        <w:pStyle w:val="Bibliografa"/>
      </w:pPr>
      <w:bookmarkStart w:id="36" w:name="ref-RN4758"/>
      <w:bookmarkEnd w:id="35"/>
      <w:r>
        <w:t xml:space="preserve">Lembrechts, Jonas J., Ivan Nijs, and Jonathan Lenoir. 2019. “Incorporating microclimate into species distribution models.” Journal Article. </w:t>
      </w:r>
      <w:r>
        <w:rPr>
          <w:i/>
        </w:rPr>
        <w:t>Ecography</w:t>
      </w:r>
      <w:r>
        <w:t xml:space="preserve"> 42 (7): 1267–79. </w:t>
      </w:r>
      <w:hyperlink r:id="rId25">
        <w:r>
          <w:rPr>
            <w:rStyle w:val="Hipervnculo"/>
          </w:rPr>
          <w:t>https://doi.org/10.1111/ecog.03947</w:t>
        </w:r>
      </w:hyperlink>
      <w:r>
        <w:t>.</w:t>
      </w:r>
    </w:p>
    <w:p w14:paraId="6FC9E7DC" w14:textId="77777777" w:rsidR="003E1512" w:rsidRDefault="00975995">
      <w:pPr>
        <w:pStyle w:val="Bibliografa"/>
      </w:pPr>
      <w:bookmarkStart w:id="37" w:name="ref-RN4760"/>
      <w:bookmarkEnd w:id="36"/>
      <w:r>
        <w:t xml:space="preserve">Maclean, Ilya M. D., Jonathan R. Mosedale, and Jonathan J. Bennie. 2019. “Microclima: an R package for modelling meso- and microclimate.” Journal Article. </w:t>
      </w:r>
      <w:r>
        <w:rPr>
          <w:i/>
        </w:rPr>
        <w:t>Methods in Ecology and Evolution</w:t>
      </w:r>
      <w:r>
        <w:t xml:space="preserve"> 10 (2): 280–90. </w:t>
      </w:r>
      <w:hyperlink r:id="rId26">
        <w:r>
          <w:rPr>
            <w:rStyle w:val="Hipervnculo"/>
          </w:rPr>
          <w:t>https://doi.org/10.1111/2041-210x.13093</w:t>
        </w:r>
      </w:hyperlink>
      <w:r>
        <w:t>.</w:t>
      </w:r>
    </w:p>
    <w:p w14:paraId="2FD0CF32" w14:textId="77777777" w:rsidR="003E1512" w:rsidRDefault="00975995">
      <w:pPr>
        <w:pStyle w:val="Bibliografa"/>
      </w:pPr>
      <w:bookmarkStart w:id="38" w:name="ref-RN4677"/>
      <w:bookmarkEnd w:id="37"/>
      <w:r>
        <w:t xml:space="preserve">Pearson, Richard G., and Terence P. Dawson. 2005. “Long-distance plant dispersal and habitat fragmentation: identifying conservation targets for spatial landscape planning under climate change.” Journal Article. </w:t>
      </w:r>
      <w:r>
        <w:rPr>
          <w:i/>
        </w:rPr>
        <w:t>Biological Conservation</w:t>
      </w:r>
      <w:r>
        <w:t xml:space="preserve"> 123 (3): 389–401. </w:t>
      </w:r>
      <w:hyperlink r:id="rId27">
        <w:r>
          <w:rPr>
            <w:rStyle w:val="Hipervnculo"/>
          </w:rPr>
          <w:t>https://doi.org/https://doi.org/10.1016/j.biocon.2004.12.006</w:t>
        </w:r>
      </w:hyperlink>
      <w:r>
        <w:t>.</w:t>
      </w:r>
    </w:p>
    <w:p w14:paraId="78A98DB3" w14:textId="77777777" w:rsidR="003E1512" w:rsidRDefault="00975995">
      <w:pPr>
        <w:pStyle w:val="Bibliografa"/>
      </w:pPr>
      <w:bookmarkStart w:id="39" w:name="ref-RN4678"/>
      <w:bookmarkEnd w:id="38"/>
      <w:r>
        <w:t xml:space="preserve">Peterka, Tomáš, Michal Hájek, Martin Jiroušek, Borja Jiménez-Alfaro, Liene Aunina, Ariel Bergamini, Daniel Dítě, et al. 2017. “Formalized classification of European fen vegetation at the alliance level.” Journal Article. </w:t>
      </w:r>
      <w:r>
        <w:rPr>
          <w:i/>
        </w:rPr>
        <w:t>Applied Vegetation Science</w:t>
      </w:r>
      <w:r>
        <w:t xml:space="preserve"> 20 (1): 124–42. </w:t>
      </w:r>
      <w:hyperlink r:id="rId28">
        <w:r>
          <w:rPr>
            <w:rStyle w:val="Hipervnculo"/>
          </w:rPr>
          <w:t>https://doi.org/10.1111/avsc.12271</w:t>
        </w:r>
      </w:hyperlink>
      <w:r>
        <w:t>.</w:t>
      </w:r>
    </w:p>
    <w:p w14:paraId="1BADF262" w14:textId="77777777" w:rsidR="003E1512" w:rsidRDefault="00975995">
      <w:pPr>
        <w:pStyle w:val="Bibliografa"/>
      </w:pPr>
      <w:bookmarkStart w:id="40" w:name="ref-RN4761"/>
      <w:bookmarkEnd w:id="39"/>
      <w:r>
        <w:t xml:space="preserve">Philippov, Dmitriy A., and Victoria V. Yurchenko. 2019. “Data on air temperature, relative humidity and dew point in a boreal </w:t>
      </w:r>
      <w:r>
        <w:rPr>
          <w:i/>
        </w:rPr>
        <w:t>Sphagnum</w:t>
      </w:r>
      <w:r>
        <w:t xml:space="preserve"> bog and an upland site (Shichengskoe mire system, North-Western Russia).” Journal Article. </w:t>
      </w:r>
      <w:r>
        <w:rPr>
          <w:i/>
        </w:rPr>
        <w:t>Data in Brief</w:t>
      </w:r>
      <w:r>
        <w:t xml:space="preserve"> 25: 104156. </w:t>
      </w:r>
      <w:hyperlink r:id="rId29">
        <w:r>
          <w:rPr>
            <w:rStyle w:val="Hipervnculo"/>
          </w:rPr>
          <w:t>https://doi.org/https://doi.org/10.1016/j.dib.2019.104156</w:t>
        </w:r>
      </w:hyperlink>
      <w:r>
        <w:t>.</w:t>
      </w:r>
    </w:p>
    <w:p w14:paraId="7B3851DF" w14:textId="77777777" w:rsidR="003E1512" w:rsidRDefault="00975995">
      <w:pPr>
        <w:pStyle w:val="Bibliografa"/>
      </w:pPr>
      <w:bookmarkStart w:id="41" w:name="ref-RN3204"/>
      <w:bookmarkEnd w:id="40"/>
      <w:r>
        <w:lastRenderedPageBreak/>
        <w:t xml:space="preserve">Raney, PatrickA, JasonD Fridley, and DonaldJ Leopold. 2014. “Characterizing microclimate and plant community variation in wetlands.” Journal Article. </w:t>
      </w:r>
      <w:r>
        <w:rPr>
          <w:i/>
        </w:rPr>
        <w:t>Wetlands</w:t>
      </w:r>
      <w:r>
        <w:t xml:space="preserve"> 34 (1): 43–53. </w:t>
      </w:r>
      <w:hyperlink r:id="rId30">
        <w:r>
          <w:rPr>
            <w:rStyle w:val="Hipervnculo"/>
          </w:rPr>
          <w:t>https://doi.org/10.1007/s13157-013-0481-2</w:t>
        </w:r>
      </w:hyperlink>
      <w:r>
        <w:t>.</w:t>
      </w:r>
    </w:p>
    <w:p w14:paraId="3AA9C1A9" w14:textId="77777777" w:rsidR="003E1512" w:rsidRDefault="00975995">
      <w:pPr>
        <w:pStyle w:val="Bibliografa"/>
      </w:pPr>
      <w:bookmarkStart w:id="42" w:name="ref-RN3060"/>
      <w:bookmarkEnd w:id="41"/>
      <w:r>
        <w:t xml:space="preserve">Raney, Patrick A., Donald J. Leopold, Martin Dovčiak, and Colin M. Beier. 2016. “Hydrologic position mediates sensitivity of tree growth to recent climate change: wetlands as refugia in a warmer world.” Journal Article. </w:t>
      </w:r>
      <w:r>
        <w:rPr>
          <w:i/>
        </w:rPr>
        <w:t>Ecological Applications</w:t>
      </w:r>
      <w:r>
        <w:t xml:space="preserve"> in press.</w:t>
      </w:r>
    </w:p>
    <w:p w14:paraId="1D774EBB" w14:textId="77777777" w:rsidR="003E1512" w:rsidRDefault="00975995">
      <w:pPr>
        <w:pStyle w:val="Bibliografa"/>
      </w:pPr>
      <w:bookmarkStart w:id="43" w:name="ref-RN4681"/>
      <w:bookmarkEnd w:id="42"/>
      <w:r>
        <w:t xml:space="preserve">Sánchez de Dios, Rut, Marta Benito-Garzón, and Helios Sainz-Ollero. 2009. “Present and future extension of the Iberian submediterranean territories as determined from the distribution of marcescent oaks.” Journal Article. </w:t>
      </w:r>
      <w:r>
        <w:rPr>
          <w:i/>
        </w:rPr>
        <w:t>Plant Ecology</w:t>
      </w:r>
      <w:r>
        <w:t xml:space="preserve"> 204 (2): 189–205. </w:t>
      </w:r>
      <w:hyperlink r:id="rId31">
        <w:r>
          <w:rPr>
            <w:rStyle w:val="Hipervnculo"/>
          </w:rPr>
          <w:t>https://doi.org/10.1007/s11258-009-9584-5</w:t>
        </w:r>
      </w:hyperlink>
      <w:r>
        <w:t>.</w:t>
      </w:r>
    </w:p>
    <w:p w14:paraId="051429B7" w14:textId="77777777" w:rsidR="003E1512" w:rsidRDefault="00975995">
      <w:pPr>
        <w:pStyle w:val="Bibliografa"/>
      </w:pPr>
      <w:bookmarkStart w:id="44" w:name="ref-RN4679"/>
      <w:bookmarkEnd w:id="43"/>
      <w:r>
        <w:t xml:space="preserve">Schenková, Jana, Vendula Polášková, Martina Bílková, Jindřiška Bojková, Vít Syrovátka, Marek Polášek, and Michal Horsák. 2020. “Climatically induced temperature instability of groundwater-dependent habitats will suppress cold-adapted Clitellata species.” Journal Article. </w:t>
      </w:r>
      <w:r>
        <w:rPr>
          <w:i/>
        </w:rPr>
        <w:t>International Review of Hydrobiology</w:t>
      </w:r>
      <w:r>
        <w:t xml:space="preserve"> 105: 85–93. </w:t>
      </w:r>
      <w:hyperlink r:id="rId32">
        <w:r>
          <w:rPr>
            <w:rStyle w:val="Hipervnculo"/>
          </w:rPr>
          <w:t>https://doi.org/10.1002/iroh.201902006</w:t>
        </w:r>
      </w:hyperlink>
      <w:r>
        <w:t>.</w:t>
      </w:r>
    </w:p>
    <w:p w14:paraId="7190F36C" w14:textId="77777777" w:rsidR="003E1512" w:rsidRDefault="00975995">
      <w:pPr>
        <w:pStyle w:val="Bibliografa"/>
      </w:pPr>
      <w:bookmarkStart w:id="45" w:name="ref-RN4673"/>
      <w:bookmarkEnd w:id="44"/>
      <w:r>
        <w:t xml:space="preserve">Seidl, Rupert, Dominik Thom, Markus Kautz, Dario Martin-Benito, Mikko Peltoniemi, Giorgio Vacchiano, Jan Wild, et al. 2017. “Forest disturbances under climate change.” Journal Article. </w:t>
      </w:r>
      <w:r>
        <w:rPr>
          <w:i/>
        </w:rPr>
        <w:t>Nature Climate Change</w:t>
      </w:r>
      <w:r>
        <w:t xml:space="preserve"> 7 (6): 395–402. </w:t>
      </w:r>
      <w:hyperlink r:id="rId33">
        <w:r>
          <w:rPr>
            <w:rStyle w:val="Hipervnculo"/>
          </w:rPr>
          <w:t>https://doi.org/10.1038/nclimate3303</w:t>
        </w:r>
      </w:hyperlink>
      <w:r>
        <w:t>.</w:t>
      </w:r>
    </w:p>
    <w:p w14:paraId="60D75AF0" w14:textId="77777777" w:rsidR="003E1512" w:rsidRDefault="00975995">
      <w:pPr>
        <w:pStyle w:val="Bibliografa"/>
      </w:pPr>
      <w:bookmarkStart w:id="46" w:name="ref-RN4683"/>
      <w:bookmarkEnd w:id="45"/>
      <w:r>
        <w:t xml:space="preserve">Storlie, Collin, Andres Merino-Viteri, Ben Phillips, Jeremy VanDerWal, Justin Welbergen, and Stephen Williams. 2014. “Stepping inside the niche: microclimate data are critical for accurate assessment of species’ vulnerability to climate change.” Journal Article. </w:t>
      </w:r>
      <w:r>
        <w:rPr>
          <w:i/>
        </w:rPr>
        <w:t>Biology Letters</w:t>
      </w:r>
      <w:r>
        <w:t xml:space="preserve"> 10 (9): 20140576. </w:t>
      </w:r>
      <w:hyperlink r:id="rId34">
        <w:r>
          <w:rPr>
            <w:rStyle w:val="Hipervnculo"/>
          </w:rPr>
          <w:t>https://doi.org/doi:10.1098/rsbl.2014.0576</w:t>
        </w:r>
      </w:hyperlink>
      <w:r>
        <w:t>.</w:t>
      </w:r>
    </w:p>
    <w:p w14:paraId="40C887D2" w14:textId="77777777" w:rsidR="003E1512" w:rsidRDefault="00975995">
      <w:pPr>
        <w:pStyle w:val="Bibliografa"/>
      </w:pPr>
      <w:bookmarkStart w:id="47" w:name="ref-RN3161"/>
      <w:bookmarkEnd w:id="46"/>
      <w:r>
        <w:lastRenderedPageBreak/>
        <w:t xml:space="preserve">Wheeler, B. D., and M. C. F. Proctor. 2000. “Ecological gradients, subdivisions and terminology of north-west European mires.” Journal Article. </w:t>
      </w:r>
      <w:r>
        <w:rPr>
          <w:i/>
        </w:rPr>
        <w:t>Journal of Ecology</w:t>
      </w:r>
      <w:r>
        <w:t xml:space="preserve"> 88 (2): 187–203. </w:t>
      </w:r>
      <w:hyperlink r:id="rId35">
        <w:r>
          <w:rPr>
            <w:rStyle w:val="Hipervnculo"/>
          </w:rPr>
          <w:t>https://doi.org/10.1046/j.1365-2745.2000.00455.x</w:t>
        </w:r>
      </w:hyperlink>
      <w:r>
        <w:t>.</w:t>
      </w:r>
    </w:p>
    <w:p w14:paraId="680F6CF0" w14:textId="77777777" w:rsidR="003E1512" w:rsidRDefault="00975995">
      <w:pPr>
        <w:pStyle w:val="Bibliografa"/>
      </w:pPr>
      <w:bookmarkStart w:id="48" w:name="ref-RN4762"/>
      <w:bookmarkEnd w:id="47"/>
      <w:r>
        <w:t xml:space="preserve">Zellweger, Florian, Pieter De Frenne, Jonathan Lenoir, Duccio Rocchini, and David Coomes. 2019. “Advances in microclimate ecology arising from remote sensing.” Journal Article. </w:t>
      </w:r>
      <w:r>
        <w:rPr>
          <w:i/>
        </w:rPr>
        <w:t>Trends in Ecology &amp; Evolution</w:t>
      </w:r>
      <w:r>
        <w:t xml:space="preserve"> 34 (4): 327–41. </w:t>
      </w:r>
      <w:hyperlink r:id="rId36">
        <w:r>
          <w:rPr>
            <w:rStyle w:val="Hipervnculo"/>
          </w:rPr>
          <w:t>https://doi.org/https://doi.org/10.1016/j.tree.2018.12.012</w:t>
        </w:r>
      </w:hyperlink>
      <w:r>
        <w:t>.</w:t>
      </w:r>
    </w:p>
    <w:p w14:paraId="32D31160" w14:textId="77777777" w:rsidR="003E1512" w:rsidRDefault="00975995">
      <w:pPr>
        <w:pStyle w:val="Bibliografa"/>
      </w:pPr>
      <w:bookmarkStart w:id="49" w:name="ref-RN4763"/>
      <w:bookmarkEnd w:id="48"/>
      <w:r>
        <w:t xml:space="preserve">Zellweger, Florian, Pieter De Frenne, Jonathan Lenoir, Pieter Vangansbeke, Kris Verheyen, Markus Bernhardt-Römermann, Lander Baeten, et al. 2020. “Forest microclimate dynamics drive plant responses to warming.” Journal Article. </w:t>
      </w:r>
      <w:r>
        <w:rPr>
          <w:i/>
        </w:rPr>
        <w:t>Science</w:t>
      </w:r>
      <w:r>
        <w:t xml:space="preserve"> 368 (6492): 772–75. </w:t>
      </w:r>
      <w:hyperlink r:id="rId37">
        <w:r>
          <w:rPr>
            <w:rStyle w:val="Hipervnculo"/>
          </w:rPr>
          <w:t>https://doi.org/10.1126/science.aba6880</w:t>
        </w:r>
      </w:hyperlink>
      <w:r>
        <w:t>.</w:t>
      </w:r>
      <w:bookmarkEnd w:id="13"/>
      <w:bookmarkEnd w:id="49"/>
    </w:p>
    <w:sectPr w:rsidR="003E1512" w:rsidSect="00920D72">
      <w:footerReference w:type="default" r:id="rId38"/>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28DAF" w14:textId="77777777" w:rsidR="005262C7" w:rsidRDefault="005262C7">
      <w:pPr>
        <w:spacing w:before="0" w:after="0" w:line="240" w:lineRule="auto"/>
      </w:pPr>
      <w:r>
        <w:separator/>
      </w:r>
    </w:p>
  </w:endnote>
  <w:endnote w:type="continuationSeparator" w:id="0">
    <w:p w14:paraId="0F7B0EC7" w14:textId="77777777" w:rsidR="005262C7" w:rsidRDefault="005262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5262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45A52" w14:textId="77777777" w:rsidR="005262C7" w:rsidRDefault="005262C7">
      <w:r>
        <w:separator/>
      </w:r>
    </w:p>
  </w:footnote>
  <w:footnote w:type="continuationSeparator" w:id="0">
    <w:p w14:paraId="084268E4" w14:textId="77777777" w:rsidR="005262C7" w:rsidRDefault="00526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7AAF"/>
    <w:rsid w:val="003E1512"/>
    <w:rsid w:val="004E29B3"/>
    <w:rsid w:val="005262C7"/>
    <w:rsid w:val="00590D07"/>
    <w:rsid w:val="00784D58"/>
    <w:rsid w:val="008465FF"/>
    <w:rsid w:val="008D6863"/>
    <w:rsid w:val="0097599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B3F1"/>
  <w15:docId w15:val="{B7AB3522-23DB-4C11-8F14-4B56BE58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8465FF"/>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8465FF"/>
    <w:pPr>
      <w:keepNext/>
      <w:keepLines/>
      <w:spacing w:before="480" w:after="240"/>
      <w:jc w:val="left"/>
    </w:pPr>
    <w:rPr>
      <w:rFonts w:eastAsiaTheme="majorEastAsia" w:cstheme="majorBidi"/>
      <w:b/>
      <w:bCs/>
      <w:sz w:val="32"/>
      <w:szCs w:val="32"/>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1-0248.2007.01051.x" TargetMode="External"/><Relationship Id="rId18" Type="http://schemas.openxmlformats.org/officeDocument/2006/relationships/hyperlink" Target="https://doi.org/10.3389/fmars.2017.00158" TargetMode="External"/><Relationship Id="rId26" Type="http://schemas.openxmlformats.org/officeDocument/2006/relationships/hyperlink" Target="https://doi.org/10.1111/2041-210x.13093" TargetMode="External"/><Relationship Id="rId39" Type="http://schemas.openxmlformats.org/officeDocument/2006/relationships/fontTable" Target="fontTable.xml"/><Relationship Id="rId21" Type="http://schemas.openxmlformats.org/officeDocument/2006/relationships/hyperlink" Target="https://doi.org/10.1038/sdata.2017.122" TargetMode="External"/><Relationship Id="rId34" Type="http://schemas.openxmlformats.org/officeDocument/2006/relationships/hyperlink" Target="https://doi.org/doi:10.1098/rsbl.2014.0576" TargetMode="External"/><Relationship Id="rId7" Type="http://schemas.openxmlformats.org/officeDocument/2006/relationships/hyperlink" Target="mailto:efernandezpascual@gmail.com" TargetMode="External"/><Relationship Id="rId12" Type="http://schemas.openxmlformats.org/officeDocument/2006/relationships/hyperlink" Target="https://doi.org/10.1016/j.ppees.2008.10.001" TargetMode="External"/><Relationship Id="rId17" Type="http://schemas.openxmlformats.org/officeDocument/2006/relationships/hyperlink" Target="http://search.ebscohost.com/login.aspx?direct=true&amp;db=aph&amp;AN=25691039&amp;lang=es&amp;site=ehost-live" TargetMode="External"/><Relationship Id="rId25" Type="http://schemas.openxmlformats.org/officeDocument/2006/relationships/hyperlink" Target="https://doi.org/10.1111/ecog.03947" TargetMode="External"/><Relationship Id="rId33" Type="http://schemas.openxmlformats.org/officeDocument/2006/relationships/hyperlink" Target="https://doi.org/10.1038/nclimate3303"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111/ddi.12939" TargetMode="External"/><Relationship Id="rId20" Type="http://schemas.openxmlformats.org/officeDocument/2006/relationships/hyperlink" Target="https://doi.org/10.1038/nclimate2837" TargetMode="External"/><Relationship Id="rId29" Type="http://schemas.openxmlformats.org/officeDocument/2006/relationships/hyperlink" Target="https://doi.org/https://doi.org/10.1016/j.dib.2019.1041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11/geb.12974" TargetMode="External"/><Relationship Id="rId32" Type="http://schemas.openxmlformats.org/officeDocument/2006/relationships/hyperlink" Target="https://doi.org/10.1002/iroh.201902006" TargetMode="External"/><Relationship Id="rId37" Type="http://schemas.openxmlformats.org/officeDocument/2006/relationships/hyperlink" Target="https://doi.org/10.1126/science.aba6880"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7/s12224-015-9223-y" TargetMode="External"/><Relationship Id="rId23" Type="http://schemas.openxmlformats.org/officeDocument/2006/relationships/hyperlink" Target="http://10.0.4.87/j.1365-2699.2003.01043.x%0Ahttp://search.ebscohost.com/login.aspx?direct=true&amp;db=aph&amp;AN=12823821&amp;lang=es&amp;site=ehost-live" TargetMode="External"/><Relationship Id="rId28" Type="http://schemas.openxmlformats.org/officeDocument/2006/relationships/hyperlink" Target="https://doi.org/10.1111/avsc.12271" TargetMode="External"/><Relationship Id="rId36" Type="http://schemas.openxmlformats.org/officeDocument/2006/relationships/hyperlink" Target="https://doi.org/https://doi.org/10.1016/j.tree.2018.12.012" TargetMode="External"/><Relationship Id="rId10" Type="http://schemas.openxmlformats.org/officeDocument/2006/relationships/image" Target="media/image3.png"/><Relationship Id="rId19" Type="http://schemas.openxmlformats.org/officeDocument/2006/relationships/hyperlink" Target="https://doi.org/https://doi.org/10.1016/j.scitotenv.2018.03.319" TargetMode="External"/><Relationship Id="rId31" Type="http://schemas.openxmlformats.org/officeDocument/2006/relationships/hyperlink" Target="https://doi.org/10.1007/s11258-009-9584-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5735/085.054.0311" TargetMode="External"/><Relationship Id="rId22" Type="http://schemas.openxmlformats.org/officeDocument/2006/relationships/hyperlink" Target="https://doi.org/10.1126/sciadv.aay4444" TargetMode="External"/><Relationship Id="rId27" Type="http://schemas.openxmlformats.org/officeDocument/2006/relationships/hyperlink" Target="https://doi.org/https://doi.org/10.1016/j.biocon.2004.12.006" TargetMode="External"/><Relationship Id="rId30" Type="http://schemas.openxmlformats.org/officeDocument/2006/relationships/hyperlink" Target="https://doi.org/10.1007/s13157-013-0481-2" TargetMode="External"/><Relationship Id="rId35" Type="http://schemas.openxmlformats.org/officeDocument/2006/relationships/hyperlink" Target="https://doi.org/10.1046/j.1365-2745.2000.00455.x" TargetMode="External"/><Relationship Id="rId8" Type="http://schemas.openxmlformats.org/officeDocument/2006/relationships/image" Target="media/image1.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4829</Words>
  <Characters>26563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31330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 microclimate: groundwater buffers temperature in waterlogged versus dry soils</dc:title>
  <dc:creator>EDUARDO FERNANDEZ PASCUAL</dc:creator>
  <cp:keywords/>
  <cp:lastModifiedBy>EDUARDO FERNANDEZ PASCUAL</cp:lastModifiedBy>
  <cp:revision>4</cp:revision>
  <dcterms:created xsi:type="dcterms:W3CDTF">2020-07-12T11:59:00Z</dcterms:created>
  <dcterms:modified xsi:type="dcterms:W3CDTF">2020-07-12T12:01:00Z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international-journal-of-climatology.csl</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y fmtid="{D5CDD505-2E9C-101B-9397-08002B2CF9AE}" pid="7" name="subtitle">
    <vt:lpwstr>Short title: Testing the thermal buffer of mire groundwater</vt:lpwstr>
  </property>
</Properties>
</file>