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6.png" ContentType="image/png"/>
  <Override PartName="/word/media/rId77.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SylvanSeeds,</w:t>
      </w:r>
      <w:r>
        <w:t xml:space="preserve"> </w:t>
      </w:r>
      <w:r>
        <w:t xml:space="preserve">a</w:t>
      </w:r>
      <w:r>
        <w:t xml:space="preserve"> </w:t>
      </w:r>
      <w:r>
        <w:t xml:space="preserve">seed</w:t>
      </w:r>
      <w:r>
        <w:t xml:space="preserve"> </w:t>
      </w:r>
      <w:r>
        <w:t xml:space="preserve">germination</w:t>
      </w:r>
      <w:r>
        <w:t xml:space="preserve"> </w:t>
      </w:r>
      <w:r>
        <w:t xml:space="preserve">database</w:t>
      </w:r>
      <w:r>
        <w:t xml:space="preserve"> </w:t>
      </w:r>
      <w:r>
        <w:t xml:space="preserve">for</w:t>
      </w:r>
      <w:r>
        <w:t xml:space="preserve"> </w:t>
      </w:r>
      <w:r>
        <w:t xml:space="preserve">temperate</w:t>
      </w:r>
      <w:r>
        <w:t xml:space="preserve"> </w:t>
      </w:r>
      <w:r>
        <w:t xml:space="preserve">deciduous</w:t>
      </w:r>
      <w:r>
        <w:t xml:space="preserve"> </w:t>
      </w:r>
      <w:r>
        <w:t xml:space="preserve">forests</w:t>
      </w:r>
    </w:p>
    <w:p>
      <w:pPr>
        <w:pStyle w:val="Subttulo"/>
      </w:pPr>
      <w:r>
        <w:t xml:space="preserve">Running</w:t>
      </w:r>
      <w:r>
        <w:t xml:space="preserve"> </w:t>
      </w:r>
      <w:r>
        <w:t xml:space="preserve">title:</w:t>
      </w:r>
      <w:r>
        <w:t xml:space="preserve"> </w:t>
      </w:r>
      <w:r>
        <w:t xml:space="preserve">SylvanSeeds,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FirstParagraph"/>
      </w:pPr>
      <w:r>
        <w:rPr>
          <w:b/>
        </w:rPr>
        <w:t xml:space="preserve">Author:</w:t>
      </w:r>
      <w:r>
        <w:t xml:space="preserve"> </w:t>
      </w:r>
      <w:r>
        <w:t xml:space="preserve">Eduardo Fernández-Pascual</w:t>
      </w:r>
      <w:r>
        <w:t xml:space="preserve"> </w:t>
      </w:r>
      <w:r>
        <w:rPr>
          <w:b/>
        </w:rPr>
        <w:t xml:space="preserve">Institutional address:</w:t>
      </w:r>
      <w:r>
        <w:t xml:space="preserve"> </w:t>
      </w:r>
      <w:r>
        <w:t xml:space="preserve">Departamento de Biología de Organismos y Sistemas, Universidad de Oviedo, C/ Catedrático Rodrigo Uría, 33006 Oviedo/Uviéu, Spain</w:t>
      </w:r>
      <w:r>
        <w:t xml:space="preserve"> </w:t>
      </w:r>
      <w:r>
        <w:rPr>
          <w:b/>
        </w:rPr>
        <w:t xml:space="preserve">Email:</w:t>
      </w:r>
      <w:r>
        <w:t xml:space="preserve"> </w:t>
      </w:r>
      <w:hyperlink r:id="rId20">
        <w:r>
          <w:rPr>
            <w:rStyle w:val="Hipervnculo"/>
          </w:rPr>
          <w:t xml:space="preserve">efernandezpascual@gmail.com</w:t>
        </w:r>
      </w:hyperlink>
      <w:r>
        <w:t xml:space="preserve"> </w:t>
      </w:r>
      <w:r>
        <w:rPr>
          <w:b/>
        </w:rPr>
        <w:t xml:space="preserve">Telephone:</w:t>
      </w:r>
      <w:r>
        <w:t xml:space="preserve"> </w:t>
      </w:r>
      <w:r>
        <w:t xml:space="preserve">+34985104787</w:t>
      </w:r>
    </w:p>
    <w:p>
      <w:pPr>
        <w:pStyle w:val="Ttulo1"/>
      </w:pPr>
      <w:bookmarkStart w:id="21" w:name="abstract"/>
      <w:r>
        <w:t xml:space="preserve">Abstract</w:t>
      </w:r>
      <w:bookmarkEnd w:id="21"/>
    </w:p>
    <w:p>
      <w:pPr>
        <w:pStyle w:val="FirstParagraph"/>
      </w:pPr>
      <w:r>
        <w:t xml:space="preserve">Seed traits have functional significance in all levels of plant biology, but there is a lack of germination databases of wide geographical scope. This article presents</w:t>
      </w:r>
      <w:r>
        <w:t xml:space="preserve"> </w:t>
      </w:r>
      <w:r>
        <w:rPr>
          <w:i/>
        </w:rPr>
        <w:t xml:space="preserve">SylvanSeeds</w:t>
      </w:r>
      <w:r>
        <w:t xml:space="preserve">, a first global database of germination records for an ecologically coherent unit: Temperate Broadleaf and Mixed Forests. Data were gathered with a systematic literature search. A list of frequent taxa of the study area was created using 17,852 vegetation relevés from the sPlot database. The list was searched in the Web of Science. 6,791 references were screened, finding 614 articles from which data were extracted.</w:t>
      </w:r>
      <w:r>
        <w:t xml:space="preserve"> </w:t>
      </w:r>
      <w:r>
        <w:rPr>
          <w:i/>
        </w:rPr>
        <w:t xml:space="preserve">SylvanSeeds</w:t>
      </w:r>
      <w:r>
        <w:t xml:space="preserve"> </w:t>
      </w:r>
      <w:r>
        <w:t xml:space="preserve">includes 4,828 germination records of 364 species from 74 families (gymnosperms and angiosperms), collected in 46 countries between 1920-2017. It provides raw data for meta-analysis: proportions of seeds germinated in laboratory experiments of scarification, stratification, light-darkness, and constant-alternating temperatures.</w:t>
      </w:r>
      <w:r>
        <w:t xml:space="preserve"> </w:t>
      </w:r>
      <w:r>
        <w:rPr>
          <w:i/>
        </w:rPr>
        <w:t xml:space="preserve">SylvanSeeds</w:t>
      </w:r>
      <w:r>
        <w:t xml:space="preserve"> </w:t>
      </w:r>
      <w:r>
        <w:t xml:space="preserve">is freely distributed as a</w:t>
      </w:r>
      <w:r>
        <w:t xml:space="preserve"> </w:t>
      </w:r>
      <w:r>
        <w:rPr>
          <w:i/>
        </w:rPr>
        <w:t xml:space="preserve">.csv</w:t>
      </w:r>
      <w:r>
        <w:t xml:space="preserve">. The shiny app</w:t>
      </w:r>
      <w:r>
        <w:t xml:space="preserve"> </w:t>
      </w:r>
      <w:r>
        <w:rPr>
          <w:i/>
        </w:rPr>
        <w:t xml:space="preserve">SylvanSeeds</w:t>
      </w:r>
      <w:r>
        <w:t xml:space="preserve"> </w:t>
      </w:r>
      <w:r>
        <w:t xml:space="preserve">(</w:t>
      </w:r>
      <w:hyperlink r:id="rId22">
        <w:r>
          <w:rPr>
            <w:rStyle w:val="Hipervnculo"/>
          </w:rPr>
          <w:t xml:space="preserve">https://efernandezpascual.shinyapps.io/sylvanseeds/</w:t>
        </w:r>
      </w:hyperlink>
      <w:r>
        <w:t xml:space="preserve">) is also presented, to make data accessible to the public.</w:t>
      </w:r>
      <w:r>
        <w:t xml:space="preserve"> </w:t>
      </w:r>
      <w:r>
        <w:rPr>
          <w:i/>
        </w:rPr>
        <w:t xml:space="preserve">SylvanSeeds</w:t>
      </w:r>
      <w:r>
        <w:t xml:space="preserve"> </w:t>
      </w:r>
      <w:r>
        <w:t xml:space="preserve">advances functional seed ecology and brings two innovations to plant science. First, the data-gathering methodology can be extended to other biomes. Second, database and app can be a standard in further efforts to compile germination data.</w:t>
      </w:r>
    </w:p>
    <w:p>
      <w:pPr>
        <w:pStyle w:val="Textoindependiente"/>
      </w:pPr>
      <w:r>
        <w:rPr>
          <w:b/>
        </w:rPr>
        <w:t xml:space="preserve">Keywords:</w:t>
      </w:r>
      <w:r>
        <w:t xml:space="preserve"> </w:t>
      </w:r>
      <w:r>
        <w:t xml:space="preserve">germination database, germination temperature, light and dark germination, seed dormancy, seed traits, temperate coniferous forests, temperate broadleaf and mixed forests, temperate evergreen forests</w:t>
      </w:r>
    </w:p>
    <w:p>
      <w:pPr>
        <w:pStyle w:val="Ttulo1"/>
      </w:pPr>
      <w:bookmarkStart w:id="23" w:name="introduction"/>
      <w:r>
        <w:t xml:space="preserve">Introduction</w:t>
      </w:r>
      <w:bookmarkEnd w:id="23"/>
    </w:p>
    <w:p>
      <w:pPr>
        <w:pStyle w:val="FirstParagraph"/>
      </w:pPr>
      <w:r>
        <w:t xml:space="preserve">Seed traits have functional significance in all levels of plant ecology, from population dynamics</w:t>
      </w:r>
      <w:r>
        <w:t xml:space="preserve"> </w:t>
      </w:r>
      <w:r>
        <w:t xml:space="preserve">(Huang et al.</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 et al.</w:t>
      </w:r>
      <w:r>
        <w:t xml:space="preserve"> </w:t>
      </w:r>
      <w:hyperlink w:anchor="ref-RN2352">
        <w:r>
          <w:rPr>
            <w:rStyle w:val="Hipervnculo"/>
          </w:rPr>
          <w:t xml:space="preserve">2016</w:t>
        </w:r>
      </w:hyperlink>
      <w:r>
        <w:t xml:space="preserve">; Saatkamp et al.</w:t>
      </w:r>
      <w:r>
        <w:t xml:space="preserve"> </w:t>
      </w:r>
      <w:hyperlink w:anchor="ref-RN4655">
        <w:r>
          <w:rPr>
            <w:rStyle w:val="Hipervnculo"/>
          </w:rPr>
          <w:t xml:space="preserve">2019</w:t>
        </w:r>
      </w:hyperlink>
      <w:r>
        <w:t xml:space="preserve">)</w:t>
      </w:r>
      <w:r>
        <w:t xml:space="preserve"> </w:t>
      </w:r>
      <w:r>
        <w:t xml:space="preserve">highlighted the lack of reliable germination databases of wide geographical scope as a major limitation to produce a global synthesis of the seed ecological spectrum. Seed germination is the first major developmental transition in the life of a plant, and it has profound effects on the plant’s ecology</w:t>
      </w:r>
      <w:r>
        <w:t xml:space="preserve"> </w:t>
      </w:r>
      <w:r>
        <w:t xml:space="preserve">(Donohue et al.</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 et al.</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 et al.</w:t>
      </w:r>
      <w:r>
        <w:t xml:space="preserve"> </w:t>
      </w:r>
      <w:hyperlink w:anchor="ref-RN2217">
        <w:r>
          <w:rPr>
            <w:rStyle w:val="Hipervnculo"/>
          </w:rPr>
          <w:t xml:space="preserve">1977</w:t>
        </w:r>
      </w:hyperlink>
      <w:r>
        <w:t xml:space="preserve">)</w:t>
      </w:r>
      <w:r>
        <w:t xml:space="preserve">, light</w:t>
      </w:r>
      <w:r>
        <w:t xml:space="preserve"> </w:t>
      </w:r>
      <w:r>
        <w:t xml:space="preserve">(Carta et al.</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of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 et al.</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 et al.</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article presents</w:t>
      </w:r>
      <w:r>
        <w:t xml:space="preserve"> </w:t>
      </w:r>
      <w:r>
        <w:rPr>
          <w:i/>
        </w:rPr>
        <w:t xml:space="preserve">SylvanSeeds</w:t>
      </w:r>
      <w:r>
        <w:t xml:space="preserve">, a first global database of raw germination data for an ecologically and biogeographically coherent unit: the Temperate Broadleaf and Mixed Forests biome of the northern hemisphere (</w:t>
      </w:r>
      <w:r>
        <w:rPr>
          <w:i/>
        </w:rPr>
        <w:t xml:space="preserve">TBMFNH</w:t>
      </w:r>
      <w:r>
        <w:t xml:space="preserve">). Deciduous forests are dominant in temperate latitudes with mild to cold winters and relatively warm and wet summers.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w:t>
      </w:r>
      <w:r>
        <w:t xml:space="preserve"> </w:t>
      </w:r>
      <w:r>
        <w:rPr>
          <w:i/>
        </w:rPr>
        <w:t xml:space="preserve">TBMFNH</w:t>
      </w:r>
      <w:r>
        <w:t xml:space="preserve"> </w:t>
      </w:r>
      <w:r>
        <w:t xml:space="preserve">areas, e.g. in the USA</w:t>
      </w:r>
      <w:r>
        <w:t xml:space="preserve"> </w:t>
      </w:r>
      <w:r>
        <w:t xml:space="preserve">(Baskin</w:t>
      </w:r>
      <w:r>
        <w:t xml:space="preserve"> </w:t>
      </w:r>
      <w:hyperlink w:anchor="ref-RN1045">
        <w:r>
          <w:rPr>
            <w:rStyle w:val="Hipervnculo"/>
          </w:rPr>
          <w:t xml:space="preserve">1995</w:t>
        </w:r>
      </w:hyperlink>
      <w:r>
        <w:t xml:space="preserve">)</w:t>
      </w:r>
      <w:r>
        <w:t xml:space="preserve">, the UK</w:t>
      </w:r>
      <w:r>
        <w:t xml:space="preserve"> </w:t>
      </w:r>
      <w:r>
        <w:t xml:space="preserve">(Grime et al.</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To create</w:t>
      </w:r>
      <w:r>
        <w:t xml:space="preserve"> </w:t>
      </w:r>
      <w:r>
        <w:rPr>
          <w:i/>
        </w:rPr>
        <w:t xml:space="preserve">SylvanSeeds</w:t>
      </w:r>
      <w:r>
        <w:t xml:space="preserve">, a systematic literature search</w:t>
      </w:r>
      <w:r>
        <w:t xml:space="preserve"> </w:t>
      </w:r>
      <w:r>
        <w:t xml:space="preserve">(Koricheva et al.</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w:t>
      </w:r>
      <w:r>
        <w:t xml:space="preserve"> </w:t>
      </w:r>
      <w:r>
        <w:rPr>
          <w:i/>
        </w:rPr>
        <w:t xml:space="preserve">TBMFNH</w:t>
      </w:r>
      <w:r>
        <w:t xml:space="preserve">. This article makes the database accessible to the research community. Additionally, the</w:t>
      </w:r>
      <w:r>
        <w:t xml:space="preserve"> </w:t>
      </w:r>
      <w:r>
        <w:rPr>
          <w:i/>
        </w:rPr>
        <w:t xml:space="preserve">SylvanSeeds</w:t>
      </w:r>
      <w:r>
        <w:t xml:space="preserve"> </w:t>
      </w:r>
      <w:r>
        <w:t xml:space="preserve">shiny web app is presented to facilitate the exploration of the data.</w:t>
      </w:r>
    </w:p>
    <w:p>
      <w:pPr>
        <w:pStyle w:val="Ttulo1"/>
      </w:pPr>
      <w:bookmarkStart w:id="24" w:name="materials-and-methods"/>
      <w:r>
        <w:t xml:space="preserve">Materials and Methods</w:t>
      </w:r>
      <w:bookmarkEnd w:id="24"/>
    </w:p>
    <w:p>
      <w:pPr>
        <w:pStyle w:val="Ttulo2"/>
      </w:pPr>
      <w:bookmarkStart w:id="25" w:name="species-list"/>
      <w:r>
        <w:t xml:space="preserve">Species list</w:t>
      </w:r>
      <w:bookmarkEnd w:id="25"/>
    </w:p>
    <w:p>
      <w:pPr>
        <w:pStyle w:val="FirstParagraph"/>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 et al.</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w:t>
      </w:r>
      <w:r>
        <w:t xml:space="preserve"> </w:t>
      </w:r>
      <w:r>
        <w:rPr>
          <w:i/>
        </w:rPr>
        <w:t xml:space="preserve">TBMFNH</w:t>
      </w:r>
      <w:r>
        <w:t xml:space="preserve"> </w:t>
      </w:r>
      <w:r>
        <w:t xml:space="preserve">biodiversity, they were chosen from 20 ecoregions distributed throughout the northern hemisphere: 17 ecoregions of the Temperate Broadleaf and Mixed Forests biome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plus three neighbouring ecoregions of the Temperate Coniferous Forest biome (</w:t>
      </w:r>
      <w:r>
        <w:rPr>
          <w:i/>
        </w:rPr>
        <w:t xml:space="preserve">Cascade Mountains leeward forests</w:t>
      </w:r>
      <w:r>
        <w:t xml:space="preserve">,</w:t>
      </w:r>
      <w:r>
        <w:t xml:space="preserve"> </w:t>
      </w:r>
      <w:r>
        <w:rPr>
          <w:i/>
        </w:rPr>
        <w:t xml:space="preserve">Central and Southern Cascades forests</w:t>
      </w:r>
      <w:r>
        <w:t xml:space="preserve">,</w:t>
      </w:r>
      <w:r>
        <w:t xml:space="preserve"> </w:t>
      </w:r>
      <w:r>
        <w:rPr>
          <w:i/>
        </w:rPr>
        <w:t xml:space="preserve">Eastern Cascades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 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 et al.</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version 3.6.2</w:t>
      </w:r>
      <w:r>
        <w:t xml:space="preserve"> </w:t>
      </w:r>
      <w:r>
        <w:t xml:space="preserve">(R Core Team</w:t>
      </w:r>
      <w:r>
        <w:t xml:space="preserve"> </w:t>
      </w:r>
      <w:hyperlink w:anchor="ref-RN2315">
        <w:r>
          <w:rPr>
            <w:rStyle w:val="Hipervnculo"/>
          </w:rPr>
          <w:t xml:space="preserve">2019</w:t>
        </w:r>
      </w:hyperlink>
      <w:r>
        <w:t xml:space="preserve">)</w:t>
      </w:r>
      <w:r>
        <w:t xml:space="preserve">. The final vegetation database contained 17,852 relevés and 7,684 standardized species names, considering only seed plants (gymnosperms and angiosperms), and encompassing all forest layers. To obtain the final list of species, only species that were present in at least 5% of the relevés of an ecoregion were kept, rendering a list of 1,391 frequent species. There were two reasons to use this frequency threshold: (i) it made the search achievable with the resources available; and (ii) it filtered out rare species that may not be representative of</w:t>
      </w:r>
      <w:r>
        <w:t xml:space="preserve"> </w:t>
      </w:r>
      <w:r>
        <w:rPr>
          <w:i/>
        </w:rPr>
        <w:t xml:space="preserve">TBMFNH</w:t>
      </w:r>
      <w:r>
        <w:t xml:space="preserve">, and which could have been recorded for a variety of reasons (wrong taxonomical identifications, mistakes in plot coordinates, border areas, unnatural areas such as parks, etc.). The result is a list of plant species that occur with relatively high frequency in forest plots of the</w:t>
      </w:r>
      <w:r>
        <w:t xml:space="preserve"> </w:t>
      </w:r>
      <w:r>
        <w:rPr>
          <w:i/>
        </w:rPr>
        <w:t xml:space="preserve">TBMFNH</w:t>
      </w:r>
      <w:r>
        <w:t xml:space="preserve">; this includes trees, shrubs and shade-tolerant forbs and grasses, as well as common semi-open species from forest margins, secondary forests, ruderalized forest plots, etc.</w:t>
      </w:r>
    </w:p>
    <w:p>
      <w:pPr>
        <w:pStyle w:val="Ttulo2"/>
      </w:pPr>
      <w:bookmarkStart w:id="26" w:name="web-of-science-literature-search"/>
      <w:r>
        <w:t xml:space="preserve">Web of Science literature search</w:t>
      </w:r>
      <w:bookmarkEnd w:id="26"/>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Supporting Information 1</w:t>
      </w:r>
      <w:r>
        <w:t xml:space="preserve">). A first filter of the results by the relevance of the title retained 1,489 references. An effort was made to access the full text of all these references, using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issues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Supporting Information 2</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639 were non-relevant (</w:t>
      </w:r>
      <w:r>
        <w:rPr>
          <w:i/>
        </w:rPr>
        <w:t xml:space="preserve">BiBTeX</w:t>
      </w:r>
      <w:r>
        <w:t xml:space="preserve"> </w:t>
      </w:r>
      <w:r>
        <w:t xml:space="preserve">file in</w:t>
      </w:r>
      <w:r>
        <w:t xml:space="preserve"> </w:t>
      </w:r>
      <w:r>
        <w:rPr>
          <w:b/>
        </w:rPr>
        <w:t xml:space="preserve">Supporting Information 3</w:t>
      </w:r>
      <w:r>
        <w:t xml:space="preserve">) and 614 provided relevant data (</w:t>
      </w:r>
      <w:r>
        <w:rPr>
          <w:i/>
        </w:rPr>
        <w:t xml:space="preserve">BiBTeX</w:t>
      </w:r>
      <w:r>
        <w:t xml:space="preserve"> </w:t>
      </w:r>
      <w:r>
        <w:t xml:space="preserve">file in</w:t>
      </w:r>
      <w:r>
        <w:t xml:space="preserve"> </w:t>
      </w:r>
      <w:r>
        <w:rPr>
          <w:b/>
        </w:rPr>
        <w:t xml:space="preserve">Supporting Information 4</w:t>
      </w:r>
      <w:r>
        <w:t xml:space="preserve">).</w:t>
      </w:r>
    </w:p>
    <w:p>
      <w:pPr>
        <w:pStyle w:val="Ttulo2"/>
      </w:pPr>
      <w:bookmarkStart w:id="27" w:name="recording-of-the-database"/>
      <w:r>
        <w:t xml:space="preserve">Recording of the database</w:t>
      </w:r>
      <w:bookmarkEnd w:id="27"/>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city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8" w:name="results"/>
      <w:r>
        <w:t xml:space="preserve">Results</w:t>
      </w:r>
      <w:bookmarkEnd w:id="28"/>
    </w:p>
    <w:p>
      <w:pPr>
        <w:pStyle w:val="Ttulo2"/>
      </w:pPr>
      <w:bookmarkStart w:id="29" w:name="summary-of-contents"/>
      <w:r>
        <w:t xml:space="preserve">Summary of contents</w:t>
      </w:r>
      <w:bookmarkEnd w:id="29"/>
    </w:p>
    <w:p>
      <w:pPr>
        <w:pStyle w:val="FirstParagraph"/>
      </w:pPr>
      <w:r>
        <w:t xml:space="preserve">The final database contains 4,828 records (germination proportions for a given seed lot of a species, recorded in a set of experimental conditions) from 614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The oldest record was from 1920 and the top three contributing countries were the USA (1,357), the UK (591) and Japan (531). There were 364 species represented, from 74 seed plant families. The total estimate of seeds used in the experiments was 953,807. The range of germination temperatures (weighted average of the daily thermoperiod) went from -4 to 43 ºC, with 2,107 records of constant temperatures and 2,721 of alternating temperatures. Light was used in 2,849 records, darkness in 1,227 and 752 did not provide information on this parameter. The experiments were performed with unstratified seeds in 3,227 records, and of the rest, the majority (1,421) went through cold stratification. Scarification was applied to 252 records.</w:t>
      </w:r>
    </w:p>
    <w:p>
      <w:pPr>
        <w:pStyle w:val="Ttulo2"/>
      </w:pPr>
      <w:bookmarkStart w:id="30" w:name="database-file"/>
      <w:r>
        <w:t xml:space="preserve">Database file</w:t>
      </w:r>
      <w:bookmarkEnd w:id="30"/>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Supporting Information 5</w:t>
      </w:r>
      <w:r>
        <w:t xml:space="preserve"> </w:t>
      </w:r>
      <w:r>
        <w:t xml:space="preserve">(see online Supporting Information). The first row of the file contains the header data, with the following variables:</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Sown_by_container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Germinable</w:t>
      </w:r>
      <w:r>
        <w:t xml:space="preserve"> </w:t>
      </w:r>
      <w:r>
        <w:t xml:space="preserve">(count of seeds used in the experiment). Each row below the header represents a record for a seed lot germinated in a given set of experimental conditions. Presenting the response variable as a proportion (i.e. number of successes</w:t>
      </w:r>
      <w:r>
        <w:t xml:space="preserve"> </w:t>
      </w:r>
      <w:r>
        <w:rPr>
          <w:i/>
        </w:rPr>
        <w:t xml:space="preserve">Germinated</w:t>
      </w:r>
      <w:r>
        <w:t xml:space="preserve">, number of trials</w:t>
      </w:r>
      <w:r>
        <w:t xml:space="preserve"> </w:t>
      </w:r>
      <w:r>
        <w:rPr>
          <w:i/>
        </w:rPr>
        <w:t xml:space="preserve">Germinable</w:t>
      </w:r>
      <w:r>
        <w:t xml:space="preserve">) has important benefits for meta-analysis of the database, as proportions can be analysed directly using a GLM, and a variance term does not need to be specified since it is incorporated as part of the analysis</w:t>
      </w:r>
      <w:r>
        <w:t xml:space="preserve"> </w:t>
      </w:r>
      <w:r>
        <w:t xml:space="preserve">(Mengersen &amp; Gurevitch</w:t>
      </w:r>
      <w:r>
        <w:t xml:space="preserve"> </w:t>
      </w:r>
      <w:hyperlink w:anchor="ref-RN4751">
        <w:r>
          <w:rPr>
            <w:rStyle w:val="Hipervnculo"/>
          </w:rPr>
          <w:t xml:space="preserve">2013</w:t>
        </w:r>
      </w:hyperlink>
      <w:r>
        <w:t xml:space="preserve">)</w:t>
      </w:r>
      <w:r>
        <w:t xml:space="preserve">.</w:t>
      </w:r>
    </w:p>
    <w:p>
      <w:pPr>
        <w:pStyle w:val="Ttulo2"/>
      </w:pPr>
      <w:bookmarkStart w:id="31" w:name="sylvanseeds-app"/>
      <w:r>
        <w:t xml:space="preserve">SylvanSeeds app</w:t>
      </w:r>
      <w:bookmarkEnd w:id="31"/>
    </w:p>
    <w:p>
      <w:pPr>
        <w:pStyle w:val="FirstParagraph"/>
      </w:pPr>
      <w:r>
        <w:t xml:space="preserve">To facilitate the visualization of the database, the</w:t>
      </w:r>
      <w:r>
        <w:t xml:space="preserve"> </w:t>
      </w:r>
      <w:r>
        <w:rPr>
          <w:i/>
        </w:rPr>
        <w:t xml:space="preserve">SylvanSeeds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 et al.</w:t>
      </w:r>
      <w:r>
        <w:t xml:space="preserve"> </w:t>
      </w:r>
      <w:hyperlink w:anchor="ref-RN4661">
        <w:r>
          <w:rPr>
            <w:rStyle w:val="Hipervnculo"/>
          </w:rPr>
          <w:t xml:space="preserve">2020</w:t>
        </w:r>
      </w:hyperlink>
      <w:r>
        <w:t xml:space="preserve">)</w:t>
      </w:r>
      <w:r>
        <w:t xml:space="preserve">. It is publicly accessible at</w:t>
      </w:r>
      <w:r>
        <w:t xml:space="preserve"> </w:t>
      </w:r>
      <w:hyperlink r:id="rId22">
        <w:r>
          <w:rPr>
            <w:rStyle w:val="Hipervnculo"/>
          </w:rPr>
          <w:t xml:space="preserve">https://efernandezpascual.shinyapps.io/sylvanseeds/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 et al.</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 et al.</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metafor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2" w:name="discussion"/>
      <w:r>
        <w:t xml:space="preserve">Discussion</w:t>
      </w:r>
      <w:bookmarkEnd w:id="32"/>
    </w:p>
    <w:p>
      <w:pPr>
        <w:pStyle w:val="FirstParagraph"/>
      </w:pPr>
      <w:r>
        <w:t xml:space="preserve">The database provided in this article, and the web app to visualize it, can have wide applicability in science and beyond. It can extend current trends in global analyses of plant traits at species</w:t>
      </w:r>
      <w:r>
        <w:t xml:space="preserve"> </w:t>
      </w:r>
      <w:r>
        <w:t xml:space="preserve">(Díaz et al.</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 et al.</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 et al.</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SylvanSeeds</w:t>
      </w:r>
      <w:r>
        <w:t xml:space="preserve"> </w:t>
      </w:r>
      <w:r>
        <w:t xml:space="preserve">app can help plant ecologists select experimental treatments that are adequate for their experiments</w:t>
      </w:r>
      <w:r>
        <w:t xml:space="preserve"> </w:t>
      </w:r>
      <w:r>
        <w:t xml:space="preserve">(Baskin et al.</w:t>
      </w:r>
      <w:r>
        <w:t xml:space="preserve"> </w:t>
      </w:r>
      <w:hyperlink w:anchor="ref-RN2999">
        <w:r>
          <w:rPr>
            <w:rStyle w:val="Hipervnculo"/>
          </w:rPr>
          <w:t xml:space="preserve">2006</w:t>
        </w:r>
      </w:hyperlink>
      <w:r>
        <w:t xml:space="preserve">)</w:t>
      </w:r>
      <w:r>
        <w:t xml:space="preserve">. Outside of academia, germination data are useful for seed industries</w:t>
      </w:r>
      <w:r>
        <w:t xml:space="preserve"> </w:t>
      </w:r>
      <w:r>
        <w:t xml:space="preserve">(De Vitis et al.</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 et al.</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database itself, this article can bring two innovations to the seed ecology community, helping to advance the agenda of functional seed ecology</w:t>
      </w:r>
      <w:r>
        <w:t xml:space="preserve"> </w:t>
      </w:r>
      <w:r>
        <w:t xml:space="preserve">(Saatkamp et al.</w:t>
      </w:r>
      <w:r>
        <w:t xml:space="preserve"> </w:t>
      </w:r>
      <w:hyperlink w:anchor="ref-RN4655">
        <w:r>
          <w:rPr>
            <w:rStyle w:val="Hipervnculo"/>
          </w:rPr>
          <w:t xml:space="preserve">2019</w:t>
        </w:r>
      </w:hyperlink>
      <w:r>
        <w:t xml:space="preserve">)</w:t>
      </w:r>
      <w:r>
        <w:t xml:space="preserve">. First, the meta-analysis-inspired methodology used to compile the database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w:t>
      </w:r>
    </w:p>
    <w:p>
      <w:pPr>
        <w:pStyle w:val="Ttulo1"/>
      </w:pPr>
      <w:bookmarkStart w:id="33" w:name="acknowledgements"/>
      <w:r>
        <w:t xml:space="preserve">Acknowledgements</w:t>
      </w:r>
      <w:bookmarkEnd w:id="33"/>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The list of species was built thanks to sPlot, a project of the Synthesis Centre of the German Centre for Integrative Biodiversity Research (iDiv) Halle-Jena-Leipzig.</w:t>
      </w:r>
    </w:p>
    <w:p>
      <w:pPr>
        <w:pStyle w:val="Ttulo1"/>
      </w:pPr>
      <w:bookmarkStart w:id="34" w:name="references"/>
      <w:r>
        <w:t xml:space="preserve">References</w:t>
      </w:r>
      <w:bookmarkEnd w:id="34"/>
    </w:p>
    <w:bookmarkStart w:id="72" w:name="refs"/>
    <w:bookmarkStart w:id="35" w:name="ref-RN1045"/>
    <w:p>
      <w:pPr>
        <w:pStyle w:val="Bibliografa"/>
      </w:pPr>
      <w:r>
        <w:t xml:space="preserve">Baskin, S.E.B., Carol C.; Meyer. 1995. Two types of morphophysiological dormancy in seeds of two genera (</w:t>
      </w:r>
      <w:r>
        <w:rPr>
          <w:i/>
        </w:rPr>
        <w:t xml:space="preserve">Osmorhiza</w:t>
      </w:r>
      <w:r>
        <w:t xml:space="preserve"> </w:t>
      </w:r>
      <w:r>
        <w:t xml:space="preserve">and</w:t>
      </w:r>
      <w:r>
        <w:t xml:space="preserve"> </w:t>
      </w:r>
      <w:r>
        <w:rPr>
          <w:i/>
        </w:rPr>
        <w:t xml:space="preserve">Erythronium</w:t>
      </w:r>
      <w:r>
        <w:t xml:space="preserve">) with an Arcto-Tertiary distribution pattern.</w:t>
      </w:r>
      <w:r>
        <w:t xml:space="preserve"> </w:t>
      </w:r>
      <w:r>
        <w:rPr>
          <w:i/>
        </w:rPr>
        <w:t xml:space="preserve">American Journal of Botany</w:t>
      </w:r>
      <w:r>
        <w:t xml:space="preserve"> </w:t>
      </w:r>
      <w:r>
        <w:t xml:space="preserve">82: 293–298.</w:t>
      </w:r>
    </w:p>
    <w:bookmarkEnd w:id="35"/>
    <w:bookmarkStart w:id="36"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6"/>
    <w:bookmarkStart w:id="37"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 </w:t>
      </w:r>
      <w:r>
        <w:t xml:space="preserve">16: 165–168.</w:t>
      </w:r>
    </w:p>
    <w:bookmarkEnd w:id="37"/>
    <w:bookmarkStart w:id="38"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 </w:t>
      </w:r>
      <w:r>
        <w:t xml:space="preserve">30: 161–186.</w:t>
      </w:r>
    </w:p>
    <w:bookmarkEnd w:id="38"/>
    <w:bookmarkStart w:id="39"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 </w:t>
      </w:r>
      <w:r>
        <w:t xml:space="preserve">2: 1906–1917.</w:t>
      </w:r>
    </w:p>
    <w:bookmarkEnd w:id="39"/>
    <w:bookmarkStart w:id="40"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 </w:t>
      </w:r>
      <w:r>
        <w:t xml:space="preserve">39: 2191–2200.</w:t>
      </w:r>
    </w:p>
    <w:bookmarkEnd w:id="40"/>
    <w:bookmarkStart w:id="41"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 </w:t>
      </w:r>
      <w:r>
        <w:t xml:space="preserve">27: 131–153.</w:t>
      </w:r>
    </w:p>
    <w:bookmarkEnd w:id="41"/>
    <w:bookmarkStart w:id="42" w:name="ref-RN4660"/>
    <w:p>
      <w:pPr>
        <w:pStyle w:val="Bibliografa"/>
      </w:pPr>
      <w:r>
        <w:t xml:space="preserve">Cayuela, L., Stein, A., &amp; Oksanen, J. 2019. Taxonstand: taxonomic standardization of plant species names. R package version 2.2.</w:t>
      </w:r>
      <w:r>
        <w:t xml:space="preserve"> </w:t>
      </w:r>
    </w:p>
    <w:bookmarkEnd w:id="42"/>
    <w:bookmarkStart w:id="43" w:name="ref-RN4661"/>
    <w:p>
      <w:pPr>
        <w:pStyle w:val="Bibliografa"/>
      </w:pPr>
      <w:r>
        <w:t xml:space="preserve">Chang, W., Cheng, J., Allaire, J., Xie, Y., &amp; Mcpherson, J. 2020. shiny: web application framework for R. R Package Version 1.4.0.2.</w:t>
      </w:r>
      <w:r>
        <w:t xml:space="preserve"> </w:t>
      </w:r>
    </w:p>
    <w:bookmarkEnd w:id="43"/>
    <w:bookmarkStart w:id="44"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4"/>
    <w:bookmarkStart w:id="45"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 </w:t>
      </w:r>
      <w:r>
        <w:t xml:space="preserve">529: 167–171.</w:t>
      </w:r>
    </w:p>
    <w:bookmarkEnd w:id="45"/>
    <w:bookmarkStart w:id="46"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 </w:t>
      </w:r>
      <w:r>
        <w:t xml:space="preserve">41: 293–319.</w:t>
      </w:r>
    </w:p>
    <w:bookmarkEnd w:id="46"/>
    <w:bookmarkStart w:id="47" w:name="ref-RN2964"/>
    <w:p>
      <w:pPr>
        <w:pStyle w:val="Bibliografa"/>
      </w:pPr>
      <w:r>
        <w:t xml:space="preserve">Dorai-Raj, S. 2014. binom: binomial confidence intervals for several parameterizations. R package version 1.1-1.</w:t>
      </w:r>
      <w:r>
        <w:t xml:space="preserve"> </w:t>
      </w:r>
    </w:p>
    <w:bookmarkEnd w:id="47"/>
    <w:bookmarkStart w:id="48"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48"/>
    <w:bookmarkStart w:id="49"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 </w:t>
      </w:r>
      <w:r>
        <w:t xml:space="preserve">119: 1169–1177.</w:t>
      </w:r>
    </w:p>
    <w:bookmarkEnd w:id="49"/>
    <w:bookmarkStart w:id="50"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50"/>
    <w:bookmarkStart w:id="51"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51"/>
    <w:bookmarkStart w:id="52"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 </w:t>
      </w:r>
      <w:r>
        <w:t xml:space="preserve">97: 250–261.</w:t>
      </w:r>
    </w:p>
    <w:bookmarkEnd w:id="52"/>
    <w:bookmarkStart w:id="53"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3"/>
    <w:bookmarkStart w:id="54"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 </w:t>
      </w:r>
      <w:r>
        <w:t xml:space="preserve">27: 637–645.</w:t>
      </w:r>
    </w:p>
    <w:bookmarkEnd w:id="54"/>
    <w:bookmarkStart w:id="55"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 </w:t>
      </w:r>
      <w:r>
        <w:t xml:space="preserve">16: 559–564.</w:t>
      </w:r>
    </w:p>
    <w:bookmarkEnd w:id="55"/>
    <w:bookmarkStart w:id="56"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6"/>
    <w:bookmarkStart w:id="57"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57"/>
    <w:bookmarkStart w:id="58"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 </w:t>
      </w:r>
      <w:r>
        <w:t xml:space="preserve">104: 1284–1298.</w:t>
      </w:r>
    </w:p>
    <w:bookmarkEnd w:id="58"/>
    <w:bookmarkStart w:id="59" w:name="ref-RN4751"/>
    <w:p>
      <w:pPr>
        <w:pStyle w:val="Bibliografa"/>
      </w:pPr>
      <w:r>
        <w:t xml:space="preserve">Mengersen, K., &amp; Gurevitch, J. 2013. Using other metrics of effect size in meta-analysis.</w:t>
      </w:r>
      <w:r>
        <w:t xml:space="preserve"> </w:t>
      </w:r>
      <w:r>
        <w:rPr>
          <w:i/>
        </w:rPr>
        <w:t xml:space="preserve">Handbook of meta-analysis in ecology and evolution</w:t>
      </w:r>
    </w:p>
    <w:bookmarkEnd w:id="59"/>
    <w:bookmarkStart w:id="60"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 </w:t>
      </w:r>
      <w:r>
        <w:t xml:space="preserve">38: 281–314.</w:t>
      </w:r>
    </w:p>
    <w:bookmarkEnd w:id="60"/>
    <w:bookmarkStart w:id="61"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w:t>
      </w:r>
      <w:r>
        <w:t xml:space="preserve">51: 933–938.</w:t>
      </w:r>
    </w:p>
    <w:bookmarkEnd w:id="61"/>
    <w:bookmarkStart w:id="62"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 </w:t>
      </w:r>
      <w:r>
        <w:t xml:space="preserve">61: 167–234.</w:t>
      </w:r>
    </w:p>
    <w:bookmarkEnd w:id="62"/>
    <w:bookmarkStart w:id="63" w:name="ref-RN2315"/>
    <w:p>
      <w:pPr>
        <w:pStyle w:val="Bibliografa"/>
      </w:pPr>
      <w:r>
        <w:t xml:space="preserve">R Core Team. 2019. R: A language and environment for statistical computing.</w:t>
      </w:r>
      <w:r>
        <w:t xml:space="preserve"> </w:t>
      </w:r>
    </w:p>
    <w:bookmarkEnd w:id="63"/>
    <w:bookmarkStart w:id="64"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 </w:t>
      </w:r>
      <w:r>
        <w:t xml:space="preserve">221: 1764–1775.</w:t>
      </w:r>
    </w:p>
    <w:bookmarkEnd w:id="64"/>
    <w:bookmarkStart w:id="65"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 </w:t>
      </w:r>
      <w:r>
        <w:t xml:space="preserve">29: 3046–3067.</w:t>
      </w:r>
    </w:p>
    <w:bookmarkEnd w:id="65"/>
    <w:bookmarkStart w:id="66" w:name="ref-RN2321"/>
    <w:p>
      <w:pPr>
        <w:pStyle w:val="Bibliografa"/>
      </w:pPr>
      <w:r>
        <w:t xml:space="preserve">The Plant List. 2013. Version 1.1.</w:t>
      </w:r>
      <w:r>
        <w:t xml:space="preserve"> </w:t>
      </w:r>
    </w:p>
    <w:bookmarkEnd w:id="66"/>
    <w:bookmarkStart w:id="67"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 </w:t>
      </w:r>
      <w:r>
        <w:t xml:space="preserve">267: 147–149.</w:t>
      </w:r>
    </w:p>
    <w:bookmarkEnd w:id="67"/>
    <w:bookmarkStart w:id="68"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 </w:t>
      </w:r>
      <w:r>
        <w:t xml:space="preserve">16: 283–290.</w:t>
      </w:r>
    </w:p>
    <w:bookmarkEnd w:id="68"/>
    <w:bookmarkStart w:id="69" w:name="ref-RN2274"/>
    <w:p>
      <w:pPr>
        <w:pStyle w:val="Bibliografa"/>
      </w:pPr>
      <w:r>
        <w:t xml:space="preserve">Viechtbauer, W. 2010. Conducting meta-analyses in R with the metafor package.</w:t>
      </w:r>
      <w:r>
        <w:t xml:space="preserve"> </w:t>
      </w:r>
      <w:r>
        <w:rPr>
          <w:i/>
        </w:rPr>
        <w:t xml:space="preserve">Journal of Statistical Software</w:t>
      </w:r>
      <w:r>
        <w:t xml:space="preserve"> </w:t>
      </w:r>
      <w:r>
        <w:t xml:space="preserve">36: 1–48.</w:t>
      </w:r>
    </w:p>
    <w:bookmarkEnd w:id="69"/>
    <w:bookmarkStart w:id="70" w:name="ref-RN1188"/>
    <w:p>
      <w:pPr>
        <w:pStyle w:val="Bibliografa"/>
      </w:pPr>
      <w:r>
        <w:t xml:space="preserve">Washitani, I. 1988. Effects of high temperatures on the permeability and germinability of the hard seeds of</w:t>
      </w:r>
      <w:r>
        <w:t xml:space="preserve"> </w:t>
      </w:r>
      <w:r>
        <w:rPr>
          <w:i/>
        </w:rPr>
        <w:t xml:space="preserve">Rhus javanica</w:t>
      </w:r>
      <w:r>
        <w:t xml:space="preserve"> </w:t>
      </w:r>
      <w:r>
        <w:t xml:space="preserve">L.</w:t>
      </w:r>
      <w:r>
        <w:t xml:space="preserve"> </w:t>
      </w:r>
      <w:r>
        <w:rPr>
          <w:i/>
        </w:rPr>
        <w:t xml:space="preserve">Annals of Botany</w:t>
      </w:r>
      <w:r>
        <w:t xml:space="preserve"> </w:t>
      </w:r>
      <w:r>
        <w:t xml:space="preserve">62: 13–16.</w:t>
      </w:r>
    </w:p>
    <w:bookmarkEnd w:id="70"/>
    <w:bookmarkStart w:id="71"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 </w:t>
      </w:r>
      <w:r>
        <w:t xml:space="preserve">4: 1686.</w:t>
      </w:r>
    </w:p>
    <w:bookmarkEnd w:id="71"/>
    <w:bookmarkEnd w:id="72"/>
    <w:p>
      <w:pPr>
        <w:pStyle w:val="Ttulo1"/>
      </w:pPr>
      <w:bookmarkStart w:id="73" w:name="supporting-information"/>
      <w:r>
        <w:t xml:space="preserve">Supporting Information</w:t>
      </w:r>
      <w:bookmarkEnd w:id="73"/>
    </w:p>
    <w:p>
      <w:pPr>
        <w:pStyle w:val="FirstParagraph"/>
      </w:pPr>
      <w:r>
        <w:rPr>
          <w:b/>
        </w:rPr>
        <w:t xml:space="preserve">Supporting Information 1</w:t>
      </w:r>
      <w:r>
        <w:t xml:space="preserve"> </w:t>
      </w:r>
      <w:r>
        <w:t xml:space="preserve">PRISMA 2009 flow chart describing the process of reference screening and inclusion.</w:t>
      </w:r>
      <w:r>
        <w:t xml:space="preserve"> </w:t>
      </w:r>
      <w:r>
        <w:rPr>
          <w:b/>
        </w:rPr>
        <w:t xml:space="preserve">Supporting Information 2</w:t>
      </w:r>
      <w:r>
        <w:t xml:space="preserve"> </w:t>
      </w:r>
      <w:r>
        <w:t xml:space="preserve">BibTeX bibliography listing the not found full texts.</w:t>
      </w:r>
      <w:r>
        <w:t xml:space="preserve"> </w:t>
      </w:r>
      <w:r>
        <w:rPr>
          <w:b/>
        </w:rPr>
        <w:t xml:space="preserve">Supporting Information 3</w:t>
      </w:r>
      <w:r>
        <w:t xml:space="preserve"> </w:t>
      </w:r>
      <w:r>
        <w:t xml:space="preserve">BibTeX bibliography listing the non-relevant references.</w:t>
      </w:r>
      <w:r>
        <w:t xml:space="preserve"> </w:t>
      </w:r>
      <w:r>
        <w:rPr>
          <w:b/>
        </w:rPr>
        <w:t xml:space="preserve">Supporting Information 4</w:t>
      </w:r>
      <w:r>
        <w:t xml:space="preserve"> </w:t>
      </w:r>
      <w:r>
        <w:t xml:space="preserve">BibTeX bibliography listing relevant references included in the</w:t>
      </w:r>
      <w:r>
        <w:t xml:space="preserve"> </w:t>
      </w:r>
      <w:r>
        <w:rPr>
          <w:i/>
        </w:rPr>
        <w:t xml:space="preserve">SylvanSeeds</w:t>
      </w:r>
      <w:r>
        <w:t xml:space="preserve"> </w:t>
      </w:r>
      <w:r>
        <w:t xml:space="preserve">database.</w:t>
      </w:r>
      <w:r>
        <w:t xml:space="preserve"> </w:t>
      </w:r>
      <w:r>
        <w:rPr>
          <w:b/>
        </w:rPr>
        <w:t xml:space="preserve">Supporting Information 5</w:t>
      </w:r>
      <w:r>
        <w:t xml:space="preserve"> </w:t>
      </w:r>
      <w:r>
        <w:rPr>
          <w:i/>
        </w:rPr>
        <w:t xml:space="preserve">SylvanSeeds</w:t>
      </w:r>
      <w:r>
        <w:t xml:space="preserve"> </w:t>
      </w:r>
      <w:r>
        <w:t xml:space="preserve">database in a single</w:t>
      </w:r>
      <w:r>
        <w:t xml:space="preserve"> </w:t>
      </w:r>
      <w:r>
        <w:rPr>
          <w:i/>
        </w:rPr>
        <w:t xml:space="preserve">.csv</w:t>
      </w:r>
      <w:r>
        <w:t xml:space="preserve"> </w:t>
      </w:r>
      <w:r>
        <w:t xml:space="preserve">file.</w:t>
      </w:r>
    </w:p>
    <w:p>
      <w:pPr>
        <w:pStyle w:val="Ttulo1"/>
      </w:pPr>
      <w:bookmarkStart w:id="74" w:name="data-accessibility"/>
      <w:r>
        <w:t xml:space="preserve">Data accessibility</w:t>
      </w:r>
      <w:bookmarkEnd w:id="74"/>
    </w:p>
    <w:p>
      <w:pPr>
        <w:pStyle w:val="FirstParagraph"/>
      </w:pPr>
      <w:r>
        <w:t xml:space="preserve">All persons can use the database providing they cite this paper properly in any publications or in the metadata of any derived products that are produced using the database. The database is provided as Supporting Information. It can be visualized with the</w:t>
      </w:r>
      <w:r>
        <w:t xml:space="preserve"> </w:t>
      </w:r>
      <w:r>
        <w:rPr>
          <w:i/>
        </w:rPr>
        <w:t xml:space="preserve">SylvanSeeds</w:t>
      </w:r>
      <w:r>
        <w:t xml:space="preserve"> </w:t>
      </w:r>
      <w:r>
        <w:t xml:space="preserve">app at</w:t>
      </w:r>
      <w:r>
        <w:t xml:space="preserve"> </w:t>
      </w:r>
      <w:hyperlink r:id="rId22">
        <w:r>
          <w:rPr>
            <w:rStyle w:val="Hipervnculo"/>
          </w:rPr>
          <w:t xml:space="preserve">https://efernandezpascual.shinyapps.io/sylvanseeds/</w:t>
        </w:r>
      </w:hyperlink>
      <w:r>
        <w:t xml:space="preserve">. The code of the app is stored at (note: the GitHub repo is kept private until publication of the manuscript).</w:t>
      </w:r>
    </w:p>
    <w:p>
      <w:pPr>
        <w:pStyle w:val="Ttulo1"/>
      </w:pPr>
      <w:bookmarkStart w:id="75" w:name="figures"/>
      <w:r>
        <w:t xml:space="preserve">Figures</w:t>
      </w:r>
      <w:bookmarkEnd w:id="75"/>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76"/>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7200900"/>
            <wp:effectExtent b="0" l="0" r="0" t="0"/>
            <wp:docPr descr="Figure 2: Example of the germination records as shown by the Sylvan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77"/>
                    <a:stretch>
                      <a:fillRect/>
                    </a:stretch>
                  </pic:blipFill>
                  <pic:spPr bwMode="auto">
                    <a:xfrm>
                      <a:off x="0" y="0"/>
                      <a:ext cx="5600700" cy="72009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SylvanSeeds</w:t>
      </w:r>
      <w:r>
        <w:t xml:space="preserve"> </w:t>
      </w:r>
      <w:r>
        <w:t xml:space="preserve">app. Records for one species, the European pedunculate oak,</w:t>
      </w:r>
      <w:r>
        <w:t xml:space="preserve"> </w:t>
      </w:r>
      <w:r>
        <w:rPr>
          <w:i/>
        </w:rPr>
        <w:t xml:space="preserve">Quercus robur</w:t>
      </w:r>
      <w:r>
        <w:t xml:space="preserve">. Each panel shows the results for a combination of experimental conditions, with the germination temperature varying within each panel. Bars represent the mean germination proportion and brackets the 95% binomial confidence interval.</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seed germination database for temperate deciduous forests</dc:title>
  <dc:creator/>
  <cp:keywords/>
  <dcterms:created xsi:type="dcterms:W3CDTF">2020-06-28T17:24:56Z</dcterms:created>
  <dcterms:modified xsi:type="dcterms:W3CDTF">2020-06-28T17:24:56Z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