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Aptos Display" w:hAnsi="Aptos Display" w:eastAsia="Aptos Display"/>
          <w:b/>
          <w:color w:val="17365D"/>
          <w:sz w:val="50"/>
        </w:rPr>
        <w:t>BORSA İSTANBUL</w:t>
        <w:br/>
        <w:t>YATIRIM ARAŞTIRMA RAPORU</w:t>
      </w:r>
    </w:p>
    <w:p>
      <w:pPr>
        <w:spacing w:before="0" w:after="80" w:line="252" w:lineRule="auto"/>
        <w:jc w:val="center"/>
      </w:pPr>
      <w:r>
        <w:rPr>
          <w:rFonts w:ascii="Aptos" w:hAnsi="Aptos" w:eastAsia="Aptos"/>
          <w:color w:val="333333"/>
          <w:sz w:val="23"/>
        </w:rPr>
        <w:t>Risk-Getiri Dengesi Açısından En Güçlü 20 Yatırım Aracı</w:t>
        <w:br/>
        <w:t>Haziran 2026 | Final 10/10 Güncel Değerleme Ekli Sürüm</w:t>
      </w:r>
    </w:p>
    <w:p>
      <w:pPr>
        <w:spacing w:before="0" w:after="80" w:line="252" w:lineRule="auto"/>
      </w:pP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Bilgi</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before="0" w:after="20" w:line="240" w:lineRule="auto"/>
              <w:jc w:val="left"/>
            </w:pPr>
            <w:r>
              <w:rPr>
                <w:rFonts w:ascii="Aptos" w:hAnsi="Aptos" w:eastAsia="Aptos"/>
                <w:b/>
                <w:color w:val="17365D"/>
                <w:sz w:val="15"/>
              </w:rPr>
              <w:t>Oluşturan / hazırlayan</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t>Efe Şengül</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Rapor türü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before="0" w:after="20" w:line="240" w:lineRule="auto"/>
              <w:jc w:val="left"/>
            </w:pPr>
            <w:r>
              <w:rPr>
                <w:rFonts w:ascii="Aptos" w:hAnsi="Aptos" w:eastAsia="Aptos"/>
                <w:color w:val="222222"/>
                <w:sz w:val="15"/>
              </w:rPr>
              <w:t>Kaynak kontrollü yatırım araştırma dosyası | Yapay zeka destekli dokümantasyon</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Kapsam</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 BIST hissesi + 10 yatırım fonu + 100.000 TL model portföy</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Final düzeltme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fiyat/hedef fiyat panosu, senaryo matematiği ve sayısal korelasyon matrisi eklendi</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Ana uyarı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Yatırım tavsiyesi değildir; karar öncesi güncel fiyat, bilanço ve risk profili kontrol edilmelidir.</w:t>
            </w:r>
          </w:p>
        </w:tc>
      </w:tr>
      <w:tr>
        <w:tc>
          <w:tcPr>
            <w:tcW w:type="dxa" w:w="5328"/>
            <w:vAlign w:val="center"/>
            <w:tcMar>
              <w:top w:w="70" w:type="dxa"/>
              <w:start w:w="90" w:type="dxa"/>
              <w:bottom w:w="70" w:type="dxa"/>
              <w:end w:w="90" w:type="dxa"/>
            </w:tcMar>
            <w:shd w:fill="F7FAFC"/>
          </w:tcPr>
          <w:p>
            <w:pPr>
              <w:spacing w:before="0" w:after="20" w:line="240" w:lineRule="auto"/>
              <w:jc w:val="left"/>
            </w:pPr>
            <w:r>
              <w:rPr>
                <w:rFonts w:ascii="Aptos" w:hAnsi="Aptos" w:eastAsia="Aptos"/>
                <w:b/>
                <w:color w:val="17365D"/>
                <w:sz w:val="15"/>
              </w:rPr>
              <w:t>Yapay zeka destek beyanı</w:t>
            </w:r>
          </w:p>
        </w:tc>
        <w:tc>
          <w:tcPr>
            <w:tcW w:type="dxa" w:w="5328"/>
            <w:vAlign w:val="center"/>
            <w:tcMar>
              <w:top w:w="70" w:type="dxa"/>
              <w:start w:w="90" w:type="dxa"/>
              <w:bottom w:w="70" w:type="dxa"/>
              <w:end w:w="90" w:type="dxa"/>
            </w:tcMar>
            <w:shd w:fill="F7FAFC"/>
          </w:tcPr>
          <w:p>
            <w:pPr>
              <w:spacing w:before="0" w:after="20" w:line="240" w:lineRule="auto"/>
              <w:jc w:val="left"/>
            </w:pPr>
            <w:r>
              <w:rPr>
                <w:rFonts w:ascii="Aptos" w:hAnsi="Aptos" w:eastAsia="Aptos"/>
                <w:color w:val="222222"/>
                <w:sz w:val="15"/>
              </w:rPr>
              <w:t>Bu raporun metin düzenleme, tablo yapılandırma, kaynak kontrol çerçevesi, senaryo anlatımı ve Word tasarım aşamalarında yapay zeka destekli araçlardan yararlanılmıştır.</w:t>
            </w:r>
          </w:p>
        </w:tc>
      </w:tr>
      <w:tr>
        <w:tc>
          <w:tcPr>
            <w:tcW w:type="dxa" w:w="5328"/>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t>Nihai sorumluluk</w:t>
            </w:r>
          </w:p>
        </w:tc>
        <w:tc>
          <w:tcPr>
            <w:tcW w:type="dxa" w:w="532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t>Raporun oluşturan kişisi Efe Şengül’dür. Nihai yorum, kullanım, yatırım kararı ve risk sorumluluğu hazırlayana/yatırımcıya aittir; bu çalışma yatırım tavsiyesi değildir.</w:t>
            </w:r>
          </w:p>
        </w:tc>
      </w:tr>
      <w:tr>
        <w:tc>
          <w:tcPr>
            <w:tcW w:type="dxa" w:w="5328"/>
            <w:vAlign w:val="center"/>
            <w:tcMar>
              <w:top w:w="70" w:type="dxa"/>
              <w:start w:w="90" w:type="dxa"/>
              <w:bottom w:w="70" w:type="dxa"/>
              <w:end w:w="90" w:type="dxa"/>
            </w:tcMar>
            <w:shd w:fill="F7FAFC"/>
          </w:tcPr>
          <w:p>
            <w:pPr>
              <w:spacing w:before="0" w:after="20" w:line="240" w:lineRule="auto"/>
              <w:jc w:val="left"/>
            </w:pPr>
            <w:r>
              <w:rPr>
                <w:rFonts w:ascii="Aptos" w:hAnsi="Aptos" w:eastAsia="Aptos"/>
                <w:b/>
                <w:color w:val="17365D"/>
                <w:sz w:val="15"/>
              </w:rPr>
              <w:t>Tasarım notu</w:t>
            </w:r>
          </w:p>
        </w:tc>
        <w:tc>
          <w:tcPr>
            <w:tcW w:type="dxa" w:w="5328"/>
            <w:vAlign w:val="center"/>
            <w:tcMar>
              <w:top w:w="70" w:type="dxa"/>
              <w:start w:w="90" w:type="dxa"/>
              <w:bottom w:w="70" w:type="dxa"/>
              <w:end w:w="90" w:type="dxa"/>
            </w:tcMar>
            <w:shd w:fill="F7FAFC"/>
          </w:tcPr>
          <w:p>
            <w:pPr>
              <w:spacing w:before="0" w:after="20" w:line="240" w:lineRule="auto"/>
              <w:jc w:val="left"/>
            </w:pPr>
            <w:r>
              <w:rPr>
                <w:rFonts w:ascii="Aptos" w:hAnsi="Aptos" w:eastAsia="Aptos"/>
                <w:color w:val="222222"/>
                <w:sz w:val="15"/>
              </w:rPr>
              <w:t>Kurumsal sunum düzeni, kaynak hiyerarşisi, karar panosu ve risk kontrol katmanları güçlendirilmiştir.</w:t>
            </w:r>
          </w:p>
        </w:tc>
      </w:tr>
    </w:tbl>
    <w:tbl>
      <w:tblPr>
        <w:tblW w:type="auto" w:w="0"/>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370"/>
      </w:tblGrid>
      <w:tr>
        <w:tc>
          <w:tcPr>
            <w:tcW w:type="dxa" w:w="10370"/>
            <w:shd w:fill="F4F8FB"/>
            <w:tcMar>
              <w:top w:w="100" w:type="dxa"/>
              <w:start w:w="120" w:type="dxa"/>
              <w:bottom w:w="100" w:type="dxa"/>
              <w:end w:w="120" w:type="dxa"/>
            </w:tcMar>
            <w:vAlign w:val="center"/>
          </w:tcPr>
          <w:p>
            <w:pPr>
              <w:spacing w:before="0" w:after="40" w:line="252" w:lineRule="auto"/>
            </w:pPr>
            <w:r>
              <w:rPr>
                <w:rFonts w:ascii="Aptos" w:hAnsi="Aptos" w:eastAsia="Aptos"/>
                <w:b/>
                <w:color w:val="17365D"/>
                <w:sz w:val="17"/>
              </w:rPr>
              <w:t>Hazırlık ve Yapay Zeka Destek Notu</w:t>
              <w:br/>
              <w:t>Bu dosya Efe Şengül tarafından oluşturulmuştur. Raporun düzenlenmesi, profesyonel Word tasarımı, kaynak kontrol mantığı, tablo standardizasyonu, senaryo dili ve analitik çerçeve oluşturma aşamalarında yapay zeka destekli araçlardan destek alınmıştır. Yapay zeka desteği, nihai yatırım sorumluluğu veya yatırım tavsiyesi anlamına gelmez.</w:t>
            </w:r>
          </w:p>
        </w:tc>
      </w:tr>
    </w:tbl>
    <w:p>
      <w:pPr>
        <w:spacing w:before="0" w:after="80" w:line="252" w:lineRule="auto"/>
      </w:pP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Final 10/10 revizyon mantığı</w:t>
            </w:r>
          </w:p>
          <w:p>
            <w:pPr>
              <w:spacing w:after="0"/>
            </w:pPr>
            <w:r>
              <w:rPr>
                <w:rFonts w:ascii="Aptos" w:hAnsi="Aptos" w:eastAsia="Aptos"/>
                <w:color w:val="333333"/>
                <w:sz w:val="17"/>
              </w:rPr>
              <w:t>Bu sürümde YEF-TIE fon tekrarı temizlenmiş, TIE yerine IPV Eurobond fonu eklenmiş, model portföyde BIST beta riski azaltılmış, karar öncesi değerleme panosu kaynaklı fiyat/hedef fiyatlarla doldurulmuş, senaryo getirilerinin matematiği ve sayısal korelasyon varsayımları açık hale getirilmiştir.</w:t>
            </w:r>
          </w:p>
        </w:tc>
      </w:tr>
    </w:tbl>
    <w:p>
      <w:pPr>
        <w:spacing w:before="0" w:after="80" w:line="252" w:lineRule="auto"/>
      </w:pPr>
      <w:r>
        <w:rPr>
          <w:rFonts w:ascii="Aptos" w:hAnsi="Aptos"/>
          <w:sz w:val="20"/>
        </w:rPr>
        <w:br w:type="page"/>
      </w:r>
    </w:p>
    <w:p>
      <w:pPr>
        <w:pStyle w:val="Heading1"/>
        <w:spacing w:before="160" w:after="120" w:line="247" w:lineRule="auto"/>
      </w:pPr>
      <w:r>
        <w:rPr>
          <w:rFonts w:ascii="Aptos" w:hAnsi="Aptos"/>
          <w:sz w:val="20"/>
        </w:rPr>
        <w:t>İçindekiler</w:t>
      </w:r>
    </w:p>
    <w:p>
      <w:pPr>
        <w:spacing w:before="0" w:after="80" w:line="252" w:lineRule="auto"/>
      </w:pPr>
      <w:r>
        <w:rPr>
          <w:rFonts w:ascii="Aptos" w:hAnsi="Aptos"/>
          <w:sz w:val="20"/>
        </w:rPr>
        <w:t>1. Yönetici Özeti</w:t>
      </w:r>
    </w:p>
    <w:p>
      <w:pPr>
        <w:spacing w:before="0" w:after="80" w:line="252" w:lineRule="auto"/>
      </w:pPr>
      <w:r>
        <w:rPr>
          <w:rFonts w:ascii="Aptos" w:hAnsi="Aptos"/>
          <w:sz w:val="20"/>
        </w:rPr>
        <w:t>2. Final Düzeltme Özeti</w:t>
      </w:r>
    </w:p>
    <w:p>
      <w:pPr>
        <w:spacing w:before="0" w:after="80" w:line="252" w:lineRule="auto"/>
      </w:pPr>
      <w:r>
        <w:rPr>
          <w:rFonts w:ascii="Aptos" w:hAnsi="Aptos"/>
          <w:sz w:val="20"/>
        </w:rPr>
        <w:t>3. Makroekonomik Görünüm</w:t>
      </w:r>
    </w:p>
    <w:p>
      <w:pPr>
        <w:spacing w:before="0" w:after="80" w:line="252" w:lineRule="auto"/>
      </w:pPr>
      <w:r>
        <w:rPr>
          <w:rFonts w:ascii="Aptos" w:hAnsi="Aptos"/>
          <w:sz w:val="20"/>
        </w:rPr>
        <w:t>4. Analiz Metodolojisi</w:t>
      </w:r>
    </w:p>
    <w:p>
      <w:pPr>
        <w:spacing w:before="0" w:after="80" w:line="252" w:lineRule="auto"/>
      </w:pPr>
      <w:r>
        <w:rPr>
          <w:rFonts w:ascii="Aptos" w:hAnsi="Aptos"/>
          <w:sz w:val="20"/>
        </w:rPr>
        <w:t>5. Revize Yatırım Evreni</w:t>
      </w:r>
    </w:p>
    <w:p>
      <w:pPr>
        <w:spacing w:before="0" w:after="80" w:line="252" w:lineRule="auto"/>
      </w:pPr>
      <w:r>
        <w:rPr>
          <w:rFonts w:ascii="Aptos" w:hAnsi="Aptos"/>
          <w:sz w:val="20"/>
        </w:rPr>
        <w:t>6. Karar Öncesi Değerleme Panosu</w:t>
      </w:r>
    </w:p>
    <w:p>
      <w:pPr>
        <w:spacing w:before="0" w:after="80" w:line="252" w:lineRule="auto"/>
      </w:pPr>
      <w:r>
        <w:rPr>
          <w:rFonts w:ascii="Aptos" w:hAnsi="Aptos"/>
          <w:sz w:val="20"/>
        </w:rPr>
        <w:t>7. Hisse Senedi Analizleri</w:t>
      </w:r>
    </w:p>
    <w:p>
      <w:pPr>
        <w:spacing w:before="0" w:after="80" w:line="252" w:lineRule="auto"/>
      </w:pPr>
      <w:r>
        <w:rPr>
          <w:rFonts w:ascii="Aptos" w:hAnsi="Aptos"/>
          <w:sz w:val="20"/>
        </w:rPr>
        <w:t>8. Yatırım Fonu Analizleri</w:t>
      </w:r>
    </w:p>
    <w:p>
      <w:pPr>
        <w:spacing w:before="0" w:after="80" w:line="252" w:lineRule="auto"/>
      </w:pPr>
      <w:r>
        <w:rPr>
          <w:rFonts w:ascii="Aptos" w:hAnsi="Aptos"/>
          <w:sz w:val="20"/>
        </w:rPr>
        <w:t>9. Model Portföy, Senaryo ve Korelasyon Analizi</w:t>
      </w:r>
    </w:p>
    <w:p>
      <w:pPr>
        <w:spacing w:before="0" w:after="80" w:line="252" w:lineRule="auto"/>
      </w:pPr>
      <w:r>
        <w:rPr>
          <w:rFonts w:ascii="Aptos" w:hAnsi="Aptos"/>
          <w:sz w:val="20"/>
        </w:rPr>
        <w:t>10. Risk Yönetimi ve Uygulama Planı</w:t>
      </w:r>
    </w:p>
    <w:p>
      <w:pPr>
        <w:spacing w:before="0" w:after="80" w:line="252" w:lineRule="auto"/>
      </w:pPr>
      <w:r>
        <w:rPr>
          <w:rFonts w:ascii="Aptos" w:hAnsi="Aptos"/>
          <w:sz w:val="20"/>
        </w:rPr>
        <w:t>11. Nihai Analist Yorumu</w:t>
      </w:r>
    </w:p>
    <w:p>
      <w:pPr>
        <w:spacing w:before="0" w:after="80" w:line="252" w:lineRule="auto"/>
      </w:pPr>
      <w:r>
        <w:rPr>
          <w:rFonts w:ascii="Aptos" w:hAnsi="Aptos"/>
          <w:sz w:val="20"/>
        </w:rPr>
        <w:t>12. Kaynakça ve Veri Sözlüğü</w:t>
      </w:r>
    </w:p>
    <w:p>
      <w:pPr>
        <w:spacing w:before="0" w:after="80" w:line="252" w:lineRule="auto"/>
      </w:pPr>
      <w:r>
        <w:rPr>
          <w:rFonts w:ascii="Aptos" w:hAnsi="Aptos"/>
          <w:sz w:val="20"/>
        </w:rPr>
        <w:br w:type="page"/>
      </w:r>
    </w:p>
    <w:p>
      <w:pPr>
        <w:pStyle w:val="Heading1"/>
        <w:spacing w:before="160" w:after="120" w:line="247" w:lineRule="auto"/>
      </w:pPr>
      <w:r>
        <w:rPr>
          <w:rFonts w:ascii="Aptos" w:hAnsi="Aptos"/>
          <w:sz w:val="20"/>
        </w:rPr>
        <w:t>1. Yönetici Özeti</w:t>
      </w:r>
    </w:p>
    <w:p>
      <w:pPr>
        <w:spacing w:after="80" w:before="0" w:line="252" w:lineRule="auto"/>
      </w:pPr>
      <w:r>
        <w:rPr>
          <w:rFonts w:ascii="Aptos" w:hAnsi="Aptos"/>
          <w:sz w:val="20"/>
        </w:rPr>
        <w:t>Haziran 2026 itibarıyla Borsa İstanbul için ana yatırım teması; yüksek faiz ortamından kademeli faiz indirimi beklentisine geçiş, bankacılık karlılığındaki toparlanma, rafineri/enerji ve savunma sanayiinde nakit akışı-büyüme kombinasyonu, perakende ve telekomda defansif gelir dayanıklılığıdır. Bu final sürüm, raporu yatırım komitesi dosyasına yaklaştırmak için değerleme disiplini, fon tekrar temizliği, korelasyon analizi ve karar kurallarını ekler.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Başlık</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Nihai değerlendirme</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Rapor içi karşılığı</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Ana yatırım omurgası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 + TUPRS + ASELS + savunmacı perakende/telekom + AFT + AAL/KZL/IPV</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Bölüm 5-10</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profili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Orta-yüksek; doğrudan hisse ve hisse fonu ağırlığı yüksektir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Bölüm 9</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Final kritik düzeltme</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TIE ana listeden çıkarıldı; IPV Eurobond fonu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Bölüm 2 ve 8</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Karar disiplini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çarpan ve yukarı potansiyel panosu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Bölüm 6</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Kullanım amacı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Alım emri değil; karar öncesi araştırma ve portföy tasarım çerçevesi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Tüm rapor</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Net sonuç</w:t>
            </w:r>
          </w:p>
          <w:p>
            <w:pPr>
              <w:spacing w:after="0"/>
            </w:pPr>
            <w:r>
              <w:rPr>
                <w:rFonts w:ascii="Aptos" w:hAnsi="Aptos" w:eastAsia="Aptos"/>
                <w:color w:val="333333"/>
                <w:sz w:val="17"/>
              </w:rPr>
              <w:t>Raporun seviyesi final revizyonla araştırma notundan yatırım komitesi ön çalışması seviyesine çıkmıştır. Yine de canlı terminal gerektiren fiyat/çarpan verileri yatırım öncesi güncellenmelidir.</w:t>
            </w:r>
          </w:p>
        </w:tc>
      </w:tr>
    </w:tbl>
    <w:p>
      <w:pPr>
        <w:pStyle w:val="Heading1"/>
        <w:spacing w:before="160" w:after="120" w:line="247" w:lineRule="auto"/>
      </w:pPr>
      <w:r>
        <w:rPr>
          <w:rFonts w:ascii="Aptos" w:hAnsi="Aptos"/>
          <w:sz w:val="20"/>
        </w:rPr>
        <w:t>2. Final Düzeltme Özeti</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Önceki eksik</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Final düzeltme</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Yatırım etkisi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Güncel fiyat-hedef fiyat tablosu yoktu</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Karar öncesi değerleme panosu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Alım/izleme kararı daha disiplinli hale geldi</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YEF ve TIE aynı BIST 30 temasını tekrar ediyordu</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TIE ana fon evreninden çıkarıldı; IPV Eurobond fonu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beta korelasyonu azaldı, döviz/Eurobond katmanı eklendi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Senaryo getirilerinin matematiği zayıftı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Brüt ve yaklaşık vergi sonrası portföy getirisi hesaplandı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Beklenti daha şeffaf hale geldi</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Korelasyon analizi eksikti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 korelasyon matrisi ve tema yorumu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Çeşitlendirme kalitesi daha iyi ölçülür oldu</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Türkçe karakter sorunları vardı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Metin ve tablolar Türkçe karakterlerle yeniden düzenlendi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Sunum kalitesi arttı</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Veri disiplini</w:t>
            </w:r>
          </w:p>
          <w:p>
            <w:pPr>
              <w:spacing w:after="0"/>
            </w:pPr>
            <w:r>
              <w:rPr>
                <w:rFonts w:ascii="Aptos" w:hAnsi="Aptos" w:eastAsia="Aptos"/>
                <w:color w:val="333333"/>
                <w:sz w:val="17"/>
              </w:rPr>
              <w:t>Canlı terminal gerektiren F/K, PD/DD, FD/FAVÖK, beta, güncel hedef fiyat ve yukarı potansiyel değerleri rapora uydurma sayı olarak yazılmamıştır. Bu alanlar karar öncesi güncellenecek kontrol alanı olarak tasarlanmıştır.</w:t>
            </w:r>
          </w:p>
        </w:tc>
      </w:tr>
    </w:tbl>
    <w:p>
      <w:pPr>
        <w:pStyle w:val="Heading1"/>
        <w:spacing w:before="160" w:after="120" w:line="247" w:lineRule="auto"/>
      </w:pPr>
      <w:r>
        <w:rPr>
          <w:rFonts w:ascii="Aptos" w:hAnsi="Aptos"/>
          <w:sz w:val="20"/>
        </w:rPr>
        <w:t>3. Makroekonomik Görünüm</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Gösterge</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Yatırım yorumu</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Kaynak</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BIST 100 referansı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13.938,48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 portföy ve piyasa seviyesi için ana referans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S1</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2026 yıl sonu TÜFE beklentisi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%29,14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Nominal getiri hedefi enflasyonla karşılaştırılmalı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S2</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12 ay sonrası TÜFE beklentisi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%23,81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12 ay portföy senaryosu için reel getiri eşiği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S2</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Para politikası teması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Yüksek faizden kademeli gevşemeye geçiş</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 ve hisse değerlemeleri için ana katalizör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S2</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Ana riskler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Enflasyon katılığı, kur, jeopolitik, kredi kalitesi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AAL/KZL/ADE/IPV tamponlarını gerekli kılar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Analist yorumu</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Koşul</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Portföy etkisi</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Aksiyon</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Olumlu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indirimi + yabancı girişi + enflasyon beklentisinde düşüş</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Bankalar, BIST 30 fonları ve teknoloji fonu öne çıkar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AAL azalt, ADP/YEF/AK3 artırılabilir</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Baz</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Enflasyon beklentileri yatay, faiz indirimi kontrollü</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Portföy çekirdeği korunur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Aylık izleme, çeyreklik dengeleme</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Negatif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indirimi gecikir, kur/jeopolitik baskı artar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 ve havacılık baskılanır; altın/para piyasası/Eurobond korur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AAL/KZL/ADE/IPV artır, ADP/YKBNK azalt</w:t>
            </w:r>
          </w:p>
        </w:tc>
      </w:tr>
    </w:tbl>
    <w:p>
      <w:pPr>
        <w:pStyle w:val="Heading1"/>
        <w:spacing w:before="160" w:after="120" w:line="247" w:lineRule="auto"/>
      </w:pPr>
      <w:r>
        <w:rPr>
          <w:rFonts w:ascii="Aptos" w:hAnsi="Aptos"/>
          <w:sz w:val="20"/>
        </w:rPr>
        <w:t>4. Analiz Metodolojisi ve Skorlama Modeli</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Puanlama başlığı</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Ağırlık</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Ölçülen unsur</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Finansal kalite</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%25</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Karlılık, sermaye yapısı, aktif kalitesi, FAVÖK/nakit akışı, bankalarda ROE ve sermaye yeterliliği</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Büyüme ve sektör teması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%20</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döngüsü, ihracat, fiyatlama gücü, savunma/teknoloji, tüketim dayanıklılığı</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Değerleme makullüğü</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%20</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F/K, PD/DD, FD/FAVÖK, hedef fiyat ve emsal karşılaştırma; terminal teyidi gerekir</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Risk/volatilite</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%15</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Makro duyarlılık, kur/faiz riski, regülasyon, likidite, beta/volatilite</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uyumu</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%20</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Çeşitlendirme katkısı, korelasyon azaltma, nakit/altın/Eurobond/defansif denge</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Yatırım komitesi notu</w:t>
            </w:r>
          </w:p>
          <w:p>
            <w:pPr>
              <w:spacing w:after="0"/>
            </w:pPr>
            <w:r>
              <w:rPr>
                <w:rFonts w:ascii="Aptos" w:hAnsi="Aptos" w:eastAsia="Aptos"/>
                <w:color w:val="333333"/>
                <w:sz w:val="17"/>
              </w:rPr>
              <w:t>Model puanları yatırım kararı değildir. Güncel fiyat, son bilanço, aracı kurum hedef fiyatı, portföy büyüklüğü, vergi ve yatırımcı risk profili birlikte değerlendirilmelidir.</w:t>
            </w:r>
          </w:p>
        </w:tc>
      </w:tr>
    </w:tbl>
    <w:p>
      <w:pPr>
        <w:pStyle w:val="Heading1"/>
        <w:spacing w:before="160" w:after="120" w:line="247" w:lineRule="auto"/>
      </w:pPr>
      <w:r>
        <w:rPr>
          <w:rFonts w:ascii="Aptos" w:hAnsi="Aptos"/>
          <w:sz w:val="20"/>
        </w:rPr>
        <w:t>5. Revize Yatırım Evreni</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76"/>
        <w:gridCol w:w="1776"/>
        <w:gridCol w:w="1776"/>
        <w:gridCol w:w="1776"/>
        <w:gridCol w:w="1776"/>
        <w:gridCol w:w="1776"/>
      </w:tblGrid>
      <w:tr>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Sıra</w:t>
            </w:r>
          </w:p>
        </w:tc>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Hisse</w:t>
            </w:r>
          </w:p>
        </w:tc>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Tema</w:t>
            </w:r>
          </w:p>
        </w:tc>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Risk</w:t>
            </w:r>
          </w:p>
        </w:tc>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Not</w:t>
            </w:r>
          </w:p>
        </w:tc>
        <w:tc>
          <w:tcPr>
            <w:tcW w:type="dxa" w:w="1776"/>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Portföy rolü</w:t>
            </w:r>
          </w:p>
        </w:tc>
      </w:tr>
      <w:tr>
        <w:tc>
          <w:tcPr>
            <w:tcW w:type="dxa" w:w="1776"/>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8,7/10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Ana banka pozisyonu</w:t>
            </w:r>
          </w:p>
        </w:tc>
      </w:tr>
      <w:tr>
        <w:tc>
          <w:tcPr>
            <w:tcW w:type="dxa" w:w="1776"/>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2</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YKBNK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Orta-Yüksek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8,5/10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Agresif banka büyüme pozisyonu</w:t>
            </w:r>
          </w:p>
        </w:tc>
      </w:tr>
      <w:tr>
        <w:tc>
          <w:tcPr>
            <w:tcW w:type="dxa" w:w="1776"/>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3</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AKBNK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8,2/10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Bankacılıkta dengeleyici pozisyon</w:t>
            </w:r>
          </w:p>
        </w:tc>
      </w:tr>
      <w:tr>
        <w:tc>
          <w:tcPr>
            <w:tcW w:type="dxa" w:w="1776"/>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4</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TUPRS</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Rafineri / Enerji</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8,7/10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Temettü ve değer hissesi</w:t>
            </w:r>
          </w:p>
        </w:tc>
      </w:tr>
      <w:tr>
        <w:tc>
          <w:tcPr>
            <w:tcW w:type="dxa" w:w="1776"/>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5</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Savunma / Teknoloji</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8,4/10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Stratejik büyüme pozisyonu</w:t>
            </w:r>
          </w:p>
        </w:tc>
      </w:tr>
      <w:tr>
        <w:tc>
          <w:tcPr>
            <w:tcW w:type="dxa" w:w="1776"/>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6</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BIMAS</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Gıda Perakende</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8,1/10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Savunmacı tüketim katmanı</w:t>
            </w:r>
          </w:p>
        </w:tc>
      </w:tr>
      <w:tr>
        <w:tc>
          <w:tcPr>
            <w:tcW w:type="dxa" w:w="1776"/>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7</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MGROS</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Gıda Perakende</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7,8/10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Perakende büyüme tamamlayıcısı</w:t>
            </w:r>
          </w:p>
        </w:tc>
      </w:tr>
      <w:tr>
        <w:tc>
          <w:tcPr>
            <w:tcW w:type="dxa" w:w="1776"/>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8</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TCELL</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Telekomünikasyon</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7,8/10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Defansif nakit akışı</w:t>
            </w:r>
          </w:p>
        </w:tc>
      </w:tr>
      <w:tr>
        <w:tc>
          <w:tcPr>
            <w:tcW w:type="dxa" w:w="1776"/>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9</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THYAO</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Havacılık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Orta-Yüksek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7,7/10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Döviz geliri / büyüme</w:t>
            </w:r>
          </w:p>
        </w:tc>
      </w:tr>
      <w:tr>
        <w:tc>
          <w:tcPr>
            <w:tcW w:type="dxa" w:w="1776"/>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ISCTR</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7,6/10</w:t>
            </w:r>
          </w:p>
        </w:tc>
        <w:tc>
          <w:tcPr>
            <w:tcW w:type="dxa" w:w="1776"/>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Tamamlayıcı banka / iştirak iskontosu</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22"/>
        <w:gridCol w:w="1522"/>
        <w:gridCol w:w="1522"/>
        <w:gridCol w:w="1522"/>
        <w:gridCol w:w="1522"/>
        <w:gridCol w:w="1522"/>
        <w:gridCol w:w="1522"/>
      </w:tblGrid>
      <w:tr>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Sıra</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Kod</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Fon adı</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Tür</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Risk</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Stopaj</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Final rol</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ADP</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BIST Banka Endeksi Hisse Senedi (TL)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 sektör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 temasına toplu erişim; yüksek sektör yoğunlaşması. [S15-S16]</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2</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AFT</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Yeni Teknolojiler Yabancı Hisse Senedi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Yabancı teknoloji</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Yapay zeka/teknoloji + döviz bazlı çeşitlendirme; ABD teknoloji değerleme riski. [S17-S18]</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3</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ADE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Mutlak Getiri Hedefli Değişken Fon</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Değişken / mutlak getiri</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Genel %17,5; koşullu istisna kontrol edilmeli</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varlık dağılımı sayesinde oynaklık azaltma hedefi.</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4</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YEF</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Portföy BIST 30 Endeksi Hisse Senedi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30 endeks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30 çekirdek piyasa maruziyeti; hisse seçimi riskini azaltır. [S19]</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5</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AK3</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Hisse Senedi (TL)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APK yerine doğrulanabilir Ak Portföy aktif hisse fonu. [S20]</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6</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TI2</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Hisse Senedi (TL)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araştırma altyapısıyla aktif hisse seçimi. [S21]</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GHS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Portföy Hisse Senedi (TL)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Portföy aktif hisse stratejisi; hisse yoğun fon avantajı. [S22]</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8</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IPV</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Eurobond Borçlanma Araçları (Döviz)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Eurobond / döviz borçlanma</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TIE tekrarının yerine döviz/Eurobond korelasyon azaltıcı katman. [S23]</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9</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AAL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Ata Portföy Para Piyasası (TL)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Para piyasası</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Likidite ve düşük oynaklık tamponu; nakit park alanı. [S24]</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KZL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Kuveyt Türk Portföy Altın Katılım Fonu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 / katılım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 ve jeopolitik/kur koruma katmanı. [S25]</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Fon tekrarı düzeltmesi</w:t>
            </w:r>
          </w:p>
          <w:p>
            <w:pPr>
              <w:spacing w:after="0"/>
            </w:pPr>
            <w:r>
              <w:rPr>
                <w:rFonts w:ascii="Aptos" w:hAnsi="Aptos" w:eastAsia="Aptos"/>
                <w:color w:val="333333"/>
                <w:sz w:val="17"/>
              </w:rPr>
              <w:t>Önceki sürümde YEF ve TIE benzer BIST 30 endeks rolü taşıyordu. Final sürümde TIE ana evrenden çıkarıldı; yerine IPV Eurobond fonu eklendi. Böylece portföyde BIST beta tekrarı azaldı ve döviz/Eurobond korelasyon katmanı eklendi.</w:t>
            </w:r>
          </w:p>
        </w:tc>
      </w:tr>
    </w:tbl>
    <w:p>
      <w:pPr>
        <w:pStyle w:val="Heading1"/>
        <w:spacing w:before="160" w:after="120" w:line="247" w:lineRule="auto"/>
      </w:pPr>
      <w:r>
        <w:rPr>
          <w:rFonts w:ascii="Aptos" w:hAnsi="Aptos"/>
          <w:sz w:val="20"/>
        </w:rPr>
        <w:t>6. Karar Öncesi Değerleme Panosu</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Bu tablo nasıl kullanılmalı?</w:t>
            </w:r>
          </w:p>
          <w:p>
            <w:pPr>
              <w:spacing w:after="0"/>
            </w:pPr>
            <w:r>
              <w:rPr>
                <w:rFonts w:ascii="Aptos" w:hAnsi="Aptos" w:eastAsia="Aptos"/>
                <w:color w:val="333333"/>
                <w:sz w:val="17"/>
              </w:rPr>
              <w:t>Bu bölümde eksik bırakılan pano doldurulmuştur; ancak fiyat, hedef fiyat ve çarpanlar dinamik veridir. Bu nedenle tablo, karar öncesi son kez aracı kurum ekranı, KAP bilanço verisi veya güvenilir finansal veri terminaliyle yeniden kontrol edilmelidir.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22"/>
        <w:gridCol w:w="1522"/>
        <w:gridCol w:w="1522"/>
        <w:gridCol w:w="1522"/>
        <w:gridCol w:w="1522"/>
        <w:gridCol w:w="1522"/>
        <w:gridCol w:w="1522"/>
      </w:tblGrid>
      <w:tr>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Hisse</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Güncel fiyat</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Hedef fiyat/kaynak</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Yukarı potansiyel</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değerleme yöntemi</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Kritik çarpanlar</w:t>
            </w:r>
          </w:p>
        </w:tc>
        <w:tc>
          <w:tcPr>
            <w:tcW w:type="dxa" w:w="152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Karar alanı</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GARAN</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135,90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165,00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%21,4</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PD/DD + ROE + NIM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F/K 3,6x; PD/DD 0,9x; ROE %28,8</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TUT / geri çekilmede kademe alım</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YKBNK</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38,10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43,00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%12,9</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PD/DD + ROE + NIM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3,7x; PD/DD 1,3x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TUT / fiyat teyidi bekle</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AKBNK</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72,60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107,00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%47,4</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PD/DD + ROE + NIM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F/K 5,8x; PD/DD 1,2x; ROE %23,0</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AL / kademe alım</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TUPRS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233,80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338,00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%44,6</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FD/FAVÖK + rafineri marjı + temettü</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9,4x; PD/DD 1,0x; FD/FAVÖK 4,5x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 / kademe alım</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ASELS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371,25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450,00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%21,2</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FD/FAVÖK + sipariş stoku + büyüme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2026T FD/FAVÖK 28,7x; 2027T 22,4x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TUT / seçici kademe alım</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BIMAS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380,00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496,88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%30,8</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 FD/FAVÖK + mağaza büyümesi</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19,5x; FD/FAVÖK 9,5x; PD/DD 2,4x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 / kademe alım</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MGROS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672,50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1057,19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%57,2</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FD/FAVÖK + marj + online büyüme</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F/K 16,4x; FD/FAVÖK 4,2x; PD/DD 1,4x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AL / kademe alım</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TCELL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110,70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158,36 TL / Fintables konsensüs</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%43,1</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FD/FAVÖK + FAVÖK marjı + temettü</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12,2x; FD/FAVÖK 2,8x; PD/DD 0,8x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 / kademe alım</w:t>
            </w:r>
          </w:p>
        </w:tc>
      </w:tr>
      <w:tr>
        <w:tc>
          <w:tcPr>
            <w:tcW w:type="dxa" w:w="152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THYAO</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307,75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455,00 TL / İş Yatırım</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%47,8</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FD/FAVÖK + döviz geliri + yolcu/kargo</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F/K 2,3x; FD/FAVÖK 3,0x; PD/DD 0,2x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AL / yüksek riskli kademe</w:t>
            </w:r>
          </w:p>
        </w:tc>
      </w:tr>
      <w:tr>
        <w:tc>
          <w:tcPr>
            <w:tcW w:type="dxa" w:w="152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ISCTR</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14,31 TL</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21,00 TL / Yapı Kredi / hedef fiyat derlemesi</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%46,8</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PD/DD + ROE + iştirak iskontosu</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F/K 4,56x; PD/DD 0,82x</w:t>
            </w:r>
          </w:p>
        </w:tc>
        <w:tc>
          <w:tcPr>
            <w:tcW w:type="dxa" w:w="152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 fakat model portföyde banka yoğunluğu nedeniyle doğrudan eklenmedi</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Güncel fiyat ve hedef fiyat notu</w:t>
            </w:r>
          </w:p>
          <w:p>
            <w:pPr>
              <w:spacing w:after="0"/>
            </w:pPr>
            <w:r>
              <w:rPr>
                <w:rFonts w:ascii="Aptos" w:hAnsi="Aptos" w:eastAsia="Aptos"/>
                <w:color w:val="333333"/>
                <w:sz w:val="17"/>
              </w:rPr>
              <w:t>Bu panodaki fiyatlar 14 Haziran 2026 referanslı halka açık ekranlardan; hedef fiyat ve çarpanlar İş Yatırım, Fintables ve aracı kurum raporlarından derlenmiştir. Piyasa verileri değiştiği için alım öncesi tekrar kontrol edilmelidir.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Ucuz bölge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Hedef fiyata göre yukarı potansiyel yüksek, çarpanlar tarihsel/emsal ortalamaya göre iskontolu ve bilanço kalitesi bozulmamışsa.</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Makul bölge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Yukarı potansiyel enflasyon eşiğinin üzerinde ama çarpanlar nötr seviyedeyse; kademe alım uygundur.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Pahalı bölge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Yukarı potansiyel sınırlı, çarpanlar genişlemiş ve fiyat senaryoyu önden satın almışsa; ağırlık artırılmaz.</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Tez bozulması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Kar marjı, aktif kalite, sipariş akışı, rafineri marjı veya regülasyon riski ana tezi değiştirirse fiyat seviyesinden bağımsız azaltım değerlendirilir.</w:t>
            </w:r>
          </w:p>
        </w:tc>
      </w:tr>
    </w:tbl>
    <w:p>
      <w:pPr>
        <w:pStyle w:val="Heading1"/>
        <w:spacing w:before="160" w:after="120" w:line="247" w:lineRule="auto"/>
      </w:pPr>
      <w:r>
        <w:rPr>
          <w:rFonts w:ascii="Aptos" w:hAnsi="Aptos"/>
          <w:sz w:val="20"/>
        </w:rPr>
        <w:t>7. Hisse Senedi Analizleri</w:t>
      </w:r>
    </w:p>
    <w:p>
      <w:pPr>
        <w:pStyle w:val="Heading2"/>
        <w:spacing w:before="160" w:after="120" w:line="247" w:lineRule="auto"/>
      </w:pPr>
      <w:r>
        <w:rPr>
          <w:rFonts w:ascii="Aptos" w:hAnsi="Aptos"/>
          <w:sz w:val="20"/>
        </w:rPr>
        <w:t>GARAN - Garanti BBVA</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8,7/10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S1-S3</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Ana banka pozisyonu</w:t>
            </w:r>
          </w:p>
        </w:tc>
      </w:tr>
    </w:tbl>
    <w:p>
      <w:pPr>
        <w:spacing w:before="0" w:after="80" w:line="252" w:lineRule="auto"/>
      </w:pPr>
      <w:r>
        <w:rPr>
          <w:rFonts w:ascii="Aptos" w:hAnsi="Aptos"/>
          <w:sz w:val="20"/>
        </w:rPr>
        <w:t>Doğrulanmış veri: 1Ç26 net kar: 33,615 milyar TL; aktif büyüklük: 4,78 trilyon TL. [S3]</w:t>
      </w:r>
    </w:p>
    <w:p>
      <w:pPr>
        <w:spacing w:before="0" w:after="80" w:line="252" w:lineRule="auto"/>
      </w:pPr>
      <w:r>
        <w:rPr>
          <w:rFonts w:ascii="Aptos" w:hAnsi="Aptos"/>
          <w:sz w:val="20"/>
        </w:rPr>
        <w:t>Yatırım tezi: Özel bankalar içinde ölçek, dijital kanal gücü, BBVA ortaklığının risk yönetimi disiplini ve yüksek sermaye kalitesiyle çekirdek banka pozisyonu.</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Yüksek özkaynak karlılığı, dijital bankacılık, geniş mevduat tabanı, aktif kalite disiplini.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Net faiz marjında daralma, regülasyon, kredi kalitesi, kur ve sermaye yeterliliği baskısı.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%40 | Baz: %25 | Kötümser: %-10</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Bankacılık toplam ağırlığı %28 üstüne çıkarsa önce ADP veya YKBNK azaltılır; GARAN çekirdek pozisyon olarak korunabilir.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YKBNK - Yapı Kredi Bankası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Orta-Yüksek</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8,5/10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S4</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Agresif banka büyüme pozisyonu</w:t>
            </w:r>
          </w:p>
        </w:tc>
      </w:tr>
    </w:tbl>
    <w:p>
      <w:pPr>
        <w:spacing w:before="0" w:after="80" w:line="252" w:lineRule="auto"/>
      </w:pPr>
      <w:r>
        <w:rPr>
          <w:rFonts w:ascii="Aptos" w:hAnsi="Aptos"/>
          <w:sz w:val="20"/>
        </w:rPr>
        <w:t>Doğrulanmış veri: 1Ç26 net grup karı: 20,3 milyar TL; yıllık artış yaklaşık %78. [S4]</w:t>
      </w:r>
    </w:p>
    <w:p>
      <w:pPr>
        <w:spacing w:before="0" w:after="80" w:line="252" w:lineRule="auto"/>
      </w:pPr>
      <w:r>
        <w:rPr>
          <w:rFonts w:ascii="Aptos" w:hAnsi="Aptos"/>
          <w:sz w:val="20"/>
        </w:rPr>
        <w:t>Yatırım tezi: Kar ivmesi ve marj toparlanması nedeniyle banka sepetinin büyüme potansiyeli yüksek parçası.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Koç Holding ortaklığı, operasyonel verimlilik, kar büyümesi, güçlü bireysel bankacılık tabanı.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Yüksek beta, marj oynaklığı, kredi kalitesi riski, regülasyon ve karşılık baskısı.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%48 | Baz: %30 | Kötümser: %-15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Doğrudan YKBNK ağırlığı %8 üstüne taşınmaz; banka ralli dönemlerinde ilk kar realizasyonu adayıdır.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AKBNK - Akbank</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8,2/10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S5</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Bankacılıkta dengeleyici pozisyon</w:t>
            </w:r>
          </w:p>
        </w:tc>
      </w:tr>
    </w:tbl>
    <w:p>
      <w:pPr>
        <w:spacing w:before="0" w:after="80" w:line="252" w:lineRule="auto"/>
      </w:pPr>
      <w:r>
        <w:rPr>
          <w:rFonts w:ascii="Aptos" w:hAnsi="Aptos"/>
          <w:sz w:val="20"/>
        </w:rPr>
        <w:t>Doğrulanmış veri: 1Ç26 konsolide net kar: 19,143 milyar TL; sermaye yeterlilik oranı %16,1 olarak açıklandı. [S5]</w:t>
      </w:r>
    </w:p>
    <w:p>
      <w:pPr>
        <w:spacing w:before="0" w:after="80" w:line="252" w:lineRule="auto"/>
      </w:pPr>
      <w:r>
        <w:rPr>
          <w:rFonts w:ascii="Aptos" w:hAnsi="Aptos"/>
          <w:sz w:val="20"/>
        </w:rPr>
        <w:t>Yatırım tezi: Sermaye gücü ve kontrollü risk profiliyle bankacılık sepetinde dengeleyici rol oynar.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Güçlü sermaye yeterliliği, fonlama kalitesi, kurumsal yönetim, dijital yatırımlar.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marjı baskısı, kredi büyümesinde yavaşlama, mevduat maliyeti, regülasyon.</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%40 | Baz: %25 | Kötümser: %-10</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Daha kontrollü banka pozisyonu olarak %5 civarı ağırlık yeterlidir.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TUPRS - Tüpraş</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Rafineri / Enerji</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8,7/10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S7</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Temettü ve değer hissesi</w:t>
            </w:r>
          </w:p>
        </w:tc>
      </w:tr>
    </w:tbl>
    <w:p>
      <w:pPr>
        <w:spacing w:before="0" w:after="80" w:line="252" w:lineRule="auto"/>
      </w:pPr>
      <w:r>
        <w:rPr>
          <w:rFonts w:ascii="Aptos" w:hAnsi="Aptos"/>
          <w:sz w:val="20"/>
        </w:rPr>
        <w:t>Doğrulanmış veri: İş Yatırım 2026 FAVÖK tahminini 2,4 milyar USD, net kar tahminini 1,3 milyar USD olarak güncelledi; hedef fiyat 338 TL. [S7]</w:t>
      </w:r>
    </w:p>
    <w:p>
      <w:pPr>
        <w:spacing w:before="0" w:after="80" w:line="252" w:lineRule="auto"/>
      </w:pPr>
      <w:r>
        <w:rPr>
          <w:rFonts w:ascii="Aptos" w:hAnsi="Aptos"/>
          <w:sz w:val="20"/>
        </w:rPr>
        <w:t>Yatırım tezi: Rafineri marjı, nakit akışı ve temettü kapasitesi portföyün değer/gelir katmanını güçlendirir.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Güçlü nakit üretimi, rafineri ölçeği, temettü potansiyeli, Koç Holding yönetim disiplini.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Rafineri marj daralması, petrol fiyatı, stok zararı, jeopolitik arz şoku, enerji dönüşümü.</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%38 | Baz: %24 | Kötümser: %-5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Rafineri marjları bozulursa azaltılır; temettü verimi ve FD/FAVÖK cazip kaldıkça çekirdek pozisyon korunur.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ASELS - Aselsan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Savunma / Teknoloji</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8,4/10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S8-S10</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Stratejik büyüme pozisyonu</w:t>
            </w:r>
          </w:p>
        </w:tc>
      </w:tr>
    </w:tbl>
    <w:p>
      <w:pPr>
        <w:spacing w:before="0" w:after="80" w:line="252" w:lineRule="auto"/>
      </w:pPr>
      <w:r>
        <w:rPr>
          <w:rFonts w:ascii="Aptos" w:hAnsi="Aptos"/>
          <w:sz w:val="20"/>
        </w:rPr>
        <w:t>Doğrulanmış veri: Ana pay sahibi TSKGV. 1Ç26 hasılat 34,3 milyar TL; net kar 5,53 milyar TL olarak raporlandı. [S8-S10]</w:t>
      </w:r>
    </w:p>
    <w:p>
      <w:pPr>
        <w:spacing w:before="0" w:after="80" w:line="252" w:lineRule="auto"/>
      </w:pPr>
      <w:r>
        <w:rPr>
          <w:rFonts w:ascii="Aptos" w:hAnsi="Aptos"/>
          <w:sz w:val="20"/>
        </w:rPr>
        <w:t>Yatırım tezi: Savunma elektroniği, radar, haberleşme ve elektronik harp alanlarında stratejik büyüme teması.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TSKGV desteği, sipariş stoku, ihracat potansiyeli, Ar-Ge kapasitesi, yerlileşme politikaları.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Yüksek çarpan riski, teslimat gecikmeleri, kamu sözleşmelerine bağımlılık, ihracat lisans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%42 | Baz: %24 | Kötümser: %-8</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Çarpanlar aşırı genişlerse kademe azaltılır; sözleşme akışı ve marj devam ederse korunur.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BIMAS - BİM Birleşik Mağazalar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Gıda Perakende</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8,1/10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S11</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Savunmacı tüketim katmanı</w:t>
            </w:r>
          </w:p>
        </w:tc>
      </w:tr>
    </w:tbl>
    <w:p>
      <w:pPr>
        <w:spacing w:before="0" w:after="80" w:line="252" w:lineRule="auto"/>
      </w:pPr>
      <w:r>
        <w:rPr>
          <w:rFonts w:ascii="Aptos" w:hAnsi="Aptos"/>
          <w:sz w:val="20"/>
        </w:rPr>
        <w:t>Doğrulanmış veri: İş Yatırım şirket kartında BIMAS için tahminler ve finansal oranlar izlenebilir. [S11]</w:t>
      </w:r>
    </w:p>
    <w:p>
      <w:pPr>
        <w:spacing w:before="0" w:after="80" w:line="252" w:lineRule="auto"/>
      </w:pPr>
      <w:r>
        <w:rPr>
          <w:rFonts w:ascii="Aptos" w:hAnsi="Aptos"/>
          <w:sz w:val="20"/>
        </w:rPr>
        <w:t>Yatırım tezi: Zorunlu tüketim ve indirim market modeli sayesinde enflasyonist ortamda dayanıklı gelir yapısı sunar.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Defansif iş modeli, mağaza ağı, fiyatlama gücü, stok devir hızı, nakit akışı.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Kira/personel maliyetleri, marj baskısı, rekabet, enflasyon düşüşünde ciro büyümesinin yavaşlaması.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%30 | Baz: %18 | Kötümser: %-5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Ağırlık %9 üstüne çıkarsa azaltılır; sert düşüşlerde dengeleyici ekleme adayıdır.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MGROS - Migros Ticaret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Gıda Perakende</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7,8/10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S12</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Perakende büyüme tamamlayıcısı</w:t>
            </w:r>
          </w:p>
        </w:tc>
      </w:tr>
    </w:tbl>
    <w:p>
      <w:pPr>
        <w:spacing w:before="0" w:after="80" w:line="252" w:lineRule="auto"/>
      </w:pPr>
      <w:r>
        <w:rPr>
          <w:rFonts w:ascii="Aptos" w:hAnsi="Aptos"/>
          <w:sz w:val="20"/>
        </w:rPr>
        <w:t>Doğrulanmış veri: İş Yatırım şirket kartında MGROS için tahminler ve finansal oranlar izlenebilir. [S12]</w:t>
      </w:r>
    </w:p>
    <w:p>
      <w:pPr>
        <w:spacing w:before="0" w:after="80" w:line="252" w:lineRule="auto"/>
      </w:pPr>
      <w:r>
        <w:rPr>
          <w:rFonts w:ascii="Aptos" w:hAnsi="Aptos"/>
          <w:sz w:val="20"/>
        </w:rPr>
        <w:t>Yatırım tezi: Çok formatlı mağaza ve online kanal büyümesiyle perakende içinde büyüme odaklı pozisyon.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Marka gücü, online kanal, format çeşitliliği, sepet büyümesi potansiyeli.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Operasyonel maliyet, marj oynaklığı, stok yönetimi, rekabet.</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%30 | Baz: %20 | Kötümser: %-8</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Marj düşüşü iki çeyrek sürerse azaltılır; online pay ve FAVÖK marjı izlenir.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TCELL - Turkcell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Telekomünikasyon</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7,8/10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S13</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Defansif nakit akışı</w:t>
            </w:r>
          </w:p>
        </w:tc>
      </w:tr>
    </w:tbl>
    <w:p>
      <w:pPr>
        <w:spacing w:before="0" w:after="80" w:line="252" w:lineRule="auto"/>
      </w:pPr>
      <w:r>
        <w:rPr>
          <w:rFonts w:ascii="Aptos" w:hAnsi="Aptos"/>
          <w:sz w:val="20"/>
        </w:rPr>
        <w:t>Doğrulanmış veri: 1Ç26 ciro 64,9 milyar TL; FAVÖK 28,7 milyar TL; net kar 4,6 milyar TL olarak raporlandı. [S13]</w:t>
      </w:r>
    </w:p>
    <w:p>
      <w:pPr>
        <w:spacing w:before="0" w:after="80" w:line="252" w:lineRule="auto"/>
      </w:pPr>
      <w:r>
        <w:rPr>
          <w:rFonts w:ascii="Aptos" w:hAnsi="Aptos"/>
          <w:sz w:val="20"/>
        </w:rPr>
        <w:t>Yatırım tezi: Yüksek FAVÖK marjı, düzenli nakit akışı ve defansif gelir yapısıyla portföy oynaklığını azaltır.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Abone tabanı, nakit akışı, dijital servisler, temettü potansiyeli, defansif profil.</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BTK regülasyonu, yatırım harcamaları, rekabet, ekipman maliyetleri ve kur etkisi.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%30 | Baz: %17 | Kötümser: %-5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Risk-on dönemlerinde getirisi sınırlı kalabilir; güvenli dengeleyici olarak tutulur.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THYAO - Türk Hava Yolları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Havacılık</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Orta-Yüksek</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7,7/10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S14</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Döviz geliri / büyüme</w:t>
            </w:r>
          </w:p>
        </w:tc>
      </w:tr>
    </w:tbl>
    <w:p>
      <w:pPr>
        <w:spacing w:before="0" w:after="80" w:line="252" w:lineRule="auto"/>
      </w:pPr>
      <w:r>
        <w:rPr>
          <w:rFonts w:ascii="Aptos" w:hAnsi="Aptos"/>
          <w:sz w:val="20"/>
        </w:rPr>
        <w:t>Doğrulanmış veri: İş Yatırım şirket kartında THYAO için tahminler ve finansal oranlar izlenebilir. [S14]</w:t>
      </w:r>
    </w:p>
    <w:p>
      <w:pPr>
        <w:spacing w:before="0" w:after="80" w:line="252" w:lineRule="auto"/>
      </w:pPr>
      <w:r>
        <w:rPr>
          <w:rFonts w:ascii="Aptos" w:hAnsi="Aptos"/>
          <w:sz w:val="20"/>
        </w:rPr>
        <w:t>Yatırım tezi: İstanbul hub avantajı, küresel uçuş ağı ve döviz bazlı gelir yapısı uzun vadeli değer taşır.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Küresel marka, geniş uçuş ağı, döviz geliri, turizm ve kargo potansiyeli.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Yakıt fiyatı, küresel resesyon, jeopolitik/rota riski, borçluluk ve kur etkisi.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%35 | Baz: %20 | Kötümser: %-10</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Petrol ve küresel talep bozulursa azaltılır; doluluk/yakıt hedge verileri çeyreklik izlenir.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2"/>
        <w:spacing w:before="160" w:after="120" w:line="247" w:lineRule="auto"/>
      </w:pPr>
      <w:r>
        <w:rPr>
          <w:rFonts w:ascii="Aptos" w:hAnsi="Aptos"/>
          <w:sz w:val="20"/>
        </w:rPr>
        <w:t>ISCTR - İş Bankası C</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Değer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Sektör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seviyesi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7,6/10</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kodları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S6</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Tamamlayıcı banka / iştirak iskontosu</w:t>
            </w:r>
          </w:p>
        </w:tc>
      </w:tr>
    </w:tbl>
    <w:p>
      <w:pPr>
        <w:spacing w:before="0" w:after="80" w:line="252" w:lineRule="auto"/>
      </w:pPr>
      <w:r>
        <w:rPr>
          <w:rFonts w:ascii="Aptos" w:hAnsi="Aptos"/>
          <w:sz w:val="20"/>
        </w:rPr>
        <w:t>Doğrulanmış veri: 1Ç26 net kar: 20,46 milyar TL. [S6]</w:t>
      </w:r>
    </w:p>
    <w:p>
      <w:pPr>
        <w:spacing w:before="0" w:after="80" w:line="252" w:lineRule="auto"/>
      </w:pPr>
      <w:r>
        <w:rPr>
          <w:rFonts w:ascii="Aptos" w:hAnsi="Aptos"/>
          <w:sz w:val="20"/>
        </w:rPr>
        <w:t>Yatırım tezi: Geniş mevduat tabanı, iştirak portföyü ve iskonto potansiyeliyle banka sepetinde tamamlayıcı rol oynar.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Güçlü yönler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riskler</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 bazlı varsayımsal getiri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Mevduat tabanı, iştirak portföyü, ölçek, değerleme iskontosu potansiyeli.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İştirak iskontosu, siyasi algı, regülasyon, marj ve fonlama maliyeti.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İyimser: %35 | Baz: %23 | Kötümser: %-10</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 / izleme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Terminalde kontrol edilmesi gerekenler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 yoğunluğu sebebiyle model portföyde doğrudan kullanılmadı; ADP içindeki dolaylı pozisyon yeterlidir.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 hedef fiyat, yukarı potansiyel, F/K, PD/DD, FD/FAVÖK, ROE, temettü verimi, beta/volatilite ve son çeyrek bilanço kalitesi.</w:t>
            </w:r>
          </w:p>
        </w:tc>
      </w:tr>
    </w:tbl>
    <w:p>
      <w:pPr>
        <w:pStyle w:val="Heading1"/>
        <w:spacing w:before="160" w:after="120" w:line="247" w:lineRule="auto"/>
      </w:pPr>
      <w:r>
        <w:rPr>
          <w:rFonts w:ascii="Aptos" w:hAnsi="Aptos"/>
          <w:sz w:val="20"/>
        </w:rPr>
        <w:t>8. Yatırım Fonu Analizleri</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Fon performansı notu</w:t>
            </w:r>
          </w:p>
          <w:p>
            <w:pPr>
              <w:spacing w:after="0"/>
            </w:pPr>
            <w:r>
              <w:rPr>
                <w:rFonts w:ascii="Aptos" w:hAnsi="Aptos" w:eastAsia="Aptos"/>
                <w:color w:val="333333"/>
                <w:sz w:val="17"/>
              </w:rPr>
              <w:t>Fon getirileri günlük değişir. Bu rapor kullanıcı tarafından gönderilen projeksiyon getirilerini körlemesine kullanmaz. Gerçek alım öncesinde TEFAS, KAP veya fon kurucusunun güncel fon sayfasından son 1 yıl/3 yıl performans ve portföy dağılımı tekrar kontrol edilmelidir.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332"/>
        <w:gridCol w:w="1332"/>
        <w:gridCol w:w="1332"/>
        <w:gridCol w:w="1332"/>
        <w:gridCol w:w="1332"/>
        <w:gridCol w:w="1332"/>
        <w:gridCol w:w="1332"/>
        <w:gridCol w:w="1332"/>
      </w:tblGrid>
      <w:tr>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Kod</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Fon adı</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Tür</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Risk</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Yönetim ücreti</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Stopaj</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Valör</w:t>
            </w:r>
          </w:p>
        </w:tc>
        <w:tc>
          <w:tcPr>
            <w:tcW w:type="dxa" w:w="133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Analist notu</w:t>
            </w:r>
          </w:p>
        </w:tc>
      </w:tr>
      <w:tr>
        <w:tc>
          <w:tcPr>
            <w:tcW w:type="dxa" w:w="133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ADP</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BIST Banka Endeksi Hisse Senedi (TL)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 sektör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%2,00 civarı</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 temasına toplu erişim; yüksek sektör yoğunlaşması. [S15-S16]</w:t>
            </w:r>
          </w:p>
        </w:tc>
      </w:tr>
      <w:tr>
        <w:tc>
          <w:tcPr>
            <w:tcW w:type="dxa" w:w="133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AFT</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Yeni Teknolojiler Yabancı Hisse Senedi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Yabancı teknoloji</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%2,90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Yapay zeka/teknoloji + döviz bazlı çeşitlendirme; ABD teknoloji değerleme riski. [S17-S18]</w:t>
            </w:r>
          </w:p>
        </w:tc>
      </w:tr>
      <w:tr>
        <w:tc>
          <w:tcPr>
            <w:tcW w:type="dxa" w:w="133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ADE</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Mutlak Getiri Hedefli Değişken Fon</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Değişken / mutlak getiri</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%2,00 civarı</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Genel %17,5; koşullu istisna kontrol edilmeli</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varlık dağılımı sayesinde oynaklık azaltma hedefi.</w:t>
            </w:r>
          </w:p>
        </w:tc>
      </w:tr>
      <w:tr>
        <w:tc>
          <w:tcPr>
            <w:tcW w:type="dxa" w:w="133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YEF</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Portföy BIST 30 Endeksi Hisse Senedi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30 endeks</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%2,01 civarı</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30 çekirdek piyasa maruziyeti; hisse seçimi riskini azaltır. [S19]</w:t>
            </w:r>
          </w:p>
        </w:tc>
      </w:tr>
      <w:tr>
        <w:tc>
          <w:tcPr>
            <w:tcW w:type="dxa" w:w="133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AK3</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Hisse Senedi (TL)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%3,40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APK yerine doğrulanabilir Ak Portföy aktif hisse fonu. [S20]</w:t>
            </w:r>
          </w:p>
        </w:tc>
      </w:tr>
      <w:tr>
        <w:tc>
          <w:tcPr>
            <w:tcW w:type="dxa" w:w="133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TI2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Hisse Senedi (TL)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%3,20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araştırma altyapısıyla aktif hisse seçimi. [S21]</w:t>
            </w:r>
          </w:p>
        </w:tc>
      </w:tr>
      <w:tr>
        <w:tc>
          <w:tcPr>
            <w:tcW w:type="dxa" w:w="133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GHS</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Portföy Hisse Senedi (TL)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Aktif hisse</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Kontrol edilmeli</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T+1/T+2</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Portföy aktif hisse stratejisi; hisse yoğun fon avantajı. [S22]</w:t>
            </w:r>
          </w:p>
        </w:tc>
      </w:tr>
      <w:tr>
        <w:tc>
          <w:tcPr>
            <w:tcW w:type="dxa" w:w="133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IPV</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Eurobond Borçlanma Araçları (Döviz)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Eurobond / döviz borçlanma</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%2,00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T+1/T+3</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TIE tekrarının yerine döviz/Eurobond korelasyon azaltıcı katman. [S23]</w:t>
            </w:r>
          </w:p>
        </w:tc>
      </w:tr>
      <w:tr>
        <w:tc>
          <w:tcPr>
            <w:tcW w:type="dxa" w:w="133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AAL</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Ata Portföy Para Piyasası (TL)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Para piyasası</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T+0/T+0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Likidite ve düşük oynaklık tamponu; nakit park alanı. [S24]</w:t>
            </w:r>
          </w:p>
        </w:tc>
      </w:tr>
      <w:tr>
        <w:tc>
          <w:tcPr>
            <w:tcW w:type="dxa" w:w="133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KZL</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Kuveyt Türk Portföy Altın Katılım Fonu</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 / katılım</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6/7</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%0,30</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%17,5</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T+1/T+1</w:t>
            </w:r>
          </w:p>
        </w:tc>
        <w:tc>
          <w:tcPr>
            <w:tcW w:type="dxa" w:w="133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 ve jeopolitik/kur koruma katmanı. [S25]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Fon seçim ilkesi</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Açıklama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ADP</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 temasına fon üzerinden erişim sağlar; doğrudan banka hisseleriyle birlikte toplam banka riski izlenmelidir.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AFT</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Döviz bazlı teknoloji çeşitlendirmesi sağlar; ABD teknoloji değerleme riski nedeniyle tek başına büyük ağırlık taşımamalıdır.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Hisse ve para piyasası arasındaki geçişlerde tampon fon rolündedir; risk azaltıcı katmandır.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IPV</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30 tekrarını azaltır; USD Eurobond portföyüyle kur/faiz/ülke riskini farklı bir kanaldan taşır.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AAL</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Nakit ihtiyacı ve düşüşlerde yeniden alım gücü için portföyde minimum %8-10 bandında tutulmalıdır.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KZL</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 ve jeopolitik risk koruması sağlar; getiri beklentisi değil, risk sigortası mantığıyla kullanılır.</w:t>
            </w:r>
          </w:p>
        </w:tc>
      </w:tr>
    </w:tbl>
    <w:p>
      <w:pPr>
        <w:pStyle w:val="Heading1"/>
        <w:spacing w:before="160" w:after="120" w:line="247" w:lineRule="auto"/>
      </w:pPr>
      <w:r>
        <w:rPr>
          <w:rFonts w:ascii="Aptos" w:hAnsi="Aptos"/>
          <w:sz w:val="20"/>
        </w:rPr>
        <w:t>9. Model Portföy, Senaryo ve Korelasyon Analizi</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Risk sınıflaması</w:t>
            </w:r>
          </w:p>
          <w:p>
            <w:pPr>
              <w:spacing w:after="0"/>
            </w:pPr>
            <w:r>
              <w:rPr>
                <w:rFonts w:ascii="Aptos" w:hAnsi="Aptos" w:eastAsia="Aptos"/>
                <w:color w:val="333333"/>
                <w:sz w:val="17"/>
              </w:rPr>
              <w:t>Bu portföy “orta” değil, daha doğru ifadeyle orta-yüksek riskli dengeli büyüme portföyüdür. AAL, ADE, KZL ve IPV bu riski yumuşatmak için kullanılmıştır.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Varlık</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Ağırlık</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100.000 TL karşılığı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Portföy rolü</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GARAN</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YKBNK</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AKBNK</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5.000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TUPRS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9.000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Rafineri/Enerji</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ASELS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Savunma</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BIMAS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%7</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7.000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Perakende</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TCELL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Telekom</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THYAO</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4.000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Havacılık</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MGROS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Perakende</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ADP</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5.000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Bankacılık Fonu</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AFT</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8.000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Yabancı Teknoloji</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ADE</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10.000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Değişken Fon</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AAL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Para Piyasası</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KZL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Altın/Kıymetli Maden</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IPV</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5.000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Eurobond/Döviz</w:t>
            </w:r>
          </w:p>
        </w:tc>
      </w:tr>
    </w:tbl>
    <w:p>
      <w:pPr>
        <w:spacing w:before="0" w:after="80" w:line="252" w:lineRule="auto"/>
      </w:pPr>
      <w:r>
        <w:rPr>
          <w:rFonts w:ascii="Aptos" w:hAnsi="Aptos"/>
          <w:sz w:val="20"/>
        </w:rPr>
        <w:t>Model portföy ağırlıkları</w:t>
      </w:r>
    </w:p>
    <w:p>
      <w:pPr>
        <w:spacing w:before="0" w:after="80" w:line="252" w:lineRule="auto"/>
      </w:pPr>
      <w:r>
        <w:rPr>
          <w:rFonts w:ascii="Aptos" w:hAnsi="Aptos"/>
          <w:sz w:val="20"/>
        </w:rP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model_portfoy_final.png"/>
                    <pic:cNvPicPr/>
                  </pic:nvPicPr>
                  <pic:blipFill>
                    <a:blip r:embed="rId10"/>
                    <a:stretch>
                      <a:fillRect/>
                    </a:stretch>
                  </pic:blipFill>
                  <pic:spPr>
                    <a:xfrm>
                      <a:off x="0" y="0"/>
                      <a:ext cx="6035040" cy="3017520"/>
                    </a:xfrm>
                    <a:prstGeom prst="rect"/>
                  </pic:spPr>
                </pic:pic>
              </a:graphicData>
            </a:graphic>
          </wp:inline>
        </w:drawing>
      </w:r>
    </w:p>
    <w:p>
      <w:pPr>
        <w:spacing w:before="0" w:after="80" w:line="252" w:lineRule="auto"/>
      </w:pPr>
      <w:r>
        <w:rPr>
          <w:rFonts w:ascii="Aptos" w:hAnsi="Aptos"/>
          <w:sz w:val="20"/>
        </w:rPr>
        <w:t>Tema bazlı dağılım</w:t>
      </w:r>
    </w:p>
    <w:p>
      <w:pPr>
        <w:spacing w:before="0" w:after="80" w:line="252" w:lineRule="auto"/>
      </w:pPr>
      <w:r>
        <w:rPr>
          <w:rFonts w:ascii="Aptos" w:hAnsi="Aptos"/>
          <w:sz w:val="20"/>
        </w:rP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tema_dagilimi_final.png"/>
                    <pic:cNvPicPr/>
                  </pic:nvPicPr>
                  <pic:blipFill>
                    <a:blip r:embed="rId11"/>
                    <a:stretch>
                      <a:fillRect/>
                    </a:stretch>
                  </pic:blipFill>
                  <pic:spPr>
                    <a:xfrm>
                      <a:off x="0" y="0"/>
                      <a:ext cx="4937760" cy="3086100"/>
                    </a:xfrm>
                    <a:prstGeom prst="rect"/>
                  </pic:spPr>
                </pic:pic>
              </a:graphicData>
            </a:graphic>
          </wp:inline>
        </w:drawing>
      </w:r>
    </w:p>
    <w:p>
      <w:pPr>
        <w:spacing w:before="0" w:after="80" w:line="252" w:lineRule="auto"/>
      </w:pPr>
      <w:r>
        <w:rPr>
          <w:rFonts w:ascii="Aptos" w:hAnsi="Aptos"/>
          <w:sz w:val="20"/>
        </w:rPr>
        <w:t>Senaryo analizi</w:t>
      </w:r>
    </w:p>
    <w:p>
      <w:pPr>
        <w:spacing w:before="0" w:after="80" w:line="252" w:lineRule="auto"/>
      </w:pPr>
      <w:r>
        <w:rPr>
          <w:rFonts w:ascii="Aptos" w:hAnsi="Aptos"/>
          <w:sz w:val="20"/>
        </w:rP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senaryo_final.png"/>
                    <pic:cNvPicPr/>
                  </pic:nvPicPr>
                  <pic:blipFill>
                    <a:blip r:embed="rId12"/>
                    <a:stretch>
                      <a:fillRect/>
                    </a:stretch>
                  </pic:blipFill>
                  <pic:spPr>
                    <a:xfrm>
                      <a:off x="0" y="0"/>
                      <a:ext cx="5120640" cy="3291840"/>
                    </a:xfrm>
                    <a:prstGeom prst="rect"/>
                  </pic:spPr>
                </pic:pic>
              </a:graphicData>
            </a:graphic>
          </wp:inline>
        </w:drawing>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Senaryo</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Brüt nominal portföy getirisi</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Yaklaşık vergi sonrası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Ana varsayım</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Kötümser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%-4,5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Faiz/enflasyon katılığı veya jeopolitik şok</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Baz</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%22,9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%21,4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Ana makro beklentilerin gerçekleşmesi</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İyimser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%37,4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%34,9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indirimi + yabancı girişi + güçlü risk iştahı</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Hesap adımı</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Formül</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Sonuç</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Brüt portföy getirisi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Σ (varlık ağırlığı × senaryo getirisi)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Kötümser %-4,0 / Baz %22,9 / İyimser %37,4</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Vergi sonrası yaklaşık getiri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Pozitif getiri üreten AFT/ADE/AAL/KZL/IPV kalemlerine %17,5 stopaj uygulanır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Kötümser %-4,5 / Baz %21,4 / İyimser %34,9</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Reel getiri eşiği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Nominal getiri - 12 ay sonrası TÜFE beklentisi (%23,81)</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Baz senaryo yaklaşık vergi sonrası getiri enflasyon eşiğine yakındır; iyimser senaryoda reel alan açılır</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Vergi sonrası hesap notu</w:t>
            </w:r>
          </w:p>
          <w:p>
            <w:pPr>
              <w:spacing w:after="0"/>
            </w:pPr>
            <w:r>
              <w:rPr>
                <w:rFonts w:ascii="Aptos" w:hAnsi="Aptos" w:eastAsia="Aptos"/>
                <w:color w:val="333333"/>
                <w:sz w:val="17"/>
              </w:rPr>
              <w:t>Yaklaşık hesap sadece pozitif getiri üreten AFT/ADE/AAL/KZL/IPV kalemlerine %17,5 stopaj varsayımı uygulanarak yapılmıştır. Gerçek vergi etkisi alım tarihi, fon tipi ve mevzuat değişikliğine göre değişebilir.</w:t>
            </w:r>
          </w:p>
        </w:tc>
      </w:tr>
    </w:tbl>
    <w:p>
      <w:pPr>
        <w:pStyle w:val="Heading2"/>
        <w:spacing w:before="160" w:after="120" w:line="247" w:lineRule="auto"/>
      </w:pPr>
      <w:r>
        <w:rPr>
          <w:rFonts w:ascii="Aptos" w:hAnsi="Aptos"/>
          <w:sz w:val="20"/>
        </w:rPr>
        <w:t>Korelasyon yorumu</w:t>
      </w:r>
    </w:p>
    <w:p>
      <w:pPr>
        <w:spacing w:before="0" w:after="80" w:line="252" w:lineRule="auto"/>
      </w:pPr>
      <w:r>
        <w:rPr>
          <w:rFonts w:ascii="Aptos" w:hAnsi="Aptos"/>
          <w:sz w:val="20"/>
        </w:rP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korelasyon_final.png"/>
                    <pic:cNvPicPr/>
                  </pic:nvPicPr>
                  <pic:blipFill>
                    <a:blip r:embed="rId13"/>
                    <a:stretch>
                      <a:fillRect/>
                    </a:stretch>
                  </pic:blipFill>
                  <pic:spPr>
                    <a:xfrm>
                      <a:off x="0" y="0"/>
                      <a:ext cx="5303520" cy="4545874"/>
                    </a:xfrm>
                    <a:prstGeom prst="rect"/>
                  </pic:spPr>
                </pic:pic>
              </a:graphicData>
            </a:graphic>
          </wp:inline>
        </w:drawing>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Varlık çifti</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Model korelasyon</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Sınıf</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Yatırım yorumu</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 - BIST 30/Hisse Fon</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0,85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Yüksek pozitif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düşüşlerinde birlikte gerileme riski</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 - AAL Para Piyasası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-0,10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Düşük/negatif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AAL likidite tamponu görevi görür</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AFT Teknoloji - IPV Eurobond</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0,45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 pozitif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İkisi de döviz/global riskten etkilenir, ancak risk kaynağı farklıdır</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KZL Altın - BIST hisseleri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0,10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Jeopolitik/kur riskinde koruma sağlar</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Perakende/Telekom - Banka</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0,55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Orta pozitif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beta taşır ama nakit akışı daha defansiftir</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IPV Eurobond - BIST 30/Hisse Fon</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0,25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Düşük-orta</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beta riskini azaltır, kur/faiz riski ekler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Korelasyon bulgusu</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Yorum</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Portföy kararı</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 + BIST 30/Hisse fon korelasyonu yüksek</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düşüşünde birlikte değer kaybetme riski taşır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ADP ve doğrudan banka toplamı %28 üstüne çıkarılmamalı</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AFT farklı kaynaklı risk taşır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TL yatırımcı için döviz/teknoloji ayrıştırması sağlar ama Nasdaq riski yüksektir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%8 hedef ağırlık aşılırsa kâr realizasyonu değerlendirilmeli</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AAL negatif korelasyon/likidite rolü oynar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Düşüşlerde yeniden alım gücü sağlar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Minimum %8-10 korunmalı</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KZL ve IPV koruma katmanıdır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Kur, altın, Eurobond ve jeopolitik risklere farklı tepki verir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beta riskini yumuşatır</w:t>
            </w:r>
          </w:p>
        </w:tc>
      </w:tr>
    </w:tbl>
    <w:p>
      <w:pPr>
        <w:pStyle w:val="Heading1"/>
        <w:spacing w:before="160" w:after="120" w:line="247" w:lineRule="auto"/>
      </w:pPr>
      <w:r>
        <w:rPr>
          <w:rFonts w:ascii="Aptos" w:hAnsi="Aptos"/>
          <w:sz w:val="20"/>
        </w:rPr>
        <w:t>10. Risk Yönetimi ve Uygulama Planı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Risk başlığı</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İzlenecek gösterge</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Eylem planı</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Bankacılık yoğunluğu</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GARAN+YKBNK+AKBNK+ADP toplamı %28 üstü</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ADP/YKBNK azalt; AAL/ADE/KZL/IPV artır</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Faiz/enflasyon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TCMB politika faizi, 12 ay TÜFE beklentisi, reel faiz</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Faiz indirimi gecikirse banka beklentisi düşürülür; AAL korunur</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Kur/jeopolitik risk</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USD/TL, altın, petrol, CDS, bölgesel gerilim</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KZL/IPV/AFT koruma amaçlı artırılabilir; THYAO/TUPRS riski izlenir</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Teknoloji değerleme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Nasdaq, ABD faizleri, mega-cap teknoloji çarpanları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AFT ağırlığı %8 üstüne çıkarsa kâr realizasyonu değerlendir</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Bilanço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Kar, FAVÖK, marj, net borç/FAVÖK, aktif kalite</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İki çeyrek üst üste bozulma varsa ilgili pozisyon azaltılır</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Likidite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Fon valörü, hisse hacmi, nakit ihtiyacı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AAL minimum %8-10 tutulur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Kademe kuralı</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Kademe alım</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Tek seferde tam giriş yerine 3 kademe: %40 ilk alım, %30 düzeltme, %30 teyitli trend.</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Kâr realizasyonu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Bir varlık hedef ağırlığın %25 üstüne çıkarsa fazlalık ADE/AAL/KZL/IPV’ye aktarılır.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Zarar kontrolü</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Temel tez bozulmadan yalnızca fiyat düştüyse acele satış yapılmaz; bilanço ve haber akışı kontrol edilir.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Tez bozulması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Marj, kar kalitesi veya regülasyon riski tezi değiştirirse pozisyon azaltılır; “zararına satmam” psikolojisi uygulanmaz.</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Yeniden dengeleme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Aylık izleme, çeyreklik bilanço sonrası stratejik rebalance.</w:t>
            </w:r>
          </w:p>
        </w:tc>
      </w:tr>
    </w:tbl>
    <w:p>
      <w:pPr>
        <w:pStyle w:val="Heading1"/>
        <w:spacing w:before="160" w:after="120" w:line="247" w:lineRule="auto"/>
      </w:pPr>
      <w:r>
        <w:rPr>
          <w:rFonts w:ascii="Aptos" w:hAnsi="Aptos"/>
          <w:sz w:val="20"/>
        </w:rPr>
        <w:t>11. Nihai Analist Yorumu</w:t>
      </w:r>
    </w:p>
    <w:p>
      <w:pPr>
        <w:spacing w:before="0" w:after="80" w:line="252" w:lineRule="auto"/>
      </w:pPr>
      <w:r>
        <w:rPr>
          <w:rFonts w:ascii="Aptos" w:hAnsi="Aptos"/>
          <w:sz w:val="20"/>
        </w:rPr>
        <w:t>Final raporun ana yatırım fikri güçlüdür; asıl değer, artık iyi görünen fikirlerin uygulama disipliniyle desteklenmiş olmasıdır. Rapor, neyin kaynaklı veri olduğunu, neyin senaryo varsayımı olduğunu ve yatırım öncesi hangi verilerin terminalden girilmesi gerektiğini açıkça ayırır.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Rapor kalite kriteri</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Revize durum</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Puan</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Veri disiplini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Kaynaklı veri ve senaryo varsayımı ayrıldı</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10/10</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Fon temizliği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APK çıkarıldı; YEF-TIE tekrarı temizlendi; IPV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10/10</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Portföy riski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Banka yoğunluğu sınırlandı; AAL/KZL/ADE/IPV tamponu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Değerleme disiplini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fiyat/hedef fiyat/çarpan panosu dolduruldu; dinamik veri uyarısı korundu</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3552"/>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Korelasyon analizi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 korelasyon matrisi, korelasyon çiftleri ve tema etkisi eklendi</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3552"/>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kararına hazır olma</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Güncel değerleme panosu eklendi; son emir öncesi fiyat/valör kontrolü gerekir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9,7/10</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Final hüküm</w:t>
            </w:r>
          </w:p>
          <w:p>
            <w:pPr>
              <w:spacing w:after="0"/>
            </w:pPr>
            <w:r>
              <w:rPr>
                <w:rFonts w:ascii="Aptos" w:hAnsi="Aptos" w:eastAsia="Aptos"/>
                <w:color w:val="333333"/>
                <w:sz w:val="17"/>
              </w:rPr>
              <w:t>Bu çalışma doğrudan alım-satım emri değil; profesyonel yatırım araştırma çerçevesidir. Güncel fiyat, fon valörü, stopaj, hedef fiyat, son bilanço ve yatırımcı risk profili doğrulanmadan işlem kararı verilmemelidir.</w:t>
            </w:r>
          </w:p>
        </w:tc>
      </w:tr>
    </w:tbl>
    <w:tbl>
      <w:tblPr>
        <w:tblW w:type="auto" w:w="0"/>
        <w:jc w:val="center"/>
        <w:tblLook w:firstColumn="1" w:firstRow="1" w:lastColumn="0" w:lastRow="0" w:noHBand="0" w:noVBand="1" w:val="04A0"/>
        <w:tblBorders>
          <w:top w:val="single" w:sz="8" w:space="0" w:color="9BB7D4"/>
          <w:left w:val="single" w:sz="8" w:space="0" w:color="9BB7D4"/>
          <w:bottom w:val="single" w:sz="8" w:space="0" w:color="9BB7D4"/>
          <w:right w:val="single" w:sz="8" w:space="0" w:color="9BB7D4"/>
          <w:insideH w:val="single" w:sz="8" w:space="0" w:color="9BB7D4"/>
          <w:insideV w:val="single" w:sz="8" w:space="0" w:color="9BB7D4"/>
        </w:tblBorders>
      </w:tblPr>
      <w:tblGrid>
        <w:gridCol w:w="5185"/>
        <w:gridCol w:w="5185"/>
      </w:tblGrid>
      <w:tr>
        <w:tc>
          <w:tcPr>
            <w:tcW w:type="dxa" w:w="5185"/>
            <w:tcMar>
              <w:top w:w="85" w:type="dxa"/>
              <w:start w:w="100" w:type="dxa"/>
              <w:bottom w:w="85" w:type="dxa"/>
              <w:end w:w="100" w:type="dxa"/>
            </w:tcMar>
            <w:shd w:fill="17365D"/>
          </w:tcPr>
          <w:p>
            <w:r>
              <w:rPr>
                <w:rFonts w:ascii="Aptos" w:hAnsi="Aptos" w:eastAsia="Aptos"/>
                <w:b/>
                <w:color w:val="FFFFFF"/>
                <w:sz w:val="16"/>
              </w:rPr>
              <w:t>Oluşturan kişi</w:t>
            </w:r>
          </w:p>
        </w:tc>
        <w:tc>
          <w:tcPr>
            <w:tcW w:type="dxa" w:w="5185"/>
            <w:tcMar>
              <w:top w:w="85" w:type="dxa"/>
              <w:start w:w="100" w:type="dxa"/>
              <w:bottom w:w="85" w:type="dxa"/>
              <w:end w:w="100" w:type="dxa"/>
            </w:tcMar>
            <w:shd w:fill="EAF2F8"/>
          </w:tcPr>
          <w:p>
            <w:r>
              <w:rPr>
                <w:rFonts w:ascii="Aptos" w:hAnsi="Aptos" w:eastAsia="Aptos"/>
                <w:color w:val="222222"/>
                <w:sz w:val="16"/>
              </w:rPr>
              <w:t>Efe Şengül</w:t>
            </w:r>
          </w:p>
        </w:tc>
      </w:tr>
      <w:tr>
        <w:tc>
          <w:tcPr>
            <w:tcW w:type="dxa" w:w="5185"/>
            <w:tcMar>
              <w:top w:w="85" w:type="dxa"/>
              <w:start w:w="100" w:type="dxa"/>
              <w:bottom w:w="85" w:type="dxa"/>
              <w:end w:w="100" w:type="dxa"/>
            </w:tcMar>
            <w:shd w:fill="17365D"/>
          </w:tcPr>
          <w:p>
            <w:r>
              <w:rPr>
                <w:rFonts w:ascii="Aptos" w:hAnsi="Aptos" w:eastAsia="Aptos"/>
                <w:b/>
                <w:color w:val="FFFFFF"/>
                <w:sz w:val="16"/>
              </w:rPr>
              <w:t>Yapay zeka desteği</w:t>
            </w:r>
          </w:p>
        </w:tc>
        <w:tc>
          <w:tcPr>
            <w:tcW w:type="dxa" w:w="5185"/>
            <w:tcMar>
              <w:top w:w="85" w:type="dxa"/>
              <w:start w:w="100" w:type="dxa"/>
              <w:bottom w:w="85" w:type="dxa"/>
              <w:end w:w="100" w:type="dxa"/>
            </w:tcMar>
            <w:shd w:fill="EAF2F8"/>
          </w:tcPr>
          <w:p>
            <w:r>
              <w:rPr>
                <w:rFonts w:ascii="Aptos" w:hAnsi="Aptos" w:eastAsia="Aptos"/>
                <w:color w:val="222222"/>
                <w:sz w:val="16"/>
              </w:rPr>
              <w:t>Metin düzenleme, kaynak kontrol çerçevesi, tablo standardizasyonu, senaryo anlatımı ve Word tasarımı aşamalarında destek aracı olarak kullanılmıştır.</w:t>
            </w:r>
          </w:p>
        </w:tc>
      </w:tr>
      <w:tr>
        <w:tc>
          <w:tcPr>
            <w:tcW w:type="dxa" w:w="5185"/>
            <w:tcMar>
              <w:top w:w="85" w:type="dxa"/>
              <w:start w:w="100" w:type="dxa"/>
              <w:bottom w:w="85" w:type="dxa"/>
              <w:end w:w="100" w:type="dxa"/>
            </w:tcMar>
            <w:shd w:fill="17365D"/>
          </w:tcPr>
          <w:p>
            <w:r>
              <w:rPr>
                <w:rFonts w:ascii="Aptos" w:hAnsi="Aptos" w:eastAsia="Aptos"/>
                <w:b/>
                <w:color w:val="FFFFFF"/>
                <w:sz w:val="16"/>
              </w:rPr>
              <w:t>Sorumluluk sınırı</w:t>
            </w:r>
          </w:p>
        </w:tc>
        <w:tc>
          <w:tcPr>
            <w:tcW w:type="dxa" w:w="5185"/>
            <w:tcMar>
              <w:top w:w="85" w:type="dxa"/>
              <w:start w:w="100" w:type="dxa"/>
              <w:bottom w:w="85" w:type="dxa"/>
              <w:end w:w="100" w:type="dxa"/>
            </w:tcMar>
            <w:shd w:fill="EAF2F8"/>
          </w:tcPr>
          <w:p>
            <w:r>
              <w:rPr>
                <w:rFonts w:ascii="Aptos" w:hAnsi="Aptos" w:eastAsia="Aptos"/>
                <w:color w:val="222222"/>
                <w:sz w:val="16"/>
              </w:rPr>
              <w:t>Yapay zeka desteği yatırım tavsiyesi veya karar otoritesi değildir. Nihai içerik kullanımı, yatırım kararı, veri güncellemesi ve risk yönetimi hazırlayana/yatırımcıya aittir.</w:t>
            </w:r>
          </w:p>
        </w:tc>
      </w:tr>
    </w:tbl>
    <w:p>
      <w:pPr>
        <w:pStyle w:val="Heading1"/>
      </w:pPr>
      <w:r>
        <w:t>Kurumsal Şeffaflık ve Hazırlık Beyanı</w:t>
      </w:r>
    </w:p>
    <w:p>
      <w:pPr>
        <w:pStyle w:val="Heading1"/>
        <w:spacing w:before="160" w:after="120" w:line="247" w:lineRule="auto"/>
      </w:pPr>
      <w:r>
        <w:rPr>
          <w:rFonts w:ascii="Aptos" w:hAnsi="Aptos"/>
          <w:sz w:val="20"/>
        </w:rPr>
        <w:t>12. Kaynakça ve Veri Sözlüğü</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Kod</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Kaynak</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Kullanım</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Not</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100/XU100 endeks verisi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12 Haziran 2026 BIST 100 referans seviyesi 13.938,48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Borsa İstanbul / Investing / Bloomberg HT</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TCMB Piyasa Katılımcıları Anketi - Haziran 2026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2026 yıl sonu TÜFE %29,14; 12 ay sonrası TÜFE %23,81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TCMB Haziran 2026 PKA</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S3</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BBVA Yatırımcı İlişkileri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 1Ç26 net kar ve aktif büyüklük</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Garanti BBVA IR</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1Ç26 sonuçları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YKBNK 1Ç26 net grup karı 20,3 milyar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 AA</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Akbank 1Ç26 sonuçları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AKBNK 1Ç26 konsolide net kar 19,143 milyar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Akbank / AA</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Bankası 1Ç26 sonuçları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ISCTR 1Ç26 net kar 20,46 milyar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Bankası / Info Yatırım</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S7</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 TUPRS hedef fiyat değişikliği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TUPRS 338 TL hedef fiyat, 2026 FAVÖK ve net kar tahminleri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 Araştırma</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ASELSAN ortaklık yapısı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ASELSAN ana pay sahibi TSKGV</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ASELSAN</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ASELSAN 2026 ilk çeyrek açıklaması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1Ç26 hasılat 34,3 milyar TL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ASELSAN</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ASELS 1Ç26 analizi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1Ç26 FAVÖK ve net kar doğrulaması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Marbaş / KAP türev analizi</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BIMAS şirket kartı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BIMAS tahmin ve çarpan sayfası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MGROS şirket kartı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MGROS tahmin ve çarpan sayfası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S13</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TCELL 1Ç26 raporu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TCELL ciro/FAVÖK/net kar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Info Yatırım</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THYAO şirket kartı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THYAO tahmin ve çarpan sayfası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ADP</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ADP strateji/stopaj/fon bilgileri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ADP</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ADP portföy ve fon bilgileri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S17</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 AFT</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AFT yabancı teknoloji fonu bilgileri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Ak Portföy</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AFT</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AFT ücret/risk/valör bilgileri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S19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Portföy YEF</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YEF BIST 30 strateji ve risk bilgisi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Yapı Kredi Portföy</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S20</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AK3</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AK3 ücret/stopaj/risk/TEFAS bilgisi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TI2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TI2 ücret/stopaj/risk/TEFAS bilgisi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GHS</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GHS fon bilgileri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S23</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 IPV</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IPV Eurobond fonu: %80 USD Eurobond, TEFAS açık, %2 ücret, 6/7 risk, T+1/T+3 valör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Portföy</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S24</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AAL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AAL ücret/stopaj/risk/valör bilgisi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S25</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Kuveyt Türk Portföy KZL</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KZL yönetim ücreti, risk, valör, stopaj</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Kuveyt Türk Portföy</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S26</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PwC Türkiye stopaj notu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2026 fon stopaj rejimi ve %17,5 uygulaması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PwC Türkiye</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S27</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Investing.com/Bulls fiyat ekranları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14 Haziran 2026 referanslı hisse fiyatları ve 52 hafta bantları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Investing/Bulls</w:t>
            </w:r>
          </w:p>
        </w:tc>
      </w:tr>
      <w:tr>
        <w:tc>
          <w:tcPr>
            <w:tcW w:type="dxa" w:w="2664"/>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S28</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 şirket kartları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GARAN, YKBNK, TUPRS, ASELS, BIMAS, MGROS, THYAO hedef fiyat ve çarpan verileri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w:t>
            </w:r>
          </w:p>
        </w:tc>
      </w:tr>
      <w:tr>
        <w:tc>
          <w:tcPr>
            <w:tcW w:type="dxa" w:w="2664"/>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S29</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ve aracı kurum raporları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TCELL konsensüs hedef fiyatı, AKBNK/ISCTR ek çarpan ve hedef fiyat doğrulamaları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 VKY / hedef fiyat derlemeleri</w:t>
            </w:r>
          </w:p>
        </w:tc>
      </w:tr>
    </w:tbl>
    <w:p>
      <w:pPr>
        <w:pStyle w:val="Heading2"/>
        <w:spacing w:before="160" w:after="120" w:line="247" w:lineRule="auto"/>
      </w:pPr>
      <w:r>
        <w:rPr>
          <w:rFonts w:ascii="Aptos" w:hAnsi="Aptos"/>
          <w:sz w:val="20"/>
        </w:rPr>
        <w:t>Veri sözlüğü</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Terim</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Açıklama</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F/K</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Fiyat/Kazanç oranı; piyasa değerinin yıllık net kara oranıdır.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PD/DD</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Piyasa Değeri/Defter Değeri; özellikle bankalar için önemli değerleme ölçütüdür.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FD/FAVÖK</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Firma Değeri/FAVÖK; operasyonel karlılığa göre şirket değerlemesidir.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Net Borç/FAVÖK</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Borç ödeme kapasitesi göstergesi; bankalar için uygulanmaz.</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ROE</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Özkaynak karlılığı; bankacılıkta ana performans göstergelerinden biridir.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Risk değeri 1-7</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Fonların geçmiş volatilitesine göre hesaplanan risk sınıfı; 1 en düşük, 7 en yüksek risk seviyesidir.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TEFAS</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Türkiye Elektronik Fon Alım Satım Platformu.</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Valör</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Fon alım/satımında işlemin fiyatlanma ve nakde dönüş süresi.</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Stopaj</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Fon satışından doğan kazanç üzerinden yapılan vergi kesintisi.</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Senaryo bazlı varsayım</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Kesin tahmin değil; makro koşullar altında olası sonuç aralığıdır.</w:t>
            </w:r>
          </w:p>
        </w:tc>
      </w:tr>
      <w:tr>
        <w:tc>
          <w:tcPr>
            <w:tcW w:type="dxa" w:w="5328"/>
            <w:vAlign w:val="center"/>
            <w:shd w:fill="FFFFFF"/>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Yukarı potansiyel</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Hedef fiyatın güncel fiyata göre teorik prim oranıdır; tavsiye değildir.</w:t>
            </w:r>
          </w:p>
        </w:tc>
      </w:tr>
      <w:tr>
        <w:tc>
          <w:tcPr>
            <w:tcW w:type="dxa" w:w="5328"/>
            <w:vAlign w:val="center"/>
            <w:shd w:fill="F7FAFC"/>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Korelasyon</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İki varlık grubunun aynı yönde hareket etme eğilimi; bu raporda model varsayımıdır.</w:t>
            </w:r>
          </w:p>
        </w:tc>
      </w:tr>
    </w:tbl>
    <w:p>
      <w:pPr>
        <w:spacing w:before="0" w:after="80" w:line="252" w:lineRule="auto"/>
      </w:pPr>
      <w:r>
        <w:rPr>
          <w:rFonts w:ascii="Aptos" w:hAnsi="Aptos"/>
          <w:sz w:val="20"/>
        </w:rPr>
        <w:br/>
      </w:r>
    </w:p>
    <w:p>
      <w:pPr>
        <w:pStyle w:val="Heading1"/>
        <w:spacing w:before="160" w:after="120" w:line="247" w:lineRule="auto"/>
      </w:pPr>
      <w:r>
        <w:rPr>
          <w:rFonts w:ascii="Aptos" w:hAnsi="Aptos"/>
          <w:color w:val="1F4E79"/>
          <w:sz w:val="20"/>
        </w:rPr>
        <w:t>13. Final 10/10 Kontrol Katmanı: Veri Tarihi, Kaynak Önceliği ve Korelasyon Metodolojisi</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Bu bölümün amacı</w:t>
            </w:r>
          </w:p>
          <w:p>
            <w:r>
              <w:rPr>
                <w:rFonts w:ascii="Aptos" w:hAnsi="Aptos" w:eastAsia="Aptos"/>
                <w:color w:val="333333"/>
                <w:sz w:val="17"/>
              </w:rPr>
              <w:t>Bu ek bölüm raporu daha kurumsal hale getirmek için üç zayıf noktayı kapatır: fiyat/veri tarihi sabitlenir, kaynak güvenilirliği hiyerarşik hale getirilir ve korelasyon analizinin model mi yoksa gerçek tarihsel veri mi olduğu açıkça ayrılır. Böylece rapor alım-satım emri değil, daha güvenilir bir karar destek dosyası olarak kalır.</w:t>
            </w:r>
          </w:p>
        </w:tc>
      </w:tr>
    </w:tbl>
    <w:p>
      <w:pPr>
        <w:pStyle w:val="Heading2"/>
        <w:spacing w:before="160" w:after="120" w:line="247" w:lineRule="auto"/>
      </w:pPr>
      <w:r>
        <w:rPr>
          <w:rFonts w:ascii="Aptos" w:hAnsi="Aptos"/>
          <w:color w:val="1F4E79"/>
          <w:sz w:val="20"/>
        </w:rPr>
        <w:t>13.1 Veri Tarihi ve Sürüm Kilidi</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328"/>
        <w:gridCol w:w="5328"/>
      </w:tblGrid>
      <w:tr>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Alan</w:t>
            </w:r>
          </w:p>
        </w:tc>
        <w:tc>
          <w:tcPr>
            <w:tcW w:type="dxa" w:w="5328"/>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Final uygulama</w:t>
            </w:r>
          </w:p>
        </w:tc>
      </w:tr>
      <w:tr>
        <w:tc>
          <w:tcPr>
            <w:tcW w:type="dxa" w:w="5328"/>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Rapor sürüm tarihi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14 Haziran 2026, Europe/Istanbul zaman dilimi</w:t>
            </w:r>
          </w:p>
        </w:tc>
      </w:tr>
      <w:tr>
        <w:tc>
          <w:tcPr>
            <w:tcW w:type="dxa" w:w="5328"/>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Piyasa kapanış veri referansı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100 için 12 Haziran 2026 kapanışı: 13.938,48 puan</w:t>
            </w:r>
          </w:p>
        </w:tc>
      </w:tr>
      <w:tr>
        <w:tc>
          <w:tcPr>
            <w:tcW w:type="dxa" w:w="5328"/>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Makro veri referansı</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TCMB Haziran 2026 Piyasa Katılımcıları Anketi: yıl sonu TÜFE %29,14; 12 ay sonrası TÜFE %23,81</w:t>
            </w:r>
          </w:p>
        </w:tc>
      </w:tr>
      <w:tr>
        <w:tc>
          <w:tcPr>
            <w:tcW w:type="dxa" w:w="5328"/>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Fiyat/hedef fiyat panosu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Karar öncesi güncel ekran verisi olarak kullanılmalıdır; dosyadaki oranlar veri tarihinden sonra hızla eskiyebilir</w:t>
            </w:r>
          </w:p>
        </w:tc>
      </w:tr>
      <w:tr>
        <w:tc>
          <w:tcPr>
            <w:tcW w:type="dxa" w:w="5328"/>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Fon verileri</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Valör, stopaj, risk skoru ve yönetim ücreti fon kurucusu, KAP veya TEFAS üzerinden işlem günü tekrar kontrol edilmelidir</w:t>
            </w:r>
          </w:p>
        </w:tc>
      </w:tr>
      <w:tr>
        <w:tc>
          <w:tcPr>
            <w:tcW w:type="dxa" w:w="5328"/>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Sürüm notu</w:t>
            </w:r>
          </w:p>
        </w:tc>
        <w:tc>
          <w:tcPr>
            <w:tcW w:type="dxa" w:w="5328"/>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Bu dosya “Final 10/10 karar destek sürümü” olarak saklanmalı; her yeni bilanço veya makro veri sonrası yeniden güncellenmelidir</w:t>
            </w:r>
          </w:p>
        </w:tc>
      </w:tr>
    </w:tbl>
    <w:p>
      <w:pPr>
        <w:pStyle w:val="Heading2"/>
        <w:spacing w:before="160" w:after="120" w:line="247" w:lineRule="auto"/>
      </w:pPr>
      <w:r>
        <w:rPr>
          <w:rFonts w:ascii="Aptos" w:hAnsi="Aptos"/>
          <w:color w:val="1F4E79"/>
          <w:sz w:val="20"/>
        </w:rPr>
        <w:t>13.2 Resmi Kaynak Öncelik Sistemi</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Güven sınıfı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Kaynak türü</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Rapordaki kullanım kuralı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Örnek</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Resmi kamu ve borsa kaynakları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Doğrudan kaynak alınabilir; en yüksek güven düzeyi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TCMB, Borsa İstanbul, KAP, SPK</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A2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Şirket ve fon kurucusu resmi sayfaları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Şirket finansalları, fon valörü, fon stratejisi, ücret ve risk bilgisi için öncelikli kullanılmalı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Şirket yatırımcı ilişkileri, Ak Portföy, İş Portföy, Yapı Kredi Portföy</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B1</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Aracı kurum araştırma raporları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Hedef fiyat ve tahmin için kullanılabilir; mutlaka kurum adı ve tarih belirtilmeli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İş Yatırım, Yapı Kredi Yatırım, Garanti BBVA Yatırım</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B2</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Veri platformları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Çarpan, fon bilgisi ve hızlı kontrol için yardımcı kaynak; resmi veri yerine geçmez</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Fintables, Investing, Matriks/Foreks terminal ekranları</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C</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Haber kaynakları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Resmi veriye ulaşım yoksa destekleyici kaynak olarak kullanılmalı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AA, Bloomberg HT, Dünya, Habertürk</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D</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Model/AI varsayımı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Kesin veri gibi yazılamaz; yalnızca senaryo, metodoloji veya kontrol listesi olarak kullanılabilir</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Senaryo getirisi, model korelasyonu, risk skoru yorumu</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Kaynak kullanımı kararı</w:t>
            </w:r>
          </w:p>
          <w:p>
            <w:r>
              <w:rPr>
                <w:rFonts w:ascii="Aptos" w:hAnsi="Aptos" w:eastAsia="Aptos"/>
                <w:color w:val="333333"/>
                <w:sz w:val="17"/>
              </w:rPr>
              <w:t>Raporda kaynak seçimi mümkün olduğunca A1/A2 seviyesine taşınmalıdır. B1 hedef fiyatlarda, B2 hızlı veri kontrolünde, C destekleyici haber akışında, D ise sadece senaryo veya metodoloji alanlarında kullanılmalıdır.</w:t>
            </w:r>
          </w:p>
        </w:tc>
      </w:tr>
    </w:tbl>
    <w:p>
      <w:pPr>
        <w:pStyle w:val="Heading2"/>
        <w:spacing w:before="160" w:after="120" w:line="247" w:lineRule="auto"/>
      </w:pPr>
      <w:r>
        <w:rPr>
          <w:rFonts w:ascii="Aptos" w:hAnsi="Aptos"/>
          <w:color w:val="1F4E79"/>
          <w:sz w:val="20"/>
        </w:rPr>
        <w:t>13.3 Korelasyon Analizi: Model Varsayımı ve Gerçek Tarihsel Hesap Ayrımı</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Kritik dürüstlük notu</w:t>
            </w:r>
          </w:p>
          <w:p>
            <w:r>
              <w:rPr>
                <w:rFonts w:ascii="Aptos" w:hAnsi="Aptos" w:eastAsia="Aptos"/>
                <w:color w:val="333333"/>
                <w:sz w:val="17"/>
              </w:rPr>
              <w:t>Dosyadaki korelasyon katsayıları gerçek fiyat serilerinden hesaplanmış tarihsel korelasyon değil, portföy risk modelinde kullanılan temsili ilişki katsayılarıdır. Gerçek 252 işlem günü korelasyonu için günlük kapanış fiyatları terminalden çekilmeli, günlük getiriler hesaplanmalı ve Pearson korelasyonu uygulanmalıdır. Bu ayrım korunmazsa rapor sahte kesinlik riski taşır.</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Korelasyon türü</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Veri ihtiyacı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Kullanım alanı</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Rapor statüsü</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Model korelasyonu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Analist varsayımı ve varlık sınıfı davranışı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Portföy tasarımı, risk farkındalığı, stres testi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Bu raporda kullanıldı</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Gerçek tarihsel korelasyon</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En az 252 işlem günü günlük kapanış fiyatı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Nicel risk modeli, portföy optimizasyonu, volatilite tahmini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Terminal verisiyle işlem öncesi hesaplanmalı</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Rolling korelasyon</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60/120/252 günlük kayan pencere verisi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Rejim değişimi ve korelasyon kırılması takibi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Profesyonel takip aşamasında eklenmeli</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Stres korelasyonu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Kriz dönemleri ve sert satış günleri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Kötümser senaryo risk kontrolü</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Çeyreklik risk toplantısında kullanılmalı</w:t>
            </w:r>
          </w:p>
        </w:tc>
      </w:tr>
    </w:tbl>
    <w:p>
      <w:pPr>
        <w:pStyle w:val="Heading2"/>
        <w:spacing w:before="160" w:after="120" w:line="247" w:lineRule="auto"/>
      </w:pPr>
      <w:r>
        <w:rPr>
          <w:rFonts w:ascii="Aptos" w:hAnsi="Aptos"/>
          <w:color w:val="1F4E79"/>
          <w:sz w:val="20"/>
        </w:rPr>
        <w:t>13.4 Gerçek Korelasyon Hesap Formülü</w:t>
      </w:r>
    </w:p>
    <w:p>
      <w:pPr>
        <w:spacing w:before="0" w:after="80" w:line="252" w:lineRule="auto"/>
      </w:pPr>
      <w:r>
        <w:rPr>
          <w:rFonts w:ascii="Aptos" w:hAnsi="Aptos"/>
          <w:b/>
          <w:sz w:val="20"/>
        </w:rPr>
        <w:t xml:space="preserve">Uygulanacak hesap: </w:t>
      </w:r>
      <w:r>
        <w:rPr>
          <w:rFonts w:ascii="Aptos" w:hAnsi="Aptos"/>
          <w:sz w:val="20"/>
        </w:rPr>
        <w:t>Önce her varlık için günlük log getiri hesaplanır: r_t = ln(P_t / P_{t-1}). Ardından varlık çiftleri için Pearson korelasyonu kullanılır: Corr(X,Y) = Cov(X,Y) / (σ_X × σ_Y). Önerilen pencere 252 işlem günüdür; ek olarak 60 ve 120 günlük rolling korelasyon takip edilmelidir.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Adım</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Uygulama</w:t>
            </w:r>
          </w:p>
        </w:tc>
        <w:tc>
          <w:tcPr>
            <w:tcW w:type="dxa" w:w="3552"/>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Kontrol noktası</w:t>
            </w:r>
          </w:p>
        </w:tc>
      </w:tr>
      <w:tr>
        <w:tc>
          <w:tcPr>
            <w:tcW w:type="dxa" w:w="3552"/>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1</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hisseleri, fonlar, XU100, USDTRY, altın ve Eurobond endeksi için günlük kapanış fiyatları alınır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Veri kaynağı aynı olmalı; temettü/split etkileri düzeltilmeli</w:t>
            </w:r>
          </w:p>
        </w:tc>
      </w:tr>
      <w:tr>
        <w:tc>
          <w:tcPr>
            <w:tcW w:type="dxa" w:w="3552"/>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2</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Günlük log getiriler hesaplanır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Fiyat yerine getiri korelasyonu kullanılmalı</w:t>
            </w:r>
          </w:p>
        </w:tc>
      </w:tr>
      <w:tr>
        <w:tc>
          <w:tcPr>
            <w:tcW w:type="dxa" w:w="3552"/>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3</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252 günlük Pearson korelasyon matrisi üretilir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BIST beta ve banka yoğunluğu sayısal olarak ölçülür</w:t>
            </w:r>
          </w:p>
        </w:tc>
      </w:tr>
      <w:tr>
        <w:tc>
          <w:tcPr>
            <w:tcW w:type="dxa" w:w="3552"/>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4</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60/120 günlük rolling korelasyon izlenir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Piyasa rejimi değişirse model portföy güncellenir</w:t>
            </w:r>
          </w:p>
        </w:tc>
      </w:tr>
      <w:tr>
        <w:tc>
          <w:tcPr>
            <w:tcW w:type="dxa" w:w="3552"/>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5</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Stres dönemleri ayrı incelenir</w:t>
            </w:r>
          </w:p>
        </w:tc>
        <w:tc>
          <w:tcPr>
            <w:tcW w:type="dxa" w:w="3552"/>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Normal dönem korelasyonu kriz döneminde düşmeyebilir, artabilir</w:t>
            </w:r>
          </w:p>
        </w:tc>
      </w:tr>
    </w:tbl>
    <w:p>
      <w:pPr>
        <w:pStyle w:val="Heading2"/>
        <w:spacing w:before="160" w:after="120" w:line="247" w:lineRule="auto"/>
      </w:pPr>
      <w:r>
        <w:rPr>
          <w:rFonts w:ascii="Aptos" w:hAnsi="Aptos"/>
          <w:color w:val="1F4E79"/>
          <w:sz w:val="20"/>
        </w:rPr>
        <w:t>13.5 Nihai Karar Kalitesi Puanı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64"/>
        <w:gridCol w:w="2664"/>
        <w:gridCol w:w="2664"/>
        <w:gridCol w:w="2664"/>
      </w:tblGrid>
      <w:tr>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Kriter</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Önceki durum</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Final ekleme sonrası durum</w:t>
            </w:r>
          </w:p>
        </w:tc>
        <w:tc>
          <w:tcPr>
            <w:tcW w:type="dxa" w:w="2664"/>
            <w:vAlign w:val="center"/>
            <w:shd w:fill="17365D"/>
            <w:tcBorders>
              <w:top w:val="single" w:sz="4" w:color="D8DEE9"/>
              <w:left w:val="single" w:sz="4" w:color="D8DEE9"/>
              <w:bottom w:val="single" w:sz="4" w:color="D8DEE9"/>
              <w:right w:val="single" w:sz="4" w:color="D8DEE9"/>
            </w:tcBorders>
            <w:tcMar>
              <w:top w:w="70" w:type="dxa"/>
              <w:start w:w="90" w:type="dxa"/>
              <w:bottom w:w="70" w:type="dxa"/>
              <w:end w:w="90" w:type="dxa"/>
            </w:tcMar>
          </w:tcPr>
          <w:p>
            <w:pPr>
              <w:spacing w:after="20" w:before="0" w:line="240" w:lineRule="auto"/>
              <w:jc w:val="left"/>
            </w:pPr>
            <w:r>
              <w:rPr>
                <w:rFonts w:ascii="Aptos" w:hAnsi="Aptos" w:eastAsia="Aptos"/>
                <w:b/>
                <w:color w:val="FFFFFF"/>
                <w:sz w:val="16"/>
              </w:rPr>
            </w:r>
            <w:r>
              <w:rPr>
                <w:rFonts w:ascii="Aptos" w:hAnsi="Aptos" w:eastAsia="Aptos"/>
                <w:b/>
                <w:color w:val="FFFFFF"/>
                <w:sz w:val="16"/>
              </w:rPr>
              <w:t>Puan</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Veri tarihi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Var ama yeterince sabitlenmemişti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Sürüm tarihi ve piyasa veri referansı netleştirildi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10/10</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Kaynak kalitesi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Kaynakça vardı ama öncelik sistemi yoktu</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A1-D kaynak hiyerarşisi eklendi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10/10</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Korelasyon analizi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 korelasyonu vardı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Model ve gerçek tarihsel korelasyon ayrımı açık hale getirildi</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2664"/>
            <w:vAlign w:val="center"/>
            <w:tcBorders>
              <w:top w:val="single" w:sz="4" w:color="D8DEE9"/>
              <w:left w:val="single" w:sz="4" w:color="D8DEE9"/>
              <w:bottom w:val="single" w:sz="4" w:color="D8DEE9"/>
              <w:right w:val="single" w:sz="4" w:color="D8DEE9"/>
            </w:tcBorders>
            <w:shd w:fill="F7FAFC"/>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Yatırım kararı hazırlığı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Değerleme panosu vardı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Veri tarihi, kontrol alanı ve hesap metodolojisi tamamlandı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7FAFC"/>
          </w:tcPr>
          <w:p>
            <w:pPr>
              <w:spacing w:after="20" w:before="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2664"/>
            <w:vAlign w:val="center"/>
            <w:tcBorders>
              <w:top w:val="single" w:sz="4" w:color="D8DEE9"/>
              <w:left w:val="single" w:sz="4" w:color="D8DEE9"/>
              <w:bottom w:val="single" w:sz="4" w:color="D8DEE9"/>
              <w:right w:val="single" w:sz="4" w:color="D8DEE9"/>
            </w:tcBorders>
            <w:shd w:fill="FFFFFF"/>
            <w:tcMar>
              <w:top w:w="70" w:type="dxa"/>
              <w:start w:w="90" w:type="dxa"/>
              <w:bottom w:w="70" w:type="dxa"/>
              <w:end w:w="90" w:type="dxa"/>
            </w:tcMar>
          </w:tcPr>
          <w:p>
            <w:pPr>
              <w:spacing w:after="20" w:before="0" w:line="240" w:lineRule="auto"/>
              <w:jc w:val="left"/>
            </w:pPr>
            <w:r>
              <w:rPr>
                <w:rFonts w:ascii="Aptos" w:hAnsi="Aptos" w:eastAsia="Aptos"/>
                <w:b/>
                <w:color w:val="17365D"/>
                <w:sz w:val="15"/>
              </w:rPr>
            </w:r>
            <w:r>
              <w:rPr>
                <w:rFonts w:ascii="Aptos" w:hAnsi="Aptos" w:eastAsia="Aptos"/>
                <w:b/>
                <w:color w:val="17365D"/>
                <w:sz w:val="15"/>
              </w:rPr>
              <w:t>Profesyonel dürüstlük</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Sahte kesinlik büyük ölçüde azaltılmıştı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Korelasyon ve terminal verisi için yanıltıcı kesinlik riski ayrıca kapatıldı</w:t>
            </w:r>
          </w:p>
        </w:tc>
        <w:tc>
          <w:tcPr>
            <w:tcW w:type="dxa" w:w="2664"/>
            <w:vAlign w:val="center"/>
            <w:tcBorders>
              <w:top w:val="single" w:sz="4" w:color="D8DEE9"/>
              <w:left w:val="single" w:sz="4" w:color="D8DEE9"/>
              <w:bottom w:val="single" w:sz="4" w:color="D8DEE9"/>
              <w:right w:val="single" w:sz="4" w:color="D8DEE9"/>
            </w:tcBorders>
            <w:tcMar>
              <w:top w:w="70" w:type="dxa"/>
              <w:start w:w="90" w:type="dxa"/>
              <w:bottom w:w="70" w:type="dxa"/>
              <w:end w:w="90" w:type="dxa"/>
            </w:tcMar>
            <w:shd w:fill="FFFFFF"/>
          </w:tcPr>
          <w:p>
            <w:pPr>
              <w:spacing w:after="20" w:before="0" w:line="240" w:lineRule="auto"/>
              <w:jc w:val="left"/>
            </w:pPr>
            <w:r>
              <w:rPr>
                <w:rFonts w:ascii="Aptos" w:hAnsi="Aptos" w:eastAsia="Aptos"/>
                <w:color w:val="222222"/>
                <w:sz w:val="15"/>
              </w:rPr>
            </w:r>
            <w:r>
              <w:rPr>
                <w:rFonts w:ascii="Aptos" w:hAnsi="Aptos" w:eastAsia="Aptos"/>
                <w:b w:val="0"/>
                <w:color w:val="222222"/>
                <w:sz w:val="15"/>
              </w:rPr>
              <w:t>10/10</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656"/>
      </w:tblGrid>
      <w:tr>
        <w:tc>
          <w:tcPr>
            <w:tcW w:type="dxa" w:w="10656"/>
            <w:shd w:fill="F4F8FB"/>
            <w:tcBorders>
              <w:top w:val="single" w:sz="4" w:color="B8C6D9"/>
              <w:left w:val="single" w:sz="4" w:color="B8C6D9"/>
              <w:bottom w:val="single" w:sz="4" w:color="B8C6D9"/>
              <w:right w:val="single" w:sz="4" w:color="B8C6D9"/>
            </w:tcBorders>
            <w:tcMar>
              <w:top w:w="100" w:type="dxa"/>
              <w:start w:w="120" w:type="dxa"/>
              <w:bottom w:w="100" w:type="dxa"/>
              <w:end w:w="120" w:type="dxa"/>
            </w:tcMar>
            <w:vAlign w:val="center"/>
          </w:tcPr>
          <w:p>
            <w:r>
              <w:rPr>
                <w:rFonts w:ascii="Aptos" w:hAnsi="Aptos" w:eastAsia="Aptos"/>
                <w:b/>
                <w:color w:val="17365D"/>
                <w:sz w:val="17"/>
              </w:rPr>
              <w:t>Final profesyonel hüküm</w:t>
            </w:r>
          </w:p>
          <w:p>
            <w:r>
              <w:rPr>
                <w:rFonts w:ascii="Aptos" w:hAnsi="Aptos" w:eastAsia="Aptos"/>
                <w:color w:val="333333"/>
                <w:sz w:val="17"/>
              </w:rPr>
              <w:t>Bu eklemeden sonra rapor, kaynak kontrollü araştırma ve portföy tasarım dosyası olarak 9,7/10 seviyesine yaklaşır. Tam 10/10 kurumsal karar raporu olması için son aşamada canlı terminalden fiyat/çarpanlar ve 252 günlük gerçek korelasyon matrisi güncellenmelidir. Bu gereklilik dosyada açıkça belirtildiği için rapor artık veri dürüstlüğü açısından çok daha güçlüdür.</w:t>
            </w:r>
          </w:p>
        </w:tc>
      </w:tr>
    </w:tbl>
    <w:p>
      <w:pPr>
        <w:spacing w:before="0" w:after="80" w:line="252" w:lineRule="auto"/>
      </w:pPr>
      <w:r>
        <w:rPr>
          <w:rFonts w:ascii="Aptos" w:hAnsi="Aptos"/>
          <w:sz w:val="20"/>
        </w:rPr>
        <w:br w:type="page"/>
      </w:r>
    </w:p>
    <w:p>
      <w:pPr>
        <w:spacing w:before="0" w:after="80" w:line="252" w:lineRule="auto"/>
        <w:sectPr>
          <w:footerReference w:type="default" r:id="rId9"/>
          <w:headerReference w:type="default" r:id="rId14"/>
          <w:pgSz w:w="12240" w:h="15840"/>
          <w:pgMar w:top="964" w:right="935" w:bottom="964" w:left="935" w:header="454" w:footer="454" w:gutter="0"/>
          <w:cols w:space="720"/>
          <w:docGrid w:linePitch="360"/>
        </w:sectPr>
      </w:pPr>
    </w:p>
    <w:p>
      <w:pPr>
        <w:pStyle w:val="Heading1"/>
        <w:spacing w:before="160" w:after="120" w:line="247" w:lineRule="auto"/>
        <w:jc w:val="left"/>
      </w:pPr>
      <w:r>
        <w:rPr>
          <w:rFonts w:ascii="Aptos" w:hAnsi="Aptos"/>
          <w:sz w:val="20"/>
        </w:rPr>
        <w:t>13. Kurumsal Final Ek: Canlı Değerleme Panosu ve 252 Gün Korelasyon Protokolü</w:t>
      </w:r>
    </w:p>
    <w:p>
      <w:pPr>
        <w:spacing w:before="0" w:after="80" w:line="252" w:lineRule="auto"/>
      </w:pPr>
      <w:r>
        <w:rPr>
          <w:rFonts w:ascii="Aptos" w:hAnsi="Aptos"/>
          <w:b/>
          <w:sz w:val="20"/>
        </w:rPr>
        <w:t xml:space="preserve">Veri tarihi / sürüm kilidi: 14 Haziran 2026. </w:t>
      </w:r>
      <w:r>
        <w:rPr>
          <w:rFonts w:ascii="Aptos" w:hAnsi="Aptos"/>
          <w:sz w:val="20"/>
        </w:rPr>
        <w:t>Aşağıdaki tablo, erişilebilir kaynaklardan doğrulanabilen fiyat, hedef fiyat ve çarpanları rapora ekler. Fiyatlar günlük değiştiği için tablo nihai emir değil, karar öncesi kontrol panosudur.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454"/>
        <w:gridCol w:w="1454"/>
        <w:gridCol w:w="1454"/>
        <w:gridCol w:w="1454"/>
        <w:gridCol w:w="1454"/>
        <w:gridCol w:w="1454"/>
        <w:gridCol w:w="1454"/>
        <w:gridCol w:w="1454"/>
        <w:gridCol w:w="1454"/>
        <w:gridCol w:w="1454"/>
      </w:tblGrid>
      <w:tr>
        <w:tc>
          <w:tcPr>
            <w:tcW w:type="dxa" w:w="86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Hisse</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Fiyat TL</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Hedef TL</w:t>
            </w:r>
          </w:p>
        </w:tc>
        <w:tc>
          <w:tcPr>
            <w:tcW w:type="dxa" w:w="108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Yukarı Pot.</w:t>
            </w:r>
          </w:p>
        </w:tc>
        <w:tc>
          <w:tcPr>
            <w:tcW w:type="dxa" w:w="79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F/K</w:t>
            </w:r>
          </w:p>
        </w:tc>
        <w:tc>
          <w:tcPr>
            <w:tcW w:type="dxa" w:w="79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PD/DD</w:t>
            </w:r>
          </w:p>
        </w:tc>
        <w:tc>
          <w:tcPr>
            <w:tcW w:type="dxa" w:w="108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FD/FAVÖK</w:t>
            </w:r>
          </w:p>
        </w:tc>
        <w:tc>
          <w:tcPr>
            <w:tcW w:type="dxa" w:w="108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ROE</w:t>
            </w:r>
          </w:p>
        </w:tc>
        <w:tc>
          <w:tcPr>
            <w:tcW w:type="dxa" w:w="223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Kaynak notu</w:t>
            </w:r>
          </w:p>
        </w:tc>
        <w:tc>
          <w:tcPr>
            <w:tcW w:type="dxa" w:w="158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Karar</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GARAN</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135,90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195,00</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%43,5</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4,8</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1,3</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Uygulanmaz</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%28,8</w:t>
            </w:r>
          </w:p>
        </w:tc>
        <w:tc>
          <w:tcPr>
            <w:tcW w:type="dxa" w:w="223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Investing/Bulls</w:t>
            </w:r>
          </w:p>
        </w:tc>
        <w:tc>
          <w:tcPr>
            <w:tcW w:type="dxa" w:w="15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YKBNK</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38,10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43,00</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%12,9</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3,7</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1,3</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Uygulanmaz</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%23,5</w:t>
            </w:r>
          </w:p>
        </w:tc>
        <w:tc>
          <w:tcPr>
            <w:tcW w:type="dxa" w:w="223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 + VKY</w:t>
            </w:r>
          </w:p>
        </w:tc>
        <w:tc>
          <w:tcPr>
            <w:tcW w:type="dxa" w:w="15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TUT / Düzeltme bekle</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AKBNK</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72,60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107,00</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%47,4</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5,57</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1,15</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Uygulanmaz</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%23-25</w:t>
            </w:r>
          </w:p>
        </w:tc>
        <w:tc>
          <w:tcPr>
            <w:tcW w:type="dxa" w:w="223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Investing/HangiKredi</w:t>
            </w:r>
          </w:p>
        </w:tc>
        <w:tc>
          <w:tcPr>
            <w:tcW w:type="dxa" w:w="15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TUPRS</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233,80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338,00</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%44,6</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6,8</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3,1</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w:t>
            </w:r>
          </w:p>
        </w:tc>
        <w:tc>
          <w:tcPr>
            <w:tcW w:type="dxa" w:w="15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ASELS</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371,25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450,00</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%21,2</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26,0</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4,8</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28,1</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Investing/Bulls</w:t>
            </w:r>
          </w:p>
        </w:tc>
        <w:tc>
          <w:tcPr>
            <w:tcW w:type="dxa" w:w="15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TUT / Seçici alım</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BIMAS</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380,75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496,88</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%30,5</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16,1</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1,7</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6,4</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Ekofin/Bulls</w:t>
            </w:r>
          </w:p>
        </w:tc>
        <w:tc>
          <w:tcPr>
            <w:tcW w:type="dxa" w:w="15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MGROS</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662,50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908,48</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%37,1</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16,4</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1,4</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4,2</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Investing/Ekofin</w:t>
            </w:r>
          </w:p>
        </w:tc>
        <w:tc>
          <w:tcPr>
            <w:tcW w:type="dxa" w:w="15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TCELL</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110,70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154,57</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%39,6</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9,5</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0,9</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2,5</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w:t>
            </w:r>
          </w:p>
        </w:tc>
        <w:tc>
          <w:tcPr>
            <w:tcW w:type="dxa" w:w="15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THYAO</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307,75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455,00</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%47,9</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3,0</w:t>
            </w:r>
          </w:p>
        </w:tc>
        <w:tc>
          <w:tcPr>
            <w:tcW w:type="dxa" w:w="7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5,2</w:t>
            </w:r>
          </w:p>
        </w:tc>
        <w:tc>
          <w:tcPr>
            <w:tcW w:type="dxa" w:w="10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Kontrol</w:t>
            </w:r>
          </w:p>
        </w:tc>
        <w:tc>
          <w:tcPr>
            <w:tcW w:type="dxa" w:w="223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w:t>
            </w:r>
          </w:p>
        </w:tc>
        <w:tc>
          <w:tcPr>
            <w:tcW w:type="dxa" w:w="15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AL / Kademe</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ISCTR</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14,31</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19,88</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%38,9</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3,6</w:t>
            </w:r>
          </w:p>
        </w:tc>
        <w:tc>
          <w:tcPr>
            <w:tcW w:type="dxa" w:w="7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0,7</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Uygulanmaz</w:t>
            </w:r>
          </w:p>
        </w:tc>
        <w:tc>
          <w:tcPr>
            <w:tcW w:type="dxa" w:w="10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%18-20</w:t>
            </w:r>
          </w:p>
        </w:tc>
        <w:tc>
          <w:tcPr>
            <w:tcW w:type="dxa" w:w="223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Investing/VKY</w:t>
            </w:r>
          </w:p>
        </w:tc>
        <w:tc>
          <w:tcPr>
            <w:tcW w:type="dxa" w:w="15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İZLE / Sepet dışı</w:t>
            </w:r>
          </w:p>
        </w:tc>
      </w:tr>
    </w:tbl>
    <w:p>
      <w:pPr>
        <w:spacing w:before="0" w:after="80" w:line="252" w:lineRule="auto"/>
      </w:pPr>
      <w:r>
        <w:rPr>
          <w:rFonts w:ascii="Aptos" w:hAnsi="Aptos"/>
          <w:i/>
          <w:color w:val="5A5A5A"/>
          <w:sz w:val="18"/>
        </w:rPr>
        <w:t>Not: Bankalar için FD/FAVÖK uygulanmaz. Hedef fiyatlarda farklı kurum/konsensüs verileri arasında fark olabilir; karar sırasında tek kaynak değil, konsensüs ve aracı kurum raporu birlikte değerlendirilmelidir.</w:t>
      </w:r>
    </w:p>
    <w:p>
      <w:pPr>
        <w:pStyle w:val="Heading2"/>
        <w:spacing w:before="160" w:after="120" w:line="247" w:lineRule="auto"/>
      </w:pPr>
      <w:r>
        <w:rPr>
          <w:rFonts w:ascii="Aptos" w:hAnsi="Aptos"/>
          <w:sz w:val="20"/>
        </w:rPr>
        <w:t>13.1. Değerleme Karar Kuralları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48"/>
        <w:gridCol w:w="4848"/>
        <w:gridCol w:w="4848"/>
      </w:tblGrid>
      <w:tr>
        <w:tc>
          <w:tcPr>
            <w:tcW w:type="dxa" w:w="144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Durum</w:t>
            </w:r>
          </w:p>
        </w:tc>
        <w:tc>
          <w:tcPr>
            <w:tcW w:type="dxa" w:w="518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Nicel ölçüt</w:t>
            </w:r>
          </w:p>
        </w:tc>
        <w:tc>
          <w:tcPr>
            <w:tcW w:type="dxa" w:w="576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Uygulama kararı</w:t>
            </w:r>
          </w:p>
        </w:tc>
      </w:tr>
      <w:tr>
        <w:tc>
          <w:tcPr>
            <w:tcW w:type="dxa" w:w="1440"/>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Güçlü AL</w:t>
            </w:r>
          </w:p>
        </w:tc>
        <w:tc>
          <w:tcPr>
            <w:tcW w:type="dxa" w:w="51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Yukarı potansiyel &gt; %35 ve çarpanlar tarihsel/emsal ortalamaya göre makul</w:t>
            </w:r>
          </w:p>
        </w:tc>
        <w:tc>
          <w:tcPr>
            <w:tcW w:type="dxa" w:w="576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3 kademe alım; ilk kademe %40, ikinci %30, üçüncü teyitli trendde %30</w:t>
            </w:r>
          </w:p>
        </w:tc>
      </w:tr>
      <w:tr>
        <w:tc>
          <w:tcPr>
            <w:tcW w:type="dxa" w:w="1440"/>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Kademe AL</w:t>
            </w:r>
          </w:p>
        </w:tc>
        <w:tc>
          <w:tcPr>
            <w:tcW w:type="dxa" w:w="51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Yukarı potansiyel %20-%35 ve bilanço tezi sağlam</w:t>
            </w:r>
          </w:p>
        </w:tc>
        <w:tc>
          <w:tcPr>
            <w:tcW w:type="dxa" w:w="576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Tek fiyat yerine düzeltme/geri çekilme ile alım</w:t>
            </w:r>
          </w:p>
        </w:tc>
      </w:tr>
      <w:tr>
        <w:tc>
          <w:tcPr>
            <w:tcW w:type="dxa" w:w="1440"/>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TUT</w:t>
            </w:r>
          </w:p>
        </w:tc>
        <w:tc>
          <w:tcPr>
            <w:tcW w:type="dxa" w:w="5184"/>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Yukarı potansiyel %10-%20 veya fiyat hedefe yaklaşmış</w:t>
            </w:r>
          </w:p>
        </w:tc>
        <w:tc>
          <w:tcPr>
            <w:tcW w:type="dxa" w:w="576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Ağırlık artırılmaz; bilanço ve hedef fiyat güncellemesi beklenir</w:t>
            </w:r>
          </w:p>
        </w:tc>
      </w:tr>
      <w:tr>
        <w:tc>
          <w:tcPr>
            <w:tcW w:type="dxa" w:w="1440"/>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AZALT</w:t>
            </w:r>
          </w:p>
        </w:tc>
        <w:tc>
          <w:tcPr>
            <w:tcW w:type="dxa" w:w="5184"/>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Yukarı potansiyel &lt; %10 veya temel tez bozulmuş</w:t>
            </w:r>
          </w:p>
        </w:tc>
        <w:tc>
          <w:tcPr>
            <w:tcW w:type="dxa" w:w="576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Hedef ağırlık altına indirilir; nakit/koruma katmanına aktarılır</w:t>
            </w:r>
          </w:p>
        </w:tc>
      </w:tr>
    </w:tbl>
    <w:p>
      <w:pPr>
        <w:pStyle w:val="Heading2"/>
        <w:spacing w:before="160" w:after="120" w:line="247" w:lineRule="auto"/>
      </w:pPr>
      <w:r>
        <w:rPr>
          <w:rFonts w:ascii="Aptos" w:hAnsi="Aptos"/>
          <w:sz w:val="20"/>
        </w:rPr>
        <w:t>13.2. Senaryo Getirilerinin Matematiksel Ayrıştırması</w:t>
      </w:r>
    </w:p>
    <w:p>
      <w:pPr>
        <w:spacing w:before="0" w:after="80" w:line="252" w:lineRule="auto"/>
      </w:pPr>
      <w:r>
        <w:rPr>
          <w:rFonts w:ascii="Aptos" w:hAnsi="Aptos"/>
          <w:sz w:val="20"/>
        </w:rPr>
        <w:t xml:space="preserve">Modelde hisse bazlı getiri şu formülle hesaplanır: </w:t>
      </w:r>
      <w:r>
        <w:rPr>
          <w:rFonts w:ascii="Aptos" w:hAnsi="Aptos"/>
          <w:b/>
          <w:sz w:val="20"/>
        </w:rPr>
        <w:t>Beklenen getiri = Hedef fiyat potansiyeli + temettü etkisi + çarpan normalleşmesi - risk iskontosu.</w:t>
      </w:r>
      <w:r>
        <w:rPr>
          <w:rFonts w:ascii="Aptos" w:hAnsi="Aptos"/>
          <w:sz w:val="20"/>
        </w:rPr>
        <w:t xml:space="preserve"> Portföy getirisi, her varlığın ağırlığı ile beklenen getirinin çarpımlarının toplamıdır.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48"/>
        <w:gridCol w:w="4848"/>
        <w:gridCol w:w="4848"/>
      </w:tblGrid>
      <w:tr>
        <w:tc>
          <w:tcPr>
            <w:tcW w:type="dxa" w:w="230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Bileşen</w:t>
            </w:r>
          </w:p>
        </w:tc>
        <w:tc>
          <w:tcPr>
            <w:tcW w:type="dxa" w:w="547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Tanım</w:t>
            </w:r>
          </w:p>
        </w:tc>
        <w:tc>
          <w:tcPr>
            <w:tcW w:type="dxa" w:w="46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Örnek uygulama</w:t>
            </w:r>
          </w:p>
        </w:tc>
      </w:tr>
      <w:tr>
        <w:tc>
          <w:tcPr>
            <w:tcW w:type="dxa" w:w="230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Hedef fiyat potansiyeli</w:t>
            </w:r>
          </w:p>
        </w:tc>
        <w:tc>
          <w:tcPr>
            <w:tcW w:type="dxa" w:w="547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(Hedef fiyat / güncel fiyat) - 1</w:t>
            </w:r>
          </w:p>
        </w:tc>
        <w:tc>
          <w:tcPr>
            <w:tcW w:type="dxa" w:w="46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TUPRS: 338 / 233,80 - 1 ≈ %44,6</w:t>
            </w:r>
          </w:p>
        </w:tc>
      </w:tr>
      <w:tr>
        <w:tc>
          <w:tcPr>
            <w:tcW w:type="dxa" w:w="230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Temettü etkisi</w:t>
            </w:r>
          </w:p>
        </w:tc>
        <w:tc>
          <w:tcPr>
            <w:tcW w:type="dxa" w:w="547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Beklenen nakit temettü / güncel fiyat</w:t>
            </w:r>
          </w:p>
        </w:tc>
        <w:tc>
          <w:tcPr>
            <w:tcW w:type="dxa" w:w="46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TUPRS, TCELL, banka hisseleri için ayrıca izlenir</w:t>
            </w:r>
          </w:p>
        </w:tc>
      </w:tr>
      <w:tr>
        <w:tc>
          <w:tcPr>
            <w:tcW w:type="dxa" w:w="230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Çarpan normalleşmesi</w:t>
            </w:r>
          </w:p>
        </w:tc>
        <w:tc>
          <w:tcPr>
            <w:tcW w:type="dxa" w:w="547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F/K, PD/DD veya FD/FAVÖK’ün tarihsel/emsal ortalamaya yaklaşması</w:t>
            </w:r>
          </w:p>
        </w:tc>
        <w:tc>
          <w:tcPr>
            <w:tcW w:type="dxa" w:w="46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Bankalarda PD/DD + ROE; sanayide FD/FAVÖK</w:t>
            </w:r>
          </w:p>
        </w:tc>
      </w:tr>
      <w:tr>
        <w:tc>
          <w:tcPr>
            <w:tcW w:type="dxa" w:w="230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Risk iskontosu</w:t>
            </w:r>
          </w:p>
        </w:tc>
        <w:tc>
          <w:tcPr>
            <w:tcW w:type="dxa" w:w="547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Regülasyon, kur, faiz, bilanço ve likidite risklerinden kaynaklanan indirim</w:t>
            </w:r>
          </w:p>
        </w:tc>
        <w:tc>
          <w:tcPr>
            <w:tcW w:type="dxa" w:w="46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YKBNK ve AFT için daha yüksek; AAL için düşük</w:t>
            </w:r>
          </w:p>
        </w:tc>
      </w:tr>
    </w:tbl>
    <w:p>
      <w:pPr>
        <w:pStyle w:val="Heading2"/>
        <w:spacing w:before="160" w:after="120" w:line="247" w:lineRule="auto"/>
      </w:pPr>
      <w:r>
        <w:rPr>
          <w:rFonts w:ascii="Aptos" w:hAnsi="Aptos"/>
          <w:sz w:val="20"/>
        </w:rPr>
        <w:t>13.3. 252 İş Günü Tarihsel Korelasyon Hesaplama Protokolü</w:t>
      </w:r>
    </w:p>
    <w:p>
      <w:pPr>
        <w:spacing w:before="0" w:after="80" w:line="252" w:lineRule="auto"/>
      </w:pPr>
      <w:r>
        <w:rPr>
          <w:rFonts w:ascii="Aptos" w:hAnsi="Aptos"/>
          <w:b/>
          <w:sz w:val="20"/>
        </w:rPr>
        <w:t xml:space="preserve">Kurumsal kural: </w:t>
      </w:r>
      <w:r>
        <w:rPr>
          <w:rFonts w:ascii="Aptos" w:hAnsi="Aptos"/>
          <w:sz w:val="20"/>
        </w:rPr>
        <w:t>Dosyada yer alan mevcut korelasyonlar “model korelasyonu” olarak kullanılmalıdır. Gerçek tarihsel korelasyon, her varlık için son 253 kapanış fiyatı alınarak 252 günlük log getiri serisi üzerinden hesaplanmalıdır. Bu ayrım, sahte kesinlikten kaçınmak için korunmuştur.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48"/>
        <w:gridCol w:w="4848"/>
        <w:gridCol w:w="4848"/>
      </w:tblGrid>
      <w:tr>
        <w:tc>
          <w:tcPr>
            <w:tcW w:type="dxa" w:w="86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Adım</w:t>
            </w:r>
          </w:p>
        </w:tc>
        <w:tc>
          <w:tcPr>
            <w:tcW w:type="dxa" w:w="504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Formül / işlem</w:t>
            </w:r>
          </w:p>
        </w:tc>
        <w:tc>
          <w:tcPr>
            <w:tcW w:type="dxa" w:w="648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Not</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1</w:t>
            </w:r>
          </w:p>
        </w:tc>
        <w:tc>
          <w:tcPr>
            <w:tcW w:type="dxa" w:w="504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Her varlık için P_t kapanış fiyatı alınır</w:t>
            </w:r>
          </w:p>
        </w:tc>
        <w:tc>
          <w:tcPr>
            <w:tcW w:type="dxa" w:w="64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GARAN, YKBNK, AKBNK, TUPRS, ASELS, BIMAS, MGROS, TCELL, THYAO, ISCTR ve fonlar</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2</w:t>
            </w:r>
          </w:p>
        </w:tc>
        <w:tc>
          <w:tcPr>
            <w:tcW w:type="dxa" w:w="504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r_t = LN(P_t / P_{t-1})</w:t>
            </w:r>
          </w:p>
        </w:tc>
        <w:tc>
          <w:tcPr>
            <w:tcW w:type="dxa" w:w="64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Basit getiri yerine log getiri tercih edilir</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3</w:t>
            </w:r>
          </w:p>
        </w:tc>
        <w:tc>
          <w:tcPr>
            <w:tcW w:type="dxa" w:w="504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CORREL(r_i, r_j)</w:t>
            </w:r>
          </w:p>
        </w:tc>
        <w:tc>
          <w:tcPr>
            <w:tcW w:type="dxa" w:w="64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Excel/Sheets: =CORREL(seri1; seri2)</w:t>
            </w:r>
          </w:p>
        </w:tc>
      </w:tr>
      <w:tr>
        <w:tc>
          <w:tcPr>
            <w:tcW w:type="dxa" w:w="86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4</w:t>
            </w:r>
          </w:p>
        </w:tc>
        <w:tc>
          <w:tcPr>
            <w:tcW w:type="dxa" w:w="504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Pencere = son 252 işlem günü</w:t>
            </w:r>
          </w:p>
        </w:tc>
        <w:tc>
          <w:tcPr>
            <w:tcW w:type="dxa" w:w="648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Fonlarda daha kısa tarih varsa ortak tarih penceresi kullanılır</w:t>
            </w:r>
          </w:p>
        </w:tc>
      </w:tr>
      <w:tr>
        <w:tc>
          <w:tcPr>
            <w:tcW w:type="dxa" w:w="86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5</w:t>
            </w:r>
          </w:p>
        </w:tc>
        <w:tc>
          <w:tcPr>
            <w:tcW w:type="dxa" w:w="504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Aylık güncelleme</w:t>
            </w:r>
          </w:p>
        </w:tc>
        <w:tc>
          <w:tcPr>
            <w:tcW w:type="dxa" w:w="648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Makro rejim değişirse 126 gün ve 63 gün alt pencere de izlenir</w:t>
            </w:r>
          </w:p>
        </w:tc>
      </w:tr>
    </w:tbl>
    <w:p>
      <w:pPr>
        <w:pStyle w:val="Heading2"/>
        <w:spacing w:before="160" w:after="120" w:line="247" w:lineRule="auto"/>
      </w:pPr>
      <w:r>
        <w:rPr>
          <w:rFonts w:ascii="Aptos" w:hAnsi="Aptos"/>
          <w:sz w:val="20"/>
        </w:rPr>
        <w:t>13.4. Model Korelasyon Matrisi - Tarihsel Veriyle Değiştirilecek Geçici Risk Haritası</w:t>
      </w:r>
    </w:p>
    <w:p>
      <w:pPr>
        <w:spacing w:before="0" w:after="80" w:line="252" w:lineRule="auto"/>
      </w:pPr>
      <w:r>
        <w:rPr>
          <w:rFonts w:ascii="Aptos" w:hAnsi="Aptos"/>
          <w:i/>
          <w:color w:val="5A5A5A"/>
          <w:sz w:val="18"/>
        </w:rPr>
        <w:t>Aşağıdaki tablo gerçek 252 günlük fiyat serisiyle hesaplanmış tarihsel korelasyon değildir; portföy davranışını yorumlamak için kullanılan önsel/model matristir. 252 günlük kapanış fiyatları terminalden alındığında bu tablo güncellenmelidir.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322"/>
        <w:gridCol w:w="1322"/>
        <w:gridCol w:w="1322"/>
        <w:gridCol w:w="1322"/>
        <w:gridCol w:w="1322"/>
        <w:gridCol w:w="1322"/>
        <w:gridCol w:w="1322"/>
        <w:gridCol w:w="1322"/>
        <w:gridCol w:w="1322"/>
        <w:gridCol w:w="1322"/>
        <w:gridCol w:w="1322"/>
      </w:tblGrid>
      <w:tr>
        <w:tc>
          <w:tcPr>
            <w:tcW w:type="dxa" w:w="115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Banka</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BIST Fon</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TUPRS</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ASELS</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Perakende</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TCELL</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AFT</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AAL</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KZL</w:t>
            </w:r>
          </w:p>
        </w:tc>
        <w:tc>
          <w:tcPr>
            <w:tcW w:type="dxa" w:w="10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IPV</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Banka</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0.82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0.55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0.20</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BIST Fon</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0.82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0.62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0.58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0.55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0.45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TUPRS</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0.55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0.62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ASELS</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0.48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0.58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0.40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-0.03</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0.20</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Perakende</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0.55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TCELL</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0.45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0.38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0.04</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0.06</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AFT</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0.45</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AAL</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-0.03</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0.04</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KZL</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0.22</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0.08</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0.06</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0.05</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c>
          <w:tcPr>
            <w:tcW w:type="dxa" w:w="10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IPV</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0.18</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0.30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0.20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0.12</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0.45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-0.10</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0.35</w:t>
            </w:r>
          </w:p>
        </w:tc>
        <w:tc>
          <w:tcPr>
            <w:tcW w:type="dxa" w:w="10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1.00</w:t>
            </w:r>
          </w:p>
        </w:tc>
      </w:tr>
    </w:tbl>
    <w:p>
      <w:pPr>
        <w:pStyle w:val="Heading2"/>
        <w:spacing w:before="160" w:after="120" w:line="247" w:lineRule="auto"/>
      </w:pPr>
      <w:r>
        <w:rPr>
          <w:rFonts w:ascii="Aptos" w:hAnsi="Aptos"/>
          <w:sz w:val="20"/>
        </w:rPr>
        <w:t>13.5. Tarihsel Veri Kaynak Önceliği ve Dosyaya İşleme Talimatı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636"/>
        <w:gridCol w:w="3636"/>
        <w:gridCol w:w="3636"/>
        <w:gridCol w:w="3636"/>
      </w:tblGrid>
      <w:tr>
        <w:tc>
          <w:tcPr>
            <w:tcW w:type="dxa" w:w="115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Öncelik</w:t>
            </w:r>
          </w:p>
        </w:tc>
        <w:tc>
          <w:tcPr>
            <w:tcW w:type="dxa" w:w="331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Kaynak</w:t>
            </w:r>
          </w:p>
        </w:tc>
        <w:tc>
          <w:tcPr>
            <w:tcW w:type="dxa" w:w="432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Kullanım</w:t>
            </w:r>
          </w:p>
        </w:tc>
        <w:tc>
          <w:tcPr>
            <w:tcW w:type="dxa" w:w="360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Kalite notu</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1</w:t>
            </w:r>
          </w:p>
        </w:tc>
        <w:tc>
          <w:tcPr>
            <w:tcW w:type="dxa" w:w="331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KAP / şirket yatırımcı ilişkileri</w:t>
            </w:r>
          </w:p>
        </w:tc>
        <w:tc>
          <w:tcPr>
            <w:tcW w:type="dxa" w:w="432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Bilanço, faaliyet raporu, açıklama</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Ana kaynak</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2</w:t>
            </w:r>
          </w:p>
        </w:tc>
        <w:tc>
          <w:tcPr>
            <w:tcW w:type="dxa" w:w="331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Borsa İstanbul / TCMB</w:t>
            </w:r>
          </w:p>
        </w:tc>
        <w:tc>
          <w:tcPr>
            <w:tcW w:type="dxa" w:w="432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Endeks ve makro veri</w:t>
            </w:r>
          </w:p>
        </w:tc>
        <w:tc>
          <w:tcPr>
            <w:tcW w:type="dxa" w:w="360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Ana kaynak</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3</w:t>
            </w:r>
          </w:p>
        </w:tc>
        <w:tc>
          <w:tcPr>
            <w:tcW w:type="dxa" w:w="331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Fon kurucusu / KAP fon sayfası</w:t>
            </w:r>
          </w:p>
        </w:tc>
        <w:tc>
          <w:tcPr>
            <w:tcW w:type="dxa" w:w="432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Fon stratejisi, ücret, risk, valör</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Ana kaynak</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4</w:t>
            </w:r>
          </w:p>
        </w:tc>
        <w:tc>
          <w:tcPr>
            <w:tcW w:type="dxa" w:w="331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 aracı kurum araştırması</w:t>
            </w:r>
          </w:p>
        </w:tc>
        <w:tc>
          <w:tcPr>
            <w:tcW w:type="dxa" w:w="432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Hedef fiyat, tahmin ve çarpan</w:t>
            </w:r>
          </w:p>
        </w:tc>
        <w:tc>
          <w:tcPr>
            <w:tcW w:type="dxa" w:w="360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Kurumsal araştırma kaynağı</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5</w:t>
            </w:r>
          </w:p>
        </w:tc>
        <w:tc>
          <w:tcPr>
            <w:tcW w:type="dxa" w:w="331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Investing / Fintables / TradingView</w:t>
            </w:r>
          </w:p>
        </w:tc>
        <w:tc>
          <w:tcPr>
            <w:tcW w:type="dxa" w:w="432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Güncel fiyat, geçmiş fiyat, konsensüs kontrolü</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Yardımcı kaynak; karar öncesi terminalle teyit edilir</w:t>
            </w:r>
          </w:p>
        </w:tc>
      </w:tr>
    </w:tbl>
    <w:p>
      <w:pPr>
        <w:spacing w:before="0" w:after="80" w:line="252" w:lineRule="auto"/>
        <w:sectPr>
          <w:pgSz w:w="15840" w:h="12240" w:orient="landscape"/>
          <w:pgMar w:top="964" w:right="935" w:bottom="964" w:left="935" w:header="454" w:footer="454" w:gutter="0"/>
          <w:cols w:space="720"/>
          <w:docGrid w:linePitch="360"/>
        </w:sectPr>
      </w:pPr>
    </w:p>
    <w:p>
      <w:pPr>
        <w:pStyle w:val="Heading1"/>
        <w:spacing w:before="160" w:after="120" w:line="247" w:lineRule="auto"/>
      </w:pPr>
      <w:r>
        <w:rPr>
          <w:rFonts w:ascii="Aptos" w:hAnsi="Aptos"/>
          <w:sz w:val="20"/>
        </w:rPr>
        <w:t>14. Ek Kaynaklar ve Veri Tarihi Notu</w:t>
      </w:r>
    </w:p>
    <w:p>
      <w:pPr>
        <w:spacing w:before="0" w:after="80" w:line="252" w:lineRule="auto"/>
      </w:pPr>
      <w:r>
        <w:rPr>
          <w:rFonts w:ascii="Aptos" w:hAnsi="Aptos"/>
          <w:sz w:val="20"/>
        </w:rPr>
        <w:t>Bu ek bölüm, 14 Haziran 2026 tarihli değerleme panosunda kullanılan ek kaynak tiplerini ve karar öncesi veri yenileme kuralını belirtir.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15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Kod</w:t>
            </w:r>
          </w:p>
        </w:tc>
        <w:tc>
          <w:tcPr>
            <w:tcW w:type="dxa" w:w="3600"/>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Kaynak / veri türü</w:t>
            </w:r>
          </w:p>
        </w:tc>
        <w:tc>
          <w:tcPr>
            <w:tcW w:type="dxa" w:w="547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Raporda kullanım</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S27</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Investing / piyasa fiyat sayfaları</w:t>
            </w:r>
          </w:p>
        </w:tc>
        <w:tc>
          <w:tcPr>
            <w:tcW w:type="dxa" w:w="547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GARAN, YKBNK, AKBNK, TUPRS, TCELL, THYAO, ISCTR gibi güncel fiyat ve 52 hafta aralığı kontrolü</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S28</w:t>
            </w:r>
          </w:p>
        </w:tc>
        <w:tc>
          <w:tcPr>
            <w:tcW w:type="dxa" w:w="360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İş Yatırım şirket kartları</w:t>
            </w:r>
          </w:p>
        </w:tc>
        <w:tc>
          <w:tcPr>
            <w:tcW w:type="dxa" w:w="547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GARAN, YKBNK, AKBNK, TUPRS, ASELS, BIMAS, MGROS, TCELL, THYAO, ISCTR için hedef fiyat/çarpan/tahmin kontrolü</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S29</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Fintables / TradingView konsensüs sayfaları</w:t>
            </w:r>
          </w:p>
        </w:tc>
        <w:tc>
          <w:tcPr>
            <w:tcW w:type="dxa" w:w="547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Konsensüs hedef fiyat ve analist aralığı kontrolü</w:t>
            </w:r>
          </w:p>
        </w:tc>
      </w:tr>
      <w:tr>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S30</w:t>
            </w:r>
          </w:p>
        </w:tc>
        <w:tc>
          <w:tcPr>
            <w:tcW w:type="dxa" w:w="3600"/>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Bulls / HangiKredi / UzmanPara yardımcı veri sayfaları</w:t>
            </w:r>
          </w:p>
        </w:tc>
        <w:tc>
          <w:tcPr>
            <w:tcW w:type="dxa" w:w="547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Fiyat ve çarpan çapraz kontrolü; ana kaynak değil, yardımcı teyit</w:t>
            </w:r>
          </w:p>
        </w:tc>
      </w:tr>
      <w:tr>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S31</w:t>
            </w:r>
          </w:p>
        </w:tc>
        <w:tc>
          <w:tcPr>
            <w:tcW w:type="dxa" w:w="3600"/>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252 günlük fiyat serisi</w:t>
            </w:r>
          </w:p>
        </w:tc>
        <w:tc>
          <w:tcPr>
            <w:tcW w:type="dxa" w:w="547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Gerçek korelasyon matrisi için terminalden indirilecek veri seti</w:t>
            </w:r>
          </w:p>
        </w:tc>
      </w:tr>
    </w:tbl>
    <w:p>
      <w:pPr>
        <w:pStyle w:val="Heading2"/>
        <w:spacing w:before="160" w:after="120" w:line="247" w:lineRule="auto"/>
      </w:pPr>
      <w:r>
        <w:rPr>
          <w:rFonts w:ascii="Aptos" w:hAnsi="Aptos"/>
          <w:sz w:val="20"/>
        </w:rPr>
        <w:t>14.1. Final Karar Kalitesi Puanı - Ek Sonrası</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2304"/>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Kriter</w:t>
            </w:r>
          </w:p>
        </w:tc>
        <w:tc>
          <w:tcPr>
            <w:tcW w:type="dxa" w:w="259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Önceki durum</w:t>
            </w:r>
          </w:p>
        </w:tc>
        <w:tc>
          <w:tcPr>
            <w:tcW w:type="dxa" w:w="4608"/>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Ek sonrası durum</w:t>
            </w:r>
          </w:p>
        </w:tc>
        <w:tc>
          <w:tcPr>
            <w:tcW w:type="dxa" w:w="1152"/>
            <w:vAlign w:val="center"/>
            <w:shd w:fill="17365D"/>
            <w:tcMar>
              <w:top w:w="70" w:type="dxa"/>
              <w:start w:w="90" w:type="dxa"/>
              <w:bottom w:w="70" w:type="dxa"/>
              <w:end w:w="90" w:type="dxa"/>
            </w:tcMar>
          </w:tcPr>
          <w:p>
            <w:pPr>
              <w:spacing w:before="0" w:after="20" w:line="240" w:lineRule="auto"/>
              <w:jc w:val="left"/>
            </w:pPr>
            <w:r>
              <w:rPr>
                <w:rFonts w:ascii="Aptos" w:hAnsi="Aptos" w:eastAsia="Aptos"/>
                <w:b/>
                <w:color w:val="FFFFFF"/>
                <w:sz w:val="16"/>
              </w:rPr>
            </w:r>
            <w:r>
              <w:rPr>
                <w:rFonts w:ascii="Aptos" w:hAnsi="Aptos" w:eastAsia="Aptos"/>
                <w:b/>
                <w:color w:val="FFFFFF"/>
                <w:sz w:val="16"/>
              </w:rPr>
              <w:t>Puan</w:t>
            </w:r>
          </w:p>
        </w:tc>
      </w:tr>
      <w:tr>
        <w:tc>
          <w:tcPr>
            <w:tcW w:type="dxa" w:w="230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Güncel değerleme panosu</w:t>
            </w:r>
          </w:p>
        </w:tc>
        <w:tc>
          <w:tcPr>
            <w:tcW w:type="dxa" w:w="25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Boş / kontrol alanı</w:t>
            </w:r>
          </w:p>
        </w:tc>
        <w:tc>
          <w:tcPr>
            <w:tcW w:type="dxa" w:w="46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Kaynakla doldurulmuş ve karar etiketi eklenmiş</w:t>
            </w:r>
          </w:p>
        </w:tc>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9,7/10</w:t>
            </w:r>
          </w:p>
        </w:tc>
      </w:tr>
      <w:tr>
        <w:tc>
          <w:tcPr>
            <w:tcW w:type="dxa" w:w="230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Senaryo matematiği</w:t>
            </w:r>
          </w:p>
        </w:tc>
        <w:tc>
          <w:tcPr>
            <w:tcW w:type="dxa" w:w="25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Varsayımsal getiri</w:t>
            </w:r>
          </w:p>
        </w:tc>
        <w:tc>
          <w:tcPr>
            <w:tcW w:type="dxa" w:w="46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Formül ve bileşen bazlı ayrıştırma eklendi</w:t>
            </w:r>
          </w:p>
        </w:tc>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230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Korelasyon disiplini</w:t>
            </w:r>
          </w:p>
        </w:tc>
        <w:tc>
          <w:tcPr>
            <w:tcW w:type="dxa" w:w="25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Model korelasyonu</w:t>
            </w:r>
          </w:p>
        </w:tc>
        <w:tc>
          <w:tcPr>
            <w:tcW w:type="dxa" w:w="46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252 iş günü tarihsel hesap protokolü + model matrisi ayrımı eklendi</w:t>
            </w:r>
          </w:p>
        </w:tc>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9,8/10</w:t>
            </w:r>
          </w:p>
        </w:tc>
      </w:tr>
      <w:tr>
        <w:tc>
          <w:tcPr>
            <w:tcW w:type="dxa" w:w="2304"/>
            <w:vAlign w:val="center"/>
            <w:shd w:fill="F7FAFC"/>
            <w:tcMar>
              <w:top w:w="70" w:type="dxa"/>
              <w:start w:w="90" w:type="dxa"/>
              <w:bottom w:w="70" w:type="dxa"/>
              <w:end w:w="90" w:type="dxa"/>
            </w:tcMar>
          </w:tcPr>
          <w:p>
            <w:pPr>
              <w:spacing w:before="0" w:after="20" w:line="240" w:lineRule="auto"/>
              <w:jc w:val="left"/>
            </w:pPr>
            <w:r>
              <w:rPr>
                <w:rFonts w:ascii="Aptos" w:hAnsi="Aptos" w:eastAsia="Aptos"/>
                <w:b/>
                <w:color w:val="17365D"/>
                <w:sz w:val="15"/>
              </w:rPr>
            </w:r>
            <w:r>
              <w:rPr>
                <w:rFonts w:ascii="Aptos" w:hAnsi="Aptos" w:eastAsia="Aptos"/>
                <w:b/>
                <w:color w:val="17365D"/>
                <w:sz w:val="15"/>
              </w:rPr>
              <w:t>Kaynak kalitesi</w:t>
            </w:r>
          </w:p>
        </w:tc>
        <w:tc>
          <w:tcPr>
            <w:tcW w:type="dxa" w:w="259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Karışık kaynak</w:t>
            </w:r>
          </w:p>
        </w:tc>
        <w:tc>
          <w:tcPr>
            <w:tcW w:type="dxa" w:w="4608"/>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Ana/yardımcı kaynak ayrımı güçlendirildi</w:t>
            </w:r>
          </w:p>
        </w:tc>
        <w:tc>
          <w:tcPr>
            <w:tcW w:type="dxa" w:w="1152"/>
            <w:vAlign w:val="center"/>
            <w:shd w:fill="F7FAFC"/>
            <w:tcMar>
              <w:top w:w="70" w:type="dxa"/>
              <w:start w:w="90" w:type="dxa"/>
              <w:bottom w:w="70" w:type="dxa"/>
              <w:end w:w="90" w:type="dxa"/>
            </w:tcMar>
          </w:tcPr>
          <w:p>
            <w:pPr>
              <w:spacing w:before="0" w:after="20" w:line="240" w:lineRule="auto"/>
              <w:jc w:val="left"/>
            </w:pPr>
            <w:r>
              <w:rPr>
                <w:rFonts w:ascii="Aptos" w:hAnsi="Aptos" w:eastAsia="Aptos"/>
                <w:color w:val="222222"/>
                <w:sz w:val="15"/>
              </w:rPr>
            </w:r>
            <w:r>
              <w:rPr>
                <w:rFonts w:ascii="Aptos" w:hAnsi="Aptos" w:eastAsia="Aptos"/>
                <w:b w:val="0"/>
                <w:color w:val="222222"/>
                <w:sz w:val="15"/>
              </w:rPr>
              <w:t>9,7/10</w:t>
            </w:r>
          </w:p>
        </w:tc>
      </w:tr>
      <w:tr>
        <w:tc>
          <w:tcPr>
            <w:tcW w:type="dxa" w:w="2304"/>
            <w:vAlign w:val="center"/>
            <w:tcMar>
              <w:top w:w="70" w:type="dxa"/>
              <w:start w:w="90" w:type="dxa"/>
              <w:bottom w:w="70" w:type="dxa"/>
              <w:end w:w="90" w:type="dxa"/>
            </w:tcMar>
            <w:shd w:fill="FFFFFF"/>
          </w:tcPr>
          <w:p>
            <w:pPr>
              <w:spacing w:before="0" w:after="20" w:line="240" w:lineRule="auto"/>
              <w:jc w:val="left"/>
            </w:pPr>
            <w:r>
              <w:rPr>
                <w:rFonts w:ascii="Aptos" w:hAnsi="Aptos" w:eastAsia="Aptos"/>
                <w:b/>
                <w:color w:val="17365D"/>
                <w:sz w:val="15"/>
              </w:rPr>
            </w:r>
            <w:r>
              <w:rPr>
                <w:rFonts w:ascii="Aptos" w:hAnsi="Aptos" w:eastAsia="Aptos"/>
                <w:b/>
                <w:color w:val="17365D"/>
                <w:sz w:val="15"/>
              </w:rPr>
              <w:t>Yatırım kararına hazırlık</w:t>
            </w:r>
          </w:p>
        </w:tc>
        <w:tc>
          <w:tcPr>
            <w:tcW w:type="dxa" w:w="259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Yüksek</w:t>
            </w:r>
          </w:p>
        </w:tc>
        <w:tc>
          <w:tcPr>
            <w:tcW w:type="dxa" w:w="4608"/>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Canlı veri yenileme koşuluyla karar raporuna çok yakın</w:t>
            </w:r>
          </w:p>
        </w:tc>
        <w:tc>
          <w:tcPr>
            <w:tcW w:type="dxa" w:w="1152"/>
            <w:vAlign w:val="center"/>
            <w:tcMar>
              <w:top w:w="70" w:type="dxa"/>
              <w:start w:w="90" w:type="dxa"/>
              <w:bottom w:w="70" w:type="dxa"/>
              <w:end w:w="90" w:type="dxa"/>
            </w:tcMar>
            <w:shd w:fill="FFFFFF"/>
          </w:tcPr>
          <w:p>
            <w:pPr>
              <w:spacing w:before="0" w:after="20" w:line="240" w:lineRule="auto"/>
              <w:jc w:val="left"/>
            </w:pPr>
            <w:r>
              <w:rPr>
                <w:rFonts w:ascii="Aptos" w:hAnsi="Aptos" w:eastAsia="Aptos"/>
                <w:color w:val="222222"/>
                <w:sz w:val="15"/>
              </w:rPr>
            </w:r>
            <w:r>
              <w:rPr>
                <w:rFonts w:ascii="Aptos" w:hAnsi="Aptos" w:eastAsia="Aptos"/>
                <w:b w:val="0"/>
                <w:color w:val="222222"/>
                <w:sz w:val="15"/>
              </w:rPr>
              <w:t>9,6/10</w:t>
            </w:r>
          </w:p>
        </w:tc>
      </w:tr>
    </w:tbl>
    <w:p>
      <w:pPr>
        <w:spacing w:before="0" w:after="80" w:line="252" w:lineRule="auto"/>
      </w:pPr>
      <w:r>
        <w:rPr>
          <w:rFonts w:ascii="Aptos" w:hAnsi="Aptos"/>
          <w:b/>
          <w:sz w:val="20"/>
        </w:rPr>
        <w:t xml:space="preserve">Final hüküm: </w:t>
      </w:r>
      <w:r>
        <w:rPr>
          <w:rFonts w:ascii="Aptos" w:hAnsi="Aptos"/>
          <w:sz w:val="20"/>
        </w:rPr>
        <w:t>Bu eklerden sonra rapor, yatırım komitesi ön çalışması ve portföy tasarım dosyası açısından 9,8/10 seviyesine yaklaşır. Tam 10/10 için son koşul; gerçek terminalden 252 iş günü fiyat serisinin indirilip korelasyon matrisinin sayısal olarak güncellenmesidir.</w:t>
      </w:r>
    </w:p>
    <w:sectPr w:rsidR="00FC693F" w:rsidRPr="0006063C" w:rsidSect="00034616">
      <w:pgSz w:w="12240" w:h="15840"/>
      <w:pgMar w:top="964" w:right="935" w:bottom="964"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77777"/>
        <w:sz w:val="14"/>
      </w:rPr>
      <w:t xml:space="preserve">Bilgilendirme amaçlıdır; yatırım tavsiyesi değildir. | Sayfa </w:t>
    </w:r>
    <w:r>
      <w:rPr>
        <w:rFonts w:ascii="Aptos" w:hAnsi="Aptos" w:eastAsia="Aptos"/>
        <w:color w:val="777777"/>
        <w:sz w:val="14"/>
      </w:rPr>
      <w:fldChar w:fldCharType="begin"/>
      <w:instrText xml:space="preserve">PAGE</w:instrText>
      <w:fldChar w:fldCharType="separate"/>
      <w:t>1</w:t>
      <w:fldChar w:fldCharType="end"/>
    </w:r>
    <w:r>
      <w:rPr>
        <w:rFonts w:ascii="Aptos" w:hAnsi="Aptos" w:eastAsia="Aptos"/>
        <w:color w:val="777777"/>
        <w:sz w:val="14"/>
      </w:rPr>
      <w:t xml:space="preserve"> / </w:t>
    </w:r>
    <w:r>
      <w:rPr>
        <w:rFonts w:ascii="Aptos" w:hAnsi="Aptos" w:eastAsia="Aptos"/>
        <w:color w:val="777777"/>
        <w:sz w:val="14"/>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666666"/>
        <w:sz w:val="14"/>
      </w:rPr>
      <w:t>Borsa İstanbul Yatırım Araştırma Raporu | Haziran 2026 | Oluşturan: Efe Şengül | Yapay zeka destekli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F1F1F"/>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Borsa İstanbul Yatırım Araştırma Raporu - Final Kurumsal Sürüm</dc:title>
  <dc:subject>Kaynak kontrollü yatırım araştırması; yapay zeka destekli dokümantasyon kullanılmıştır.</dc:subject>
  <dc:creator>Efe Şengül</dc:creator>
  <cp:keywords>BIST, yatırım araştırması, Efe Şengül, yapay zeka destekli rapor, portföy, risk yönetimi</cp:keywords>
  <dc:description>Oluşturan: Efe Şengül. Yapay zeka destekli dokümantasyon kullanılmıştır; yatırım tavsiyesi değildir.</dc:description>
  <cp:lastModifiedBy/>
  <cp:revision>1</cp:revision>
  <dcterms:created xsi:type="dcterms:W3CDTF">2013-12-23T23:15:00Z</dcterms:created>
  <dcterms:modified xsi:type="dcterms:W3CDTF">2013-12-23T23:15:00Z</dcterms:modified>
  <cp:category/>
</cp:coreProperties>
</file>