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CONFIDENTIAL — BOARD OF DIRECTORS ONLY</w:t>
      </w:r>
    </w:p>
    <w:p>
      <w:r>
        <w:t>Project Meridian — Acquisition Briefing</w:t>
      </w:r>
    </w:p>
    <w:p/>
    <w:p>
      <w:r>
        <w:t>The board has approved moving to the second stage of due diligence on the proposed acquisition of Northwind Logistics. Under the current term sheet, the transaction values Northwind at two hundred and forty million dollars, payable as a mix of cash and restricted stock vesting over three years. Financing has been provisionally arranged through a syndicate led by Meridian Capital Partners, with a bridge facility available if the closing timeline slips beyond the third quarter.</w:t>
      </w:r>
    </w:p>
    <w:p/>
    <w:p>
      <w:r>
        <w:t>Management projects that combining Northwind's distribution network with our existing operations will deliver annual synergies of approximately thirty five million dollars by the end of the second full fiscal year, driven primarily by consolidated warehousing and the elimination of overlapping regional routes. A retention plan for Northwind's senior logistics team has been drafted and is contingent on the deal closing.</w:t>
      </w:r>
    </w:p>
    <w:p/>
    <w:p>
      <w:r>
        <w:t>Three risks require the board's attention. First, two of Northwind's largest customer contracts contain change-of-control clauses that permit renegotiation on acquisition. Second, an unresolved environmental liability at the Fairport depot could add material remediation costs. Third, regulatory clearance in two jurisdictions is not guaranteed and may impose divestiture conditions.</w:t>
      </w:r>
    </w:p>
    <w:p/>
    <w:p>
      <w:r>
        <w:t>This document and its contents are strictly confidential and must not be circulated outside the board. Any disclosure is a serious breach of fiduciary duty and company policy.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