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w:t>
      </w:r>
      <w:r>
        <w:rPr>
          <w:color w:val="FF0000"/>
        </w:rPr>
        <w:t>Efficiency+</w:t>
      </w:r>
      <w:r>
        <w:t xml:space="preserve">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w:t>
      </w:r>
      <w:r>
        <w:rPr>
          <w:i/>
          <w:iCs/>
          <w:color w:val="FF0000"/>
        </w:rPr>
        <w:t>Efficiency+</w:t>
      </w:r>
      <w:r>
        <w:rPr>
          <w:i/>
          <w:iCs/>
        </w:rPr>
        <w:t xml:space="preserve"> Scientific Working Group</w:t>
      </w:r>
    </w:p>
    <w:p>
      <w:pPr>
        <w:pStyle w:val="CaptionedFigure"/>
        <w:jc w:val="center"/>
      </w:pPr>
      <w:r>
        <w:drawing>
          <wp:inline>
            <wp:extent cx="1371600" cy="1371600"/>
            <wp:effectExtent b="0" l="0" r="0" t="0"/>
            <wp:docPr descr="Scan to follow Efficiency+ on LinkedIn" title="" id="21" name="Picture"/>
            <a:graphic>
              <a:graphicData uri="http://schemas.openxmlformats.org/drawingml/2006/picture">
                <pic:pic>
                  <pic:nvPicPr>
                    <pic:cNvPr descr="QR.png" id="22" name="Picture"/>
                    <pic:cNvPicPr>
                      <a:picLocks noChangeArrowheads="1" noChangeAspect="1"/>
                    </pic:cNvPicPr>
                  </pic:nvPicPr>
                  <pic:blipFill>
                    <a:blip r:embed="rId20"/>
                    <a:stretch>
                      <a:fillRect/>
                    </a:stretch>
                  </pic:blipFill>
                  <pic:spPr bwMode="auto">
                    <a:xfrm>
                      <a:off x="0" y="0"/>
                      <a:ext cx="1371600" cy="1371600"/>
                    </a:xfrm>
                    <a:prstGeom prst="rect">
                      <a:avLst/>
                    </a:prstGeom>
                    <a:noFill/>
                    <a:ln w="9525">
                      <a:noFill/>
                      <a:headEnd/>
                      <a:tailEnd/>
                    </a:ln>
                  </pic:spPr>
                </pic:pic>
              </a:graphicData>
            </a:graphic>
          </wp:inline>
        </w:drawing>
      </w:r>
    </w:p>
    <w:p>
      <w:pPr>
        <w:pStyle w:val="ImageCaption"/>
      </w:pPr>
      <w:r>
        <w:t xml:space="preserve">Scan to follow </w:t>
      </w:r>
      <w:r>
        <w:rPr>
          <w:color w:val="FF0000"/>
        </w:rPr>
        <w:t>Efficiency+</w:t>
      </w:r>
      <w:r>
        <w:t xml:space="preserve"> on LinkedIn</w:t>
      </w:r>
    </w:p>
    <w:bookmarkStart w:id="23" w:name="X0638d9fe13537368e9017707d49a40cb9515584"/>
    <w:p>
      <w:pPr>
        <w:pStyle w:val="Heading2"/>
      </w:pPr>
      <w:r>
        <w:t xml:space="preserve">Why Clinical Trial Operations Needs Statisticians</w:t>
      </w:r>
    </w:p>
    <w:p>
      <w:pPr>
        <w:pStyle w:val="FirstParagraph"/>
      </w:pPr>
      <w:r>
        <w:t xml:space="preserve">Most clinical trial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deterministic rules of thumb, spreadsheets, previous experience, and gut instinct. The result? sites are selected based on relationships rather than data; more than half of clinical trials globally fail to enroll on time, leading to costly extensions and opening of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address operational inefficiencies. This motivated the formation of</w:t>
      </w:r>
      <w:r>
        <w:t xml:space="preserve"> </w:t>
      </w:r>
      <w:r>
        <w:rPr>
          <w:b/>
          <w:bCs/>
          <w:color w:val="FF0000"/>
        </w:rPr>
        <w:t xml:space="preserve">Efficiency+</w:t>
      </w:r>
      <w:r>
        <w:t xml:space="preserve">.</w:t>
      </w:r>
    </w:p>
    <w:bookmarkEnd w:id="23"/>
    <w:bookmarkStart w:id="24" w:name="how-we-got-here"/>
    <w:p>
      <w:pPr>
        <w:pStyle w:val="Heading2"/>
      </w:pPr>
      <w:r>
        <w:t xml:space="preserve">How We Got Here</w:t>
      </w:r>
    </w:p>
    <w:p>
      <w:pPr>
        <w:pStyle w:val="FirstParagraph"/>
      </w:pPr>
      <w:r>
        <w:t xml:space="preserve">The idea for </w:t>
      </w:r>
      <w:r>
        <w:rPr>
          <w:color w:val="FF0000"/>
        </w:rPr>
        <w:t>Efficiency+</w:t>
      </w:r>
      <w:r>
        <w:t xml:space="preserve">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w:t>
      </w:r>
      <w:r>
        <w:rPr>
          <w:color w:val="FF0000"/>
        </w:rPr>
        <w:t>Efficiency+</w:t>
      </w:r>
      <w:r>
        <w:t xml:space="preserve"> to be different from a typical methods-focused working group. Our scope is deliberately cross-functional, emphasizing the intersection of statistics with clinical operations, drug supply, regulatory planning, data management, and functions supporting other clinical operations. The</w:t>
      </w:r>
      <w:r>
        <w:t xml:space="preserve"> </w:t>
      </w:r>
      <w:r>
        <w:t xml:space="preserve">“+”</w:t>
      </w:r>
      <w:r>
        <w:t xml:space="preserve"> </w:t>
      </w:r>
      <w:r>
        <w:t xml:space="preserve">in our name reflects the statisticians plus the collaborators and domains needed to move the needle.</w:t>
      </w:r>
    </w:p>
    <w:bookmarkEnd w:id="24"/>
    <w:bookmarkStart w:id="25"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w:t>
      </w:r>
      <w:r>
        <w:rPr>
          <w:color w:val="FF0000"/>
        </w:rPr>
        <w:t>Efficiency+</w:t>
      </w:r>
      <w:r>
        <w:t xml:space="preserve"> Scientific Working Group, 2025)</w:t>
      </w:r>
      <w:r>
        <w:t xml:space="preserve">.</w:t>
      </w:r>
    </w:p>
    <w:bookmarkEnd w:id="25"/>
    <w:bookmarkStart w:id="26" w:name="workstreams"/>
    <w:p>
      <w:pPr>
        <w:pStyle w:val="Heading2"/>
      </w:pPr>
      <w:r>
        <w:t xml:space="preserve">Workstreams</w:t>
      </w:r>
    </w:p>
    <w:p>
      <w:pPr>
        <w:pStyle w:val="FirstParagraph"/>
      </w:pPr>
      <w:r>
        <w:t xml:space="preserve">After our kickoff, we surveyed members to identify the most pressing topics. Four focus areas emerged, and the group was organized into the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of dollars per program.</w:t>
      </w:r>
    </w:p>
    <w:bookmarkEnd w:id="26"/>
    <w:bookmarkStart w:id="27" w:name="our-members"/>
    <w:p>
      <w:pPr>
        <w:pStyle w:val="Heading2"/>
      </w:pPr>
      <w:r>
        <w:t xml:space="preserve">Our Members</w:t>
      </w:r>
    </w:p>
    <w:p>
      <w:pPr>
        <w:pStyle w:val="FirstParagraph"/>
      </w:pPr>
      <w:r>
        <w:t xml:space="preserve">We are proud of the breadth of our membership, which exemplifies our vision for cross-industry, cross-functional collaboration. </w:t>
      </w:r>
      <w:r>
        <w:rPr>
          <w:color w:val="FF0000"/>
        </w:rPr>
        <w:t>Efficiency+</w:t>
      </w:r>
      <w:r>
        <w:t xml:space="preserve"> currently includes about 20 active members from AbbVie, Amgen, AstraZeneca, Bayer, Beonemed, Boehringer Ingelheim, BMS, Cytel, Johnson &amp; Johnson, Eli Lilly, Regeneron, and Sanofi. Our membership comprises statisticians, data scientists, and clinical operations professionals, exactly the kind of cross-functional mix needed to make real progress.</w:t>
      </w:r>
    </w:p>
    <w:bookmarkEnd w:id="27"/>
    <w:bookmarkStart w:id="28" w:name="what-we-have-done-so-far"/>
    <w:p>
      <w:pPr>
        <w:pStyle w:val="Heading2"/>
      </w:pPr>
      <w:r>
        <w:t xml:space="preserve">What We Have Done So Far</w:t>
      </w:r>
    </w:p>
    <w:p>
      <w:pPr>
        <w:pStyle w:val="FirstParagraph"/>
      </w:pPr>
      <w:r>
        <w:t xml:space="preserve">It has been less than a year since our kickoff, but </w:t>
      </w:r>
      <w:r>
        <w:rPr>
          <w:color w:val="FF0000"/>
        </w:rPr>
        <w:t>Efficiency+</w:t>
      </w:r>
      <w:r>
        <w:t xml:space="preserve">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ENAR audience, and we look forward to more conversations at these upcoming </w:t>
      </w:r>
      <w:r>
        <w:rPr>
          <w:color w:val="FF0000"/>
        </w:rPr>
        <w:t>Efficiency+</w:t>
      </w:r>
      <w:r>
        <w:t xml:space="preserve"> sessions:</w:t>
      </w:r>
    </w:p>
    <w:p>
      <w:pPr>
        <w:pStyle w:val="Compact"/>
        <w:numPr>
          <w:ilvl w:val="0"/>
          <w:numId w:val="1001"/>
        </w:numPr>
      </w:pPr>
      <w:r>
        <w:rPr>
          <w:b/>
          <w:bCs/>
        </w:rPr>
        <w:t xml:space="preserve">IBC 2026</w:t>
      </w:r>
      <w:r>
        <w:t xml:space="preserve"> </w:t>
      </w:r>
      <w:r>
        <w:t xml:space="preserve">(July, Seoul) - Invited session introducing </w:t>
      </w:r>
      <w:r>
        <w:rPr>
          <w:color w:val="FF0000"/>
        </w:rPr>
        <w:t>Efficiency+</w:t>
      </w:r>
      <w:r>
        <w:t xml:space="preserve">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are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allows methodology experts to contribute without the necessity of writing code,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8"/>
    <w:bookmarkStart w:id="32"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9">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30">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31">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2"/>
    <w:bookmarkStart w:id="33"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 group collaboration</w:t>
      </w:r>
      <w:r>
        <w:t xml:space="preserve"> </w:t>
      </w:r>
      <w:r>
        <w:t xml:space="preserve">- working with other ASA BIOP SWGs (e.g., Safety, Bayesian, Software Engineering) on shared challenges</w:t>
      </w:r>
    </w:p>
    <w:bookmarkEnd w:id="33"/>
    <w:bookmarkStart w:id="35"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4">
        <w:r>
          <w:rPr>
            <w:rStyle w:val="Hyperlink"/>
          </w:rPr>
          <w:t xml:space="preserve">fchen6@its.jnj.com</w:t>
        </w:r>
      </w:hyperlink>
      <w:r>
        <w:t xml:space="preserve">, visit our website at</w:t>
      </w:r>
      <w:r>
        <w:t xml:space="preserve"> </w:t>
      </w:r>
      <w:hyperlink r:id="rId30">
        <w:r>
          <w:rPr>
            <w:rStyle w:val="Hyperlink"/>
          </w:rPr>
          <w:t xml:space="preserve">efficiencyplustrials.github.io</w:t>
        </w:r>
      </w:hyperlink>
      <w:r>
        <w:t xml:space="preserve">, or find us at any of our upcoming conference sessions. We are building something that we believe can genuinely change how our industry runs clinical trials. The more perspectives we have at the table, the better.</w:t>
      </w:r>
    </w:p>
    <w:bookmarkEnd w:id="35"/>
    <w:bookmarkStart w:id="36" w:name="acknowledgments"/>
    <w:p>
      <w:pPr>
        <w:pStyle w:val="Heading2"/>
      </w:pPr>
      <w:r>
        <w:t xml:space="preserve">Acknowledgments</w:t>
      </w:r>
    </w:p>
    <w:p>
      <w:pPr>
        <w:pStyle w:val="FirstParagraph"/>
      </w:pPr>
      <w:r>
        <w:t xml:space="preserve">The author thanks all members of the </w:t>
      </w:r>
      <w:r>
        <w:rPr>
          <w:color w:val="FF0000"/>
        </w:rPr>
        <w:t>Efficiency+</w:t>
      </w:r>
      <w:r>
        <w:t xml:space="preserve"> Scientific Working Group for their contributions and enthusiasm in the group’s first year. </w:t>
      </w:r>
      <w:r>
        <w:rPr>
          <w:color w:val="FF0000"/>
        </w:rPr>
        <w:t>Efficiency+</w:t>
      </w:r>
      <w:r>
        <w:t xml:space="preserve">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to Kyle Wathen (Cytel) for chairing our ENAR session. Thanks also to the ASA Biopharmaceutical Section for supporting this initiative. We are grateful to each of our member companies for investing their people’s time and expertise in this initiative - </w:t>
      </w:r>
      <w:r>
        <w:rPr>
          <w:color w:val="FF0000"/>
        </w:rPr>
        <w:t>Efficiency+</w:t>
      </w:r>
      <w:r>
        <w:t xml:space="preserve"> exists because our sponsors recognize that improving trial operations is a shared challenge worth solving together. A full list of </w:t>
      </w:r>
      <w:r>
        <w:rPr>
          <w:color w:val="FF0000"/>
        </w:rPr>
        <w:t>Efficiency+</w:t>
      </w:r>
      <w:r>
        <w:t xml:space="preserve"> members and their affiliations can be found on our GitHub repository at</w:t>
      </w:r>
      <w:r>
        <w:t xml:space="preserve"> </w:t>
      </w:r>
      <w:hyperlink r:id="rId31">
        <w:r>
          <w:rPr>
            <w:rStyle w:val="Hyperlink"/>
          </w:rPr>
          <w:t xml:space="preserve">github.com/efficiencyplustrials</w:t>
        </w:r>
      </w:hyperlink>
      <w:r>
        <w:t xml:space="preserve">.</w:t>
      </w:r>
    </w:p>
    <w:bookmarkEnd w:id="36"/>
    <w:bookmarkStart w:id="45" w:name="references"/>
    <w:p>
      <w:pPr>
        <w:pStyle w:val="Heading2"/>
      </w:pPr>
      <w:r>
        <w:t xml:space="preserve">References</w:t>
      </w:r>
    </w:p>
    <w:bookmarkStart w:id="44" w:name="refs"/>
    <w:bookmarkStart w:id="38"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7">
        <w:r>
          <w:rPr>
            <w:rStyle w:val="Hyperlink"/>
          </w:rPr>
          <w:t xml:space="preserve">https://doi.org/10.1007/978-3-030-48555-9_8</w:t>
        </w:r>
      </w:hyperlink>
    </w:p>
    <w:bookmarkEnd w:id="38"/>
    <w:bookmarkStart w:id="39" w:name="ref-efficiencyplus_website"/>
    <w:p>
      <w:pPr>
        <w:pStyle w:val="Bibliography"/>
      </w:pPr>
      <w:r>
        <w:rPr>
          <w:color w:val="FF0000"/>
        </w:rPr>
        <w:t>Efficiency+</w:t>
      </w:r>
      <w:r>
        <w:t xml:space="preserve"> Scientific Working Group. (2025).</w:t>
      </w:r>
      <w:r>
        <w:t xml:space="preserve"> </w:t>
      </w:r>
      <w:r>
        <w:rPr>
          <w:i/>
          <w:iCs/>
          <w:color w:val="FF0000"/>
        </w:rPr>
        <w:t>Efficiency+</w:t>
      </w:r>
      <w:r>
        <w:rPr>
          <w:i/>
          <w:iCs/>
        </w:rPr>
        <w:t>: Enhancing clinical trial operations through advanced statistics</w:t>
      </w:r>
      <w:r>
        <w:t xml:space="preserve">.</w:t>
      </w:r>
      <w:r>
        <w:t xml:space="preserve"> </w:t>
      </w:r>
      <w:hyperlink r:id="rId30">
        <w:r>
          <w:rPr>
            <w:rStyle w:val="Hyperlink"/>
          </w:rPr>
          <w:t xml:space="preserve">https://efficiencyplustrials.github.io/</w:t>
        </w:r>
      </w:hyperlink>
    </w:p>
    <w:bookmarkEnd w:id="39"/>
    <w:bookmarkStart w:id="41"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40">
        <w:r>
          <w:rPr>
            <w:rStyle w:val="Hyperlink"/>
          </w:rPr>
          <w:t xml:space="preserve">https://doi.org/10.1007/s43441-024-00638-1</w:t>
        </w:r>
      </w:hyperlink>
    </w:p>
    <w:bookmarkEnd w:id="41"/>
    <w:bookmarkStart w:id="43"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2">
        <w:r>
          <w:rPr>
            <w:rStyle w:val="Hyperlink"/>
          </w:rPr>
          <w:t xml:space="preserve">https://www.mckinsey.com/industries/life-sciences/our-insights/clinical-supply-chains-how-to-boost-excellence-and-innovation</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2026-04-02T13:39:32Z</dcterms:created>
  <dcterms:modified xsi:type="dcterms:W3CDTF">2026-04-02T13:39:32Z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