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2852" w14:textId="77777777" w:rsidR="006D190B" w:rsidRDefault="00557879">
      <w:pPr>
        <w:pStyle w:val="Title"/>
      </w:pPr>
      <w:r>
        <w:t>Efficiency+: Advancing Clinical Trial Operations through Statistical Innovation</w:t>
      </w:r>
    </w:p>
    <w:p w14:paraId="15D7BAFE" w14:textId="77777777" w:rsidR="006D190B" w:rsidRDefault="00557879">
      <w:pPr>
        <w:pStyle w:val="Subtitle"/>
      </w:pPr>
      <w:r>
        <w:t>ASA Biopharmaceutical Section Distance Learning Webinar</w:t>
      </w:r>
    </w:p>
    <w:p w14:paraId="102D56A7" w14:textId="64C1BAA8" w:rsidR="006D190B" w:rsidRDefault="003B52E6">
      <w:pPr>
        <w:pStyle w:val="FirstParagraph"/>
      </w:pPr>
      <w:r>
        <w:t xml:space="preserve">Most clinical trial statisticians have probably never been asked: </w:t>
      </w:r>
      <w:r>
        <w:rPr>
          <w:i/>
          <w:iCs/>
        </w:rPr>
        <w:t>How many vials of drug should we ship to a site in Brazil next month?</w:t>
      </w:r>
      <w:r>
        <w:t xml:space="preserve"> Or: </w:t>
      </w:r>
      <w:r>
        <w:rPr>
          <w:i/>
          <w:iCs/>
        </w:rPr>
        <w:t>Should we activate five more sites in Japan to stay on track for enrollment?</w:t>
      </w:r>
      <w:r>
        <w:rPr>
          <w:i/>
          <w:iCs/>
        </w:rPr>
        <w:t xml:space="preserve"> </w:t>
      </w:r>
      <w:r>
        <w:t>These are clinical operations questions, but they are fundamentally statistical problems</w:t>
      </w:r>
      <w:r>
        <w:t xml:space="preserve">: </w:t>
      </w:r>
      <w:r w:rsidR="00557879">
        <w:t>delayed enrollment, drug supply waste, underperforming sites</w:t>
      </w:r>
      <w:r>
        <w:t xml:space="preserve">, </w:t>
      </w:r>
      <w:r w:rsidR="0008678B">
        <w:t>and many more</w:t>
      </w:r>
      <w:r w:rsidR="00557879">
        <w:t xml:space="preserve">. Yet statisticians have historically lacked a dedicated community to share methods, compare approaches, and develop best practices in this space. Formed in 2025 under the ASA Biopharmaceutical Section, the </w:t>
      </w:r>
      <w:r w:rsidR="00557879">
        <w:rPr>
          <w:b/>
          <w:bCs/>
        </w:rPr>
        <w:t>Efficiency+ Scientific Working Group (SWG)</w:t>
      </w:r>
      <w:r w:rsidR="00557879">
        <w:t xml:space="preserve"> was created to fill that gap, uniting statisticians, data scientists, and clinical operations professionals from over a dozen pharmaceutical and biotech companies.</w:t>
      </w:r>
    </w:p>
    <w:p w14:paraId="3661F6DF" w14:textId="77777777" w:rsidR="006D190B" w:rsidRDefault="00557879">
      <w:pPr>
        <w:pStyle w:val="BodyText"/>
      </w:pPr>
      <w:r>
        <w:t>In this webinar, Efficiency+ members will provide a comprehensive update on the group’s first year of activities and its vision for the future.</w:t>
      </w:r>
    </w:p>
    <w:p w14:paraId="6748974F" w14:textId="77777777" w:rsidR="006D190B" w:rsidRDefault="00557879">
      <w:pPr>
        <w:pStyle w:val="Heading2"/>
      </w:pPr>
      <w:bookmarkStart w:id="0" w:name="agenda"/>
      <w:r>
        <w:t>Agenda</w:t>
      </w:r>
    </w:p>
    <w:p w14:paraId="66E1AAC8" w14:textId="77777777" w:rsidR="006D190B" w:rsidRDefault="00557879">
      <w:pPr>
        <w:numPr>
          <w:ilvl w:val="0"/>
          <w:numId w:val="2"/>
        </w:numPr>
      </w:pPr>
      <w:r>
        <w:rPr>
          <w:b/>
          <w:bCs/>
        </w:rPr>
        <w:t>Introduction to Efficiency+</w:t>
      </w:r>
      <w:r>
        <w:t xml:space="preserve"> </w:t>
      </w:r>
      <w:r>
        <w:rPr>
          <w:i/>
          <w:iCs/>
        </w:rPr>
        <w:t>(Fei Chen, Johnson &amp; Johnson, 8 min)</w:t>
      </w:r>
      <w:r>
        <w:br/>
        <w:t>Overview of the group’s mission, its four topic workstreams — patient recruitment monitoring and forecasting/site selection, dynamic trial monitoring and data quality, study design and operations impact, and clinical supply chain — and key achievements since the July 2025 kickoff.</w:t>
      </w:r>
    </w:p>
    <w:p w14:paraId="7A61A8DF" w14:textId="77777777" w:rsidR="006D190B" w:rsidRDefault="00557879">
      <w:pPr>
        <w:numPr>
          <w:ilvl w:val="0"/>
          <w:numId w:val="2"/>
        </w:numPr>
      </w:pPr>
      <w:r>
        <w:rPr>
          <w:b/>
          <w:bCs/>
        </w:rPr>
        <w:t>Reading Group Highlights</w:t>
      </w:r>
      <w:r>
        <w:t xml:space="preserve"> </w:t>
      </w:r>
      <w:r>
        <w:rPr>
          <w:i/>
          <w:iCs/>
        </w:rPr>
        <w:t>(Guohui Wu, Regeneron, 8 min)</w:t>
      </w:r>
      <w:r>
        <w:br/>
        <w:t>A tour of recent literature and invited talks covered by the Efficiency+ reading group, highlighting emerging methods and open research questions in clinical trial operations.</w:t>
      </w:r>
    </w:p>
    <w:p w14:paraId="0F987AA3" w14:textId="77777777" w:rsidR="006D190B" w:rsidRDefault="00557879">
      <w:pPr>
        <w:numPr>
          <w:ilvl w:val="0"/>
          <w:numId w:val="2"/>
        </w:numPr>
      </w:pPr>
      <w:r>
        <w:rPr>
          <w:b/>
          <w:bCs/>
        </w:rPr>
        <w:t>Workstream Reports</w:t>
      </w:r>
      <w:r>
        <w:t xml:space="preserve"> </w:t>
      </w:r>
      <w:r>
        <w:rPr>
          <w:i/>
          <w:iCs/>
        </w:rPr>
        <w:t>(Workstream leads, 8 min each)</w:t>
      </w:r>
      <w:r>
        <w:br/>
        <w:t>Each of the four topic sub-team leads will report on their workstream’s activities, ongoing research, and planned deliverables — including progress toward a special journal issue and a shared clinical trial simulation engine:</w:t>
      </w:r>
    </w:p>
    <w:p w14:paraId="67A569FF" w14:textId="77777777" w:rsidR="006D190B" w:rsidRDefault="00557879">
      <w:pPr>
        <w:pStyle w:val="Compact"/>
        <w:numPr>
          <w:ilvl w:val="1"/>
          <w:numId w:val="3"/>
        </w:numPr>
      </w:pPr>
      <w:r>
        <w:rPr>
          <w:b/>
          <w:bCs/>
        </w:rPr>
        <w:t>Patient Recruitment Monitoring &amp; Forecasting / Site Selection</w:t>
      </w:r>
      <w:r>
        <w:t xml:space="preserve"> — Clara Cali Mella (Bayer) &amp; Vlad Anisimov (Amgen)</w:t>
      </w:r>
    </w:p>
    <w:p w14:paraId="4FE050F9" w14:textId="77777777" w:rsidR="006D190B" w:rsidRDefault="00557879">
      <w:pPr>
        <w:pStyle w:val="Compact"/>
        <w:numPr>
          <w:ilvl w:val="1"/>
          <w:numId w:val="3"/>
        </w:numPr>
      </w:pPr>
      <w:r>
        <w:rPr>
          <w:b/>
          <w:bCs/>
        </w:rPr>
        <w:t>Dynamic Trial Monitoring and Data Quality</w:t>
      </w:r>
      <w:r>
        <w:t xml:space="preserve"> — Palanikumar Ravindran (BMS)</w:t>
      </w:r>
    </w:p>
    <w:p w14:paraId="6B8F4B87" w14:textId="77777777" w:rsidR="006D190B" w:rsidRDefault="00557879">
      <w:pPr>
        <w:pStyle w:val="Compact"/>
        <w:numPr>
          <w:ilvl w:val="1"/>
          <w:numId w:val="3"/>
        </w:numPr>
      </w:pPr>
      <w:r>
        <w:rPr>
          <w:b/>
          <w:bCs/>
        </w:rPr>
        <w:t>Study Design and Operations Impact</w:t>
      </w:r>
      <w:r>
        <w:t xml:space="preserve"> — Dooti Roy (Boehringer Ingelheim)</w:t>
      </w:r>
    </w:p>
    <w:p w14:paraId="73516989" w14:textId="77777777" w:rsidR="006D190B" w:rsidRDefault="00557879">
      <w:pPr>
        <w:pStyle w:val="Compact"/>
        <w:numPr>
          <w:ilvl w:val="1"/>
          <w:numId w:val="3"/>
        </w:numPr>
      </w:pPr>
      <w:r>
        <w:rPr>
          <w:b/>
          <w:bCs/>
        </w:rPr>
        <w:t>Clinical Supply Chain</w:t>
      </w:r>
      <w:r>
        <w:t xml:space="preserve"> — Christi Kleoudis (AstraZeneca)</w:t>
      </w:r>
    </w:p>
    <w:p w14:paraId="154A9167" w14:textId="77777777" w:rsidR="006D190B" w:rsidRDefault="00557879">
      <w:pPr>
        <w:numPr>
          <w:ilvl w:val="0"/>
          <w:numId w:val="2"/>
        </w:numPr>
      </w:pPr>
      <w:r>
        <w:rPr>
          <w:b/>
          <w:bCs/>
        </w:rPr>
        <w:t>Community and Outreach</w:t>
      </w:r>
      <w:r>
        <w:t xml:space="preserve"> </w:t>
      </w:r>
      <w:r>
        <w:rPr>
          <w:i/>
          <w:iCs/>
        </w:rPr>
        <w:t>(Leanne Goldstein, Amgen)</w:t>
      </w:r>
      <w:r>
        <w:br/>
        <w:t xml:space="preserve">Social media engagement, conference presence for the remainder of 2026 and into </w:t>
      </w:r>
      <w:r>
        <w:lastRenderedPageBreak/>
        <w:t>2027 (IBC, JSM, RISW, SCOPE Europe), website and GitHub resources, and how to get involved.</w:t>
      </w:r>
    </w:p>
    <w:p w14:paraId="68B8CDCB" w14:textId="77777777" w:rsidR="006D190B" w:rsidRDefault="00557879">
      <w:pPr>
        <w:pStyle w:val="FirstParagraph"/>
      </w:pPr>
      <w:r>
        <w:t>Attendees will leave with a clear picture of the state of statistical innovation in clinical trial operations and opportunities to contribute to or benefit from this growing community.</w:t>
      </w:r>
    </w:p>
    <w:p w14:paraId="14BBD97D" w14:textId="77777777" w:rsidR="006D190B" w:rsidRDefault="00557879">
      <w:r>
        <w:pict w14:anchorId="7D9A6D64">
          <v:rect id="_x0000_i1025" style="width:0;height:1.5pt" o:hralign="center" o:hrstd="t" o:hr="t"/>
        </w:pict>
      </w:r>
    </w:p>
    <w:p w14:paraId="059343BD" w14:textId="77777777" w:rsidR="006D190B" w:rsidRDefault="00557879">
      <w:pPr>
        <w:pStyle w:val="FirstParagraph"/>
      </w:pPr>
      <w:r>
        <w:rPr>
          <w:b/>
          <w:bCs/>
        </w:rPr>
        <w:t>Target Audience:</w:t>
      </w:r>
      <w:r>
        <w:t xml:space="preserve"> Statisticians, data scientists, and clinical operations professionals with interest in enrollment forecasting, site selection, trial monitoring, adaptive/platform trial design, or clinical supply chain optimization.</w:t>
      </w:r>
      <w:bookmarkEnd w:id="0"/>
    </w:p>
    <w:sectPr w:rsidR="006D19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C864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CC35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CE4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87929096">
    <w:abstractNumId w:val="0"/>
  </w:num>
  <w:num w:numId="2" w16cid:durableId="13258592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365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90B"/>
    <w:rsid w:val="0008678B"/>
    <w:rsid w:val="003B52E6"/>
    <w:rsid w:val="00557879"/>
    <w:rsid w:val="005E1733"/>
    <w:rsid w:val="006D190B"/>
    <w:rsid w:val="00D2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0663C"/>
  <w15:docId w15:val="{25CB954B-4310-46D5-9A27-F5668547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397</Words>
  <Characters>2491</Characters>
  <Application>Microsoft Office Word</Application>
  <DocSecurity>0</DocSecurity>
  <Lines>40</Lines>
  <Paragraphs>15</Paragraphs>
  <ScaleCrop>false</ScaleCrop>
  <Company>JNJ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Efficiency+: Advancing Clinical Trial Operations through Statistical Innovation</dc:title>
  <dc:creator>Chen, Fei [JRDUS]</dc:creator>
  <cp:keywords/>
  <cp:lastModifiedBy>Chen, Fei [JRDUS]</cp:lastModifiedBy>
  <cp:revision>2</cp:revision>
  <dcterms:created xsi:type="dcterms:W3CDTF">2026-06-19T15:36:00Z</dcterms:created>
  <dcterms:modified xsi:type="dcterms:W3CDTF">2026-06-19T15:36:00Z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ASA Biopharmaceutical Section Distance Learning Webinar</vt:lpwstr>
  </property>
  <property fmtid="{D5CDD505-2E9C-101B-9397-08002B2CF9AE}" pid="9" name="toc-title">
    <vt:lpwstr>Table of contents</vt:lpwstr>
  </property>
</Properties>
</file>