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bookmarkStart w:id="20" w:name="X0638d9fe13537368e9017707d49a40cb9515584"/>
    <w:p>
      <w:pPr>
        <w:pStyle w:val="Heading2"/>
      </w:pPr>
      <w:r>
        <w:t xml:space="preserve">Why Clinical Trial Operations Needs Statisticians</w:t>
      </w:r>
    </w:p>
    <w:p>
      <w:pPr>
        <w:pStyle w:val="FirstParagraph"/>
      </w:pPr>
      <w:r>
        <w:t xml:space="preserve">Here is a question that most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rules of thumb, spreadsheets, and gut instinct. The result? sites are selected based on relationships rather than data; more than half of clinical trials globally fail to enroll on time, leading to costly extensions and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operational inefficiencies. That is why we started</w:t>
      </w:r>
      <w:r>
        <w:t xml:space="preserve"> </w:t>
      </w:r>
      <w:r>
        <w:rPr>
          <w:b/>
          <w:bCs/>
        </w:rPr>
        <w:t xml:space="preserve">Efficiency+</w:t>
      </w:r>
      <w:r>
        <w:t xml:space="preserve">.</w:t>
      </w:r>
    </w:p>
    <w:bookmarkEnd w:id="20"/>
    <w:bookmarkStart w:id="21"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Efficiency+ to be different from a typical methods-focused working group. Our scope is deliberately cross-functional. We care about the intersection of statistics with clinical operations, drug supply, regulatory planning, and data management. The</w:t>
      </w:r>
      <w:r>
        <w:t xml:space="preserve"> </w:t>
      </w:r>
      <w:r>
        <w:t xml:space="preserve">“+”</w:t>
      </w:r>
      <w:r>
        <w:t xml:space="preserve"> </w:t>
      </w:r>
      <w:r>
        <w:t xml:space="preserve">in our name reflects the statisticians plus the collaborators and domains we need to work with to move the needle.</w:t>
      </w:r>
    </w:p>
    <w:bookmarkEnd w:id="21"/>
    <w:bookmarkStart w:id="22"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2"/>
    <w:bookmarkStart w:id="23" w:name="workstreams"/>
    <w:p>
      <w:pPr>
        <w:pStyle w:val="Heading2"/>
      </w:pPr>
      <w:r>
        <w:t xml:space="preserve">Workstreams</w:t>
      </w:r>
    </w:p>
    <w:p>
      <w:pPr>
        <w:pStyle w:val="FirstParagraph"/>
      </w:pPr>
      <w:r>
        <w:t xml:space="preserve">After our kickoff, we surveyed members to identify the most pressing topics. The results were clear and four focus areas emerged. We then organized our group into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2020)</w:t>
      </w:r>
      <w:r>
        <w:t xml:space="preserve"> </w:t>
      </w:r>
      <w:r>
        <w:t xml:space="preserve">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per program.</w:t>
      </w:r>
    </w:p>
    <w:bookmarkEnd w:id="23"/>
    <w:bookmarkStart w:id="24"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Beonemed, Boehringer Ingelheim, BMS, Cytel, Johnson &amp; Johnson, Eli Lilly, Regeneron, and Sanofi. Our membership comprises statisticians, data scientists, and clinical operations professionals, exactly the kind of cross-functional mix needed to make real progress.</w:t>
      </w:r>
    </w:p>
    <w:bookmarkEnd w:id="24"/>
    <w:bookmarkStart w:id="25"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audience, and the conversations are just beginning! We have more sessions coming this year:</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MD)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Compact"/>
        <w:numPr>
          <w:ilvl w:val="0"/>
          <w:numId w:val="1001"/>
        </w:numPr>
      </w:pPr>
      <w:r>
        <w:rPr>
          <w:b/>
          <w:bCs/>
        </w:rPr>
        <w:t xml:space="preserve">SLDS 2026</w:t>
      </w:r>
      <w:r>
        <w:t xml:space="preserve"> </w:t>
      </w:r>
      <w:r>
        <w:t xml:space="preserve">(November, Brooklyn, NY) - Invited presentation at the ASA Statistical Learning and Data Science conference, showcasing our AI-enabled specification-driven simulation approach</w:t>
      </w:r>
    </w:p>
    <w:p>
      <w:pPr>
        <w:pStyle w:val="FirstParagraph"/>
      </w:pPr>
      <w:r>
        <w:rPr>
          <w:b/>
          <w:bCs/>
        </w:rPr>
        <w:t xml:space="preserve">Simulation Tools.</w:t>
      </w:r>
      <w:r>
        <w:t xml:space="preserve"> </w:t>
      </w:r>
      <w:r>
        <w:t xml:space="preserve">We have been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lets methodology experts contribute without needing to write code themselves,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a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5"/>
    <w:bookmarkStart w:id="30"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X (Twitter)</w:t>
      </w:r>
      <w:r>
        <w:t xml:space="preserve">: Follow us at</w:t>
      </w:r>
      <w:r>
        <w:t xml:space="preserve"> </w:t>
      </w:r>
      <w:r>
        <w:rPr>
          <w:b/>
          <w:bCs/>
        </w:rPr>
        <w:t xml:space="preserve">@efficiencyplus</w:t>
      </w:r>
      <w:r>
        <w:t xml:space="preserve"> </w:t>
      </w:r>
      <w:r>
        <w:t xml:space="preserve">(</w:t>
      </w:r>
      <w:hyperlink r:id="rId26">
        <w:r>
          <w:rPr>
            <w:rStyle w:val="Hyperlink"/>
          </w:rPr>
          <w:t xml:space="preserve">x.com/efficiencyplus</w:t>
        </w:r>
      </w:hyperlink>
      <w:r>
        <w:t xml:space="preserve">) for session highlights, working group milestones, and new publications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7">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28">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29">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0"/>
    <w:bookmarkStart w:id="31"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Cross-working-group collaboration</w:t>
      </w:r>
      <w:r>
        <w:t xml:space="preserve"> </w:t>
      </w:r>
      <w:r>
        <w:t xml:space="preserve">- working with other ASA BIOP SWGs (e.g., Safety, Bayesian, Software Engineering) on shared challenges</w:t>
      </w:r>
    </w:p>
    <w:bookmarkEnd w:id="31"/>
    <w:bookmarkStart w:id="33"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2">
        <w:r>
          <w:rPr>
            <w:rStyle w:val="Hyperlink"/>
          </w:rPr>
          <w:t xml:space="preserve">fchen6@its.jnj.com</w:t>
        </w:r>
      </w:hyperlink>
      <w:r>
        <w:t xml:space="preserve">, visit our website at</w:t>
      </w:r>
      <w:r>
        <w:t xml:space="preserve"> </w:t>
      </w:r>
      <w:hyperlink r:id="rId28">
        <w:r>
          <w:rPr>
            <w:rStyle w:val="Hyperlink"/>
          </w:rPr>
          <w:t xml:space="preserve">efficiencyplustrials.github.io</w:t>
        </w:r>
      </w:hyperlink>
      <w:r>
        <w:t xml:space="preserve">, or find us at any of our upcoming conference sessions. We are building something that we think can genuinely change how our industry runs clinical trials. The more perspectives we have at the table, the better.</w:t>
      </w:r>
    </w:p>
    <w:bookmarkEnd w:id="33"/>
    <w:bookmarkStart w:id="34"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communication leads, Crystal Shaw and Leanne Goldstein (Amgen), for building our presence on LinkedIn and X; and to Kyle Wathen (Cytel) for chairing our ENAR session. Thanks also to the ASA Biopharmaceutical Section for supporting this initiative. We are grateful to each of our member companies for investing their people’s time and expertise in this initiative - Efficiency+ exists because our sponsors recognize that improving trial operations is a shared challenge worth solving together. A full list of Efficiency+ members and their affiliations can be found on our GitHub repository at</w:t>
      </w:r>
      <w:r>
        <w:t xml:space="preserve"> </w:t>
      </w:r>
      <w:hyperlink r:id="rId29">
        <w:r>
          <w:rPr>
            <w:rStyle w:val="Hyperlink"/>
          </w:rPr>
          <w:t xml:space="preserve">github.com/efficiencyplustrials</w:t>
        </w:r>
      </w:hyperlink>
      <w:r>
        <w:t xml:space="preserve">.</w:t>
      </w:r>
    </w:p>
    <w:bookmarkEnd w:id="34"/>
    <w:bookmarkStart w:id="43" w:name="references"/>
    <w:p>
      <w:pPr>
        <w:pStyle w:val="Heading2"/>
      </w:pPr>
      <w:r>
        <w:t xml:space="preserve">References</w:t>
      </w:r>
    </w:p>
    <w:bookmarkStart w:id="42" w:name="refs"/>
    <w:bookmarkStart w:id="36" w:name="ref-anisimov2020"/>
    <w:p>
      <w:pPr>
        <w:pStyle w:val="Bibliography"/>
      </w:pPr>
      <w:r>
        <w:t xml:space="preserve">Anisimov, V. (2020). Modern analytic techniques for predictive modeling of clinical trial operations. In O. Marchenko &amp; N. Katenka (Eds.),</w:t>
      </w:r>
      <w:r>
        <w:t xml:space="preserve"> </w:t>
      </w:r>
      <w:r>
        <w:rPr>
          <w:i/>
          <w:iCs/>
        </w:rPr>
        <w:t xml:space="preserve">Quantitative methods in pharmaceutical research and development</w:t>
      </w:r>
      <w:r>
        <w:t xml:space="preserve"> </w:t>
      </w:r>
      <w:r>
        <w:t xml:space="preserve">(pp. 361–408). Springer.</w:t>
      </w:r>
      <w:r>
        <w:t xml:space="preserve"> </w:t>
      </w:r>
      <w:hyperlink r:id="rId35">
        <w:r>
          <w:rPr>
            <w:rStyle w:val="Hyperlink"/>
          </w:rPr>
          <w:t xml:space="preserve">https://doi.org/10.1007/978-3-030-48555-9_8</w:t>
        </w:r>
      </w:hyperlink>
    </w:p>
    <w:bookmarkEnd w:id="36"/>
    <w:bookmarkStart w:id="37"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28">
        <w:r>
          <w:rPr>
            <w:rStyle w:val="Hyperlink"/>
          </w:rPr>
          <w:t xml:space="preserve">https://efficiencyplustrials.github.io/</w:t>
        </w:r>
      </w:hyperlink>
    </w:p>
    <w:bookmarkEnd w:id="37"/>
    <w:bookmarkStart w:id="39"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38">
        <w:r>
          <w:rPr>
            <w:rStyle w:val="Hyperlink"/>
          </w:rPr>
          <w:t xml:space="preserve">https://doi.org/10.1007/s43441-024-00638-1</w:t>
        </w:r>
      </w:hyperlink>
    </w:p>
    <w:bookmarkEnd w:id="39"/>
    <w:bookmarkStart w:id="41"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40">
        <w:r>
          <w:rPr>
            <w:rStyle w:val="Hyperlink"/>
          </w:rPr>
          <w:t xml:space="preserve">https://www.mckinsey.com/industries/life-sciences/our-insights/clinical-supply-chains-how-to-boost-excellence-and-innovation</w:t>
        </w:r>
      </w:hyperlink>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doi.org/10.1007/978-3-030-48555-9_8" TargetMode="External" /><Relationship Type="http://schemas.openxmlformats.org/officeDocument/2006/relationships/hyperlink" Id="rId38" Target="https://doi.org/10.1007/s43441-024-00638-1" TargetMode="External" /><Relationship Type="http://schemas.openxmlformats.org/officeDocument/2006/relationships/hyperlink" Id="rId28"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27" Target="https://www.linkedin.com/company/efficiency-plus-trials" TargetMode="External" /><Relationship Type="http://schemas.openxmlformats.org/officeDocument/2006/relationships/hyperlink" Id="rId40" Target="https://www.mckinsey.com/industries/life-sciences/our-insights/clinical-supply-chains-how-to-boost-excellence-and-innovation" TargetMode="External" /><Relationship Type="http://schemas.openxmlformats.org/officeDocument/2006/relationships/hyperlink" Id="rId26" Target="https://x.com/efficiencyplus" TargetMode="External" /><Relationship Type="http://schemas.openxmlformats.org/officeDocument/2006/relationships/hyperlink" Id="rId32"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07/978-3-030-48555-9_8" TargetMode="External" /><Relationship Type="http://schemas.openxmlformats.org/officeDocument/2006/relationships/hyperlink" Id="rId38" Target="https://doi.org/10.1007/s43441-024-00638-1" TargetMode="External" /><Relationship Type="http://schemas.openxmlformats.org/officeDocument/2006/relationships/hyperlink" Id="rId28"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27" Target="https://www.linkedin.com/company/efficiency-plus-trials" TargetMode="External" /><Relationship Type="http://schemas.openxmlformats.org/officeDocument/2006/relationships/hyperlink" Id="rId40" Target="https://www.mckinsey.com/industries/life-sciences/our-insights/clinical-supply-chains-how-to-boost-excellence-and-innovation" TargetMode="External" /><Relationship Type="http://schemas.openxmlformats.org/officeDocument/2006/relationships/hyperlink" Id="rId26" Target="https://x.com/efficiencyplus" TargetMode="External" /><Relationship Type="http://schemas.openxmlformats.org/officeDocument/2006/relationships/hyperlink" Id="rId32"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2026-03-27T16:12:41Z</dcterms:created>
  <dcterms:modified xsi:type="dcterms:W3CDTF">2026-03-27T16:12:41Z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