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The result? sites are selected based on relationships rather than data;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social media team, Crystal Shaw and Leanne Goldstein (Amgen), for leading our presence on LinkedIn and X;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1" w:name="references"/>
    <w:p>
      <w:pPr>
        <w:pStyle w:val="Heading2"/>
      </w:pPr>
      <w:r>
        <w:t xml:space="preserve">References</w:t>
      </w:r>
    </w:p>
    <w:bookmarkStart w:id="40" w:name="refs"/>
    <w:bookmarkStart w:id="35"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5"/>
    <w:bookmarkStart w:id="37"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6">
        <w:r>
          <w:rPr>
            <w:rStyle w:val="Hyperlink"/>
          </w:rPr>
          <w:t xml:space="preserve">https://doi.org/10.1007/s43441-024-00638-1</w:t>
        </w:r>
      </w:hyperlink>
    </w:p>
    <w:bookmarkEnd w:id="37"/>
    <w:bookmarkStart w:id="39"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38">
        <w:r>
          <w:rPr>
            <w:rStyle w:val="Hyperlink"/>
          </w:rPr>
          <w:t xml:space="preserve">https://www.mckinsey.com/industries/life-sciences/our-insights/clinical-supply-chains-how-to-boost-excellence-and-innovation</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2026-03-27T15:40:40Z</dcterms:created>
  <dcterms:modified xsi:type="dcterms:W3CDTF">2026-03-27T15:40:40Z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