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historical familiarity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 Medicines, Boehringer Ingelheim, Bristol-Myers Squibb,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SCT 2026</w:t>
      </w:r>
      <w:r>
        <w:t xml:space="preserve"> </w:t>
      </w:r>
      <w:r>
        <w:t xml:space="preserve">(May, Phoenix) - Cyrus Hoseyni, VP, Global Head of Quantitative Science and Clinical Pharmacology at Johnson &amp; Johnson Innovative Medicine, will deliver a keynote address that highlights Efficiency+ as part of a broader vision for statistical innovation in clinical trial operations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MCMC forecasting.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2026-04-02T20:47:31Z</dcterms:created>
  <dcterms:modified xsi:type="dcterms:W3CDTF">2026-04-02T20:47:31Z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