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AI-Enabled Risk Signal Detection and Response Frameworks for Dynamic Trial Monitoring: A Cross-Industry Perspective</w:t>
      </w:r>
    </w:p>
    <w:p w:rsidR="00000000" w:rsidDel="00000000" w:rsidP="00000000" w:rsidRDefault="00000000" w:rsidRPr="00000000" w14:paraId="00000002">
      <w:pPr>
        <w:rPr/>
      </w:pPr>
      <w:r w:rsidDel="00000000" w:rsidR="00000000" w:rsidRPr="00000000">
        <w:rPr>
          <w:b w:val="1"/>
          <w:bCs w:val="1"/>
          <w:rtl w:val="0"/>
        </w:rPr>
        <w:t xml:space="preserve">Authors:</w:t>
      </w:r>
      <w:r w:rsidDel="00000000" w:rsidR="00000000" w:rsidRPr="00000000">
        <w:rPr>
          <w:rtl w:val="0"/>
        </w:rPr>
        <w:t xml:space="preserve"> Dynamic Trial Monitoring Subgroup of EFFICIENCY+: Enhancing Clinical Trial Operations through Advanced Statistics</w:t>
      </w:r>
    </w:p>
    <w:p w:rsidR="00000000" w:rsidDel="00000000" w:rsidP="00000000" w:rsidRDefault="00000000" w:rsidRPr="00000000" w14:paraId="00000003">
      <w:pPr>
        <w:rPr/>
      </w:pPr>
      <w:r w:rsidDel="00000000" w:rsidR="00000000" w:rsidRPr="00000000">
        <w:rPr>
          <w:rtl w:val="0"/>
        </w:rPr>
        <w:t xml:space="preserve">Author List</w:t>
      </w:r>
    </w:p>
    <w:p w:rsidR="00000000" w:rsidDel="00000000" w:rsidP="00000000" w:rsidRDefault="00000000" w:rsidRPr="00000000" w14:paraId="00000004">
      <w:pPr>
        <w:rPr/>
      </w:pPr>
      <w:r w:rsidDel="00000000" w:rsidR="00000000" w:rsidRPr="00000000">
        <w:rPr>
          <w:vertAlign w:val="superscript"/>
          <w:rtl w:val="0"/>
        </w:rPr>
        <w:t xml:space="preserve">1–8</w:t>
      </w:r>
      <w:r w:rsidDel="00000000" w:rsidR="00000000" w:rsidRPr="00000000">
        <w:rPr>
          <w:rtl w:val="0"/>
        </w:rPr>
        <w:t xml:space="preserve"> Representing multiple pharmaceutical organizations within the EFFICIENCY+ cross-industry initiative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Volunteer:</w:t>
      </w:r>
    </w:p>
    <w:p w:rsidR="00000000" w:rsidDel="00000000" w:rsidP="00000000" w:rsidRDefault="00000000" w:rsidRPr="00000000" w14:paraId="0000000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Bochao - Add details to Signal to action</w:t>
      </w:r>
    </w:p>
    <w:p w:rsidR="00000000" w:rsidDel="00000000" w:rsidP="00000000" w:rsidRDefault="00000000" w:rsidRPr="00000000" w14:paraId="00000008">
      <w:pPr>
        <w:rPr>
          <w:b w:val="1"/>
          <w:bCs w:val="1"/>
        </w:rPr>
      </w:pPr>
      <w:r w:rsidDel="00000000" w:rsidR="00000000" w:rsidRPr="00000000">
        <w:rPr>
          <w:b w:val="1"/>
          <w:bCs w:val="1"/>
          <w:rtl w:val="0"/>
        </w:rPr>
        <w:t xml:space="preserve">Outline</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Abstract</w:t>
      </w:r>
    </w:p>
    <w:p w:rsidR="00000000" w:rsidDel="00000000" w:rsidP="00000000" w:rsidRDefault="00000000" w:rsidRPr="00000000" w14:paraId="0000000C">
      <w:pPr>
        <w:rPr/>
      </w:pPr>
      <w:r w:rsidDel="00000000" w:rsidR="00000000" w:rsidRPr="00000000">
        <w:rPr>
          <w:b w:val="1"/>
          <w:bCs w:val="1"/>
          <w:rtl w:val="0"/>
        </w:rPr>
        <w:t xml:space="preserve">Background:</w:t>
      </w:r>
      <w:r w:rsidDel="00000000" w:rsidR="00000000" w:rsidRPr="00000000">
        <w:rPr>
          <w:rtl w:val="0"/>
        </w:rPr>
        <w:t xml:space="preserve"> The increasing complexity of global clinical trials—characterized by larger study populations, geographically dispersed sites, diverse data sources, and evolving regulatory expectations—demands monitoring approaches that go beyond traditional, labor-intensive on-site source data verification (SDV). Risk-based monitoring (RBM) and centralized statistical monitoring (CSM) have gained regulatory endorsement as more efficient and effective paradigms for ensuring patient safety and data integrity. However, a critical gap remains: while methods for </w:t>
      </w:r>
      <w:r w:rsidDel="00000000" w:rsidR="00000000" w:rsidRPr="00000000">
        <w:rPr>
          <w:i w:val="1"/>
          <w:iCs w:val="1"/>
          <w:rtl w:val="0"/>
        </w:rPr>
        <w:t xml:space="preserve">detecting</w:t>
      </w:r>
      <w:r w:rsidDel="00000000" w:rsidR="00000000" w:rsidRPr="00000000">
        <w:rPr>
          <w:rtl w:val="0"/>
        </w:rPr>
        <w:t xml:space="preserve"> risk signals are well described in the literature, standardized frameworks for </w:t>
      </w:r>
      <w:r w:rsidDel="00000000" w:rsidR="00000000" w:rsidRPr="00000000">
        <w:rPr>
          <w:i w:val="1"/>
          <w:iCs w:val="1"/>
          <w:rtl w:val="0"/>
        </w:rPr>
        <w:t xml:space="preserve">responding</w:t>
      </w:r>
      <w:r w:rsidDel="00000000" w:rsidR="00000000" w:rsidRPr="00000000">
        <w:rPr>
          <w:rtl w:val="0"/>
        </w:rPr>
        <w:t xml:space="preserve"> to those signals are largely absent.</w:t>
      </w:r>
    </w:p>
    <w:p w:rsidR="00000000" w:rsidDel="00000000" w:rsidP="00000000" w:rsidRDefault="00000000" w:rsidRPr="00000000" w14:paraId="0000000D">
      <w:pPr>
        <w:rPr/>
      </w:pPr>
      <w:r w:rsidDel="00000000" w:rsidR="00000000" w:rsidRPr="00000000">
        <w:rPr>
          <w:b w:val="1"/>
          <w:bCs w:val="1"/>
          <w:rtl w:val="0"/>
        </w:rPr>
        <w:t xml:space="preserve">Objective:</w:t>
      </w:r>
      <w:r w:rsidDel="00000000" w:rsidR="00000000" w:rsidRPr="00000000">
        <w:rPr>
          <w:rtl w:val="0"/>
        </w:rPr>
        <w:t xml:space="preserve"> This paper, authored by the Dynamic Trial Monitoring subgroup of the cross-industry EFFICIENCY+ initiative, presents a comprehensive framework for (1) risk signal detection at study, site, and patient levels; (2) best-practice response pathways following risk identification; and (3) practical guidance for establishing and operationalizing monitoring frameworks, including the role of artificial intelligence and machine learning (AI/ML). We draw on collective experience across multiple pharmaceutical companies, published case studies, and current regulatory guidance—including the recently finalized ICH E6(R3)—to offer actionable recommendations for the industry.</w:t>
      </w:r>
    </w:p>
    <w:p w:rsidR="00000000" w:rsidDel="00000000" w:rsidP="00000000" w:rsidRDefault="00000000" w:rsidRPr="00000000" w14:paraId="0000000E">
      <w:pPr>
        <w:rPr/>
      </w:pPr>
      <w:r w:rsidDel="00000000" w:rsidR="00000000" w:rsidRPr="00000000">
        <w:rPr>
          <w:b w:val="1"/>
          <w:bCs w:val="1"/>
          <w:rtl w:val="0"/>
        </w:rPr>
        <w:t xml:space="preserve">Methods:</w:t>
      </w:r>
      <w:r w:rsidDel="00000000" w:rsidR="00000000" w:rsidRPr="00000000">
        <w:rPr>
          <w:rtl w:val="0"/>
        </w:rPr>
        <w:t xml:space="preserve"> We synthesize published methodologies for quality tolerance limits (QTLs), key risk indicators (KRIs), and statistical anomaly detection with practical operational experience from member companies. We present a tiered risk classification system, decision pathways linking signal detection to proportionate action, and considerations for implementing commercial and in-house monitoring tools.</w:t>
      </w:r>
    </w:p>
    <w:p w:rsidR="00000000" w:rsidDel="00000000" w:rsidP="00000000" w:rsidRDefault="00000000" w:rsidRPr="00000000" w14:paraId="0000000F">
      <w:pPr>
        <w:rPr/>
      </w:pPr>
      <w:r w:rsidDel="00000000" w:rsidR="00000000" w:rsidRPr="00000000">
        <w:rPr>
          <w:b w:val="1"/>
          <w:bCs w:val="1"/>
          <w:rtl w:val="0"/>
        </w:rPr>
        <w:t xml:space="preserve">Results:</w:t>
      </w:r>
      <w:r w:rsidDel="00000000" w:rsidR="00000000" w:rsidRPr="00000000">
        <w:rPr>
          <w:rtl w:val="0"/>
        </w:rPr>
        <w:t xml:space="preserve"> We propose an integrated monitoring framework comprising three tiers: (1) study-level </w:t>
      </w:r>
      <w:sdt>
        <w:sdtPr>
          <w:id w:val="-28868927"/>
          <w:tag w:val="goog_rdk_0"/>
        </w:sdtPr>
        <w:sdtContent>
          <w:commentRangeStart w:id="0"/>
        </w:sdtContent>
      </w:sdt>
      <w:r w:rsidDel="00000000" w:rsidR="00000000" w:rsidRPr="00000000">
        <w:rPr>
          <w:rtl w:val="0"/>
        </w:rPr>
        <w:t xml:space="preserve">QTL</w:t>
      </w:r>
      <w:commentRangeEnd w:id="0"/>
      <w:r w:rsidDel="00000000" w:rsidR="00000000" w:rsidRPr="00000000">
        <w:commentReference w:id="0"/>
      </w:r>
      <w:r w:rsidDel="00000000" w:rsidR="00000000" w:rsidRPr="00000000">
        <w:rPr>
          <w:rtl w:val="0"/>
        </w:rPr>
        <w:t xml:space="preserve"> monitoring for systemic quality oversight, (2) site-level KRI-based monitoring for operational risk, and (3) site- and patient-level anomaly detection for data-driven identification of misconduct, sloppiness, or systematic errors. For each tier, we outline specific response frameworks, roles and responsibilities, and escalation pathways. We further discuss the role of AI/ML in pattern recognition across historical trials, predictive dropout modeling, enrollment forecasting, and the limitations of current AI approaches.</w:t>
      </w:r>
    </w:p>
    <w:p w:rsidR="00000000" w:rsidDel="00000000" w:rsidP="00000000" w:rsidRDefault="00000000" w:rsidRPr="00000000" w14:paraId="00000010">
      <w:pPr>
        <w:rPr/>
      </w:pPr>
      <w:r w:rsidDel="00000000" w:rsidR="00000000" w:rsidRPr="00000000">
        <w:rPr>
          <w:b w:val="1"/>
          <w:bCs w:val="1"/>
          <w:rtl w:val="0"/>
        </w:rPr>
        <w:t xml:space="preserve">Conclusions:</w:t>
      </w:r>
      <w:r w:rsidDel="00000000" w:rsidR="00000000" w:rsidRPr="00000000">
        <w:rPr>
          <w:rtl w:val="0"/>
        </w:rPr>
        <w:t xml:space="preserve"> Effective dynamic trial monitoring requires not only robust detection methodologies but also structured, cross-functional action frameworks that translate signals into timely, proportionate interventions. The integration of AI/ML holds promise for improving detection sensitivity and operational efficiency, though challenges around training data availability, model interpretability, and regulatory acceptance remain. Cross-industry collaboration, such as the EFFICIENCY+ initiative, is essential to standardize best practices and share lessons learned.</w:t>
      </w:r>
    </w:p>
    <w:p w:rsidR="00000000" w:rsidDel="00000000" w:rsidP="00000000" w:rsidRDefault="00000000" w:rsidRPr="00000000" w14:paraId="00000011">
      <w:pPr>
        <w:rPr/>
      </w:pPr>
      <w:r w:rsidDel="00000000" w:rsidR="00000000" w:rsidRPr="00000000">
        <w:rPr>
          <w:b w:val="1"/>
          <w:bCs w:val="1"/>
          <w:rtl w:val="0"/>
        </w:rPr>
        <w:t xml:space="preserve">Keywords:</w:t>
      </w:r>
      <w:r w:rsidDel="00000000" w:rsidR="00000000" w:rsidRPr="00000000">
        <w:rPr>
          <w:rtl w:val="0"/>
        </w:rPr>
        <w:t xml:space="preserve"> risk-based monitoring, central statistical monitoring, key risk indicators, quality tolerance limits, anomaly detection, AI/ML, clinical trial oversight, ICH E6(R3), cross-industry collaboration</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14">
      <w:pPr>
        <w:rPr>
          <w:b w:val="1"/>
          <w:bCs w:val="1"/>
        </w:rPr>
      </w:pPr>
      <w:r w:rsidDel="00000000" w:rsidR="00000000" w:rsidRPr="00000000">
        <w:rPr>
          <w:b w:val="1"/>
          <w:bCs w:val="1"/>
          <w:rtl w:val="0"/>
        </w:rPr>
        <w:t xml:space="preserve">1.1 The Growing Complexity of Clinical Trials</w:t>
      </w:r>
    </w:p>
    <w:p w:rsidR="00000000" w:rsidDel="00000000" w:rsidP="00000000" w:rsidRDefault="00000000" w:rsidRPr="00000000" w14:paraId="00000015">
      <w:pPr>
        <w:rPr/>
      </w:pPr>
      <w:r w:rsidDel="00000000" w:rsidR="00000000" w:rsidRPr="00000000">
        <w:rPr>
          <w:rtl w:val="0"/>
        </w:rPr>
        <w:t xml:space="preserve">Clinical trials have grown substantially in complexity over the past two decades. Modern global trials routinely involve hundreds of investigative sites across dozens of countries, complex adaptive designs, multiple data sources (electronic data capture [EDC], electronic patient-reported outcomes [ePRO], interactive response technology [IRT], wearable devices), and increasingly heterogeneous patient populations. Protocol complexity has increased correspondingly, with more inclusion/exclusion criteria, more endpoints, and more frequent interim analyses [1,2].</w:t>
      </w:r>
    </w:p>
    <w:p w:rsidR="00000000" w:rsidDel="00000000" w:rsidP="00000000" w:rsidRDefault="00000000" w:rsidRPr="00000000" w14:paraId="00000016">
      <w:pPr>
        <w:rPr/>
      </w:pPr>
      <w:r w:rsidDel="00000000" w:rsidR="00000000" w:rsidRPr="00000000">
        <w:rPr>
          <w:rtl w:val="0"/>
        </w:rPr>
        <w:t xml:space="preserve">This complexity creates an expanding surface area for operational risk. Traditional approaches to quality assurance—most notably, exhaustive on-site SDV of 100% of case report form (CRF) data—have come under sustained scrutiny for their high costs and uncertain contribution to trial validity. A TransCelerate BioPharma analysis found that SDV generated only 7.8% of total data queries, with the remainder identified through routine database cleaning activities [Source: zink2018_article_rethinkingtheclinicallybasedth.pdf, p. 1]. In a study of over 1,168 trials across 53 sponsors, only a median of 1.1% of all CRF fields were corrected as a result of SDV [Source: zink2018_article_rethinkingtheclinicallybasedth.pdf, p. 1]. These findings, combined with evidence from the National Cancer Institute, NSABP, and the GUSTO trial audit that on-site monitoring did not materially change trial conclusions [Source: central_statistical_monitoring__detecting_fraud_in_clinical_trials.pdf, p. 2], have catalyzed a paradigm shift toward risk-based monitoring.</w:t>
      </w:r>
    </w:p>
    <w:p w:rsidR="00000000" w:rsidDel="00000000" w:rsidP="00000000" w:rsidRDefault="00000000" w:rsidRPr="00000000" w14:paraId="00000017">
      <w:pPr>
        <w:rPr>
          <w:b w:val="1"/>
          <w:bCs w:val="1"/>
        </w:rPr>
      </w:pPr>
      <w:r w:rsidDel="00000000" w:rsidR="00000000" w:rsidRPr="00000000">
        <w:rPr>
          <w:b w:val="1"/>
          <w:bCs w:val="1"/>
          <w:rtl w:val="0"/>
        </w:rPr>
        <w:t xml:space="preserve">1.2 Regulatory Evolution: From Prescriptive to Risk-Based Oversight</w:t>
      </w:r>
    </w:p>
    <w:p w:rsidR="00000000" w:rsidDel="00000000" w:rsidP="00000000" w:rsidRDefault="00000000" w:rsidRPr="00000000" w14:paraId="00000018">
      <w:pPr>
        <w:rPr/>
      </w:pPr>
      <w:r w:rsidDel="00000000" w:rsidR="00000000" w:rsidRPr="00000000">
        <w:rPr>
          <w:rtl w:val="0"/>
        </w:rPr>
        <w:t xml:space="preserve">The shift toward risk-based approaches has been endorsed and codified by major regulatory authorities and international harmonization bodies. The US Food and Drug Administration (FDA) issued guidance on risk-based monitoring in 2013, recommending a "quality risk management approach" in which oversight activities focus on "risks to the most critical data elements and processes" [3]. The European Medicines Agency (EMA) similarly endorsed centralized monitoring and targeted oversight. TransCelerate BioPharma's Risk-Based Monitoring workstream published influential position papers and guidance documents defining central monitoring capabilities and statistical methodologies for detecting data anomalies [4,5].</w:t>
      </w:r>
    </w:p>
    <w:p w:rsidR="00000000" w:rsidDel="00000000" w:rsidP="00000000" w:rsidRDefault="00000000" w:rsidRPr="00000000" w14:paraId="00000019">
      <w:pPr>
        <w:rPr/>
      </w:pPr>
      <w:r w:rsidDel="00000000" w:rsidR="00000000" w:rsidRPr="00000000">
        <w:rPr>
          <w:rtl w:val="0"/>
        </w:rPr>
        <w:t xml:space="preserve">Most recently, the finalized </w:t>
      </w:r>
      <w:r w:rsidDel="00000000" w:rsidR="00000000" w:rsidRPr="00000000">
        <w:rPr>
          <w:b w:val="1"/>
          <w:bCs w:val="1"/>
          <w:rtl w:val="0"/>
        </w:rPr>
        <w:t xml:space="preserve">ICH E6(R3) Good Clinical Practice guideline (January 2025)</w:t>
      </w:r>
      <w:r w:rsidDel="00000000" w:rsidR="00000000" w:rsidRPr="00000000">
        <w:rPr>
          <w:rtl w:val="0"/>
        </w:rPr>
        <w:t xml:space="preserve"> represents a landmark evolution, making risk-based quality management central to GCP. The revised guideline introduces a comprehensive quality management system framework requiring sponsors to identify, evaluate, control, communicate, review, and document risks to critical processes and trial factors. Notably, ICH E6(R3) refines the concept of quality tolerance limits under the broader heading of "acceptable ranges"—measurable parameters that, when exceeded, trigger evaluation for systemic issues and corrective actions, with documentation in the clinical study report. The guideline also underscores the importance of key risk indicators (KRIs) for tracking significant operational risks and recommends continual review and adjustment of these parameters throughout the trial lifecycle. Critically, E6(R3) provides a structured yet flexible framework designed to remain relevant with evolving technologies, digital trials, and decentralized trial elements [Source: </w:t>
      </w:r>
      <w:hyperlink r:id="rId9">
        <w:r w:rsidDel="00000000" w:rsidR="00000000" w:rsidRPr="00000000">
          <w:rPr>
            <w:color w:val="467886"/>
            <w:u w:val="single"/>
            <w:rtl w:val="0"/>
          </w:rPr>
          <w:t xml:space="preserve">ICH E6(R3) Final Guideline</w:t>
        </w:r>
      </w:hyperlink>
      <w:r w:rsidDel="00000000" w:rsidR="00000000" w:rsidRPr="00000000">
        <w:rPr>
          <w:rtl w:val="0"/>
        </w:rPr>
        <w:t xml:space="preserve">].</w:t>
      </w:r>
    </w:p>
    <w:p w:rsidR="00000000" w:rsidDel="00000000" w:rsidP="00000000" w:rsidRDefault="00000000" w:rsidRPr="00000000" w14:paraId="0000001A">
      <w:pPr>
        <w:rPr>
          <w:b w:val="1"/>
          <w:bCs w:val="1"/>
        </w:rPr>
      </w:pPr>
      <w:r w:rsidDel="00000000" w:rsidR="00000000" w:rsidRPr="00000000">
        <w:rPr>
          <w:b w:val="1"/>
          <w:bCs w:val="1"/>
          <w:rtl w:val="0"/>
        </w:rPr>
        <w:t xml:space="preserve">1.3 The Detection–Action Gap</w:t>
      </w:r>
    </w:p>
    <w:p w:rsidR="00000000" w:rsidDel="00000000" w:rsidP="00000000" w:rsidRDefault="00000000" w:rsidRPr="00000000" w14:paraId="0000001B">
      <w:pPr>
        <w:rPr/>
      </w:pPr>
      <w:r w:rsidDel="00000000" w:rsidR="00000000" w:rsidRPr="00000000">
        <w:rPr>
          <w:rtl w:val="0"/>
        </w:rPr>
        <w:t xml:space="preserve">Despite the maturation of risk detection methodologies, a critical gap persists in the literature: </w:t>
      </w:r>
      <w:r w:rsidDel="00000000" w:rsidR="00000000" w:rsidRPr="00000000">
        <w:rPr>
          <w:b w:val="1"/>
          <w:bCs w:val="1"/>
          <w:rtl w:val="0"/>
        </w:rPr>
        <w:t xml:space="preserve">the lack of standardized frameworks for what to do once a risk signal is detected</w:t>
      </w:r>
      <w:r w:rsidDel="00000000" w:rsidR="00000000" w:rsidRPr="00000000">
        <w:rPr>
          <w:rtl w:val="0"/>
        </w:rPr>
        <w:t xml:space="preserve"> [Source: additional_materials.docx, p. 4; email_summaries.docx, p. 5]. Detection methods—including QTLs, KRIs, central statistical monitoring, and emerging AI/ML algorithms—are well described and increasingly validated. However, the operational pathways for investigating signals, confirming or dismissing issues, and implementing proportionate corrective actions remain largely ad hoc, organization-specific, and underdocumented.</w:t>
      </w:r>
    </w:p>
    <w:p w:rsidR="00000000" w:rsidDel="00000000" w:rsidP="00000000" w:rsidRDefault="00000000" w:rsidRPr="00000000" w14:paraId="0000001C">
      <w:pPr>
        <w:rPr/>
      </w:pPr>
      <w:r w:rsidDel="00000000" w:rsidR="00000000" w:rsidRPr="00000000">
        <w:rPr>
          <w:rtl w:val="0"/>
        </w:rPr>
        <w:t xml:space="preserve">This paper addresses both sides of the equation: detection methodologies and action frameworks. We aim to provide practical, evidence-based guidance that can be adopted and adapted across the pharmaceutical industry.</w:t>
      </w:r>
    </w:p>
    <w:p w:rsidR="00000000" w:rsidDel="00000000" w:rsidP="00000000" w:rsidRDefault="00000000" w:rsidRPr="00000000" w14:paraId="0000001D">
      <w:pPr>
        <w:rPr>
          <w:b w:val="1"/>
          <w:bCs w:val="1"/>
        </w:rPr>
      </w:pPr>
      <w:r w:rsidDel="00000000" w:rsidR="00000000" w:rsidRPr="00000000">
        <w:rPr>
          <w:b w:val="1"/>
          <w:bCs w:val="1"/>
          <w:rtl w:val="0"/>
        </w:rPr>
        <w:t xml:space="preserve">1.4 The EFFICIENCY+ Initiative</w:t>
      </w:r>
    </w:p>
    <w:p w:rsidR="00000000" w:rsidDel="00000000" w:rsidP="00000000" w:rsidRDefault="00000000" w:rsidRPr="00000000" w14:paraId="0000001E">
      <w:pPr>
        <w:rPr/>
      </w:pPr>
      <w:r w:rsidDel="00000000" w:rsidR="00000000" w:rsidRPr="00000000">
        <w:rPr>
          <w:rtl w:val="0"/>
        </w:rPr>
        <w:t xml:space="preserve">This work is a product of the </w:t>
      </w:r>
      <w:r w:rsidDel="00000000" w:rsidR="00000000" w:rsidRPr="00000000">
        <w:rPr>
          <w:b w:val="1"/>
          <w:bCs w:val="1"/>
          <w:rtl w:val="0"/>
        </w:rPr>
        <w:t xml:space="preserve">EFFICIENCY+: Enhancing Clinical Trial Operations through Advanced Statistics</w:t>
      </w:r>
      <w:r w:rsidDel="00000000" w:rsidR="00000000" w:rsidRPr="00000000">
        <w:rPr>
          <w:rtl w:val="0"/>
        </w:rPr>
        <w:t xml:space="preserve"> initiative—a cross-pharma, cross-functional collaborative working group whose mission is to advance clinical trial operations by championing collaborative research and driving statistical innovations. The Dynamic Trial Monitoring subgroup specifically focuses on the question: </w:t>
      </w:r>
      <w:r w:rsidDel="00000000" w:rsidR="00000000" w:rsidRPr="00000000">
        <w:rPr>
          <w:i w:val="1"/>
          <w:iCs w:val="1"/>
          <w:rtl w:val="0"/>
        </w:rPr>
        <w:t xml:space="preserve">Which operational metrics and AI/ML techniques are most predictive and reliable for identifying emerging risks in ongoing clinical trials, and how should organizations respond to those risks?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subgroup brings together statisticians, clinical operations professionals, data scientists, and data management experts from multiple pharmaceutical companies, providing a breadth of perspective that no single-company effort could achieve.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2. Risk Signal Detection</w:t>
      </w:r>
    </w:p>
    <w:p w:rsidR="00000000" w:rsidDel="00000000" w:rsidP="00000000" w:rsidRDefault="00000000" w:rsidRPr="00000000" w14:paraId="00000022">
      <w:pPr>
        <w:rPr/>
      </w:pPr>
      <w:r w:rsidDel="00000000" w:rsidR="00000000" w:rsidRPr="00000000">
        <w:rPr>
          <w:rtl w:val="0"/>
        </w:rPr>
        <w:t xml:space="preserve">Risk signals in clinical trials can arise at multiple levels—study, site, and patient—and may reflect diverse underlying issues ranging from unintentional errors to deliberate misconduct. Following the typology proposed by Buyse [6] and expanded by Timmermans et al. [Source: data_driven_risk_case.pdf, p. 3], the hazards affecting clinical trials include design errors, procedural errors, recording errors, and analytical errors, each with potential impacts on patient safety and the validity of efficacy assessments. The causes range from unintentional errors through sloppiness and tampering to outright fraud [Source: data_driven_risk_case.pdf, p. 3].</w:t>
      </w:r>
    </w:p>
    <w:p w:rsidR="00000000" w:rsidDel="00000000" w:rsidP="00000000" w:rsidRDefault="00000000" w:rsidRPr="00000000" w14:paraId="00000023">
      <w:pPr>
        <w:rPr/>
      </w:pPr>
      <w:r w:rsidDel="00000000" w:rsidR="00000000" w:rsidRPr="00000000">
        <w:rPr>
          <w:rtl w:val="0"/>
        </w:rPr>
        <w:t xml:space="preserve">A robust monitoring framework must address risk at each level using appropriate methodologies.</w:t>
      </w:r>
    </w:p>
    <w:p w:rsidR="00000000" w:rsidDel="00000000" w:rsidP="00000000" w:rsidRDefault="00000000" w:rsidRPr="00000000" w14:paraId="00000024">
      <w:pPr>
        <w:rPr>
          <w:b w:val="1"/>
          <w:bCs w:val="1"/>
        </w:rPr>
      </w:pPr>
      <w:r w:rsidDel="00000000" w:rsidR="00000000" w:rsidRPr="00000000">
        <w:rPr>
          <w:b w:val="1"/>
          <w:bCs w:val="1"/>
          <w:rtl w:val="0"/>
        </w:rPr>
        <w:t xml:space="preserve">2.1 Study-Level Risk Monitoring: Quality Tolerance Limits (QTLs)</w:t>
      </w:r>
    </w:p>
    <w:p w:rsidR="00000000" w:rsidDel="00000000" w:rsidP="00000000" w:rsidRDefault="00000000" w:rsidRPr="00000000" w14:paraId="00000025">
      <w:pPr>
        <w:rPr/>
      </w:pPr>
      <w:r w:rsidDel="00000000" w:rsidR="00000000" w:rsidRPr="00000000">
        <w:rPr>
          <w:b w:val="1"/>
          <w:bCs w:val="1"/>
          <w:rtl w:val="0"/>
        </w:rPr>
        <w:t xml:space="preserve">Definition and Regulatory Context.</w:t>
      </w:r>
      <w:r w:rsidDel="00000000" w:rsidR="00000000" w:rsidRPr="00000000">
        <w:rPr>
          <w:rtl w:val="0"/>
        </w:rPr>
        <w:t xml:space="preserve"> </w:t>
      </w:r>
      <w:sdt>
        <w:sdtPr>
          <w:id w:val="959892457"/>
          <w:tag w:val="goog_rdk_1"/>
        </w:sdtPr>
        <w:sdtContent>
          <w:commentRangeStart w:id="1"/>
        </w:sdtContent>
      </w:sdt>
      <w:r w:rsidDel="00000000" w:rsidR="00000000" w:rsidRPr="00000000">
        <w:rPr>
          <w:rtl w:val="0"/>
        </w:rPr>
        <w:t xml:space="preserve">Quality tolerance limits (QTLs)—termed "acceptable ranges" in ICH E6(R3)—are pre-specified parameters that define the boundaries of acceptable variability for </w:t>
      </w:r>
      <w:r w:rsidDel="00000000" w:rsidR="00000000" w:rsidRPr="00000000">
        <w:rPr>
          <w:b w:val="1"/>
          <w:bCs w:val="1"/>
          <w:rtl w:val="0"/>
        </w:rPr>
        <w:t xml:space="preserve">critical study-level metrics</w:t>
      </w:r>
      <w:r w:rsidDel="00000000" w:rsidR="00000000" w:rsidRPr="00000000">
        <w:rPr>
          <w:rtl w:val="0"/>
        </w:rPr>
        <w:t xml:space="preserve">. When QTLs are exceeded, sponsors must evaluate whether a systemic issue exists and implement corrective actions if warranted.</w:t>
      </w:r>
      <w:commentRangeEnd w:id="1"/>
      <w:r w:rsidDel="00000000" w:rsidR="00000000" w:rsidRPr="00000000">
        <w:commentReference w:id="1"/>
      </w:r>
      <w:r w:rsidDel="00000000" w:rsidR="00000000" w:rsidRPr="00000000">
        <w:rPr>
          <w:rtl w:val="0"/>
        </w:rPr>
        <w:t xml:space="preserve"> The outcome of this evaluation and any resulting actions must be documented in the clinical study report [Source: </w:t>
      </w:r>
      <w:hyperlink r:id="rId10">
        <w:r w:rsidDel="00000000" w:rsidR="00000000" w:rsidRPr="00000000">
          <w:rPr>
            <w:color w:val="467886"/>
            <w:u w:val="single"/>
            <w:rtl w:val="0"/>
          </w:rPr>
          <w:t xml:space="preserve">ICH E6(R3)</w:t>
        </w:r>
      </w:hyperlink>
      <w:r w:rsidDel="00000000" w:rsidR="00000000" w:rsidRPr="00000000">
        <w:rPr>
          <w:rtl w:val="0"/>
        </w:rPr>
        <w:t xml:space="preserve">].</w:t>
      </w:r>
    </w:p>
    <w:p w:rsidR="00000000" w:rsidDel="00000000" w:rsidP="00000000" w:rsidRDefault="00000000" w:rsidRPr="00000000" w14:paraId="00000026">
      <w:pPr>
        <w:rPr/>
      </w:pPr>
      <w:sdt>
        <w:sdtPr>
          <w:id w:val="-1877874348"/>
          <w:tag w:val="goog_rdk_2"/>
        </w:sdtPr>
        <w:sdtContent>
          <w:commentRangeStart w:id="2"/>
        </w:sdtContent>
      </w:sdt>
      <w:r w:rsidDel="00000000" w:rsidR="00000000" w:rsidRPr="00000000">
        <w:rPr>
          <w:b w:val="1"/>
          <w:bCs w:val="1"/>
          <w:rtl w:val="0"/>
        </w:rPr>
        <w:t xml:space="preserve">Key Study-Level Metrics.</w:t>
      </w:r>
      <w:r w:rsidDel="00000000" w:rsidR="00000000" w:rsidRPr="00000000">
        <w:rPr>
          <w:rtl w:val="0"/>
        </w:rPr>
        <w:t xml:space="preserve"> Common QTL metrics include: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7">
      <w:pPr>
        <w:numPr>
          <w:ilvl w:val="0"/>
          <w:numId w:val="3"/>
        </w:numPr>
        <w:ind w:left="720" w:hanging="360"/>
        <w:rPr/>
      </w:pPr>
      <w:r w:rsidDel="00000000" w:rsidR="00000000" w:rsidRPr="00000000">
        <w:rPr>
          <w:b w:val="1"/>
          <w:bCs w:val="1"/>
          <w:rtl w:val="0"/>
        </w:rPr>
        <w:t xml:space="preserve">Screening failure rate:</w:t>
      </w:r>
      <w:r w:rsidDel="00000000" w:rsidR="00000000" w:rsidRPr="00000000">
        <w:rPr>
          <w:rtl w:val="0"/>
        </w:rPr>
        <w:t xml:space="preserve"> Deviation from expected screening-to-randomization conversion rates may indicate protocol complexity, inadequate site training, or patient selection issues.</w:t>
      </w:r>
    </w:p>
    <w:p w:rsidR="00000000" w:rsidDel="00000000" w:rsidP="00000000" w:rsidRDefault="00000000" w:rsidRPr="00000000" w14:paraId="00000028">
      <w:pPr>
        <w:numPr>
          <w:ilvl w:val="0"/>
          <w:numId w:val="3"/>
        </w:numPr>
        <w:ind w:left="720" w:hanging="360"/>
        <w:rPr/>
      </w:pPr>
      <w:r w:rsidDel="00000000" w:rsidR="00000000" w:rsidRPr="00000000">
        <w:rPr>
          <w:b w:val="1"/>
          <w:bCs w:val="1"/>
          <w:rtl w:val="0"/>
        </w:rPr>
        <w:t xml:space="preserve">Dropout rate / treatment discontinuation rate:</w:t>
      </w:r>
      <w:r w:rsidDel="00000000" w:rsidR="00000000" w:rsidRPr="00000000">
        <w:rPr>
          <w:rtl w:val="0"/>
        </w:rPr>
        <w:t xml:space="preserve"> Excessive dropout can compromise statistical power, bias results, and signal issues with tolerability or site conduct.</w:t>
      </w:r>
    </w:p>
    <w:p w:rsidR="00000000" w:rsidDel="00000000" w:rsidP="00000000" w:rsidRDefault="00000000" w:rsidRPr="00000000" w14:paraId="00000029">
      <w:pPr>
        <w:numPr>
          <w:ilvl w:val="0"/>
          <w:numId w:val="3"/>
        </w:numPr>
        <w:ind w:left="720" w:hanging="360"/>
        <w:rPr/>
      </w:pPr>
      <w:r w:rsidDel="00000000" w:rsidR="00000000" w:rsidRPr="00000000">
        <w:rPr>
          <w:b w:val="1"/>
          <w:bCs w:val="1"/>
          <w:rtl w:val="0"/>
        </w:rPr>
        <w:t xml:space="preserve">Event rates (for event-driven trials):</w:t>
      </w:r>
      <w:r w:rsidDel="00000000" w:rsidR="00000000" w:rsidRPr="00000000">
        <w:rPr>
          <w:rtl w:val="0"/>
        </w:rPr>
        <w:t xml:space="preserve"> Under- or over-accrual of events may indicate misclassification, protocol deviations, or population differences.</w:t>
      </w:r>
    </w:p>
    <w:p w:rsidR="00000000" w:rsidDel="00000000" w:rsidP="00000000" w:rsidRDefault="00000000" w:rsidRPr="00000000" w14:paraId="0000002A">
      <w:pPr>
        <w:numPr>
          <w:ilvl w:val="0"/>
          <w:numId w:val="3"/>
        </w:numPr>
        <w:ind w:left="720" w:hanging="360"/>
        <w:rPr/>
      </w:pPr>
      <w:r w:rsidDel="00000000" w:rsidR="00000000" w:rsidRPr="00000000">
        <w:rPr>
          <w:b w:val="1"/>
          <w:bCs w:val="1"/>
          <w:rtl w:val="0"/>
        </w:rPr>
        <w:t xml:space="preserve">Protocol deviation rates:</w:t>
      </w:r>
      <w:r w:rsidDel="00000000" w:rsidR="00000000" w:rsidRPr="00000000">
        <w:rPr>
          <w:rtl w:val="0"/>
        </w:rPr>
        <w:t xml:space="preserve"> Rates exceeding tolerance may indicate systematic misunderstanding of the protocol or inadequate site oversight.</w:t>
      </w:r>
    </w:p>
    <w:p w:rsidR="00000000" w:rsidDel="00000000" w:rsidP="00000000" w:rsidRDefault="00000000" w:rsidRPr="00000000" w14:paraId="0000002B">
      <w:pPr>
        <w:rPr/>
      </w:pPr>
      <w:r w:rsidDel="00000000" w:rsidR="00000000" w:rsidRPr="00000000">
        <w:rPr>
          <w:b w:val="1"/>
          <w:bCs w:val="1"/>
          <w:rtl w:val="0"/>
        </w:rPr>
        <w:t xml:space="preserve">Tolerance Limit Structure.</w:t>
      </w:r>
      <w:r w:rsidDel="00000000" w:rsidR="00000000" w:rsidRPr="00000000">
        <w:rPr>
          <w:rtl w:val="0"/>
        </w:rPr>
        <w:t xml:space="preserve"> We recommend a two-tier tolerance limit structure:</w:t>
      </w:r>
    </w:p>
    <w:p w:rsidR="00000000" w:rsidDel="00000000" w:rsidP="00000000" w:rsidRDefault="00000000" w:rsidRPr="00000000" w14:paraId="0000002C">
      <w:pPr>
        <w:numPr>
          <w:ilvl w:val="0"/>
          <w:numId w:val="14"/>
        </w:numPr>
        <w:ind w:left="720" w:hanging="360"/>
        <w:rPr/>
      </w:pPr>
      <w:r w:rsidDel="00000000" w:rsidR="00000000" w:rsidRPr="00000000">
        <w:rPr>
          <w:b w:val="1"/>
          <w:bCs w:val="1"/>
          <w:rtl w:val="0"/>
        </w:rPr>
        <w:t xml:space="preserve">Warning Limit (Second Tolerance Limit):</w:t>
      </w:r>
      <w:r w:rsidDel="00000000" w:rsidR="00000000" w:rsidRPr="00000000">
        <w:rPr>
          <w:rtl w:val="0"/>
        </w:rPr>
        <w:t xml:space="preserve"> Signals that a metric is trending toward an unacceptable range. Action: enhanced monitoring, study team review, and root-cause investigation. Managed through a data issue management pathway.</w:t>
      </w:r>
    </w:p>
    <w:p w:rsidR="00000000" w:rsidDel="00000000" w:rsidP="00000000" w:rsidRDefault="00000000" w:rsidRPr="00000000" w14:paraId="0000002D">
      <w:pPr>
        <w:numPr>
          <w:ilvl w:val="0"/>
          <w:numId w:val="14"/>
        </w:numPr>
        <w:ind w:left="720" w:hanging="360"/>
        <w:rPr/>
      </w:pPr>
      <w:r w:rsidDel="00000000" w:rsidR="00000000" w:rsidRPr="00000000">
        <w:rPr>
          <w:b w:val="1"/>
          <w:bCs w:val="1"/>
          <w:rtl w:val="0"/>
        </w:rPr>
        <w:t xml:space="preserve">Action Limit (First Tolerance Limit):</w:t>
      </w:r>
      <w:r w:rsidDel="00000000" w:rsidR="00000000" w:rsidRPr="00000000">
        <w:rPr>
          <w:rtl w:val="0"/>
        </w:rPr>
        <w:t xml:space="preserve"> Signals that the metric has exceeded acceptable boundaries. Action: formal investigation, corrective and preventive action (CAPA), and documentation in the clinical study report.</w:t>
      </w:r>
    </w:p>
    <w:p w:rsidR="00000000" w:rsidDel="00000000" w:rsidP="00000000" w:rsidRDefault="00000000" w:rsidRPr="00000000" w14:paraId="0000002E">
      <w:pPr>
        <w:rPr/>
      </w:pPr>
      <w:r w:rsidDel="00000000" w:rsidR="00000000" w:rsidRPr="00000000">
        <w:rPr>
          <w:b w:val="1"/>
          <w:bCs w:val="1"/>
          <w:rtl w:val="0"/>
        </w:rPr>
        <w:t xml:space="preserve">Responsibility.</w:t>
      </w:r>
      <w:r w:rsidDel="00000000" w:rsidR="00000000" w:rsidRPr="00000000">
        <w:rPr>
          <w:rtl w:val="0"/>
        </w:rPr>
        <w:t xml:space="preserve"> QTL monitoring is typically owned by the study manager or study statistician, with oversight from the central monitoring function and reporting to trial governance structures [Source: external_presentation____analytics_transforming_clinical_trial_oversight.pptx, p. 6].</w:t>
      </w:r>
    </w:p>
    <w:p w:rsidR="00000000" w:rsidDel="00000000" w:rsidP="00000000" w:rsidRDefault="00000000" w:rsidRPr="00000000" w14:paraId="0000002F">
      <w:pPr>
        <w:rPr>
          <w:b w:val="1"/>
          <w:bCs w:val="1"/>
        </w:rPr>
      </w:pPr>
      <w:r w:rsidDel="00000000" w:rsidR="00000000" w:rsidRPr="00000000">
        <w:rPr>
          <w:b w:val="1"/>
          <w:bCs w:val="1"/>
          <w:rtl w:val="0"/>
        </w:rPr>
        <w:t xml:space="preserve">2.2 Site-Level Risk Monitoring: Key Risk Indicators (KRIs)</w:t>
      </w:r>
    </w:p>
    <w:p w:rsidR="00000000" w:rsidDel="00000000" w:rsidP="00000000" w:rsidRDefault="00000000" w:rsidRPr="00000000" w14:paraId="00000030">
      <w:pPr>
        <w:rPr/>
      </w:pPr>
      <w:r w:rsidDel="00000000" w:rsidR="00000000" w:rsidRPr="00000000">
        <w:rPr>
          <w:b w:val="1"/>
          <w:bCs w:val="1"/>
          <w:rtl w:val="0"/>
        </w:rPr>
        <w:t xml:space="preserve">Definition and Purpose.</w:t>
      </w:r>
      <w:r w:rsidDel="00000000" w:rsidR="00000000" w:rsidRPr="00000000">
        <w:rPr>
          <w:rtl w:val="0"/>
        </w:rPr>
        <w:t xml:space="preserve"> Key risk indicators are operational metrics tracked at the site level to identify sites exhibiting systemic issues with study conduct. KRIs are designed to detect patterns that may indicate poor data quality, procedural non-compliance, safety concerns, or unusual operational performance [Source: data_driven_risk_case.pdf, p. 1; external_presentation____analytics_transforming_clinical_trial_oversight.pptx, p. 7].</w:t>
      </w:r>
    </w:p>
    <w:p w:rsidR="00000000" w:rsidDel="00000000" w:rsidP="00000000" w:rsidRDefault="00000000" w:rsidRPr="00000000" w14:paraId="00000031">
      <w:pPr>
        <w:rPr/>
      </w:pPr>
      <w:sdt>
        <w:sdtPr>
          <w:id w:val="-505181061"/>
          <w:tag w:val="goog_rdk_3"/>
        </w:sdtPr>
        <w:sdtContent>
          <w:commentRangeStart w:id="3"/>
        </w:sdtContent>
      </w:sdt>
      <w:r w:rsidDel="00000000" w:rsidR="00000000" w:rsidRPr="00000000">
        <w:rPr>
          <w:b w:val="1"/>
          <w:bCs w:val="1"/>
          <w:rtl w:val="0"/>
        </w:rPr>
        <w:t xml:space="preserve">Common KRIs.</w:t>
      </w:r>
      <w:commentRangeEnd w:id="3"/>
      <w:r w:rsidDel="00000000" w:rsidR="00000000" w:rsidRPr="00000000">
        <w:commentReference w:id="3"/>
      </w:r>
      <w:r w:rsidDel="00000000" w:rsidR="00000000" w:rsidRPr="00000000">
        <w:rPr>
          <w:rtl w:val="0"/>
        </w:rPr>
        <w:t xml:space="preserve"> Based on current industry practice, the following KRIs have demonstrated utility across therapeutic areas:</w:t>
      </w:r>
    </w:p>
    <w:tbl>
      <w:tblPr>
        <w:tblStyle w:val="Table1"/>
        <w:tblW w:w="9360.0" w:type="dxa"/>
        <w:jc w:val="left"/>
        <w:tblLayout w:type="fixed"/>
        <w:tblLook w:val="0400"/>
      </w:tblPr>
      <w:tblGrid>
        <w:gridCol w:w="2693"/>
        <w:gridCol w:w="2173"/>
        <w:gridCol w:w="4494"/>
        <w:tblGridChange w:id="0">
          <w:tblGrid>
            <w:gridCol w:w="2693"/>
            <w:gridCol w:w="2173"/>
            <w:gridCol w:w="4494"/>
          </w:tblGrid>
        </w:tblGridChange>
      </w:tblGrid>
      <w:tr>
        <w:trPr>
          <w:cantSplit w:val="0"/>
          <w:tblHeader w:val="1"/>
        </w:trPr>
        <w:tc>
          <w:tcPr>
            <w:vAlign w:val="center"/>
          </w:tcPr>
          <w:p w:rsidR="00000000" w:rsidDel="00000000" w:rsidP="00000000" w:rsidRDefault="00000000" w:rsidRPr="00000000" w14:paraId="00000032">
            <w:pPr>
              <w:rPr>
                <w:b w:val="1"/>
                <w:bCs w:val="1"/>
              </w:rPr>
            </w:pPr>
            <w:r w:rsidDel="00000000" w:rsidR="00000000" w:rsidRPr="00000000">
              <w:rPr>
                <w:b w:val="1"/>
                <w:bCs w:val="1"/>
                <w:rtl w:val="0"/>
              </w:rPr>
              <w:t xml:space="preserve">KRI</w:t>
            </w:r>
          </w:p>
        </w:tc>
        <w:tc>
          <w:tcPr>
            <w:vAlign w:val="center"/>
          </w:tcPr>
          <w:p w:rsidR="00000000" w:rsidDel="00000000" w:rsidP="00000000" w:rsidRDefault="00000000" w:rsidRPr="00000000" w14:paraId="00000033">
            <w:pPr>
              <w:rPr>
                <w:b w:val="1"/>
                <w:bCs w:val="1"/>
              </w:rPr>
            </w:pPr>
            <w:r w:rsidDel="00000000" w:rsidR="00000000" w:rsidRPr="00000000">
              <w:rPr>
                <w:b w:val="1"/>
                <w:bCs w:val="1"/>
                <w:rtl w:val="0"/>
              </w:rPr>
              <w:t xml:space="preserve">Signal</w:t>
            </w:r>
          </w:p>
        </w:tc>
        <w:tc>
          <w:tcPr>
            <w:vAlign w:val="center"/>
          </w:tcPr>
          <w:p w:rsidR="00000000" w:rsidDel="00000000" w:rsidP="00000000" w:rsidRDefault="00000000" w:rsidRPr="00000000" w14:paraId="00000034">
            <w:pPr>
              <w:rPr>
                <w:b w:val="1"/>
                <w:bCs w:val="1"/>
              </w:rPr>
            </w:pPr>
            <w:r w:rsidDel="00000000" w:rsidR="00000000" w:rsidRPr="00000000">
              <w:rPr>
                <w:b w:val="1"/>
                <w:bCs w:val="1"/>
                <w:rtl w:val="0"/>
              </w:rPr>
              <w:t xml:space="preserve">Potential Issue</w:t>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tl w:val="0"/>
              </w:rPr>
              <w:t xml:space="preserve">Adverse event (AE) rate</w:t>
            </w:r>
          </w:p>
        </w:tc>
        <w:tc>
          <w:tcPr>
            <w:vAlign w:val="center"/>
          </w:tcPr>
          <w:p w:rsidR="00000000" w:rsidDel="00000000" w:rsidP="00000000" w:rsidRDefault="00000000" w:rsidRPr="00000000" w14:paraId="00000036">
            <w:pPr>
              <w:rPr/>
            </w:pPr>
            <w:r w:rsidDel="00000000" w:rsidR="00000000" w:rsidRPr="00000000">
              <w:rPr>
                <w:rtl w:val="0"/>
              </w:rPr>
              <w:t xml:space="preserve">Over/under-reporting</w:t>
            </w:r>
          </w:p>
        </w:tc>
        <w:tc>
          <w:tcPr>
            <w:vAlign w:val="center"/>
          </w:tcPr>
          <w:p w:rsidR="00000000" w:rsidDel="00000000" w:rsidP="00000000" w:rsidRDefault="00000000" w:rsidRPr="00000000" w14:paraId="00000037">
            <w:pPr>
              <w:rPr/>
            </w:pPr>
            <w:r w:rsidDel="00000000" w:rsidR="00000000" w:rsidRPr="00000000">
              <w:rPr>
                <w:rtl w:val="0"/>
              </w:rPr>
              <w:t xml:space="preserve">Failure to solicit/report AEs; protocol misunderstanding</w:t>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Query rate</w:t>
            </w:r>
          </w:p>
        </w:tc>
        <w:tc>
          <w:tcPr>
            <w:vAlign w:val="center"/>
          </w:tcPr>
          <w:p w:rsidR="00000000" w:rsidDel="00000000" w:rsidP="00000000" w:rsidRDefault="00000000" w:rsidRPr="00000000" w14:paraId="00000039">
            <w:pPr>
              <w:rPr/>
            </w:pPr>
            <w:r w:rsidDel="00000000" w:rsidR="00000000" w:rsidRPr="00000000">
              <w:rPr>
                <w:rtl w:val="0"/>
              </w:rPr>
              <w:t xml:space="preserve">High rate</w:t>
            </w:r>
          </w:p>
        </w:tc>
        <w:tc>
          <w:tcPr>
            <w:vAlign w:val="center"/>
          </w:tcPr>
          <w:p w:rsidR="00000000" w:rsidDel="00000000" w:rsidP="00000000" w:rsidRDefault="00000000" w:rsidRPr="00000000" w14:paraId="0000003A">
            <w:pPr>
              <w:rPr/>
            </w:pPr>
            <w:r w:rsidDel="00000000" w:rsidR="00000000" w:rsidRPr="00000000">
              <w:rPr>
                <w:rtl w:val="0"/>
              </w:rPr>
              <w:t xml:space="preserve">Difficulty with reliable data entry, instructions, or source documentation</w:t>
            </w:r>
          </w:p>
        </w:tc>
      </w:tr>
      <w:tr>
        <w:trPr>
          <w:cantSplit w:val="0"/>
          <w:tblHeader w:val="0"/>
        </w:trPr>
        <w:tc>
          <w:tcPr>
            <w:vAlign w:val="center"/>
          </w:tcPr>
          <w:p w:rsidR="00000000" w:rsidDel="00000000" w:rsidP="00000000" w:rsidRDefault="00000000" w:rsidRPr="00000000" w14:paraId="0000003B">
            <w:pPr>
              <w:rPr/>
            </w:pPr>
            <w:r w:rsidDel="00000000" w:rsidR="00000000" w:rsidRPr="00000000">
              <w:rPr>
                <w:rtl w:val="0"/>
              </w:rPr>
              <w:t xml:space="preserve">Screen failure rate</w:t>
            </w:r>
          </w:p>
        </w:tc>
        <w:tc>
          <w:tcPr>
            <w:vAlign w:val="center"/>
          </w:tcPr>
          <w:p w:rsidR="00000000" w:rsidDel="00000000" w:rsidP="00000000" w:rsidRDefault="00000000" w:rsidRPr="00000000" w14:paraId="0000003C">
            <w:pPr>
              <w:rPr/>
            </w:pPr>
            <w:r w:rsidDel="00000000" w:rsidR="00000000" w:rsidRPr="00000000">
              <w:rPr>
                <w:rtl w:val="0"/>
              </w:rPr>
              <w:t xml:space="preserve">High/low rate</w:t>
            </w:r>
          </w:p>
        </w:tc>
        <w:tc>
          <w:tcPr>
            <w:vAlign w:val="center"/>
          </w:tcPr>
          <w:p w:rsidR="00000000" w:rsidDel="00000000" w:rsidP="00000000" w:rsidRDefault="00000000" w:rsidRPr="00000000" w14:paraId="0000003D">
            <w:pPr>
              <w:rPr/>
            </w:pPr>
            <w:r w:rsidDel="00000000" w:rsidR="00000000" w:rsidRPr="00000000">
              <w:rPr>
                <w:rtl w:val="0"/>
              </w:rPr>
              <w:t xml:space="preserve">Protocol misunderstanding; unwarranted screening</w:t>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rtl w:val="0"/>
              </w:rPr>
              <w:t xml:space="preserve">Retention / early discontinuation rate</w:t>
            </w:r>
          </w:p>
        </w:tc>
        <w:tc>
          <w:tcPr>
            <w:vAlign w:val="center"/>
          </w:tcPr>
          <w:p w:rsidR="00000000" w:rsidDel="00000000" w:rsidP="00000000" w:rsidRDefault="00000000" w:rsidRPr="00000000" w14:paraId="0000003F">
            <w:pPr>
              <w:rPr/>
            </w:pPr>
            <w:r w:rsidDel="00000000" w:rsidR="00000000" w:rsidRPr="00000000">
              <w:rPr>
                <w:rtl w:val="0"/>
              </w:rPr>
              <w:t xml:space="preserve">High early discontinuation</w:t>
            </w:r>
          </w:p>
        </w:tc>
        <w:tc>
          <w:tcPr>
            <w:vAlign w:val="center"/>
          </w:tcPr>
          <w:p w:rsidR="00000000" w:rsidDel="00000000" w:rsidP="00000000" w:rsidRDefault="00000000" w:rsidRPr="00000000" w14:paraId="00000040">
            <w:pPr>
              <w:rPr/>
            </w:pPr>
            <w:r w:rsidDel="00000000" w:rsidR="00000000" w:rsidRPr="00000000">
              <w:rPr>
                <w:rtl w:val="0"/>
              </w:rPr>
              <w:t xml:space="preserve">Poor patient management; tolerability issues</w:t>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tl w:val="0"/>
              </w:rPr>
              <w:t xml:space="preserve">Enrollment rate</w:t>
            </w:r>
          </w:p>
        </w:tc>
        <w:tc>
          <w:tcPr>
            <w:vAlign w:val="center"/>
          </w:tcPr>
          <w:p w:rsidR="00000000" w:rsidDel="00000000" w:rsidP="00000000" w:rsidRDefault="00000000" w:rsidRPr="00000000" w14:paraId="00000042">
            <w:pPr>
              <w:rPr/>
            </w:pPr>
            <w:r w:rsidDel="00000000" w:rsidR="00000000" w:rsidRPr="00000000">
              <w:rPr>
                <w:rtl w:val="0"/>
              </w:rPr>
              <w:t xml:space="preserve">Over- or under-enrollment</w:t>
            </w:r>
          </w:p>
        </w:tc>
        <w:tc>
          <w:tcPr>
            <w:vAlign w:val="center"/>
          </w:tcPr>
          <w:p w:rsidR="00000000" w:rsidDel="00000000" w:rsidP="00000000" w:rsidRDefault="00000000" w:rsidRPr="00000000" w14:paraId="00000043">
            <w:pPr>
              <w:rPr/>
            </w:pPr>
            <w:r w:rsidDel="00000000" w:rsidR="00000000" w:rsidRPr="00000000">
              <w:rPr>
                <w:rtl w:val="0"/>
              </w:rPr>
              <w:t xml:space="preserve">Eligibility manipulation; operational challenges</w:t>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rtl w:val="0"/>
              </w:rPr>
              <w:t xml:space="preserve">Data entry timeliness</w:t>
            </w:r>
          </w:p>
        </w:tc>
        <w:tc>
          <w:tcPr>
            <w:vAlign w:val="center"/>
          </w:tcPr>
          <w:p w:rsidR="00000000" w:rsidDel="00000000" w:rsidP="00000000" w:rsidRDefault="00000000" w:rsidRPr="00000000" w14:paraId="00000045">
            <w:pPr>
              <w:rPr/>
            </w:pPr>
            <w:r w:rsidDel="00000000" w:rsidR="00000000" w:rsidRPr="00000000">
              <w:rPr>
                <w:rtl w:val="0"/>
              </w:rPr>
              <w:t xml:space="preserve">Delayed entry</w:t>
            </w:r>
          </w:p>
        </w:tc>
        <w:tc>
          <w:tcPr>
            <w:vAlign w:val="center"/>
          </w:tcPr>
          <w:p w:rsidR="00000000" w:rsidDel="00000000" w:rsidP="00000000" w:rsidRDefault="00000000" w:rsidRPr="00000000" w14:paraId="00000046">
            <w:pPr>
              <w:rPr/>
            </w:pPr>
            <w:r w:rsidDel="00000000" w:rsidR="00000000" w:rsidRPr="00000000">
              <w:rPr>
                <w:rtl w:val="0"/>
              </w:rPr>
              <w:t xml:space="preserve">Resource constraints; site disengagement</w:t>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rtl w:val="0"/>
              </w:rPr>
              <w:t xml:space="preserve">Protocol deviation rate</w:t>
            </w:r>
          </w:p>
        </w:tc>
        <w:tc>
          <w:tcPr>
            <w:vAlign w:val="center"/>
          </w:tcPr>
          <w:p w:rsidR="00000000" w:rsidDel="00000000" w:rsidP="00000000" w:rsidRDefault="00000000" w:rsidRPr="00000000" w14:paraId="00000048">
            <w:pPr>
              <w:rPr/>
            </w:pPr>
            <w:r w:rsidDel="00000000" w:rsidR="00000000" w:rsidRPr="00000000">
              <w:rPr>
                <w:rtl w:val="0"/>
              </w:rPr>
              <w:t xml:space="preserve">Elevated rate</w:t>
            </w:r>
          </w:p>
        </w:tc>
        <w:tc>
          <w:tcPr>
            <w:vAlign w:val="center"/>
          </w:tcPr>
          <w:p w:rsidR="00000000" w:rsidDel="00000000" w:rsidP="00000000" w:rsidRDefault="00000000" w:rsidRPr="00000000" w14:paraId="00000049">
            <w:pPr>
              <w:rPr/>
            </w:pPr>
            <w:r w:rsidDel="00000000" w:rsidR="00000000" w:rsidRPr="00000000">
              <w:rPr>
                <w:rtl w:val="0"/>
              </w:rPr>
              <w:t xml:space="preserve">Training gaps; protocol complexity</w:t>
            </w:r>
          </w:p>
        </w:tc>
      </w:tr>
    </w:tbl>
    <w:p w:rsidR="00000000" w:rsidDel="00000000" w:rsidP="00000000" w:rsidRDefault="00000000" w:rsidRPr="00000000" w14:paraId="0000004A">
      <w:pPr>
        <w:rPr/>
      </w:pPr>
      <w:r w:rsidDel="00000000" w:rsidR="00000000" w:rsidRPr="00000000">
        <w:rPr>
          <w:rtl w:val="0"/>
        </w:rPr>
        <w:t xml:space="preserve">[Source: external_presentation____analytics_transforming_clinical_trial_oversight.pptx, p. 7]</w:t>
      </w:r>
    </w:p>
    <w:p w:rsidR="00000000" w:rsidDel="00000000" w:rsidP="00000000" w:rsidRDefault="00000000" w:rsidRPr="00000000" w14:paraId="0000004B">
      <w:pPr>
        <w:rPr/>
      </w:pPr>
      <w:r w:rsidDel="00000000" w:rsidR="00000000" w:rsidRPr="00000000">
        <w:rPr>
          <w:b w:val="1"/>
          <w:bCs w:val="1"/>
          <w:rtl w:val="0"/>
        </w:rPr>
        <w:t xml:space="preserve">Statistical Methods for KRI Assessment.</w:t>
      </w:r>
      <w:r w:rsidDel="00000000" w:rsidR="00000000" w:rsidRPr="00000000">
        <w:rPr>
          <w:rtl w:val="0"/>
        </w:rPr>
        <w:t xml:space="preserve"> A key methodological challenge is defining appropriate thresholds for KRIs. </w:t>
      </w:r>
      <w:sdt>
        <w:sdtPr>
          <w:id w:val="1154032745"/>
          <w:tag w:val="goog_rdk_4"/>
        </w:sdtPr>
        <w:sdtContent>
          <w:commentRangeStart w:id="4"/>
        </w:sdtContent>
      </w:sdt>
      <w:r w:rsidDel="00000000" w:rsidR="00000000" w:rsidRPr="00000000">
        <w:rPr>
          <w:rtl w:val="0"/>
        </w:rPr>
        <w:t xml:space="preserve">The TransCelerate position paper</w:t>
      </w:r>
      <w:commentRangeEnd w:id="4"/>
      <w:r w:rsidDel="00000000" w:rsidR="00000000" w:rsidRPr="00000000">
        <w:commentReference w:id="4"/>
      </w:r>
      <w:r w:rsidDel="00000000" w:rsidR="00000000" w:rsidRPr="00000000">
        <w:rPr>
          <w:rtl w:val="0"/>
        </w:rPr>
        <w:t xml:space="preserve"> recommended clinically based thresholds (e.g., site average within 5%, 10%, or 15% of the overall average), but this approach has significant limitations: it is time-consuming to implement, may be relevant only to specific therapeutic areas, ignores sample size variation across sites, and does not account for changing risk over time [Source: zink2018_article_rethinkingtheclinicallybasedth.pdf, pp. 1–2].</w:t>
      </w:r>
    </w:p>
    <w:p w:rsidR="00000000" w:rsidDel="00000000" w:rsidP="00000000" w:rsidRDefault="00000000" w:rsidRPr="00000000" w14:paraId="0000004C">
      <w:pPr>
        <w:rPr/>
      </w:pPr>
      <w:r w:rsidDel="00000000" w:rsidR="00000000" w:rsidRPr="00000000">
        <w:rPr>
          <w:b w:val="1"/>
          <w:bCs w:val="1"/>
          <w:rtl w:val="0"/>
        </w:rPr>
        <w:t xml:space="preserve">Funnel plots</w:t>
      </w:r>
      <w:r w:rsidDel="00000000" w:rsidR="00000000" w:rsidRPr="00000000">
        <w:rPr>
          <w:rtl w:val="0"/>
        </w:rPr>
        <w:t xml:space="preserve"> offer a statistically principled alternative. By defining control limits that account for varying site sample sizes and patient exposure, funnel plots provide a traffic-light system (green/yellow/red) that appropriately scales the detection threshold to the precision of each site's estimate. Zink et al. demonstrated that funnel plots based on 95% and 99.7% confidence intervals define a natural two-tier risk classification system, analogous to the 2σ and 3σ limits used in statistical process control [Source: zink2018_article_rethinkingtheclinicallybasedth.pdf, pp. 2–4].</w:t>
      </w:r>
    </w:p>
    <w:p w:rsidR="00000000" w:rsidDel="00000000" w:rsidP="00000000" w:rsidRDefault="00000000" w:rsidRPr="00000000" w14:paraId="0000004D">
      <w:pPr>
        <w:rPr/>
      </w:pPr>
      <w:r w:rsidDel="00000000" w:rsidR="00000000" w:rsidRPr="00000000">
        <w:rPr>
          <w:rtl w:val="0"/>
        </w:rPr>
        <w:t xml:space="preserve">We recommend probability funnel–based KRI assessment as the standard methodology, with extensions to account for:</w:t>
      </w:r>
    </w:p>
    <w:p w:rsidR="00000000" w:rsidDel="00000000" w:rsidP="00000000" w:rsidRDefault="00000000" w:rsidRPr="00000000" w14:paraId="0000004E">
      <w:pPr>
        <w:numPr>
          <w:ilvl w:val="0"/>
          <w:numId w:val="25"/>
        </w:numPr>
        <w:ind w:left="720" w:hanging="360"/>
        <w:rPr/>
      </w:pPr>
      <w:r w:rsidDel="00000000" w:rsidR="00000000" w:rsidRPr="00000000">
        <w:rPr>
          <w:b w:val="1"/>
          <w:bCs w:val="1"/>
          <w:rtl w:val="0"/>
        </w:rPr>
        <w:t xml:space="preserve">Patient exposure (time on study):</w:t>
      </w:r>
      <w:r w:rsidDel="00000000" w:rsidR="00000000" w:rsidRPr="00000000">
        <w:rPr>
          <w:rtl w:val="0"/>
        </w:rPr>
        <w:t xml:space="preserve"> Using exposure-adjusted incidence rates (EAIRs) rather than crude proportions, to avoid misleading results when follow-up time varies substantially across sites [Source: zink2018_article_rethinkingtheclinicallybasedth.pdf, pp. 3–4].</w:t>
      </w:r>
    </w:p>
    <w:p w:rsidR="00000000" w:rsidDel="00000000" w:rsidP="00000000" w:rsidRDefault="00000000" w:rsidRPr="00000000" w14:paraId="0000004F">
      <w:pPr>
        <w:numPr>
          <w:ilvl w:val="0"/>
          <w:numId w:val="25"/>
        </w:numPr>
        <w:ind w:left="720" w:hanging="360"/>
        <w:rPr/>
      </w:pPr>
      <w:r w:rsidDel="00000000" w:rsidR="00000000" w:rsidRPr="00000000">
        <w:rPr>
          <w:b w:val="1"/>
          <w:bCs w:val="1"/>
          <w:rtl w:val="0"/>
        </w:rPr>
        <w:t xml:space="preserve">Changing risk over time:</w:t>
      </w:r>
      <w:r w:rsidDel="00000000" w:rsidR="00000000" w:rsidRPr="00000000">
        <w:rPr>
          <w:rtl w:val="0"/>
        </w:rPr>
        <w:t xml:space="preserve"> Using time-windowed funnel plots that reassess control limits based on contemporaneous data, recognizing that AE rates, dropout risk, and other metrics may evolve as patients develop drug tolerability or accumulate exposure [Source: zink2018_article_rethinkingtheclinicallybasedth.pdf, p. 2].</w:t>
      </w:r>
    </w:p>
    <w:p w:rsidR="00000000" w:rsidDel="00000000" w:rsidP="00000000" w:rsidRDefault="00000000" w:rsidRPr="00000000" w14:paraId="00000050">
      <w:pPr>
        <w:rPr/>
      </w:pPr>
      <w:r w:rsidDel="00000000" w:rsidR="00000000" w:rsidRPr="00000000">
        <w:rPr>
          <w:rtl w:val="0"/>
        </w:rPr>
        <w:t xml:space="preserve">An </w:t>
      </w:r>
      <w:r w:rsidDel="00000000" w:rsidR="00000000" w:rsidRPr="00000000">
        <w:rPr>
          <w:b w:val="1"/>
          <w:bCs w:val="1"/>
          <w:rtl w:val="0"/>
        </w:rPr>
        <w:t xml:space="preserve">overall risk score</w:t>
      </w:r>
      <w:r w:rsidDel="00000000" w:rsidR="00000000" w:rsidRPr="00000000">
        <w:rPr>
          <w:rtl w:val="0"/>
        </w:rPr>
        <w:t xml:space="preserve"> for each site can be computed as a weighted sum of z-scores across KRIs, with weights determined by KRI importance. Sites can then be ranked by risk percentile, enabling prioritized monitoring [Source: external_presentation____analytics_transforming_clinical_trial_oversight.pptx, p. 7].</w:t>
      </w:r>
    </w:p>
    <w:p w:rsidR="00000000" w:rsidDel="00000000" w:rsidP="00000000" w:rsidRDefault="00000000" w:rsidRPr="00000000" w14:paraId="00000051">
      <w:pPr>
        <w:rPr>
          <w:b w:val="1"/>
          <w:bCs w:val="1"/>
        </w:rPr>
      </w:pPr>
      <w:r w:rsidDel="00000000" w:rsidR="00000000" w:rsidRPr="00000000">
        <w:rPr>
          <w:b w:val="1"/>
          <w:bCs w:val="1"/>
          <w:rtl w:val="0"/>
        </w:rPr>
        <w:t xml:space="preserve">2.3 Site- and Patient-Level Anomaly Detection</w:t>
      </w:r>
    </w:p>
    <w:p w:rsidR="00000000" w:rsidDel="00000000" w:rsidP="00000000" w:rsidRDefault="00000000" w:rsidRPr="00000000" w14:paraId="00000052">
      <w:pPr>
        <w:rPr/>
      </w:pPr>
      <w:r w:rsidDel="00000000" w:rsidR="00000000" w:rsidRPr="00000000">
        <w:rPr>
          <w:b w:val="1"/>
          <w:bCs w:val="1"/>
          <w:rtl w:val="0"/>
        </w:rPr>
        <w:t xml:space="preserve">Rationale.</w:t>
      </w:r>
      <w:r w:rsidDel="00000000" w:rsidR="00000000" w:rsidRPr="00000000">
        <w:rPr>
          <w:rtl w:val="0"/>
        </w:rPr>
        <w:t xml:space="preserve"> While QTLs and KRIs monitor pre-specified risks based on known operational metrics, </w:t>
      </w:r>
      <w:r w:rsidDel="00000000" w:rsidR="00000000" w:rsidRPr="00000000">
        <w:rPr>
          <w:b w:val="1"/>
          <w:bCs w:val="1"/>
          <w:rtl w:val="0"/>
        </w:rPr>
        <w:t xml:space="preserve">anomaly detection</w:t>
      </w:r>
      <w:r w:rsidDel="00000000" w:rsidR="00000000" w:rsidRPr="00000000">
        <w:rPr>
          <w:rtl w:val="0"/>
        </w:rPr>
        <w:t xml:space="preserve"> methods take a data-driven, often unsupervised approach to identify unexpected patterns in clinical data that may indicate fraud, fabrication, sloppiness, or systematic errors. Anomaly detection complements KRI monitoring by capturing risks that were not anticipated or pre-specified [Source: data_driven_risk_case.pdf, pp. 4–5].</w:t>
      </w:r>
    </w:p>
    <w:p w:rsidR="00000000" w:rsidDel="00000000" w:rsidP="00000000" w:rsidRDefault="00000000" w:rsidRPr="00000000" w14:paraId="00000053">
      <w:pPr>
        <w:rPr/>
      </w:pPr>
      <w:r w:rsidDel="00000000" w:rsidR="00000000" w:rsidRPr="00000000">
        <w:rPr>
          <w:b w:val="1"/>
          <w:bCs w:val="1"/>
          <w:rtl w:val="0"/>
        </w:rPr>
        <w:t xml:space="preserve">Principles of Central Statistical Monitoring (CSM).</w:t>
      </w:r>
      <w:r w:rsidDel="00000000" w:rsidR="00000000" w:rsidRPr="00000000">
        <w:rPr>
          <w:rtl w:val="0"/>
        </w:rPr>
        <w:t xml:space="preserve"> The CSM paradigm, as described by Venet, Buyse, and colleagues, rests on the premise that data collected across sites following the same protocol should be statistically consistent. Systematic departures from this consistency—atypical data patterns—signal potential quality issues [Source: detection_of_fraud_in_a_clinical_trial_using_unsupervised_statistical___monitoring.pdf, p. 2; data_driven_risk_case.pdf, p. 4].</w:t>
      </w:r>
    </w:p>
    <w:p w:rsidR="00000000" w:rsidDel="00000000" w:rsidP="00000000" w:rsidRDefault="00000000" w:rsidRPr="00000000" w14:paraId="00000054">
      <w:pPr>
        <w:rPr/>
      </w:pPr>
      <w:r w:rsidDel="00000000" w:rsidR="00000000" w:rsidRPr="00000000">
        <w:rPr>
          <w:rtl w:val="0"/>
        </w:rPr>
        <w:t xml:space="preserve">CSM is:</w:t>
      </w:r>
    </w:p>
    <w:p w:rsidR="00000000" w:rsidDel="00000000" w:rsidP="00000000" w:rsidRDefault="00000000" w:rsidRPr="00000000" w14:paraId="00000055">
      <w:pPr>
        <w:numPr>
          <w:ilvl w:val="0"/>
          <w:numId w:val="32"/>
        </w:numPr>
        <w:ind w:left="720" w:hanging="360"/>
        <w:rPr/>
      </w:pPr>
      <w:r w:rsidDel="00000000" w:rsidR="00000000" w:rsidRPr="00000000">
        <w:rPr>
          <w:b w:val="1"/>
          <w:bCs w:val="1"/>
          <w:rtl w:val="0"/>
        </w:rPr>
        <w:t xml:space="preserve">Unsupervised:</w:t>
      </w:r>
      <w:r w:rsidDel="00000000" w:rsidR="00000000" w:rsidRPr="00000000">
        <w:rPr>
          <w:rtl w:val="0"/>
        </w:rPr>
        <w:t xml:space="preserve"> It requires no prior specification of the risks being searched for.</w:t>
      </w:r>
    </w:p>
    <w:p w:rsidR="00000000" w:rsidDel="00000000" w:rsidP="00000000" w:rsidRDefault="00000000" w:rsidRPr="00000000" w14:paraId="00000056">
      <w:pPr>
        <w:numPr>
          <w:ilvl w:val="0"/>
          <w:numId w:val="32"/>
        </w:numPr>
        <w:ind w:left="720" w:hanging="360"/>
        <w:rPr/>
      </w:pPr>
      <w:r w:rsidDel="00000000" w:rsidR="00000000" w:rsidRPr="00000000">
        <w:rPr>
          <w:b w:val="1"/>
          <w:bCs w:val="1"/>
          <w:rtl w:val="0"/>
        </w:rPr>
        <w:t xml:space="preserve">Exhaustive:</w:t>
      </w:r>
      <w:r w:rsidDel="00000000" w:rsidR="00000000" w:rsidRPr="00000000">
        <w:rPr>
          <w:rtl w:val="0"/>
        </w:rPr>
        <w:t xml:space="preserve"> It applies a battery of statistical tests to all patient-level variables.</w:t>
      </w:r>
    </w:p>
    <w:p w:rsidR="00000000" w:rsidDel="00000000" w:rsidP="00000000" w:rsidRDefault="00000000" w:rsidRPr="00000000" w14:paraId="00000057">
      <w:pPr>
        <w:numPr>
          <w:ilvl w:val="0"/>
          <w:numId w:val="32"/>
        </w:numPr>
        <w:ind w:left="720" w:hanging="360"/>
        <w:rPr/>
      </w:pPr>
      <w:r w:rsidDel="00000000" w:rsidR="00000000" w:rsidRPr="00000000">
        <w:rPr>
          <w:b w:val="1"/>
          <w:bCs w:val="1"/>
          <w:rtl w:val="0"/>
        </w:rPr>
        <w:t xml:space="preserve">Trial-adaptive:</w:t>
      </w:r>
      <w:r w:rsidDel="00000000" w:rsidR="00000000" w:rsidRPr="00000000">
        <w:rPr>
          <w:rtl w:val="0"/>
        </w:rPr>
        <w:t xml:space="preserve"> The KRIs it generates are driven by the actual data collected, not pre-defined templates.</w:t>
      </w:r>
    </w:p>
    <w:p w:rsidR="00000000" w:rsidDel="00000000" w:rsidP="00000000" w:rsidRDefault="00000000" w:rsidRPr="00000000" w14:paraId="00000058">
      <w:pPr>
        <w:numPr>
          <w:ilvl w:val="0"/>
          <w:numId w:val="32"/>
        </w:numPr>
        <w:ind w:left="720" w:hanging="360"/>
        <w:rPr/>
      </w:pPr>
      <w:r w:rsidDel="00000000" w:rsidR="00000000" w:rsidRPr="00000000">
        <w:rPr>
          <w:b w:val="1"/>
          <w:bCs w:val="1"/>
          <w:rtl w:val="0"/>
        </w:rPr>
        <w:t xml:space="preserve">Actionable:</w:t>
      </w:r>
      <w:r w:rsidDel="00000000" w:rsidR="00000000" w:rsidRPr="00000000">
        <w:rPr>
          <w:rtl w:val="0"/>
        </w:rPr>
        <w:t xml:space="preserve"> It identifies specific centers, variables, and test types associated with atypical findings.</w:t>
      </w:r>
    </w:p>
    <w:p w:rsidR="00000000" w:rsidDel="00000000" w:rsidP="00000000" w:rsidRDefault="00000000" w:rsidRPr="00000000" w14:paraId="00000059">
      <w:pPr>
        <w:rPr/>
      </w:pPr>
      <w:r w:rsidDel="00000000" w:rsidR="00000000" w:rsidRPr="00000000">
        <w:rPr>
          <w:b w:val="1"/>
          <w:bCs w:val="1"/>
          <w:rtl w:val="0"/>
        </w:rPr>
        <w:t xml:space="preserve">Statistical Methods.</w:t>
      </w:r>
      <w:r w:rsidDel="00000000" w:rsidR="00000000" w:rsidRPr="00000000">
        <w:rPr>
          <w:rtl w:val="0"/>
        </w:rPr>
        <w:t xml:space="preserve"> A comprehensive CSM framework applies multiple categories of statistical tests:</w:t>
      </w:r>
    </w:p>
    <w:tbl>
      <w:tblPr>
        <w:tblStyle w:val="Table2"/>
        <w:tblW w:w="9360.0" w:type="dxa"/>
        <w:jc w:val="left"/>
        <w:tblLayout w:type="fixed"/>
        <w:tblLook w:val="0400"/>
      </w:tblPr>
      <w:tblGrid>
        <w:gridCol w:w="2119"/>
        <w:gridCol w:w="2624"/>
        <w:gridCol w:w="4617"/>
        <w:tblGridChange w:id="0">
          <w:tblGrid>
            <w:gridCol w:w="2119"/>
            <w:gridCol w:w="2624"/>
            <w:gridCol w:w="4617"/>
          </w:tblGrid>
        </w:tblGridChange>
      </w:tblGrid>
      <w:tr>
        <w:trPr>
          <w:cantSplit w:val="0"/>
          <w:tblHeader w:val="1"/>
        </w:trPr>
        <w:tc>
          <w:tcPr>
            <w:vAlign w:val="center"/>
          </w:tcPr>
          <w:p w:rsidR="00000000" w:rsidDel="00000000" w:rsidP="00000000" w:rsidRDefault="00000000" w:rsidRPr="00000000" w14:paraId="0000005A">
            <w:pPr>
              <w:rPr>
                <w:b w:val="1"/>
                <w:bCs w:val="1"/>
              </w:rPr>
            </w:pPr>
            <w:r w:rsidDel="00000000" w:rsidR="00000000" w:rsidRPr="00000000">
              <w:rPr>
                <w:b w:val="1"/>
                <w:bCs w:val="1"/>
                <w:rtl w:val="0"/>
              </w:rPr>
              <w:t xml:space="preserve">Module</w:t>
            </w:r>
          </w:p>
        </w:tc>
        <w:tc>
          <w:tcPr>
            <w:vAlign w:val="center"/>
          </w:tcPr>
          <w:p w:rsidR="00000000" w:rsidDel="00000000" w:rsidP="00000000" w:rsidRDefault="00000000" w:rsidRPr="00000000" w14:paraId="0000005B">
            <w:pPr>
              <w:rPr>
                <w:b w:val="1"/>
                <w:bCs w:val="1"/>
              </w:rPr>
            </w:pPr>
            <w:r w:rsidDel="00000000" w:rsidR="00000000" w:rsidRPr="00000000">
              <w:rPr>
                <w:b w:val="1"/>
                <w:bCs w:val="1"/>
                <w:rtl w:val="0"/>
              </w:rPr>
              <w:t xml:space="preserve">Statistical Method</w:t>
            </w:r>
          </w:p>
        </w:tc>
        <w:tc>
          <w:tcPr>
            <w:vAlign w:val="center"/>
          </w:tcPr>
          <w:p w:rsidR="00000000" w:rsidDel="00000000" w:rsidP="00000000" w:rsidRDefault="00000000" w:rsidRPr="00000000" w14:paraId="0000005C">
            <w:pPr>
              <w:rPr>
                <w:b w:val="1"/>
                <w:bCs w:val="1"/>
              </w:rPr>
            </w:pPr>
            <w:r w:rsidDel="00000000" w:rsidR="00000000" w:rsidRPr="00000000">
              <w:rPr>
                <w:b w:val="1"/>
                <w:bCs w:val="1"/>
                <w:rtl w:val="0"/>
              </w:rPr>
              <w:t xml:space="preserve">Signals of Potential Issue</w:t>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rtl w:val="0"/>
              </w:rPr>
              <w:t xml:space="preserve">Outlier detection</w:t>
            </w:r>
          </w:p>
        </w:tc>
        <w:tc>
          <w:tcPr>
            <w:vAlign w:val="center"/>
          </w:tcPr>
          <w:p w:rsidR="00000000" w:rsidDel="00000000" w:rsidP="00000000" w:rsidRDefault="00000000" w:rsidRPr="00000000" w14:paraId="0000005E">
            <w:pPr>
              <w:rPr/>
            </w:pPr>
            <w:r w:rsidDel="00000000" w:rsidR="00000000" w:rsidRPr="00000000">
              <w:rPr>
                <w:rtl w:val="0"/>
              </w:rPr>
              <w:t xml:space="preserve">Isolation forest, multivariate methods</w:t>
            </w:r>
          </w:p>
        </w:tc>
        <w:tc>
          <w:tcPr>
            <w:vAlign w:val="center"/>
          </w:tcPr>
          <w:p w:rsidR="00000000" w:rsidDel="00000000" w:rsidP="00000000" w:rsidRDefault="00000000" w:rsidRPr="00000000" w14:paraId="0000005F">
            <w:pPr>
              <w:rPr/>
            </w:pPr>
            <w:r w:rsidDel="00000000" w:rsidR="00000000" w:rsidRPr="00000000">
              <w:rPr>
                <w:rtl w:val="0"/>
              </w:rPr>
              <w:t xml:space="preserve">Site with patients having measures out of range or inconsistent across correlated variables</w:t>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rtl w:val="0"/>
              </w:rPr>
              <w:t xml:space="preserve">Duplication detection</w:t>
            </w:r>
          </w:p>
        </w:tc>
        <w:tc>
          <w:tcPr>
            <w:vAlign w:val="center"/>
          </w:tcPr>
          <w:p w:rsidR="00000000" w:rsidDel="00000000" w:rsidP="00000000" w:rsidRDefault="00000000" w:rsidRPr="00000000" w14:paraId="00000061">
            <w:pPr>
              <w:rPr/>
            </w:pPr>
            <w:r w:rsidDel="00000000" w:rsidR="00000000" w:rsidRPr="00000000">
              <w:rPr>
                <w:rtl w:val="0"/>
              </w:rPr>
              <w:t xml:space="preserve">Mahalanobis distance</w:t>
            </w:r>
          </w:p>
        </w:tc>
        <w:tc>
          <w:tcPr>
            <w:vAlign w:val="center"/>
          </w:tcPr>
          <w:p w:rsidR="00000000" w:rsidDel="00000000" w:rsidP="00000000" w:rsidRDefault="00000000" w:rsidRPr="00000000" w14:paraId="00000062">
            <w:pPr>
              <w:rPr/>
            </w:pPr>
            <w:r w:rsidDel="00000000" w:rsidR="00000000" w:rsidRPr="00000000">
              <w:rPr>
                <w:rtl w:val="0"/>
              </w:rPr>
              <w:t xml:space="preserve">Data for one patient entered for other patients (data duplication)</w:t>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rtl w:val="0"/>
              </w:rPr>
              <w:t xml:space="preserve">Propagation detection</w:t>
            </w:r>
          </w:p>
        </w:tc>
        <w:tc>
          <w:tcPr>
            <w:vAlign w:val="center"/>
          </w:tcPr>
          <w:p w:rsidR="00000000" w:rsidDel="00000000" w:rsidP="00000000" w:rsidRDefault="00000000" w:rsidRPr="00000000" w14:paraId="00000064">
            <w:pPr>
              <w:rPr/>
            </w:pPr>
            <w:r w:rsidDel="00000000" w:rsidR="00000000" w:rsidRPr="00000000">
              <w:rPr>
                <w:rtl w:val="0"/>
              </w:rPr>
              <w:t xml:space="preserve">General regressions, mixed-effects models</w:t>
            </w:r>
          </w:p>
        </w:tc>
        <w:tc>
          <w:tcPr>
            <w:vAlign w:val="center"/>
          </w:tcPr>
          <w:p w:rsidR="00000000" w:rsidDel="00000000" w:rsidP="00000000" w:rsidRDefault="00000000" w:rsidRPr="00000000" w14:paraId="00000065">
            <w:pPr>
              <w:rPr/>
            </w:pPr>
            <w:r w:rsidDel="00000000" w:rsidR="00000000" w:rsidRPr="00000000">
              <w:rPr>
                <w:rtl w:val="0"/>
              </w:rPr>
              <w:t xml:space="preserve">Data entered for patients who have discontinued, using prior data (data fabrication)</w:t>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rtl w:val="0"/>
              </w:rPr>
              <w:t xml:space="preserve">Inflation/deflation</w:t>
            </w:r>
          </w:p>
        </w:tc>
        <w:tc>
          <w:tcPr>
            <w:vAlign w:val="center"/>
          </w:tcPr>
          <w:p w:rsidR="00000000" w:rsidDel="00000000" w:rsidP="00000000" w:rsidRDefault="00000000" w:rsidRPr="00000000" w14:paraId="00000067">
            <w:pPr>
              <w:rPr/>
            </w:pPr>
            <w:r w:rsidDel="00000000" w:rsidR="00000000" w:rsidRPr="00000000">
              <w:rPr>
                <w:rtl w:val="0"/>
              </w:rPr>
              <w:t xml:space="preserve">Probability funnels</w:t>
            </w:r>
          </w:p>
        </w:tc>
        <w:tc>
          <w:tcPr>
            <w:vAlign w:val="center"/>
          </w:tcPr>
          <w:p w:rsidR="00000000" w:rsidDel="00000000" w:rsidP="00000000" w:rsidRDefault="00000000" w:rsidRPr="00000000" w14:paraId="00000068">
            <w:pPr>
              <w:rPr/>
            </w:pPr>
            <w:r w:rsidDel="00000000" w:rsidR="00000000" w:rsidRPr="00000000">
              <w:rPr>
                <w:rtl w:val="0"/>
              </w:rPr>
              <w:t xml:space="preserve">Site inflation of improvement leading to anomalous responder rates</w:t>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tl w:val="0"/>
              </w:rPr>
              <w:t xml:space="preserve">Eligibility manipulation</w:t>
            </w:r>
          </w:p>
        </w:tc>
        <w:tc>
          <w:tcPr>
            <w:vAlign w:val="center"/>
          </w:tcPr>
          <w:p w:rsidR="00000000" w:rsidDel="00000000" w:rsidP="00000000" w:rsidRDefault="00000000" w:rsidRPr="00000000" w14:paraId="0000006A">
            <w:pPr>
              <w:rPr/>
            </w:pPr>
            <w:r w:rsidDel="00000000" w:rsidR="00000000" w:rsidRPr="00000000">
              <w:rPr>
                <w:rtl w:val="0"/>
              </w:rPr>
              <w:t xml:space="preserve">Probability funnels</w:t>
            </w:r>
          </w:p>
        </w:tc>
        <w:tc>
          <w:tcPr>
            <w:vAlign w:val="center"/>
          </w:tcPr>
          <w:p w:rsidR="00000000" w:rsidDel="00000000" w:rsidP="00000000" w:rsidRDefault="00000000" w:rsidRPr="00000000" w14:paraId="0000006B">
            <w:pPr>
              <w:rPr/>
            </w:pPr>
            <w:r w:rsidDel="00000000" w:rsidR="00000000" w:rsidRPr="00000000">
              <w:rPr>
                <w:rtl w:val="0"/>
              </w:rPr>
              <w:t xml:space="preserve">Site inflation of disease severity to enable patient eligibility</w:t>
            </w:r>
          </w:p>
        </w:tc>
      </w:tr>
    </w:tbl>
    <w:p w:rsidR="00000000" w:rsidDel="00000000" w:rsidP="00000000" w:rsidRDefault="00000000" w:rsidRPr="00000000" w14:paraId="0000006C">
      <w:pPr>
        <w:rPr/>
      </w:pPr>
      <w:r w:rsidDel="00000000" w:rsidR="00000000" w:rsidRPr="00000000">
        <w:rPr>
          <w:rtl w:val="0"/>
        </w:rPr>
        <w:t xml:space="preserve">[Source: external_presentation____analytics_transforming_clinical_trial_oversight.pptx, p. 8]</w:t>
      </w:r>
    </w:p>
    <w:p w:rsidR="00000000" w:rsidDel="00000000" w:rsidP="00000000" w:rsidRDefault="00000000" w:rsidRPr="00000000" w14:paraId="0000006D">
      <w:pPr>
        <w:rPr/>
      </w:pPr>
      <w:r w:rsidDel="00000000" w:rsidR="00000000" w:rsidRPr="00000000">
        <w:rPr>
          <w:b w:val="1"/>
          <w:bCs w:val="1"/>
          <w:rtl w:val="0"/>
        </w:rPr>
        <w:t xml:space="preserve">Data Inconsistency Score (DIS).</w:t>
      </w:r>
      <w:r w:rsidDel="00000000" w:rsidR="00000000" w:rsidRPr="00000000">
        <w:rPr>
          <w:rtl w:val="0"/>
        </w:rPr>
        <w:t xml:space="preserve"> To summarize the multitude of individual test results for each center, the Data Inconsistency Score computes a weighted geometric mean of all p-values, with down-weighting of highly correlated tests. A DIS &gt; 1.3 (corresponding to an overall p-value &lt; 0.05) flags a center whose data significantly differ from the data of all other centers [Source: detection_of_fraud_in_a_clinical_trial_using_unsupervised_statistical___monitoring.pdf, pp. 1–2]. The operating characteristics of the DIS have been validated through simulations based on actual trial data, demonstrating specificity better than 93% across all contamination scenarios and increasing sensitivity with greater proportions of patients and variables affected [Source: trotta2019_clinicaltrials_atypical_data_in_stats_monitoring.pdf, pp. 1–2].</w:t>
      </w:r>
    </w:p>
    <w:p w:rsidR="00000000" w:rsidDel="00000000" w:rsidP="00000000" w:rsidRDefault="00000000" w:rsidRPr="00000000" w14:paraId="0000006E">
      <w:pPr>
        <w:rPr/>
      </w:pPr>
      <w:r w:rsidDel="00000000" w:rsidR="00000000" w:rsidRPr="00000000">
        <w:rPr>
          <w:b w:val="1"/>
          <w:bCs w:val="1"/>
          <w:rtl w:val="0"/>
        </w:rPr>
        <w:t xml:space="preserve">Risk Score Models.</w:t>
      </w:r>
      <w:r w:rsidDel="00000000" w:rsidR="00000000" w:rsidRPr="00000000">
        <w:rPr>
          <w:rtl w:val="0"/>
        </w:rPr>
        <w:t xml:space="preserve"> Pogue et al. developed and validated a series of risk scores using data from the POISE trial, where 9 of 109 centers had documented fabricated data. Five distinct risk scores were identified, each with area under the curve (AUC) values ranging from 0.90 to 0.95 for discriminating between centers with and without fabricated data. The risk scores were derived through exploratory factor analysis to reduce 52 candidate predictors to 18 independent predictors, organized into five complementary models [Source: central_statistical_monitoring__detecting_fraud_in_clinical_trials.pdf, pp. 1–4].</w:t>
      </w:r>
    </w:p>
    <w:p w:rsidR="00000000" w:rsidDel="00000000" w:rsidP="00000000" w:rsidRDefault="00000000" w:rsidRPr="00000000" w14:paraId="0000006F">
      <w:pPr>
        <w:rPr/>
      </w:pPr>
      <w:r w:rsidDel="00000000" w:rsidR="00000000" w:rsidRPr="00000000">
        <w:rPr>
          <w:b w:val="1"/>
          <w:bCs w:val="1"/>
          <w:rtl w:val="0"/>
        </w:rPr>
        <w:t xml:space="preserve">Early Detection.</w:t>
      </w:r>
      <w:r w:rsidDel="00000000" w:rsidR="00000000" w:rsidRPr="00000000">
        <w:rPr>
          <w:rtl w:val="0"/>
        </w:rPr>
        <w:t xml:space="preserve"> Importantly, anomaly detection can identify problematic sites early in the trial. De Viron et al. demonstrated that the center with known fraud in the ESPS2 trial (center #2013, which randomized 438 patients with fabricated data) could have been detected as atypical when only 25% of the final data volume was available—with less than half the patients randomized [Source: detection_of_fraud_in_a_clinical_trial_using_unsupervised_statistical___monitoring.pdf, p. 5].</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3. Best-Practice Response Frameworks After Risk Identification</w:t>
      </w:r>
    </w:p>
    <w:p w:rsidR="00000000" w:rsidDel="00000000" w:rsidP="00000000" w:rsidRDefault="00000000" w:rsidRPr="00000000" w14:paraId="00000072">
      <w:pPr>
        <w:rPr>
          <w:b w:val="1"/>
          <w:bCs w:val="1"/>
        </w:rPr>
      </w:pPr>
      <w:r w:rsidDel="00000000" w:rsidR="00000000" w:rsidRPr="00000000">
        <w:rPr>
          <w:b w:val="1"/>
          <w:bCs w:val="1"/>
          <w:rtl w:val="0"/>
        </w:rPr>
        <w:t xml:space="preserve">3.1 The Critical Gap: From Signal to Action</w:t>
      </w:r>
    </w:p>
    <w:p w:rsidR="00000000" w:rsidDel="00000000" w:rsidP="00000000" w:rsidRDefault="00000000" w:rsidRPr="00000000" w14:paraId="00000073">
      <w:pPr>
        <w:rPr/>
      </w:pPr>
      <w:r w:rsidDel="00000000" w:rsidR="00000000" w:rsidRPr="00000000">
        <w:rPr>
          <w:rtl w:val="0"/>
        </w:rPr>
        <w:t xml:space="preserve">As noted in our introduction, the literature on risk detection is substantially more developed than the literature on response. Yet </w:t>
      </w:r>
      <w:r w:rsidDel="00000000" w:rsidR="00000000" w:rsidRPr="00000000">
        <w:rPr>
          <w:b w:val="1"/>
          <w:bCs w:val="1"/>
          <w:rtl w:val="0"/>
        </w:rPr>
        <w:t xml:space="preserve">risk detection without action does not improve trial outcomes</w:t>
      </w:r>
      <w:r w:rsidDel="00000000" w:rsidR="00000000" w:rsidRPr="00000000">
        <w:rPr>
          <w:rtl w:val="0"/>
        </w:rPr>
        <w:t xml:space="preserve"> [Source: additional_materials.docx, p. 4; email_summaries.docx, p. 5]. Effective monitoring requires structured, cross-functional action pathways that translate signals into proportionate interventions.</w:t>
      </w:r>
    </w:p>
    <w:p w:rsidR="00000000" w:rsidDel="00000000" w:rsidP="00000000" w:rsidRDefault="00000000" w:rsidRPr="00000000" w14:paraId="00000074">
      <w:pPr>
        <w:rPr/>
      </w:pPr>
      <w:r w:rsidDel="00000000" w:rsidR="00000000" w:rsidRPr="00000000">
        <w:rPr>
          <w:rtl w:val="0"/>
        </w:rPr>
        <w:t xml:space="preserve">Below we present response frameworks specific to each tier of risk monitoring.</w:t>
      </w:r>
    </w:p>
    <w:p w:rsidR="00000000" w:rsidDel="00000000" w:rsidP="00000000" w:rsidRDefault="00000000" w:rsidRPr="00000000" w14:paraId="00000075">
      <w:pPr>
        <w:rPr>
          <w:b w:val="1"/>
          <w:bCs w:val="1"/>
        </w:rPr>
      </w:pPr>
      <w:r w:rsidDel="00000000" w:rsidR="00000000" w:rsidRPr="00000000">
        <w:rPr>
          <w:b w:val="1"/>
          <w:bCs w:val="1"/>
          <w:rtl w:val="0"/>
        </w:rPr>
        <w:t xml:space="preserve">3.2 KRI Response Framework</w:t>
      </w:r>
    </w:p>
    <w:p w:rsidR="00000000" w:rsidDel="00000000" w:rsidP="00000000" w:rsidRDefault="00000000" w:rsidRPr="00000000" w14:paraId="00000076">
      <w:pPr>
        <w:rPr/>
      </w:pPr>
      <w:r w:rsidDel="00000000" w:rsidR="00000000" w:rsidRPr="00000000">
        <w:rPr>
          <w:rtl w:val="0"/>
        </w:rPr>
        <w:t xml:space="preserve">When a site is flagged through KRI monitoring:</w:t>
      </w:r>
    </w:p>
    <w:p w:rsidR="00000000" w:rsidDel="00000000" w:rsidP="00000000" w:rsidRDefault="00000000" w:rsidRPr="00000000" w14:paraId="00000077">
      <w:pPr>
        <w:rPr/>
      </w:pPr>
      <w:r w:rsidDel="00000000" w:rsidR="00000000" w:rsidRPr="00000000">
        <w:rPr>
          <w:b w:val="1"/>
          <w:bCs w:val="1"/>
          <w:rtl w:val="0"/>
        </w:rPr>
        <w:t xml:space="preserve">Step 1: Identification and Triage.</w:t>
      </w:r>
      <w:r w:rsidDel="00000000" w:rsidR="00000000" w:rsidRPr="00000000">
        <w:rPr>
          <w:rtl w:val="0"/>
        </w:rPr>
      </w:r>
    </w:p>
    <w:p w:rsidR="00000000" w:rsidDel="00000000" w:rsidP="00000000" w:rsidRDefault="00000000" w:rsidRPr="00000000" w14:paraId="00000078">
      <w:pPr>
        <w:numPr>
          <w:ilvl w:val="0"/>
          <w:numId w:val="33"/>
        </w:numPr>
        <w:ind w:left="720" w:hanging="360"/>
        <w:rPr/>
      </w:pPr>
      <w:r w:rsidDel="00000000" w:rsidR="00000000" w:rsidRPr="00000000">
        <w:rPr>
          <w:rtl w:val="0"/>
        </w:rPr>
        <w:t xml:space="preserve">Sites exceeding the warning limit (95% CI) or action limit (99.7% CI) are identified through automated dashboards and alert systems.</w:t>
      </w:r>
    </w:p>
    <w:p w:rsidR="00000000" w:rsidDel="00000000" w:rsidP="00000000" w:rsidRDefault="00000000" w:rsidRPr="00000000" w14:paraId="00000079">
      <w:pPr>
        <w:numPr>
          <w:ilvl w:val="0"/>
          <w:numId w:val="33"/>
        </w:numPr>
        <w:ind w:left="720" w:hanging="360"/>
        <w:rPr/>
      </w:pPr>
      <w:r w:rsidDel="00000000" w:rsidR="00000000" w:rsidRPr="00000000">
        <w:rPr>
          <w:rtl w:val="0"/>
        </w:rPr>
        <w:t xml:space="preserve">A triage meeting involving the study statistician, clinical research associate (CRA) manager, and central monitoring lead reviews the flagged sites and contextualizes the signals (e.g., known site-specific factors, recently implemented protocol amendments).</w:t>
      </w:r>
    </w:p>
    <w:p w:rsidR="00000000" w:rsidDel="00000000" w:rsidP="00000000" w:rsidRDefault="00000000" w:rsidRPr="00000000" w14:paraId="0000007A">
      <w:pPr>
        <w:rPr/>
      </w:pPr>
      <w:r w:rsidDel="00000000" w:rsidR="00000000" w:rsidRPr="00000000">
        <w:rPr>
          <w:b w:val="1"/>
          <w:bCs w:val="1"/>
          <w:rtl w:val="0"/>
        </w:rPr>
        <w:t xml:space="preserve">Step 2: CRA-Led Investigation.</w:t>
      </w:r>
      <w:r w:rsidDel="00000000" w:rsidR="00000000" w:rsidRPr="00000000">
        <w:rPr>
          <w:rtl w:val="0"/>
        </w:rPr>
      </w:r>
    </w:p>
    <w:p w:rsidR="00000000" w:rsidDel="00000000" w:rsidP="00000000" w:rsidRDefault="00000000" w:rsidRPr="00000000" w14:paraId="0000007B">
      <w:pPr>
        <w:numPr>
          <w:ilvl w:val="0"/>
          <w:numId w:val="34"/>
        </w:numPr>
        <w:ind w:left="720" w:hanging="360"/>
        <w:rPr/>
      </w:pPr>
      <w:r w:rsidDel="00000000" w:rsidR="00000000" w:rsidRPr="00000000">
        <w:rPr>
          <w:rtl w:val="0"/>
        </w:rPr>
        <w:t xml:space="preserve">For KRI-driven signals (e.g., enrollment rate, retention rate, AE reporting rate), the CRA team leads the investigation, as these signals are predominantly operational in nature.</w:t>
      </w:r>
    </w:p>
    <w:p w:rsidR="00000000" w:rsidDel="00000000" w:rsidP="00000000" w:rsidRDefault="00000000" w:rsidRPr="00000000" w14:paraId="0000007C">
      <w:pPr>
        <w:numPr>
          <w:ilvl w:val="0"/>
          <w:numId w:val="34"/>
        </w:numPr>
        <w:ind w:left="720" w:hanging="360"/>
        <w:rPr/>
      </w:pPr>
      <w:r w:rsidDel="00000000" w:rsidR="00000000" w:rsidRPr="00000000">
        <w:rPr>
          <w:rtl w:val="0"/>
        </w:rPr>
        <w:t xml:space="preserve">Investigation activities may include: </w:t>
      </w:r>
    </w:p>
    <w:p w:rsidR="00000000" w:rsidDel="00000000" w:rsidP="00000000" w:rsidRDefault="00000000" w:rsidRPr="00000000" w14:paraId="0000007D">
      <w:pPr>
        <w:numPr>
          <w:ilvl w:val="1"/>
          <w:numId w:val="34"/>
        </w:numPr>
        <w:ind w:left="1440" w:hanging="360"/>
        <w:rPr/>
      </w:pPr>
      <w:r w:rsidDel="00000000" w:rsidR="00000000" w:rsidRPr="00000000">
        <w:rPr>
          <w:b w:val="1"/>
          <w:bCs w:val="1"/>
          <w:rtl w:val="0"/>
        </w:rPr>
        <w:t xml:space="preserve">Risk-based SDV:</w:t>
      </w:r>
      <w:r w:rsidDel="00000000" w:rsidR="00000000" w:rsidRPr="00000000">
        <w:rPr>
          <w:rtl w:val="0"/>
        </w:rPr>
        <w:t xml:space="preserve"> Rather than 100% SDV, a targeted approach (e.g., 25% SDV focused on the flagged metric) is applied at the high-risk site [Source: email_summaries.docx, p. 6].</w:t>
      </w:r>
    </w:p>
    <w:p w:rsidR="00000000" w:rsidDel="00000000" w:rsidP="00000000" w:rsidRDefault="00000000" w:rsidRPr="00000000" w14:paraId="0000007E">
      <w:pPr>
        <w:numPr>
          <w:ilvl w:val="1"/>
          <w:numId w:val="34"/>
        </w:numPr>
        <w:ind w:left="1440" w:hanging="360"/>
        <w:rPr/>
      </w:pPr>
      <w:r w:rsidDel="00000000" w:rsidR="00000000" w:rsidRPr="00000000">
        <w:rPr>
          <w:b w:val="1"/>
          <w:bCs w:val="1"/>
          <w:rtl w:val="0"/>
        </w:rPr>
        <w:t xml:space="preserve">Site contact:</w:t>
      </w:r>
      <w:r w:rsidDel="00000000" w:rsidR="00000000" w:rsidRPr="00000000">
        <w:rPr>
          <w:rtl w:val="0"/>
        </w:rPr>
        <w:t xml:space="preserve"> The CRA contacts the site to discuss the flagged metric and understand potential root causes.</w:t>
      </w:r>
    </w:p>
    <w:p w:rsidR="00000000" w:rsidDel="00000000" w:rsidP="00000000" w:rsidRDefault="00000000" w:rsidRPr="00000000" w14:paraId="0000007F">
      <w:pPr>
        <w:numPr>
          <w:ilvl w:val="1"/>
          <w:numId w:val="34"/>
        </w:numPr>
        <w:ind w:left="1440" w:hanging="360"/>
        <w:rPr/>
      </w:pPr>
      <w:r w:rsidDel="00000000" w:rsidR="00000000" w:rsidRPr="00000000">
        <w:rPr>
          <w:b w:val="1"/>
          <w:bCs w:val="1"/>
          <w:rtl w:val="0"/>
        </w:rPr>
        <w:t xml:space="preserve">Enhanced training:</w:t>
      </w:r>
      <w:r w:rsidDel="00000000" w:rsidR="00000000" w:rsidRPr="00000000">
        <w:rPr>
          <w:rtl w:val="0"/>
        </w:rPr>
        <w:t xml:space="preserve"> If protocol misunderstanding is suspected, targeted retraining is provided.</w:t>
      </w:r>
    </w:p>
    <w:p w:rsidR="00000000" w:rsidDel="00000000" w:rsidP="00000000" w:rsidRDefault="00000000" w:rsidRPr="00000000" w14:paraId="00000080">
      <w:pPr>
        <w:rPr/>
      </w:pPr>
      <w:r w:rsidDel="00000000" w:rsidR="00000000" w:rsidRPr="00000000">
        <w:rPr>
          <w:b w:val="1"/>
          <w:bCs w:val="1"/>
          <w:rtl w:val="0"/>
        </w:rPr>
        <w:t xml:space="preserve">Step 3: Outcome Documentation.</w:t>
      </w:r>
      <w:r w:rsidDel="00000000" w:rsidR="00000000" w:rsidRPr="00000000">
        <w:rPr>
          <w:rtl w:val="0"/>
        </w:rPr>
      </w:r>
    </w:p>
    <w:p w:rsidR="00000000" w:rsidDel="00000000" w:rsidP="00000000" w:rsidRDefault="00000000" w:rsidRPr="00000000" w14:paraId="00000081">
      <w:pPr>
        <w:numPr>
          <w:ilvl w:val="0"/>
          <w:numId w:val="35"/>
        </w:numPr>
        <w:ind w:left="720" w:hanging="360"/>
        <w:rPr/>
      </w:pPr>
      <w:r w:rsidDel="00000000" w:rsidR="00000000" w:rsidRPr="00000000">
        <w:rPr>
          <w:rtl w:val="0"/>
        </w:rPr>
        <w:t xml:space="preserve">The investigation outcome is documented in the central monitoring tracking system. Possible outcomes include: </w:t>
      </w:r>
    </w:p>
    <w:p w:rsidR="00000000" w:rsidDel="00000000" w:rsidP="00000000" w:rsidRDefault="00000000" w:rsidRPr="00000000" w14:paraId="00000082">
      <w:pPr>
        <w:numPr>
          <w:ilvl w:val="1"/>
          <w:numId w:val="35"/>
        </w:numPr>
        <w:ind w:left="1440" w:hanging="360"/>
        <w:rPr/>
      </w:pPr>
      <w:r w:rsidDel="00000000" w:rsidR="00000000" w:rsidRPr="00000000">
        <w:rPr>
          <w:b w:val="1"/>
          <w:bCs w:val="1"/>
          <w:rtl w:val="0"/>
        </w:rPr>
        <w:t xml:space="preserve">No issue confirmed:</w:t>
      </w:r>
      <w:r w:rsidDel="00000000" w:rsidR="00000000" w:rsidRPr="00000000">
        <w:rPr>
          <w:rtl w:val="0"/>
        </w:rPr>
        <w:t xml:space="preserve"> The signal is explained by legitimate factors (e.g., patient population differences). No further action required.</w:t>
      </w:r>
    </w:p>
    <w:p w:rsidR="00000000" w:rsidDel="00000000" w:rsidP="00000000" w:rsidRDefault="00000000" w:rsidRPr="00000000" w14:paraId="00000083">
      <w:pPr>
        <w:numPr>
          <w:ilvl w:val="1"/>
          <w:numId w:val="35"/>
        </w:numPr>
        <w:ind w:left="1440" w:hanging="360"/>
        <w:rPr/>
      </w:pPr>
      <w:r w:rsidDel="00000000" w:rsidR="00000000" w:rsidRPr="00000000">
        <w:rPr>
          <w:b w:val="1"/>
          <w:bCs w:val="1"/>
          <w:rtl w:val="0"/>
        </w:rPr>
        <w:t xml:space="preserve">Issue confirmed, correctable:</w:t>
      </w:r>
      <w:r w:rsidDel="00000000" w:rsidR="00000000" w:rsidRPr="00000000">
        <w:rPr>
          <w:rtl w:val="0"/>
        </w:rPr>
        <w:t xml:space="preserve"> A CAPA is implemented (e.g., site retraining, process change).</w:t>
      </w:r>
    </w:p>
    <w:p w:rsidR="00000000" w:rsidDel="00000000" w:rsidP="00000000" w:rsidRDefault="00000000" w:rsidRPr="00000000" w14:paraId="00000084">
      <w:pPr>
        <w:numPr>
          <w:ilvl w:val="1"/>
          <w:numId w:val="35"/>
        </w:numPr>
        <w:ind w:left="1440" w:hanging="360"/>
        <w:rPr/>
      </w:pPr>
      <w:r w:rsidDel="00000000" w:rsidR="00000000" w:rsidRPr="00000000">
        <w:rPr>
          <w:b w:val="1"/>
          <w:bCs w:val="1"/>
          <w:rtl w:val="0"/>
        </w:rPr>
        <w:t xml:space="preserve">Issue confirmed, serious:</w:t>
      </w:r>
      <w:r w:rsidDel="00000000" w:rsidR="00000000" w:rsidRPr="00000000">
        <w:rPr>
          <w:rtl w:val="0"/>
        </w:rPr>
        <w:t xml:space="preserve"> Escalation to site audit, enrollment pause, or site termination.</w:t>
      </w:r>
    </w:p>
    <w:p w:rsidR="00000000" w:rsidDel="00000000" w:rsidP="00000000" w:rsidRDefault="00000000" w:rsidRPr="00000000" w14:paraId="00000085">
      <w:pPr>
        <w:rPr>
          <w:b w:val="1"/>
          <w:bCs w:val="1"/>
        </w:rPr>
      </w:pPr>
      <w:r w:rsidDel="00000000" w:rsidR="00000000" w:rsidRPr="00000000">
        <w:rPr>
          <w:b w:val="1"/>
          <w:bCs w:val="1"/>
          <w:rtl w:val="0"/>
        </w:rPr>
        <w:t xml:space="preserve">3.3 Anomaly Detection Response Framework</w:t>
      </w:r>
    </w:p>
    <w:p w:rsidR="00000000" w:rsidDel="00000000" w:rsidP="00000000" w:rsidRDefault="00000000" w:rsidRPr="00000000" w14:paraId="00000086">
      <w:pPr>
        <w:rPr/>
      </w:pPr>
      <w:r w:rsidDel="00000000" w:rsidR="00000000" w:rsidRPr="00000000">
        <w:rPr>
          <w:rtl w:val="0"/>
        </w:rPr>
        <w:t xml:space="preserve">Anomaly detection signals, which are derived from clinical data patterns, require a more specialized response:</w:t>
      </w:r>
    </w:p>
    <w:p w:rsidR="00000000" w:rsidDel="00000000" w:rsidP="00000000" w:rsidRDefault="00000000" w:rsidRPr="00000000" w14:paraId="00000087">
      <w:pPr>
        <w:rPr/>
      </w:pPr>
      <w:r w:rsidDel="00000000" w:rsidR="00000000" w:rsidRPr="00000000">
        <w:rPr>
          <w:b w:val="1"/>
          <w:bCs w:val="1"/>
          <w:rtl w:val="0"/>
        </w:rPr>
        <w:t xml:space="preserve">Step 1: Statistical Review.</w:t>
      </w:r>
      <w:r w:rsidDel="00000000" w:rsidR="00000000" w:rsidRPr="00000000">
        <w:rPr>
          <w:rtl w:val="0"/>
        </w:rPr>
      </w:r>
    </w:p>
    <w:p w:rsidR="00000000" w:rsidDel="00000000" w:rsidP="00000000" w:rsidRDefault="00000000" w:rsidRPr="00000000" w14:paraId="00000088">
      <w:pPr>
        <w:numPr>
          <w:ilvl w:val="0"/>
          <w:numId w:val="36"/>
        </w:numPr>
        <w:ind w:left="720" w:hanging="360"/>
        <w:rPr/>
      </w:pPr>
      <w:r w:rsidDel="00000000" w:rsidR="00000000" w:rsidRPr="00000000">
        <w:rPr>
          <w:rtl w:val="0"/>
        </w:rPr>
        <w:t xml:space="preserve">The study statistician reviews the anomaly detection output (e.g., DIS scores, module-specific findings) and assesses the nature and severity of the signal.</w:t>
      </w:r>
    </w:p>
    <w:p w:rsidR="00000000" w:rsidDel="00000000" w:rsidP="00000000" w:rsidRDefault="00000000" w:rsidRPr="00000000" w14:paraId="00000089">
      <w:pPr>
        <w:numPr>
          <w:ilvl w:val="0"/>
          <w:numId w:val="36"/>
        </w:numPr>
        <w:ind w:left="720" w:hanging="360"/>
        <w:rPr/>
      </w:pPr>
      <w:r w:rsidDel="00000000" w:rsidR="00000000" w:rsidRPr="00000000">
        <w:rPr>
          <w:rtl w:val="0"/>
        </w:rPr>
        <w:t xml:space="preserve">At this stage, it is important to distinguish signals that may reflect true data quality issues from those driven by legitimate clinical or population variation (e.g., sites enrolling atypically old or comorbid populations) [Source: detection_of_fraud_in_a_clinical_trial_using_unsupervised_statistical___monitoring.pdf, p. 4, Table 2].</w:t>
      </w:r>
    </w:p>
    <w:p w:rsidR="00000000" w:rsidDel="00000000" w:rsidP="00000000" w:rsidRDefault="00000000" w:rsidRPr="00000000" w14:paraId="0000008A">
      <w:pPr>
        <w:rPr/>
      </w:pPr>
      <w:r w:rsidDel="00000000" w:rsidR="00000000" w:rsidRPr="00000000">
        <w:rPr>
          <w:b w:val="1"/>
          <w:bCs w:val="1"/>
          <w:rtl w:val="0"/>
        </w:rPr>
        <w:t xml:space="preserve">Step 2: Cross-Functional Investigation.</w:t>
      </w:r>
      <w:r w:rsidDel="00000000" w:rsidR="00000000" w:rsidRPr="00000000">
        <w:rPr>
          <w:rtl w:val="0"/>
        </w:rPr>
      </w:r>
    </w:p>
    <w:p w:rsidR="00000000" w:rsidDel="00000000" w:rsidP="00000000" w:rsidRDefault="00000000" w:rsidRPr="00000000" w14:paraId="0000008B">
      <w:pPr>
        <w:numPr>
          <w:ilvl w:val="0"/>
          <w:numId w:val="37"/>
        </w:numPr>
        <w:ind w:left="720" w:hanging="360"/>
        <w:rPr/>
      </w:pPr>
      <w:r w:rsidDel="00000000" w:rsidR="00000000" w:rsidRPr="00000000">
        <w:rPr>
          <w:rtl w:val="0"/>
        </w:rPr>
        <w:t xml:space="preserve">Anomaly detection signals should be investigated through a </w:t>
      </w:r>
      <w:r w:rsidDel="00000000" w:rsidR="00000000" w:rsidRPr="00000000">
        <w:rPr>
          <w:b w:val="1"/>
          <w:bCs w:val="1"/>
          <w:rtl w:val="0"/>
        </w:rPr>
        <w:t xml:space="preserve">cross-functional team</w:t>
      </w:r>
      <w:r w:rsidDel="00000000" w:rsidR="00000000" w:rsidRPr="00000000">
        <w:rPr>
          <w:rtl w:val="0"/>
        </w:rPr>
        <w:t xml:space="preserve">, as they often involve clinical, medical, and regulatory dimensions that go beyond operational CRA review.</w:t>
      </w:r>
    </w:p>
    <w:p w:rsidR="00000000" w:rsidDel="00000000" w:rsidP="00000000" w:rsidRDefault="00000000" w:rsidRPr="00000000" w14:paraId="0000008C">
      <w:pPr>
        <w:numPr>
          <w:ilvl w:val="0"/>
          <w:numId w:val="37"/>
        </w:numPr>
        <w:ind w:left="720" w:hanging="360"/>
        <w:rPr/>
      </w:pPr>
      <w:r w:rsidDel="00000000" w:rsidR="00000000" w:rsidRPr="00000000">
        <w:rPr>
          <w:b w:val="1"/>
          <w:bCs w:val="1"/>
          <w:rtl w:val="0"/>
        </w:rPr>
        <w:t xml:space="preserve">Medical quality or investigator engagement teams</w:t>
      </w:r>
      <w:r w:rsidDel="00000000" w:rsidR="00000000" w:rsidRPr="00000000">
        <w:rPr>
          <w:rtl w:val="0"/>
        </w:rPr>
        <w:t xml:space="preserve"> should lead the investigation, with support from the CRA team [Source: email_summaries.docx, pp. 4–5].</w:t>
      </w:r>
    </w:p>
    <w:p w:rsidR="00000000" w:rsidDel="00000000" w:rsidP="00000000" w:rsidRDefault="00000000" w:rsidRPr="00000000" w14:paraId="0000008D">
      <w:pPr>
        <w:numPr>
          <w:ilvl w:val="0"/>
          <w:numId w:val="37"/>
        </w:numPr>
        <w:ind w:left="720" w:hanging="360"/>
        <w:rPr/>
      </w:pPr>
      <w:r w:rsidDel="00000000" w:rsidR="00000000" w:rsidRPr="00000000">
        <w:rPr>
          <w:rtl w:val="0"/>
        </w:rPr>
        <w:t xml:space="preserve">Investigation activities may include: </w:t>
      </w:r>
    </w:p>
    <w:p w:rsidR="00000000" w:rsidDel="00000000" w:rsidP="00000000" w:rsidRDefault="00000000" w:rsidRPr="00000000" w14:paraId="0000008E">
      <w:pPr>
        <w:numPr>
          <w:ilvl w:val="1"/>
          <w:numId w:val="37"/>
        </w:numPr>
        <w:ind w:left="1440" w:hanging="360"/>
        <w:rPr/>
      </w:pPr>
      <w:r w:rsidDel="00000000" w:rsidR="00000000" w:rsidRPr="00000000">
        <w:rPr>
          <w:rtl w:val="0"/>
        </w:rPr>
        <w:t xml:space="preserve">For-cause audits comparing CRF data to source medical records.</w:t>
      </w:r>
    </w:p>
    <w:p w:rsidR="00000000" w:rsidDel="00000000" w:rsidP="00000000" w:rsidRDefault="00000000" w:rsidRPr="00000000" w14:paraId="0000008F">
      <w:pPr>
        <w:numPr>
          <w:ilvl w:val="1"/>
          <w:numId w:val="37"/>
        </w:numPr>
        <w:ind w:left="1440" w:hanging="360"/>
        <w:rPr/>
      </w:pPr>
      <w:r w:rsidDel="00000000" w:rsidR="00000000" w:rsidRPr="00000000">
        <w:rPr>
          <w:rtl w:val="0"/>
        </w:rPr>
        <w:t xml:space="preserve">Laboratory sample re-analysis or comparison of local vs. central lab values.</w:t>
      </w:r>
    </w:p>
    <w:p w:rsidR="00000000" w:rsidDel="00000000" w:rsidP="00000000" w:rsidRDefault="00000000" w:rsidRPr="00000000" w14:paraId="00000090">
      <w:pPr>
        <w:numPr>
          <w:ilvl w:val="1"/>
          <w:numId w:val="37"/>
        </w:numPr>
        <w:ind w:left="1440" w:hanging="360"/>
        <w:rPr/>
      </w:pPr>
      <w:r w:rsidDel="00000000" w:rsidR="00000000" w:rsidRPr="00000000">
        <w:rPr>
          <w:rtl w:val="0"/>
        </w:rPr>
        <w:t xml:space="preserve">Review of metadata (e.g., eCOA form completion times) for evidence of fabrication [Source: email_summaries.docx, p. 12].</w:t>
      </w:r>
    </w:p>
    <w:p w:rsidR="00000000" w:rsidDel="00000000" w:rsidP="00000000" w:rsidRDefault="00000000" w:rsidRPr="00000000" w14:paraId="00000091">
      <w:pPr>
        <w:numPr>
          <w:ilvl w:val="1"/>
          <w:numId w:val="37"/>
        </w:numPr>
        <w:ind w:left="1440" w:hanging="360"/>
        <w:rPr/>
      </w:pPr>
      <w:r w:rsidDel="00000000" w:rsidR="00000000" w:rsidRPr="00000000">
        <w:rPr>
          <w:rtl w:val="0"/>
        </w:rPr>
        <w:t xml:space="preserve">Patient contact or medical record review to verify events.</w:t>
      </w:r>
    </w:p>
    <w:p w:rsidR="00000000" w:rsidDel="00000000" w:rsidP="00000000" w:rsidRDefault="00000000" w:rsidRPr="00000000" w14:paraId="00000092">
      <w:pPr>
        <w:rPr/>
      </w:pPr>
      <w:r w:rsidDel="00000000" w:rsidR="00000000" w:rsidRPr="00000000">
        <w:rPr>
          <w:b w:val="1"/>
          <w:bCs w:val="1"/>
          <w:rtl w:val="0"/>
        </w:rPr>
        <w:t xml:space="preserve">Step 3: Proportionate Action.</w:t>
      </w:r>
      <w:r w:rsidDel="00000000" w:rsidR="00000000" w:rsidRPr="00000000">
        <w:rPr>
          <w:rtl w:val="0"/>
        </w:rPr>
      </w:r>
    </w:p>
    <w:p w:rsidR="00000000" w:rsidDel="00000000" w:rsidP="00000000" w:rsidRDefault="00000000" w:rsidRPr="00000000" w14:paraId="00000093">
      <w:pPr>
        <w:numPr>
          <w:ilvl w:val="0"/>
          <w:numId w:val="4"/>
        </w:numPr>
        <w:ind w:left="720" w:hanging="360"/>
        <w:rPr/>
      </w:pPr>
      <w:r w:rsidDel="00000000" w:rsidR="00000000" w:rsidRPr="00000000">
        <w:rPr>
          <w:rtl w:val="0"/>
        </w:rPr>
        <w:t xml:space="preserve">Actions must be proportionate to the severity and nature of the confirmed issue: </w:t>
      </w:r>
    </w:p>
    <w:p w:rsidR="00000000" w:rsidDel="00000000" w:rsidP="00000000" w:rsidRDefault="00000000" w:rsidRPr="00000000" w14:paraId="00000094">
      <w:pPr>
        <w:numPr>
          <w:ilvl w:val="1"/>
          <w:numId w:val="4"/>
        </w:numPr>
        <w:ind w:left="1440" w:hanging="360"/>
        <w:rPr/>
      </w:pPr>
      <w:r w:rsidDel="00000000" w:rsidR="00000000" w:rsidRPr="00000000">
        <w:rPr>
          <w:b w:val="1"/>
          <w:bCs w:val="1"/>
          <w:rtl w:val="0"/>
        </w:rPr>
        <w:t xml:space="preserve">Minor issues (e.g., sloppiness, training gaps):</w:t>
      </w:r>
      <w:r w:rsidDel="00000000" w:rsidR="00000000" w:rsidRPr="00000000">
        <w:rPr>
          <w:rtl w:val="0"/>
        </w:rPr>
        <w:t xml:space="preserve"> Targeted retraining, enhanced monitoring.</w:t>
      </w:r>
    </w:p>
    <w:p w:rsidR="00000000" w:rsidDel="00000000" w:rsidP="00000000" w:rsidRDefault="00000000" w:rsidRPr="00000000" w14:paraId="00000095">
      <w:pPr>
        <w:numPr>
          <w:ilvl w:val="1"/>
          <w:numId w:val="4"/>
        </w:numPr>
        <w:ind w:left="1440" w:hanging="360"/>
        <w:rPr/>
      </w:pPr>
      <w:r w:rsidDel="00000000" w:rsidR="00000000" w:rsidRPr="00000000">
        <w:rPr>
          <w:b w:val="1"/>
          <w:bCs w:val="1"/>
          <w:rtl w:val="0"/>
        </w:rPr>
        <w:t xml:space="preserve">Moderate issues (e.g., systematic recording errors):</w:t>
      </w:r>
      <w:r w:rsidDel="00000000" w:rsidR="00000000" w:rsidRPr="00000000">
        <w:rPr>
          <w:rtl w:val="0"/>
        </w:rPr>
        <w:t xml:space="preserve"> Data queries, CAPA, increased oversight.</w:t>
      </w:r>
    </w:p>
    <w:p w:rsidR="00000000" w:rsidDel="00000000" w:rsidP="00000000" w:rsidRDefault="00000000" w:rsidRPr="00000000" w14:paraId="00000096">
      <w:pPr>
        <w:numPr>
          <w:ilvl w:val="1"/>
          <w:numId w:val="4"/>
        </w:numPr>
        <w:ind w:left="1440" w:hanging="360"/>
        <w:rPr/>
      </w:pPr>
      <w:r w:rsidDel="00000000" w:rsidR="00000000" w:rsidRPr="00000000">
        <w:rPr>
          <w:b w:val="1"/>
          <w:bCs w:val="1"/>
          <w:rtl w:val="0"/>
        </w:rPr>
        <w:t xml:space="preserve">Severe issues (e.g., confirmed fraud or fabrication):</w:t>
      </w:r>
      <w:r w:rsidDel="00000000" w:rsidR="00000000" w:rsidRPr="00000000">
        <w:rPr>
          <w:rtl w:val="0"/>
        </w:rPr>
        <w:t xml:space="preserve"> Site closure, data exclusion from analysis, regulatory notification, potential legal action [Source: detection_of_fraud_in_a_clinical_trial_using_unsupervised_statistical___monitoring.pdf, p. 5].</w:t>
      </w:r>
    </w:p>
    <w:p w:rsidR="00000000" w:rsidDel="00000000" w:rsidP="00000000" w:rsidRDefault="00000000" w:rsidRPr="00000000" w14:paraId="00000097">
      <w:pPr>
        <w:rPr/>
      </w:pPr>
      <w:r w:rsidDel="00000000" w:rsidR="00000000" w:rsidRPr="00000000">
        <w:rPr>
          <w:rtl w:val="0"/>
        </w:rPr>
        <w:t xml:space="preserve">A critical lesson from published case studies is that </w:t>
      </w:r>
      <w:r w:rsidDel="00000000" w:rsidR="00000000" w:rsidRPr="00000000">
        <w:rPr>
          <w:b w:val="1"/>
          <w:bCs w:val="1"/>
          <w:rtl w:val="0"/>
        </w:rPr>
        <w:t xml:space="preserve">risk ≠ issue</w:t>
      </w:r>
      <w:r w:rsidDel="00000000" w:rsidR="00000000" w:rsidRPr="00000000">
        <w:rPr>
          <w:rtl w:val="0"/>
        </w:rPr>
        <w:t xml:space="preserve">. Atypical data patterns may have legitimate explanations. For example, in the ESPS2 DQA analysis, the most atypical center (Center A, DIS = 5.0) exhibited discrepancies entirely explained by enrolling an atypically old and comorbid population—not fraud or misconduct [Source: detection_of_fraud_in_a_clinical_trial_using_unsupervised_statistical___monitoring.pdf, p. 4].</w:t>
      </w:r>
    </w:p>
    <w:p w:rsidR="00000000" w:rsidDel="00000000" w:rsidP="00000000" w:rsidRDefault="00000000" w:rsidRPr="00000000" w14:paraId="00000098">
      <w:pPr>
        <w:rPr/>
      </w:pPr>
      <w:r w:rsidDel="00000000" w:rsidR="00000000" w:rsidRPr="00000000">
        <w:rPr>
          <w:b w:val="1"/>
          <w:bCs w:val="1"/>
          <w:rtl w:val="0"/>
        </w:rPr>
        <w:t xml:space="preserve">Managing false positives</w:t>
      </w:r>
      <w:r w:rsidDel="00000000" w:rsidR="00000000" w:rsidRPr="00000000">
        <w:rPr>
          <w:rtl w:val="0"/>
        </w:rPr>
        <w:t xml:space="preserve"> is essential to avoid monitoring fatigue and to maintain stakeholder confidence. Practical approaches include:</w:t>
      </w:r>
    </w:p>
    <w:p w:rsidR="00000000" w:rsidDel="00000000" w:rsidP="00000000" w:rsidRDefault="00000000" w:rsidRPr="00000000" w14:paraId="00000099">
      <w:pPr>
        <w:numPr>
          <w:ilvl w:val="0"/>
          <w:numId w:val="5"/>
        </w:numPr>
        <w:ind w:left="720" w:hanging="360"/>
        <w:rPr/>
      </w:pPr>
      <w:r w:rsidDel="00000000" w:rsidR="00000000" w:rsidRPr="00000000">
        <w:rPr>
          <w:rtl w:val="0"/>
        </w:rPr>
        <w:t xml:space="preserve">Setting a high initial threshold (e.g., targeting only the top 2–3% most atypical sites) [Source: additional_materials.docx, p. 7].</w:t>
      </w:r>
    </w:p>
    <w:p w:rsidR="00000000" w:rsidDel="00000000" w:rsidP="00000000" w:rsidRDefault="00000000" w:rsidRPr="00000000" w14:paraId="0000009A">
      <w:pPr>
        <w:numPr>
          <w:ilvl w:val="0"/>
          <w:numId w:val="5"/>
        </w:numPr>
        <w:ind w:left="720" w:hanging="360"/>
        <w:rPr/>
      </w:pPr>
      <w:r w:rsidDel="00000000" w:rsidR="00000000" w:rsidRPr="00000000">
        <w:rPr>
          <w:rtl w:val="0"/>
        </w:rPr>
        <w:t xml:space="preserve">Using a two-level signal system (yellow for potential concern, red for serious concern) before triggering intensive investigation [Source: additional_materials.docx, p. 8].</w:t>
      </w:r>
    </w:p>
    <w:p w:rsidR="00000000" w:rsidDel="00000000" w:rsidP="00000000" w:rsidRDefault="00000000" w:rsidRPr="00000000" w14:paraId="0000009B">
      <w:pPr>
        <w:numPr>
          <w:ilvl w:val="0"/>
          <w:numId w:val="5"/>
        </w:numPr>
        <w:ind w:left="720" w:hanging="360"/>
        <w:rPr/>
      </w:pPr>
      <w:r w:rsidDel="00000000" w:rsidR="00000000" w:rsidRPr="00000000">
        <w:rPr>
          <w:rtl w:val="0"/>
        </w:rPr>
        <w:t xml:space="preserve">Aggregating signals at the country or regional level to confirm site-level findings and reduce false positives [Source: additional_materials.docx, p. 8].</w:t>
      </w:r>
    </w:p>
    <w:p w:rsidR="00000000" w:rsidDel="00000000" w:rsidP="00000000" w:rsidRDefault="00000000" w:rsidRPr="00000000" w14:paraId="0000009C">
      <w:pPr>
        <w:rPr>
          <w:b w:val="1"/>
          <w:bCs w:val="1"/>
        </w:rPr>
      </w:pPr>
      <w:r w:rsidDel="00000000" w:rsidR="00000000" w:rsidRPr="00000000">
        <w:rPr>
          <w:b w:val="1"/>
          <w:bCs w:val="1"/>
          <w:rtl w:val="0"/>
        </w:rPr>
        <w:t xml:space="preserve">3.4 QTL Response Framework (Study Level)</w:t>
      </w:r>
    </w:p>
    <w:p w:rsidR="00000000" w:rsidDel="00000000" w:rsidP="00000000" w:rsidRDefault="00000000" w:rsidRPr="00000000" w14:paraId="0000009D">
      <w:pPr>
        <w:rPr/>
      </w:pPr>
      <w:r w:rsidDel="00000000" w:rsidR="00000000" w:rsidRPr="00000000">
        <w:rPr>
          <w:b w:val="1"/>
          <w:bCs w:val="1"/>
          <w:rtl w:val="0"/>
        </w:rPr>
        <w:t xml:space="preserve">Monitoring Responsibility.</w:t>
      </w:r>
      <w:r w:rsidDel="00000000" w:rsidR="00000000" w:rsidRPr="00000000">
        <w:rPr>
          <w:rtl w:val="0"/>
        </w:rPr>
        <w:t xml:space="preserve"> QTLs are monitored by the study manager and study statistician, with oversight from the central monitoring function.</w:t>
      </w:r>
    </w:p>
    <w:p w:rsidR="00000000" w:rsidDel="00000000" w:rsidP="00000000" w:rsidRDefault="00000000" w:rsidRPr="00000000" w14:paraId="0000009E">
      <w:pPr>
        <w:rPr/>
      </w:pPr>
      <w:r w:rsidDel="00000000" w:rsidR="00000000" w:rsidRPr="00000000">
        <w:rPr>
          <w:b w:val="1"/>
          <w:bCs w:val="1"/>
          <w:rtl w:val="0"/>
        </w:rPr>
        <w:t xml:space="preserve">Warning Limit Exceeded (Second Tolerance Limit):</w:t>
      </w:r>
      <w:r w:rsidDel="00000000" w:rsidR="00000000" w:rsidRPr="00000000">
        <w:rPr>
          <w:rtl w:val="0"/>
        </w:rPr>
      </w:r>
    </w:p>
    <w:p w:rsidR="00000000" w:rsidDel="00000000" w:rsidP="00000000" w:rsidRDefault="00000000" w:rsidRPr="00000000" w14:paraId="0000009F">
      <w:pPr>
        <w:numPr>
          <w:ilvl w:val="0"/>
          <w:numId w:val="6"/>
        </w:numPr>
        <w:ind w:left="720" w:hanging="360"/>
        <w:rPr/>
      </w:pPr>
      <w:r w:rsidDel="00000000" w:rsidR="00000000" w:rsidRPr="00000000">
        <w:rPr>
          <w:rtl w:val="0"/>
        </w:rPr>
        <w:t xml:space="preserve">The study team convenes a review meeting to assess the trend.</w:t>
      </w:r>
    </w:p>
    <w:p w:rsidR="00000000" w:rsidDel="00000000" w:rsidP="00000000" w:rsidRDefault="00000000" w:rsidRPr="00000000" w14:paraId="000000A0">
      <w:pPr>
        <w:numPr>
          <w:ilvl w:val="0"/>
          <w:numId w:val="6"/>
        </w:numPr>
        <w:ind w:left="720" w:hanging="360"/>
        <w:rPr/>
      </w:pPr>
      <w:r w:rsidDel="00000000" w:rsidR="00000000" w:rsidRPr="00000000">
        <w:rPr>
          <w:rtl w:val="0"/>
        </w:rPr>
        <w:t xml:space="preserve">Root-cause analysis is conducted (e.g., is the elevated screening failure rate driven by specific regions or sites?).</w:t>
      </w:r>
    </w:p>
    <w:p w:rsidR="00000000" w:rsidDel="00000000" w:rsidP="00000000" w:rsidRDefault="00000000" w:rsidRPr="00000000" w14:paraId="000000A1">
      <w:pPr>
        <w:numPr>
          <w:ilvl w:val="0"/>
          <w:numId w:val="6"/>
        </w:numPr>
        <w:ind w:left="720" w:hanging="360"/>
        <w:rPr/>
      </w:pPr>
      <w:r w:rsidDel="00000000" w:rsidR="00000000" w:rsidRPr="00000000">
        <w:rPr>
          <w:rtl w:val="0"/>
        </w:rPr>
        <w:t xml:space="preserve">Data issue management pathways are invoked to investigate contributing factors.</w:t>
      </w:r>
    </w:p>
    <w:p w:rsidR="00000000" w:rsidDel="00000000" w:rsidP="00000000" w:rsidRDefault="00000000" w:rsidRPr="00000000" w14:paraId="000000A2">
      <w:pPr>
        <w:numPr>
          <w:ilvl w:val="0"/>
          <w:numId w:val="6"/>
        </w:numPr>
        <w:ind w:left="720" w:hanging="360"/>
        <w:rPr/>
      </w:pPr>
      <w:r w:rsidDel="00000000" w:rsidR="00000000" w:rsidRPr="00000000">
        <w:rPr>
          <w:rtl w:val="0"/>
        </w:rPr>
        <w:t xml:space="preserve">Actions may include protocol clarification, targeted training, or site-level interventions.</w:t>
      </w:r>
    </w:p>
    <w:p w:rsidR="00000000" w:rsidDel="00000000" w:rsidP="00000000" w:rsidRDefault="00000000" w:rsidRPr="00000000" w14:paraId="000000A3">
      <w:pPr>
        <w:rPr/>
      </w:pPr>
      <w:r w:rsidDel="00000000" w:rsidR="00000000" w:rsidRPr="00000000">
        <w:rPr>
          <w:b w:val="1"/>
          <w:bCs w:val="1"/>
          <w:rtl w:val="0"/>
        </w:rPr>
        <w:t xml:space="preserve">Action Limit Exceeded (First Tolerance Limit):</w:t>
      </w:r>
      <w:r w:rsidDel="00000000" w:rsidR="00000000" w:rsidRPr="00000000">
        <w:rPr>
          <w:rtl w:val="0"/>
        </w:rPr>
      </w:r>
    </w:p>
    <w:p w:rsidR="00000000" w:rsidDel="00000000" w:rsidP="00000000" w:rsidRDefault="00000000" w:rsidRPr="00000000" w14:paraId="000000A4">
      <w:pPr>
        <w:numPr>
          <w:ilvl w:val="0"/>
          <w:numId w:val="7"/>
        </w:numPr>
        <w:ind w:left="720" w:hanging="360"/>
        <w:rPr/>
      </w:pPr>
      <w:r w:rsidDel="00000000" w:rsidR="00000000" w:rsidRPr="00000000">
        <w:rPr>
          <w:rtl w:val="0"/>
        </w:rPr>
        <w:t xml:space="preserve">Formal documentation of the exceedance and investigation findings.</w:t>
      </w:r>
    </w:p>
    <w:p w:rsidR="00000000" w:rsidDel="00000000" w:rsidP="00000000" w:rsidRDefault="00000000" w:rsidRPr="00000000" w14:paraId="000000A5">
      <w:pPr>
        <w:numPr>
          <w:ilvl w:val="0"/>
          <w:numId w:val="7"/>
        </w:numPr>
        <w:ind w:left="720" w:hanging="360"/>
        <w:rPr/>
      </w:pPr>
      <w:r w:rsidDel="00000000" w:rsidR="00000000" w:rsidRPr="00000000">
        <w:rPr>
          <w:rtl w:val="0"/>
        </w:rPr>
        <w:t xml:space="preserve">CAPA implementation.</w:t>
      </w:r>
    </w:p>
    <w:p w:rsidR="00000000" w:rsidDel="00000000" w:rsidP="00000000" w:rsidRDefault="00000000" w:rsidRPr="00000000" w14:paraId="000000A6">
      <w:pPr>
        <w:numPr>
          <w:ilvl w:val="0"/>
          <w:numId w:val="7"/>
        </w:numPr>
        <w:ind w:left="720" w:hanging="360"/>
        <w:rPr/>
      </w:pPr>
      <w:r w:rsidDel="00000000" w:rsidR="00000000" w:rsidRPr="00000000">
        <w:rPr>
          <w:rtl w:val="0"/>
        </w:rPr>
        <w:t xml:space="preserve">Documentation in the clinical study report, as required by ICH E6(R3).</w:t>
      </w:r>
    </w:p>
    <w:p w:rsidR="00000000" w:rsidDel="00000000" w:rsidP="00000000" w:rsidRDefault="00000000" w:rsidRPr="00000000" w14:paraId="000000A7">
      <w:pPr>
        <w:numPr>
          <w:ilvl w:val="0"/>
          <w:numId w:val="7"/>
        </w:numPr>
        <w:ind w:left="720" w:hanging="360"/>
        <w:rPr/>
      </w:pPr>
      <w:r w:rsidDel="00000000" w:rsidR="00000000" w:rsidRPr="00000000">
        <w:rPr>
          <w:rtl w:val="0"/>
        </w:rPr>
        <w:t xml:space="preserve">Consideration of protocol amendment or operational strategy changes if the issue reflects a systemic design or execution problem.</w:t>
      </w:r>
    </w:p>
    <w:p w:rsidR="00000000" w:rsidDel="00000000" w:rsidP="00000000" w:rsidRDefault="00000000" w:rsidRPr="00000000" w14:paraId="000000A8">
      <w:pPr>
        <w:rPr/>
      </w:pPr>
      <w:r w:rsidDel="00000000" w:rsidR="00000000" w:rsidRPr="00000000">
        <w:rPr>
          <w:b w:val="1"/>
          <w:bCs w:val="1"/>
          <w:rtl w:val="0"/>
        </w:rPr>
        <w:t xml:space="preserve">Example QTL Metrics and Response:</w:t>
      </w:r>
      <w:r w:rsidDel="00000000" w:rsidR="00000000" w:rsidRPr="00000000">
        <w:rPr>
          <w:rtl w:val="0"/>
        </w:rPr>
      </w:r>
    </w:p>
    <w:tbl>
      <w:tblPr>
        <w:tblStyle w:val="Table3"/>
        <w:tblW w:w="9360.000000000002" w:type="dxa"/>
        <w:jc w:val="left"/>
        <w:tblLayout w:type="fixed"/>
        <w:tblLook w:val="0400"/>
      </w:tblPr>
      <w:tblGrid>
        <w:gridCol w:w="1611"/>
        <w:gridCol w:w="1895"/>
        <w:gridCol w:w="2193"/>
        <w:gridCol w:w="3661"/>
        <w:tblGridChange w:id="0">
          <w:tblGrid>
            <w:gridCol w:w="1611"/>
            <w:gridCol w:w="1895"/>
            <w:gridCol w:w="2193"/>
            <w:gridCol w:w="3661"/>
          </w:tblGrid>
        </w:tblGridChange>
      </w:tblGrid>
      <w:tr>
        <w:trPr>
          <w:cantSplit w:val="0"/>
          <w:tblHeader w:val="1"/>
        </w:trPr>
        <w:tc>
          <w:tcPr>
            <w:vAlign w:val="center"/>
          </w:tcPr>
          <w:p w:rsidR="00000000" w:rsidDel="00000000" w:rsidP="00000000" w:rsidRDefault="00000000" w:rsidRPr="00000000" w14:paraId="000000A9">
            <w:pPr>
              <w:rPr>
                <w:b w:val="1"/>
                <w:bCs w:val="1"/>
              </w:rPr>
            </w:pPr>
            <w:r w:rsidDel="00000000" w:rsidR="00000000" w:rsidRPr="00000000">
              <w:rPr>
                <w:b w:val="1"/>
                <w:bCs w:val="1"/>
                <w:rtl w:val="0"/>
              </w:rPr>
              <w:t xml:space="preserve">Metric</w:t>
            </w:r>
          </w:p>
        </w:tc>
        <w:tc>
          <w:tcPr>
            <w:vAlign w:val="center"/>
          </w:tcPr>
          <w:p w:rsidR="00000000" w:rsidDel="00000000" w:rsidP="00000000" w:rsidRDefault="00000000" w:rsidRPr="00000000" w14:paraId="000000AA">
            <w:pPr>
              <w:rPr>
                <w:b w:val="1"/>
                <w:bCs w:val="1"/>
              </w:rPr>
            </w:pPr>
            <w:r w:rsidDel="00000000" w:rsidR="00000000" w:rsidRPr="00000000">
              <w:rPr>
                <w:b w:val="1"/>
                <w:bCs w:val="1"/>
                <w:rtl w:val="0"/>
              </w:rPr>
              <w:t xml:space="preserve">Warning Trigger</w:t>
            </w:r>
          </w:p>
        </w:tc>
        <w:tc>
          <w:tcPr>
            <w:vAlign w:val="center"/>
          </w:tcPr>
          <w:p w:rsidR="00000000" w:rsidDel="00000000" w:rsidP="00000000" w:rsidRDefault="00000000" w:rsidRPr="00000000" w14:paraId="000000AB">
            <w:pPr>
              <w:rPr>
                <w:b w:val="1"/>
                <w:bCs w:val="1"/>
              </w:rPr>
            </w:pPr>
            <w:r w:rsidDel="00000000" w:rsidR="00000000" w:rsidRPr="00000000">
              <w:rPr>
                <w:b w:val="1"/>
                <w:bCs w:val="1"/>
                <w:rtl w:val="0"/>
              </w:rPr>
              <w:t xml:space="preserve">Action Trigger</w:t>
            </w:r>
          </w:p>
        </w:tc>
        <w:tc>
          <w:tcPr>
            <w:vAlign w:val="center"/>
          </w:tcPr>
          <w:p w:rsidR="00000000" w:rsidDel="00000000" w:rsidP="00000000" w:rsidRDefault="00000000" w:rsidRPr="00000000" w14:paraId="000000AC">
            <w:pPr>
              <w:rPr>
                <w:b w:val="1"/>
                <w:bCs w:val="1"/>
              </w:rPr>
            </w:pPr>
            <w:r w:rsidDel="00000000" w:rsidR="00000000" w:rsidRPr="00000000">
              <w:rPr>
                <w:b w:val="1"/>
                <w:bCs w:val="1"/>
                <w:rtl w:val="0"/>
              </w:rPr>
              <w:t xml:space="preserve">Response</w:t>
            </w:r>
          </w:p>
        </w:tc>
      </w:tr>
      <w:tr>
        <w:trPr>
          <w:cantSplit w:val="0"/>
          <w:tblHeader w:val="0"/>
        </w:trPr>
        <w:tc>
          <w:tcPr>
            <w:vAlign w:val="center"/>
          </w:tcPr>
          <w:p w:rsidR="00000000" w:rsidDel="00000000" w:rsidP="00000000" w:rsidRDefault="00000000" w:rsidRPr="00000000" w14:paraId="000000AD">
            <w:pPr>
              <w:rPr/>
            </w:pPr>
            <w:r w:rsidDel="00000000" w:rsidR="00000000" w:rsidRPr="00000000">
              <w:rPr>
                <w:rtl w:val="0"/>
              </w:rPr>
              <w:t xml:space="preserve">Screening failure rate</w:t>
            </w:r>
          </w:p>
        </w:tc>
        <w:tc>
          <w:tcPr>
            <w:vAlign w:val="center"/>
          </w:tcPr>
          <w:p w:rsidR="00000000" w:rsidDel="00000000" w:rsidP="00000000" w:rsidRDefault="00000000" w:rsidRPr="00000000" w14:paraId="000000AE">
            <w:pPr>
              <w:rPr/>
            </w:pPr>
            <w:r w:rsidDel="00000000" w:rsidR="00000000" w:rsidRPr="00000000">
              <w:rPr>
                <w:rtl w:val="0"/>
              </w:rPr>
              <w:t xml:space="preserve">&gt; X% above expected</w:t>
            </w:r>
          </w:p>
        </w:tc>
        <w:tc>
          <w:tcPr>
            <w:vAlign w:val="center"/>
          </w:tcPr>
          <w:p w:rsidR="00000000" w:rsidDel="00000000" w:rsidP="00000000" w:rsidRDefault="00000000" w:rsidRPr="00000000" w14:paraId="000000AF">
            <w:pPr>
              <w:rPr/>
            </w:pPr>
            <w:r w:rsidDel="00000000" w:rsidR="00000000" w:rsidRPr="00000000">
              <w:rPr>
                <w:rtl w:val="0"/>
              </w:rPr>
              <w:t xml:space="preserve">&gt; Y% above expected</w:t>
            </w:r>
          </w:p>
        </w:tc>
        <w:tc>
          <w:tcPr>
            <w:vAlign w:val="center"/>
          </w:tcPr>
          <w:p w:rsidR="00000000" w:rsidDel="00000000" w:rsidP="00000000" w:rsidRDefault="00000000" w:rsidRPr="00000000" w14:paraId="000000B0">
            <w:pPr>
              <w:rPr/>
            </w:pPr>
            <w:r w:rsidDel="00000000" w:rsidR="00000000" w:rsidRPr="00000000">
              <w:rPr>
                <w:rtl w:val="0"/>
              </w:rPr>
              <w:t xml:space="preserve">Regional training; protocol clarification; protocol amendment consideration</w:t>
            </w:r>
          </w:p>
        </w:tc>
      </w:tr>
      <w:tr>
        <w:trPr>
          <w:cantSplit w:val="0"/>
          <w:tblHeader w:val="0"/>
        </w:trPr>
        <w:tc>
          <w:tcPr>
            <w:vAlign w:val="center"/>
          </w:tcPr>
          <w:p w:rsidR="00000000" w:rsidDel="00000000" w:rsidP="00000000" w:rsidRDefault="00000000" w:rsidRPr="00000000" w14:paraId="000000B1">
            <w:pPr>
              <w:rPr/>
            </w:pPr>
            <w:r w:rsidDel="00000000" w:rsidR="00000000" w:rsidRPr="00000000">
              <w:rPr>
                <w:rtl w:val="0"/>
              </w:rPr>
              <w:t xml:space="preserve">Dropout rate</w:t>
            </w:r>
          </w:p>
        </w:tc>
        <w:tc>
          <w:tcPr>
            <w:vAlign w:val="center"/>
          </w:tcPr>
          <w:p w:rsidR="00000000" w:rsidDel="00000000" w:rsidP="00000000" w:rsidRDefault="00000000" w:rsidRPr="00000000" w14:paraId="000000B2">
            <w:pPr>
              <w:rPr/>
            </w:pPr>
            <w:r w:rsidDel="00000000" w:rsidR="00000000" w:rsidRPr="00000000">
              <w:rPr>
                <w:rtl w:val="0"/>
              </w:rPr>
              <w:t xml:space="preserve">Exceeds historical ± 1 SD</w:t>
            </w:r>
          </w:p>
        </w:tc>
        <w:tc>
          <w:tcPr>
            <w:vAlign w:val="center"/>
          </w:tcPr>
          <w:p w:rsidR="00000000" w:rsidDel="00000000" w:rsidP="00000000" w:rsidRDefault="00000000" w:rsidRPr="00000000" w14:paraId="000000B3">
            <w:pPr>
              <w:rPr/>
            </w:pPr>
            <w:r w:rsidDel="00000000" w:rsidR="00000000" w:rsidRPr="00000000">
              <w:rPr>
                <w:rtl w:val="0"/>
              </w:rPr>
              <w:t xml:space="preserve">Exceeds historical ± 2 SD</w:t>
            </w:r>
          </w:p>
        </w:tc>
        <w:tc>
          <w:tcPr>
            <w:vAlign w:val="center"/>
          </w:tcPr>
          <w:p w:rsidR="00000000" w:rsidDel="00000000" w:rsidP="00000000" w:rsidRDefault="00000000" w:rsidRPr="00000000" w14:paraId="000000B4">
            <w:pPr>
              <w:rPr/>
            </w:pPr>
            <w:r w:rsidDel="00000000" w:rsidR="00000000" w:rsidRPr="00000000">
              <w:rPr>
                <w:rtl w:val="0"/>
              </w:rPr>
              <w:t xml:space="preserve">Site-level retention strategies; sample size re-evaluation</w:t>
            </w:r>
          </w:p>
        </w:tc>
      </w:tr>
      <w:tr>
        <w:trPr>
          <w:cantSplit w:val="0"/>
          <w:tblHeader w:val="0"/>
        </w:trPr>
        <w:tc>
          <w:tcPr>
            <w:vAlign w:val="center"/>
          </w:tcPr>
          <w:p w:rsidR="00000000" w:rsidDel="00000000" w:rsidP="00000000" w:rsidRDefault="00000000" w:rsidRPr="00000000" w14:paraId="000000B5">
            <w:pPr>
              <w:rPr/>
            </w:pPr>
            <w:r w:rsidDel="00000000" w:rsidR="00000000" w:rsidRPr="00000000">
              <w:rPr>
                <w:rtl w:val="0"/>
              </w:rPr>
              <w:t xml:space="preserve">Event rate (event-driven)</w:t>
            </w:r>
          </w:p>
        </w:tc>
        <w:tc>
          <w:tcPr>
            <w:vAlign w:val="center"/>
          </w:tcPr>
          <w:p w:rsidR="00000000" w:rsidDel="00000000" w:rsidP="00000000" w:rsidRDefault="00000000" w:rsidRPr="00000000" w14:paraId="000000B6">
            <w:pPr>
              <w:rPr/>
            </w:pPr>
            <w:r w:rsidDel="00000000" w:rsidR="00000000" w:rsidRPr="00000000">
              <w:rPr>
                <w:rtl w:val="0"/>
              </w:rPr>
              <w:t xml:space="preserve">Below/above projected rate</w:t>
            </w:r>
          </w:p>
        </w:tc>
        <w:tc>
          <w:tcPr>
            <w:vAlign w:val="center"/>
          </w:tcPr>
          <w:p w:rsidR="00000000" w:rsidDel="00000000" w:rsidP="00000000" w:rsidRDefault="00000000" w:rsidRPr="00000000" w14:paraId="000000B7">
            <w:pPr>
              <w:rPr/>
            </w:pPr>
            <w:r w:rsidDel="00000000" w:rsidR="00000000" w:rsidRPr="00000000">
              <w:rPr>
                <w:rtl w:val="0"/>
              </w:rPr>
              <w:t xml:space="preserve">Significantly deviating from projected</w:t>
            </w:r>
          </w:p>
        </w:tc>
        <w:tc>
          <w:tcPr>
            <w:vAlign w:val="center"/>
          </w:tcPr>
          <w:p w:rsidR="00000000" w:rsidDel="00000000" w:rsidP="00000000" w:rsidRDefault="00000000" w:rsidRPr="00000000" w14:paraId="000000B8">
            <w:pPr>
              <w:rPr/>
            </w:pPr>
            <w:r w:rsidDel="00000000" w:rsidR="00000000" w:rsidRPr="00000000">
              <w:rPr>
                <w:rtl w:val="0"/>
              </w:rPr>
              <w:t xml:space="preserve">Blinded event projection update; potential re-estimation of sample size</w:t>
            </w:r>
          </w:p>
        </w:tc>
      </w:tr>
    </w:tbl>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4. How to Set Up a Monitoring Framework</w:t>
      </w:r>
    </w:p>
    <w:p w:rsidR="00000000" w:rsidDel="00000000" w:rsidP="00000000" w:rsidRDefault="00000000" w:rsidRPr="00000000" w14:paraId="000000BB">
      <w:pPr>
        <w:rPr>
          <w:b w:val="1"/>
          <w:bCs w:val="1"/>
        </w:rPr>
      </w:pPr>
      <w:r w:rsidDel="00000000" w:rsidR="00000000" w:rsidRPr="00000000">
        <w:rPr>
          <w:b w:val="1"/>
          <w:bCs w:val="1"/>
          <w:rtl w:val="0"/>
        </w:rPr>
        <w:t xml:space="preserve">4.1 Simulation and Scenario Testing for Risk Anticipation</w:t>
      </w:r>
    </w:p>
    <w:p w:rsidR="00000000" w:rsidDel="00000000" w:rsidP="00000000" w:rsidRDefault="00000000" w:rsidRPr="00000000" w14:paraId="000000BC">
      <w:pPr>
        <w:rPr/>
      </w:pPr>
      <w:r w:rsidDel="00000000" w:rsidR="00000000" w:rsidRPr="00000000">
        <w:rPr>
          <w:rtl w:val="0"/>
        </w:rPr>
        <w:t xml:space="preserve">Before deploying a monitoring framework on a new study, we recommend </w:t>
      </w:r>
      <w:r w:rsidDel="00000000" w:rsidR="00000000" w:rsidRPr="00000000">
        <w:rPr>
          <w:b w:val="1"/>
          <w:bCs w:val="1"/>
          <w:rtl w:val="0"/>
        </w:rPr>
        <w:t xml:space="preserve">simulation-based calibration</w:t>
      </w:r>
      <w:r w:rsidDel="00000000" w:rsidR="00000000" w:rsidRPr="00000000">
        <w:rPr>
          <w:rtl w:val="0"/>
        </w:rPr>
        <w:t xml:space="preserve"> of detection thresholds and response triggers:</w:t>
      </w:r>
    </w:p>
    <w:p w:rsidR="00000000" w:rsidDel="00000000" w:rsidP="00000000" w:rsidRDefault="00000000" w:rsidRPr="00000000" w14:paraId="000000BD">
      <w:pPr>
        <w:numPr>
          <w:ilvl w:val="0"/>
          <w:numId w:val="8"/>
        </w:numPr>
        <w:ind w:left="720" w:hanging="360"/>
        <w:rPr/>
      </w:pPr>
      <w:r w:rsidDel="00000000" w:rsidR="00000000" w:rsidRPr="00000000">
        <w:rPr>
          <w:b w:val="1"/>
          <w:bCs w:val="1"/>
          <w:rtl w:val="0"/>
        </w:rPr>
        <w:t xml:space="preserve">Stress-testing KRI/QTL thresholds</w:t>
      </w:r>
      <w:r w:rsidDel="00000000" w:rsidR="00000000" w:rsidRPr="00000000">
        <w:rPr>
          <w:rtl w:val="0"/>
        </w:rPr>
        <w:t xml:space="preserve"> under different assumptions about site performance, population heterogeneity, and expected event rates [Source: additional_materials.docx, p. 5].</w:t>
      </w:r>
    </w:p>
    <w:p w:rsidR="00000000" w:rsidDel="00000000" w:rsidP="00000000" w:rsidRDefault="00000000" w:rsidRPr="00000000" w14:paraId="000000BE">
      <w:pPr>
        <w:numPr>
          <w:ilvl w:val="0"/>
          <w:numId w:val="8"/>
        </w:numPr>
        <w:ind w:left="720" w:hanging="360"/>
        <w:rPr/>
      </w:pPr>
      <w:r w:rsidDel="00000000" w:rsidR="00000000" w:rsidRPr="00000000">
        <w:rPr>
          <w:b w:val="1"/>
          <w:bCs w:val="1"/>
          <w:rtl w:val="0"/>
        </w:rPr>
        <w:t xml:space="preserve">Simulating rare but impactful operational risks</w:t>
      </w:r>
      <w:r w:rsidDel="00000000" w:rsidR="00000000" w:rsidRPr="00000000">
        <w:rPr>
          <w:rtl w:val="0"/>
        </w:rPr>
        <w:t xml:space="preserve"> (e.g., a single high-enrolling site committing fraud) to assess whether the detection system would identify the issue early enough.</w:t>
      </w:r>
    </w:p>
    <w:p w:rsidR="00000000" w:rsidDel="00000000" w:rsidP="00000000" w:rsidRDefault="00000000" w:rsidRPr="00000000" w14:paraId="000000BF">
      <w:pPr>
        <w:numPr>
          <w:ilvl w:val="0"/>
          <w:numId w:val="8"/>
        </w:numPr>
        <w:ind w:left="720" w:hanging="360"/>
        <w:rPr/>
      </w:pPr>
      <w:r w:rsidDel="00000000" w:rsidR="00000000" w:rsidRPr="00000000">
        <w:rPr>
          <w:b w:val="1"/>
          <w:bCs w:val="1"/>
          <w:rtl w:val="0"/>
        </w:rPr>
        <w:t xml:space="preserve">"What if" planning</w:t>
      </w:r>
      <w:r w:rsidDel="00000000" w:rsidR="00000000" w:rsidRPr="00000000">
        <w:rPr>
          <w:rtl w:val="0"/>
        </w:rPr>
        <w:t xml:space="preserve"> for intervention timing—evaluating the impact of detecting a problem at 25%, 50%, or 75% of data collection on trial integrity and cost [Source: detection_of_fraud_in_a_clinical_trial_using_unsupervised_statistical___monitoring.pdf, p. 5, Table 4].</w:t>
      </w:r>
    </w:p>
    <w:p w:rsidR="00000000" w:rsidDel="00000000" w:rsidP="00000000" w:rsidRDefault="00000000" w:rsidRPr="00000000" w14:paraId="000000C0">
      <w:pPr>
        <w:numPr>
          <w:ilvl w:val="0"/>
          <w:numId w:val="8"/>
        </w:numPr>
        <w:ind w:left="720" w:hanging="360"/>
        <w:rPr/>
      </w:pPr>
      <w:r w:rsidDel="00000000" w:rsidR="00000000" w:rsidRPr="00000000">
        <w:rPr>
          <w:b w:val="1"/>
          <w:bCs w:val="1"/>
          <w:rtl w:val="0"/>
        </w:rPr>
        <w:t xml:space="preserve">Supporting organizations with limited portfolios</w:t>
      </w:r>
      <w:r w:rsidDel="00000000" w:rsidR="00000000" w:rsidRPr="00000000">
        <w:rPr>
          <w:rtl w:val="0"/>
        </w:rPr>
        <w:t xml:space="preserve"> by providing pre-calibrated monitoring templates based on therapeutic area and trial design.</w:t>
      </w:r>
    </w:p>
    <w:p w:rsidR="00000000" w:rsidDel="00000000" w:rsidP="00000000" w:rsidRDefault="00000000" w:rsidRPr="00000000" w14:paraId="000000C1">
      <w:pPr>
        <w:rPr/>
      </w:pPr>
      <w:r w:rsidDel="00000000" w:rsidR="00000000" w:rsidRPr="00000000">
        <w:rPr>
          <w:rtl w:val="0"/>
        </w:rPr>
        <w:t xml:space="preserve">Simulation under multiple risk scenarios was emphasized by the working group as a way to demonstrate value to leadership before enterprise-wide deployment [Source: email_summaries.docx, p. 5].</w:t>
      </w:r>
    </w:p>
    <w:p w:rsidR="00000000" w:rsidDel="00000000" w:rsidP="00000000" w:rsidRDefault="00000000" w:rsidRPr="00000000" w14:paraId="000000C2">
      <w:pPr>
        <w:rPr>
          <w:b w:val="1"/>
          <w:bCs w:val="1"/>
        </w:rPr>
      </w:pPr>
      <w:r w:rsidDel="00000000" w:rsidR="00000000" w:rsidRPr="00000000">
        <w:rPr>
          <w:b w:val="1"/>
          <w:bCs w:val="1"/>
          <w:rtl w:val="0"/>
        </w:rPr>
        <w:t xml:space="preserve">4.2 Existing Monitoring Frameworks and Tools</w:t>
      </w:r>
    </w:p>
    <w:p w:rsidR="00000000" w:rsidDel="00000000" w:rsidP="00000000" w:rsidRDefault="00000000" w:rsidRPr="00000000" w14:paraId="000000C3">
      <w:pPr>
        <w:rPr/>
      </w:pPr>
      <w:r w:rsidDel="00000000" w:rsidR="00000000" w:rsidRPr="00000000">
        <w:rPr>
          <w:rtl w:val="0"/>
        </w:rPr>
        <w:t xml:space="preserve">The industry landscape includes both commercial platforms and in-house solutions:</w:t>
      </w:r>
    </w:p>
    <w:p w:rsidR="00000000" w:rsidDel="00000000" w:rsidP="00000000" w:rsidRDefault="00000000" w:rsidRPr="00000000" w14:paraId="000000C4">
      <w:pPr>
        <w:rPr/>
      </w:pPr>
      <w:r w:rsidDel="00000000" w:rsidR="00000000" w:rsidRPr="00000000">
        <w:rPr>
          <w:b w:val="1"/>
          <w:bCs w:val="1"/>
          <w:rtl w:val="0"/>
        </w:rPr>
        <w:t xml:space="preserve">Commercial Platforms:</w:t>
      </w:r>
      <w:r w:rsidDel="00000000" w:rsidR="00000000" w:rsidRPr="00000000">
        <w:rPr>
          <w:rtl w:val="0"/>
        </w:rPr>
      </w:r>
    </w:p>
    <w:p w:rsidR="00000000" w:rsidDel="00000000" w:rsidP="00000000" w:rsidRDefault="00000000" w:rsidRPr="00000000" w14:paraId="000000C5">
      <w:pPr>
        <w:numPr>
          <w:ilvl w:val="0"/>
          <w:numId w:val="9"/>
        </w:numPr>
        <w:ind w:left="720" w:hanging="360"/>
        <w:rPr/>
      </w:pPr>
      <w:r w:rsidDel="00000000" w:rsidR="00000000" w:rsidRPr="00000000">
        <w:rPr>
          <w:b w:val="1"/>
          <w:bCs w:val="1"/>
          <w:rtl w:val="0"/>
        </w:rPr>
        <w:t xml:space="preserve">CluePoints:</w:t>
      </w:r>
      <w:r w:rsidDel="00000000" w:rsidR="00000000" w:rsidRPr="00000000">
        <w:rPr>
          <w:rtl w:val="0"/>
        </w:rPr>
        <w:t xml:space="preserve"> Uses unsupervised statistical monitoring with mixed-effects models to compute Data Inconsistency Scores. Deployed across all trials at several major pharma companies (e.g., Pfizer uses CluePoints for managing KRI and QTL across first- and second-category variables) [Source: external_presentation____analytics_transforming_clinical_trial_oversight.pptx, p. 9; detection_of_fraud_in_a_clinical_trial_using_unsupervised_statistical___monitoring.pdf].</w:t>
      </w:r>
    </w:p>
    <w:p w:rsidR="00000000" w:rsidDel="00000000" w:rsidP="00000000" w:rsidRDefault="00000000" w:rsidRPr="00000000" w14:paraId="000000C6">
      <w:pPr>
        <w:numPr>
          <w:ilvl w:val="0"/>
          <w:numId w:val="9"/>
        </w:numPr>
        <w:ind w:left="720" w:hanging="360"/>
        <w:rPr/>
      </w:pPr>
      <w:r w:rsidDel="00000000" w:rsidR="00000000" w:rsidRPr="00000000">
        <w:rPr>
          <w:b w:val="1"/>
          <w:bCs w:val="1"/>
          <w:rtl w:val="0"/>
        </w:rPr>
        <w:t xml:space="preserve">Keiji AI TrialMind:</w:t>
      </w:r>
      <w:r w:rsidDel="00000000" w:rsidR="00000000" w:rsidRPr="00000000">
        <w:rPr>
          <w:rtl w:val="0"/>
        </w:rPr>
        <w:t xml:space="preserve"> An AI-enabled platform for clinical trial monitoring and risk management.</w:t>
      </w:r>
    </w:p>
    <w:p w:rsidR="00000000" w:rsidDel="00000000" w:rsidP="00000000" w:rsidRDefault="00000000" w:rsidRPr="00000000" w14:paraId="000000C7">
      <w:pPr>
        <w:rPr/>
      </w:pPr>
      <w:r w:rsidDel="00000000" w:rsidR="00000000" w:rsidRPr="00000000">
        <w:rPr>
          <w:b w:val="1"/>
          <w:bCs w:val="1"/>
          <w:rtl w:val="0"/>
        </w:rPr>
        <w:t xml:space="preserve">In-House Solutions:</w:t>
      </w:r>
      <w:r w:rsidDel="00000000" w:rsidR="00000000" w:rsidRPr="00000000">
        <w:rPr>
          <w:rtl w:val="0"/>
        </w:rPr>
      </w:r>
    </w:p>
    <w:p w:rsidR="00000000" w:rsidDel="00000000" w:rsidP="00000000" w:rsidRDefault="00000000" w:rsidRPr="00000000" w14:paraId="000000C8">
      <w:pPr>
        <w:numPr>
          <w:ilvl w:val="0"/>
          <w:numId w:val="10"/>
        </w:numPr>
        <w:ind w:left="720" w:hanging="360"/>
        <w:rPr/>
      </w:pPr>
      <w:r w:rsidDel="00000000" w:rsidR="00000000" w:rsidRPr="00000000">
        <w:rPr>
          <w:rtl w:val="0"/>
        </w:rPr>
        <w:t xml:space="preserve">Several sponsors have built proprietary dashboards and analytical tools, often leveraging Qlik Sense or similar BI platforms. For example, Novo Nordisk uses Qlik Sense across all trials with a Risk Assessment Categorization (RACT) document [Source: external_presentation____analytics_transforming_clinical_trial_oversight.pptx, p. 9].</w:t>
      </w:r>
    </w:p>
    <w:p w:rsidR="00000000" w:rsidDel="00000000" w:rsidP="00000000" w:rsidRDefault="00000000" w:rsidRPr="00000000" w14:paraId="000000C9">
      <w:pPr>
        <w:numPr>
          <w:ilvl w:val="0"/>
          <w:numId w:val="10"/>
        </w:numPr>
        <w:ind w:left="720" w:hanging="360"/>
        <w:rPr/>
      </w:pPr>
      <w:r w:rsidDel="00000000" w:rsidR="00000000" w:rsidRPr="00000000">
        <w:rPr>
          <w:rtl w:val="0"/>
        </w:rPr>
        <w:t xml:space="preserve">Eli Lilly developed an integrated central monitoring dashboard combining KRI and statistical anomaly detection modules with automated biweekly email alerts to project statisticians [Source: external_presentation____analytics_transforming_clinical_trial_oversight.pptx, pp. 3, 7–8; email_summaries.docx, pp. 9–10].</w:t>
      </w:r>
    </w:p>
    <w:p w:rsidR="00000000" w:rsidDel="00000000" w:rsidP="00000000" w:rsidRDefault="00000000" w:rsidRPr="00000000" w14:paraId="000000CA">
      <w:pPr>
        <w:rPr/>
      </w:pPr>
      <w:r w:rsidDel="00000000" w:rsidR="00000000" w:rsidRPr="00000000">
        <w:rPr>
          <w:b w:val="1"/>
          <w:bCs w:val="1"/>
          <w:rtl w:val="0"/>
        </w:rPr>
        <w:t xml:space="preserve">Industry Benchmarking.</w:t>
      </w:r>
      <w:r w:rsidDel="00000000" w:rsidR="00000000" w:rsidRPr="00000000">
        <w:rPr>
          <w:rtl w:val="0"/>
        </w:rPr>
        <w:t xml:space="preserve"> A cross-company survey referenced during our working group discussions revealed diverse approaches across sponsors:</w:t>
      </w:r>
    </w:p>
    <w:tbl>
      <w:tblPr>
        <w:tblStyle w:val="Table4"/>
        <w:tblW w:w="9359.999999999998" w:type="dxa"/>
        <w:jc w:val="left"/>
        <w:tblLayout w:type="fixed"/>
        <w:tblLook w:val="0400"/>
      </w:tblPr>
      <w:tblGrid>
        <w:gridCol w:w="1602"/>
        <w:gridCol w:w="4536"/>
        <w:gridCol w:w="1413"/>
        <w:gridCol w:w="1809"/>
        <w:tblGridChange w:id="0">
          <w:tblGrid>
            <w:gridCol w:w="1602"/>
            <w:gridCol w:w="4536"/>
            <w:gridCol w:w="1413"/>
            <w:gridCol w:w="1809"/>
          </w:tblGrid>
        </w:tblGridChange>
      </w:tblGrid>
      <w:tr>
        <w:trPr>
          <w:cantSplit w:val="0"/>
          <w:tblHeader w:val="1"/>
        </w:trPr>
        <w:tc>
          <w:tcPr>
            <w:vAlign w:val="center"/>
          </w:tcPr>
          <w:p w:rsidR="00000000" w:rsidDel="00000000" w:rsidP="00000000" w:rsidRDefault="00000000" w:rsidRPr="00000000" w14:paraId="000000CB">
            <w:pPr>
              <w:rPr>
                <w:b w:val="1"/>
                <w:bCs w:val="1"/>
              </w:rPr>
            </w:pPr>
            <w:r w:rsidDel="00000000" w:rsidR="00000000" w:rsidRPr="00000000">
              <w:rPr>
                <w:b w:val="1"/>
                <w:bCs w:val="1"/>
                <w:rtl w:val="0"/>
              </w:rPr>
              <w:t xml:space="preserve">Company</w:t>
            </w:r>
          </w:p>
        </w:tc>
        <w:tc>
          <w:tcPr>
            <w:vAlign w:val="center"/>
          </w:tcPr>
          <w:p w:rsidR="00000000" w:rsidDel="00000000" w:rsidP="00000000" w:rsidRDefault="00000000" w:rsidRPr="00000000" w14:paraId="000000CC">
            <w:pPr>
              <w:rPr>
                <w:b w:val="1"/>
                <w:bCs w:val="1"/>
              </w:rPr>
            </w:pPr>
            <w:r w:rsidDel="00000000" w:rsidR="00000000" w:rsidRPr="00000000">
              <w:rPr>
                <w:b w:val="1"/>
                <w:bCs w:val="1"/>
                <w:rtl w:val="0"/>
              </w:rPr>
              <w:t xml:space="preserve">Approach</w:t>
            </w:r>
          </w:p>
        </w:tc>
        <w:tc>
          <w:tcPr>
            <w:vAlign w:val="center"/>
          </w:tcPr>
          <w:p w:rsidR="00000000" w:rsidDel="00000000" w:rsidP="00000000" w:rsidRDefault="00000000" w:rsidRPr="00000000" w14:paraId="000000CD">
            <w:pPr>
              <w:rPr>
                <w:b w:val="1"/>
                <w:bCs w:val="1"/>
              </w:rPr>
            </w:pPr>
            <w:r w:rsidDel="00000000" w:rsidR="00000000" w:rsidRPr="00000000">
              <w:rPr>
                <w:b w:val="1"/>
                <w:bCs w:val="1"/>
                <w:rtl w:val="0"/>
              </w:rPr>
              <w:t xml:space="preserve">Tool</w:t>
            </w:r>
          </w:p>
        </w:tc>
        <w:tc>
          <w:tcPr>
            <w:vAlign w:val="center"/>
          </w:tcPr>
          <w:p w:rsidR="00000000" w:rsidDel="00000000" w:rsidP="00000000" w:rsidRDefault="00000000" w:rsidRPr="00000000" w14:paraId="000000CE">
            <w:pPr>
              <w:rPr>
                <w:b w:val="1"/>
                <w:bCs w:val="1"/>
              </w:rPr>
            </w:pPr>
            <w:r w:rsidDel="00000000" w:rsidR="00000000" w:rsidRPr="00000000">
              <w:rPr>
                <w:b w:val="1"/>
                <w:bCs w:val="1"/>
                <w:rtl w:val="0"/>
              </w:rPr>
              <w:t xml:space="preserve">Status</w:t>
            </w:r>
          </w:p>
        </w:tc>
      </w:tr>
      <w:tr>
        <w:trPr>
          <w:cantSplit w:val="0"/>
          <w:tblHeader w:val="0"/>
        </w:trPr>
        <w:tc>
          <w:tcPr>
            <w:vAlign w:val="center"/>
          </w:tcPr>
          <w:p w:rsidR="00000000" w:rsidDel="00000000" w:rsidP="00000000" w:rsidRDefault="00000000" w:rsidRPr="00000000" w14:paraId="000000CF">
            <w:pPr>
              <w:rPr/>
            </w:pPr>
            <w:r w:rsidDel="00000000" w:rsidR="00000000" w:rsidRPr="00000000">
              <w:rPr>
                <w:rtl w:val="0"/>
              </w:rPr>
              <w:t xml:space="preserve">Boston Scientific</w:t>
            </w:r>
          </w:p>
        </w:tc>
        <w:tc>
          <w:tcPr>
            <w:vAlign w:val="center"/>
          </w:tcPr>
          <w:p w:rsidR="00000000" w:rsidDel="00000000" w:rsidP="00000000" w:rsidRDefault="00000000" w:rsidRPr="00000000" w14:paraId="000000D0">
            <w:pPr>
              <w:rPr/>
            </w:pPr>
            <w:r w:rsidDel="00000000" w:rsidR="00000000" w:rsidRPr="00000000">
              <w:rPr>
                <w:rtl w:val="0"/>
              </w:rPr>
              <w:t xml:space="preserve">Limiting data review based on CTQ factors; QTLs documented in CSR</w:t>
            </w:r>
          </w:p>
        </w:tc>
        <w:tc>
          <w:tcPr>
            <w:vAlign w:val="center"/>
          </w:tcPr>
          <w:p w:rsidR="00000000" w:rsidDel="00000000" w:rsidP="00000000" w:rsidRDefault="00000000" w:rsidRPr="00000000" w14:paraId="000000D1">
            <w:pPr>
              <w:rPr/>
            </w:pPr>
            <w:r w:rsidDel="00000000" w:rsidR="00000000" w:rsidRPr="00000000">
              <w:rPr>
                <w:rtl w:val="0"/>
              </w:rPr>
              <w:t xml:space="preserve">Vendor</w:t>
            </w:r>
          </w:p>
        </w:tc>
        <w:tc>
          <w:tcPr>
            <w:vAlign w:val="center"/>
          </w:tcPr>
          <w:p w:rsidR="00000000" w:rsidDel="00000000" w:rsidP="00000000" w:rsidRDefault="00000000" w:rsidRPr="00000000" w14:paraId="000000D2">
            <w:pPr>
              <w:rPr/>
            </w:pPr>
            <w:r w:rsidDel="00000000" w:rsidR="00000000" w:rsidRPr="00000000">
              <w:rPr>
                <w:rtl w:val="0"/>
              </w:rPr>
              <w:t xml:space="preserve">100% adoption in one TA</w:t>
            </w:r>
          </w:p>
        </w:tc>
      </w:tr>
      <w:tr>
        <w:trPr>
          <w:cantSplit w:val="0"/>
          <w:tblHeader w:val="0"/>
        </w:trPr>
        <w:tc>
          <w:tcPr>
            <w:vAlign w:val="center"/>
          </w:tcPr>
          <w:p w:rsidR="00000000" w:rsidDel="00000000" w:rsidP="00000000" w:rsidRDefault="00000000" w:rsidRPr="00000000" w14:paraId="000000D3">
            <w:pPr>
              <w:rPr/>
            </w:pPr>
            <w:r w:rsidDel="00000000" w:rsidR="00000000" w:rsidRPr="00000000">
              <w:rPr>
                <w:rtl w:val="0"/>
              </w:rPr>
              <w:t xml:space="preserve">Janssen</w:t>
            </w:r>
          </w:p>
        </w:tc>
        <w:tc>
          <w:tcPr>
            <w:vAlign w:val="center"/>
          </w:tcPr>
          <w:p w:rsidR="00000000" w:rsidDel="00000000" w:rsidP="00000000" w:rsidRDefault="00000000" w:rsidRPr="00000000" w14:paraId="000000D4">
            <w:pPr>
              <w:rPr/>
            </w:pPr>
            <w:r w:rsidDel="00000000" w:rsidR="00000000" w:rsidRPr="00000000">
              <w:rPr>
                <w:rtl w:val="0"/>
              </w:rPr>
              <w:t xml:space="preserve">Built on RBM principles; eDC checks for all data, non-eDC for critical only</w:t>
            </w:r>
          </w:p>
        </w:tc>
        <w:tc>
          <w:tcPr>
            <w:vAlign w:val="center"/>
          </w:tcPr>
          <w:p w:rsidR="00000000" w:rsidDel="00000000" w:rsidP="00000000" w:rsidRDefault="00000000" w:rsidRPr="00000000" w14:paraId="000000D5">
            <w:pPr>
              <w:rPr/>
            </w:pPr>
            <w:r w:rsidDel="00000000" w:rsidR="00000000" w:rsidRPr="00000000">
              <w:rPr>
                <w:rtl w:val="0"/>
              </w:rPr>
              <w:t xml:space="preserve">Home-grown</w:t>
            </w:r>
          </w:p>
        </w:tc>
        <w:tc>
          <w:tcPr>
            <w:vAlign w:val="center"/>
          </w:tcPr>
          <w:p w:rsidR="00000000" w:rsidDel="00000000" w:rsidP="00000000" w:rsidRDefault="00000000" w:rsidRPr="00000000" w14:paraId="000000D6">
            <w:pPr>
              <w:rPr/>
            </w:pPr>
            <w:r w:rsidDel="00000000" w:rsidR="00000000" w:rsidRPr="00000000">
              <w:rPr>
                <w:rtl w:val="0"/>
              </w:rPr>
              <w:t xml:space="preserve">All trials</w:t>
            </w:r>
          </w:p>
        </w:tc>
      </w:tr>
      <w:tr>
        <w:trPr>
          <w:cantSplit w:val="0"/>
          <w:tblHeader w:val="0"/>
        </w:trPr>
        <w:tc>
          <w:tcPr>
            <w:vAlign w:val="center"/>
          </w:tcPr>
          <w:p w:rsidR="00000000" w:rsidDel="00000000" w:rsidP="00000000" w:rsidRDefault="00000000" w:rsidRPr="00000000" w14:paraId="000000D7">
            <w:pPr>
              <w:rPr/>
            </w:pPr>
            <w:r w:rsidDel="00000000" w:rsidR="00000000" w:rsidRPr="00000000">
              <w:rPr>
                <w:rtl w:val="0"/>
              </w:rPr>
              <w:t xml:space="preserve">Pfizer</w:t>
            </w:r>
          </w:p>
        </w:tc>
        <w:tc>
          <w:tcPr>
            <w:vAlign w:val="center"/>
          </w:tcPr>
          <w:p w:rsidR="00000000" w:rsidDel="00000000" w:rsidP="00000000" w:rsidRDefault="00000000" w:rsidRPr="00000000" w14:paraId="000000D8">
            <w:pPr>
              <w:rPr/>
            </w:pPr>
            <w:r w:rsidDel="00000000" w:rsidR="00000000" w:rsidRPr="00000000">
              <w:rPr>
                <w:rtl w:val="0"/>
              </w:rPr>
              <w:t xml:space="preserve">3-tier: Critical (all data), Semi-critical (risk-based), As-is (no queries)</w:t>
            </w:r>
          </w:p>
        </w:tc>
        <w:tc>
          <w:tcPr>
            <w:vAlign w:val="center"/>
          </w:tcPr>
          <w:p w:rsidR="00000000" w:rsidDel="00000000" w:rsidP="00000000" w:rsidRDefault="00000000" w:rsidRPr="00000000" w14:paraId="000000D9">
            <w:pPr>
              <w:rPr/>
            </w:pPr>
            <w:r w:rsidDel="00000000" w:rsidR="00000000" w:rsidRPr="00000000">
              <w:rPr>
                <w:rtl w:val="0"/>
              </w:rPr>
              <w:t xml:space="preserve">CluePoints</w:t>
            </w:r>
          </w:p>
        </w:tc>
        <w:tc>
          <w:tcPr>
            <w:vAlign w:val="center"/>
          </w:tcPr>
          <w:p w:rsidR="00000000" w:rsidDel="00000000" w:rsidP="00000000" w:rsidRDefault="00000000" w:rsidRPr="00000000" w14:paraId="000000DA">
            <w:pPr>
              <w:rPr/>
            </w:pPr>
            <w:r w:rsidDel="00000000" w:rsidR="00000000" w:rsidRPr="00000000">
              <w:rPr>
                <w:rtl w:val="0"/>
              </w:rPr>
              <w:t xml:space="preserve">All trials</w:t>
            </w:r>
          </w:p>
        </w:tc>
      </w:tr>
      <w:tr>
        <w:trPr>
          <w:cantSplit w:val="0"/>
          <w:tblHeader w:val="0"/>
        </w:trPr>
        <w:tc>
          <w:tcPr>
            <w:vAlign w:val="center"/>
          </w:tcPr>
          <w:p w:rsidR="00000000" w:rsidDel="00000000" w:rsidP="00000000" w:rsidRDefault="00000000" w:rsidRPr="00000000" w14:paraId="000000DB">
            <w:pPr>
              <w:rPr/>
            </w:pPr>
            <w:r w:rsidDel="00000000" w:rsidR="00000000" w:rsidRPr="00000000">
              <w:rPr>
                <w:rtl w:val="0"/>
              </w:rPr>
              <w:t xml:space="preserve">Novartis</w:t>
            </w:r>
          </w:p>
        </w:tc>
        <w:tc>
          <w:tcPr>
            <w:vAlign w:val="center"/>
          </w:tcPr>
          <w:p w:rsidR="00000000" w:rsidDel="00000000" w:rsidP="00000000" w:rsidRDefault="00000000" w:rsidRPr="00000000" w14:paraId="000000DC">
            <w:pPr>
              <w:rPr/>
            </w:pPr>
            <w:r w:rsidDel="00000000" w:rsidR="00000000" w:rsidRPr="00000000">
              <w:rPr>
                <w:rtl w:val="0"/>
              </w:rPr>
              <w:t xml:space="preserve">RBDM based on site risk score, extrapolating RBM to data review</w:t>
            </w:r>
          </w:p>
        </w:tc>
        <w:tc>
          <w:tcPr>
            <w:vAlign w:val="center"/>
          </w:tcPr>
          <w:p w:rsidR="00000000" w:rsidDel="00000000" w:rsidP="00000000" w:rsidRDefault="00000000" w:rsidRPr="00000000" w14:paraId="000000DD">
            <w:pPr>
              <w:rPr/>
            </w:pPr>
            <w:r w:rsidDel="00000000" w:rsidR="00000000" w:rsidRPr="00000000">
              <w:rPr>
                <w:rtl w:val="0"/>
              </w:rPr>
              <w:t xml:space="preserve">Home-grown</w:t>
            </w:r>
          </w:p>
        </w:tc>
        <w:tc>
          <w:tcPr>
            <w:vAlign w:val="center"/>
          </w:tcPr>
          <w:p w:rsidR="00000000" w:rsidDel="00000000" w:rsidP="00000000" w:rsidRDefault="00000000" w:rsidRPr="00000000" w14:paraId="000000DE">
            <w:pPr>
              <w:rPr/>
            </w:pPr>
            <w:r w:rsidDel="00000000" w:rsidR="00000000" w:rsidRPr="00000000">
              <w:rPr>
                <w:rtl w:val="0"/>
              </w:rPr>
              <w:t xml:space="preserve">In planning</w:t>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rtl w:val="0"/>
              </w:rPr>
              <w:t xml:space="preserve">AstraZeneca</w:t>
            </w:r>
          </w:p>
        </w:tc>
        <w:tc>
          <w:tcPr>
            <w:vAlign w:val="center"/>
          </w:tcPr>
          <w:p w:rsidR="00000000" w:rsidDel="00000000" w:rsidP="00000000" w:rsidRDefault="00000000" w:rsidRPr="00000000" w14:paraId="000000E0">
            <w:pPr>
              <w:rPr/>
            </w:pPr>
            <w:r w:rsidDel="00000000" w:rsidR="00000000" w:rsidRPr="00000000">
              <w:rPr>
                <w:rtl w:val="0"/>
              </w:rPr>
              <w:t xml:space="preserve">CTQM (~30–35%) determined during startup, cross-functional governance</w:t>
            </w:r>
          </w:p>
        </w:tc>
        <w:tc>
          <w:tcPr>
            <w:vAlign w:val="center"/>
          </w:tcPr>
          <w:p w:rsidR="00000000" w:rsidDel="00000000" w:rsidP="00000000" w:rsidRDefault="00000000" w:rsidRPr="00000000" w14:paraId="000000E1">
            <w:pPr>
              <w:rPr/>
            </w:pPr>
            <w:r w:rsidDel="00000000" w:rsidR="00000000" w:rsidRPr="00000000">
              <w:rPr>
                <w:rtl w:val="0"/>
              </w:rPr>
              <w:t xml:space="preserve">Combination</w:t>
            </w:r>
          </w:p>
        </w:tc>
        <w:tc>
          <w:tcPr>
            <w:vAlign w:val="center"/>
          </w:tcPr>
          <w:p w:rsidR="00000000" w:rsidDel="00000000" w:rsidP="00000000" w:rsidRDefault="00000000" w:rsidRPr="00000000" w14:paraId="000000E2">
            <w:pPr>
              <w:rPr/>
            </w:pPr>
            <w:r w:rsidDel="00000000" w:rsidR="00000000" w:rsidRPr="00000000">
              <w:rPr>
                <w:rtl w:val="0"/>
              </w:rPr>
              <w:t xml:space="preserve">All trials</w:t>
            </w:r>
          </w:p>
        </w:tc>
      </w:tr>
      <w:tr>
        <w:trPr>
          <w:cantSplit w:val="0"/>
          <w:tblHeader w:val="0"/>
        </w:trPr>
        <w:tc>
          <w:tcPr>
            <w:vAlign w:val="center"/>
          </w:tcPr>
          <w:p w:rsidR="00000000" w:rsidDel="00000000" w:rsidP="00000000" w:rsidRDefault="00000000" w:rsidRPr="00000000" w14:paraId="000000E3">
            <w:pPr>
              <w:rPr/>
            </w:pPr>
            <w:r w:rsidDel="00000000" w:rsidR="00000000" w:rsidRPr="00000000">
              <w:rPr>
                <w:rtl w:val="0"/>
              </w:rPr>
              <w:t xml:space="preserve">Novo Nordisk</w:t>
            </w:r>
          </w:p>
        </w:tc>
        <w:tc>
          <w:tcPr>
            <w:vAlign w:val="center"/>
          </w:tcPr>
          <w:p w:rsidR="00000000" w:rsidDel="00000000" w:rsidP="00000000" w:rsidRDefault="00000000" w:rsidRPr="00000000" w14:paraId="000000E4">
            <w:pPr>
              <w:rPr/>
            </w:pPr>
            <w:r w:rsidDel="00000000" w:rsidR="00000000" w:rsidRPr="00000000">
              <w:rPr>
                <w:rtl w:val="0"/>
              </w:rPr>
              <w:t xml:space="preserve">100% cleaning for critical data; extent of non-critical determined by team</w:t>
            </w:r>
          </w:p>
        </w:tc>
        <w:tc>
          <w:tcPr>
            <w:vAlign w:val="center"/>
          </w:tcPr>
          <w:p w:rsidR="00000000" w:rsidDel="00000000" w:rsidP="00000000" w:rsidRDefault="00000000" w:rsidRPr="00000000" w14:paraId="000000E5">
            <w:pPr>
              <w:rPr/>
            </w:pPr>
            <w:r w:rsidDel="00000000" w:rsidR="00000000" w:rsidRPr="00000000">
              <w:rPr>
                <w:rtl w:val="0"/>
              </w:rPr>
              <w:t xml:space="preserve">Qlik Sense</w:t>
            </w:r>
          </w:p>
        </w:tc>
        <w:tc>
          <w:tcPr>
            <w:vAlign w:val="center"/>
          </w:tcPr>
          <w:p w:rsidR="00000000" w:rsidDel="00000000" w:rsidP="00000000" w:rsidRDefault="00000000" w:rsidRPr="00000000" w14:paraId="000000E6">
            <w:pPr>
              <w:rPr/>
            </w:pPr>
            <w:r w:rsidDel="00000000" w:rsidR="00000000" w:rsidRPr="00000000">
              <w:rPr>
                <w:rtl w:val="0"/>
              </w:rPr>
              <w:t xml:space="preserve">All trials</w:t>
            </w:r>
          </w:p>
        </w:tc>
      </w:tr>
    </w:tbl>
    <w:p w:rsidR="00000000" w:rsidDel="00000000" w:rsidP="00000000" w:rsidRDefault="00000000" w:rsidRPr="00000000" w14:paraId="000000E7">
      <w:pPr>
        <w:rPr/>
      </w:pPr>
      <w:r w:rsidDel="00000000" w:rsidR="00000000" w:rsidRPr="00000000">
        <w:rPr>
          <w:rtl w:val="0"/>
        </w:rPr>
        <w:t xml:space="preserve">[Source: external_presentation____analytics_transforming_clinical_trial_oversight.pptx, p. 9]</w:t>
      </w:r>
    </w:p>
    <w:p w:rsidR="00000000" w:rsidDel="00000000" w:rsidP="00000000" w:rsidRDefault="00000000" w:rsidRPr="00000000" w14:paraId="000000E8">
      <w:pPr>
        <w:rPr>
          <w:b w:val="1"/>
          <w:bCs w:val="1"/>
        </w:rPr>
      </w:pPr>
      <w:r w:rsidDel="00000000" w:rsidR="00000000" w:rsidRPr="00000000">
        <w:rPr>
          <w:b w:val="1"/>
          <w:bCs w:val="1"/>
          <w:rtl w:val="0"/>
        </w:rPr>
        <w:t xml:space="preserve">4.3 Considerations When Evaluating External Implementations</w:t>
      </w:r>
    </w:p>
    <w:p w:rsidR="00000000" w:rsidDel="00000000" w:rsidP="00000000" w:rsidRDefault="00000000" w:rsidRPr="00000000" w14:paraId="000000E9">
      <w:pPr>
        <w:rPr/>
      </w:pPr>
      <w:r w:rsidDel="00000000" w:rsidR="00000000" w:rsidRPr="00000000">
        <w:rPr>
          <w:rtl w:val="0"/>
        </w:rPr>
        <w:t xml:space="preserve">When evaluating commercial monitoring tools, sponsors should consider:</w:t>
      </w:r>
    </w:p>
    <w:p w:rsidR="00000000" w:rsidDel="00000000" w:rsidP="00000000" w:rsidRDefault="00000000" w:rsidRPr="00000000" w14:paraId="000000EA">
      <w:pPr>
        <w:rPr/>
      </w:pPr>
      <w:r w:rsidDel="00000000" w:rsidR="00000000" w:rsidRPr="00000000">
        <w:rPr>
          <w:b w:val="1"/>
          <w:bCs w:val="1"/>
          <w:rtl w:val="0"/>
        </w:rPr>
        <w:t xml:space="preserve">Real-Time Data Availability:</w:t>
      </w:r>
      <w:r w:rsidDel="00000000" w:rsidR="00000000" w:rsidRPr="00000000">
        <w:rPr>
          <w:rtl w:val="0"/>
        </w:rPr>
      </w:r>
    </w:p>
    <w:p w:rsidR="00000000" w:rsidDel="00000000" w:rsidP="00000000" w:rsidRDefault="00000000" w:rsidRPr="00000000" w14:paraId="000000EB">
      <w:pPr>
        <w:numPr>
          <w:ilvl w:val="0"/>
          <w:numId w:val="11"/>
        </w:numPr>
        <w:ind w:left="720" w:hanging="360"/>
        <w:rPr/>
      </w:pPr>
      <w:r w:rsidDel="00000000" w:rsidR="00000000" w:rsidRPr="00000000">
        <w:rPr>
          <w:b w:val="1"/>
          <w:bCs w:val="1"/>
          <w:rtl w:val="0"/>
        </w:rPr>
        <w:t xml:space="preserve">Data transfer model:</w:t>
      </w:r>
      <w:r w:rsidDel="00000000" w:rsidR="00000000" w:rsidRPr="00000000">
        <w:rPr>
          <w:rtl w:val="0"/>
        </w:rPr>
        <w:t xml:space="preserve"> Does the sponsor need to periodically transfer data to the vendor, or can the tool be implemented directly on the sponsor's database? Direct implementation on the sponsor database offers more timely data access and reduces data privacy challenges [Source: email_summaries.docx].</w:t>
      </w:r>
    </w:p>
    <w:p w:rsidR="00000000" w:rsidDel="00000000" w:rsidP="00000000" w:rsidRDefault="00000000" w:rsidRPr="00000000" w14:paraId="000000EC">
      <w:pPr>
        <w:numPr>
          <w:ilvl w:val="0"/>
          <w:numId w:val="11"/>
        </w:numPr>
        <w:ind w:left="720" w:hanging="360"/>
        <w:rPr/>
      </w:pPr>
      <w:r w:rsidDel="00000000" w:rsidR="00000000" w:rsidRPr="00000000">
        <w:rPr>
          <w:b w:val="1"/>
          <w:bCs w:val="1"/>
          <w:rtl w:val="0"/>
        </w:rPr>
        <w:t xml:space="preserve">Refresh frequency:</w:t>
      </w:r>
      <w:r w:rsidDel="00000000" w:rsidR="00000000" w:rsidRPr="00000000">
        <w:rPr>
          <w:rtl w:val="0"/>
        </w:rPr>
        <w:t xml:space="preserve"> Near-real-time (daily or more frequent) data refresh enables early signal detection, whereas weekly or less frequent refreshes may delay identification of emerging issues [Source: external_presentation____analytics_transforming_clinical_trial_oversight.pptx, p. 3].</w:t>
      </w:r>
    </w:p>
    <w:p w:rsidR="00000000" w:rsidDel="00000000" w:rsidP="00000000" w:rsidRDefault="00000000" w:rsidRPr="00000000" w14:paraId="000000ED">
      <w:pPr>
        <w:rPr/>
      </w:pPr>
      <w:r w:rsidDel="00000000" w:rsidR="00000000" w:rsidRPr="00000000">
        <w:rPr>
          <w:b w:val="1"/>
          <w:bCs w:val="1"/>
          <w:rtl w:val="0"/>
        </w:rPr>
        <w:t xml:space="preserve">Dashboard Customization:</w:t>
      </w:r>
      <w:r w:rsidDel="00000000" w:rsidR="00000000" w:rsidRPr="00000000">
        <w:rPr>
          <w:rtl w:val="0"/>
        </w:rPr>
      </w:r>
    </w:p>
    <w:p w:rsidR="00000000" w:rsidDel="00000000" w:rsidP="00000000" w:rsidRDefault="00000000" w:rsidRPr="00000000" w14:paraId="000000EE">
      <w:pPr>
        <w:numPr>
          <w:ilvl w:val="0"/>
          <w:numId w:val="12"/>
        </w:numPr>
        <w:ind w:left="720" w:hanging="360"/>
        <w:rPr/>
      </w:pPr>
      <w:r w:rsidDel="00000000" w:rsidR="00000000" w:rsidRPr="00000000">
        <w:rPr>
          <w:rtl w:val="0"/>
        </w:rPr>
        <w:t xml:space="preserve">The ability to customize dashboards to the specific study design, therapeutic area, and organizational workflow is critical. One-size-fits-all dashboards may generate excessive noise or miss study-specific risks.</w:t>
      </w:r>
    </w:p>
    <w:p w:rsidR="00000000" w:rsidDel="00000000" w:rsidP="00000000" w:rsidRDefault="00000000" w:rsidRPr="00000000" w14:paraId="000000EF">
      <w:pPr>
        <w:numPr>
          <w:ilvl w:val="0"/>
          <w:numId w:val="12"/>
        </w:numPr>
        <w:ind w:left="720" w:hanging="360"/>
        <w:rPr/>
      </w:pPr>
      <w:r w:rsidDel="00000000" w:rsidR="00000000" w:rsidRPr="00000000">
        <w:rPr>
          <w:rtl w:val="0"/>
        </w:rPr>
        <w:t xml:space="preserve">Dashboards should support drill-down from study-level summaries to site-level and patient-level detail, with clear actionability for CRAs, clinical project managers, and statisticians.</w:t>
      </w:r>
    </w:p>
    <w:p w:rsidR="00000000" w:rsidDel="00000000" w:rsidP="00000000" w:rsidRDefault="00000000" w:rsidRPr="00000000" w14:paraId="000000F0">
      <w:pPr>
        <w:rPr/>
      </w:pPr>
      <w:r w:rsidDel="00000000" w:rsidR="00000000" w:rsidRPr="00000000">
        <w:rPr>
          <w:b w:val="1"/>
          <w:bCs w:val="1"/>
          <w:rtl w:val="0"/>
        </w:rPr>
        <w:t xml:space="preserve">Regulatory Alignment:</w:t>
      </w:r>
      <w:r w:rsidDel="00000000" w:rsidR="00000000" w:rsidRPr="00000000">
        <w:rPr>
          <w:rtl w:val="0"/>
        </w:rPr>
      </w:r>
    </w:p>
    <w:p w:rsidR="00000000" w:rsidDel="00000000" w:rsidP="00000000" w:rsidRDefault="00000000" w:rsidRPr="00000000" w14:paraId="000000F1">
      <w:pPr>
        <w:numPr>
          <w:ilvl w:val="0"/>
          <w:numId w:val="13"/>
        </w:numPr>
        <w:ind w:left="720" w:hanging="360"/>
        <w:rPr/>
      </w:pPr>
      <w:r w:rsidDel="00000000" w:rsidR="00000000" w:rsidRPr="00000000">
        <w:rPr>
          <w:rtl w:val="0"/>
        </w:rPr>
        <w:t xml:space="preserve">Tools should support documentation of QTL monitoring and response actions as required by ICH E6(R3), including audit trails and reporting capabilities for inclusion in clinical study reports.</w:t>
      </w:r>
    </w:p>
    <w:p w:rsidR="00000000" w:rsidDel="00000000" w:rsidP="00000000" w:rsidRDefault="00000000" w:rsidRPr="00000000" w14:paraId="000000F2">
      <w:pPr>
        <w:rPr/>
      </w:pPr>
      <w:r w:rsidDel="00000000" w:rsidR="00000000" w:rsidRPr="00000000">
        <w:rPr>
          <w:b w:val="1"/>
          <w:bCs w:val="1"/>
          <w:rtl w:val="0"/>
        </w:rPr>
        <w:t xml:space="preserve">Validation and Qualification:</w:t>
      </w:r>
      <w:r w:rsidDel="00000000" w:rsidR="00000000" w:rsidRPr="00000000">
        <w:rPr>
          <w:rtl w:val="0"/>
        </w:rPr>
      </w:r>
    </w:p>
    <w:p w:rsidR="00000000" w:rsidDel="00000000" w:rsidP="00000000" w:rsidRDefault="00000000" w:rsidRPr="00000000" w14:paraId="000000F3">
      <w:pPr>
        <w:numPr>
          <w:ilvl w:val="0"/>
          <w:numId w:val="15"/>
        </w:numPr>
        <w:ind w:left="720" w:hanging="360"/>
        <w:rPr/>
      </w:pPr>
      <w:r w:rsidDel="00000000" w:rsidR="00000000" w:rsidRPr="00000000">
        <w:rPr>
          <w:rtl w:val="0"/>
        </w:rPr>
        <w:t xml:space="preserve">Statistical methods embedded in commercial tools should be transparent, validated, and reproducible. Operating characteristics (sensitivity, specificity) should be understood under realistic contamination scenarios [Source: trotta2019_clinicaltrials_atypical_data_in_stats_monitoring.pdf].</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5. Cross-Functional Integration and Data Management Alignment</w:t>
      </w:r>
    </w:p>
    <w:p w:rsidR="00000000" w:rsidDel="00000000" w:rsidP="00000000" w:rsidRDefault="00000000" w:rsidRPr="00000000" w14:paraId="000000F6">
      <w:pPr>
        <w:rPr>
          <w:b w:val="1"/>
          <w:bCs w:val="1"/>
        </w:rPr>
      </w:pPr>
      <w:r w:rsidDel="00000000" w:rsidR="00000000" w:rsidRPr="00000000">
        <w:rPr>
          <w:b w:val="1"/>
          <w:bCs w:val="1"/>
          <w:rtl w:val="0"/>
        </w:rPr>
        <w:t xml:space="preserve">5.1 The Need for Cross-Functional Collaboration</w:t>
      </w:r>
    </w:p>
    <w:p w:rsidR="00000000" w:rsidDel="00000000" w:rsidP="00000000" w:rsidRDefault="00000000" w:rsidRPr="00000000" w14:paraId="000000F7">
      <w:pPr>
        <w:rPr/>
      </w:pPr>
      <w:r w:rsidDel="00000000" w:rsidR="00000000" w:rsidRPr="00000000">
        <w:rPr>
          <w:rtl w:val="0"/>
        </w:rPr>
        <w:t xml:space="preserve">Effective monitoring requires collaboration across statistics, data management, clinical operations, medical monitoring, and regulatory functions. Working group discussions identified persistent challenges in translating statistical findings into operational improvements, particularly in communication across these functions [Source: email_summaries.docx, pp. 8–9].</w:t>
      </w:r>
    </w:p>
    <w:p w:rsidR="00000000" w:rsidDel="00000000" w:rsidP="00000000" w:rsidRDefault="00000000" w:rsidRPr="00000000" w14:paraId="000000F8">
      <w:pPr>
        <w:rPr/>
      </w:pPr>
      <w:r w:rsidDel="00000000" w:rsidR="00000000" w:rsidRPr="00000000">
        <w:rPr>
          <w:rtl w:val="0"/>
        </w:rPr>
        <w:t xml:space="preserve">Key observations include:</w:t>
      </w:r>
    </w:p>
    <w:p w:rsidR="00000000" w:rsidDel="00000000" w:rsidP="00000000" w:rsidRDefault="00000000" w:rsidRPr="00000000" w14:paraId="000000F9">
      <w:pPr>
        <w:numPr>
          <w:ilvl w:val="0"/>
          <w:numId w:val="16"/>
        </w:numPr>
        <w:ind w:left="720" w:hanging="360"/>
        <w:rPr/>
      </w:pPr>
      <w:r w:rsidDel="00000000" w:rsidR="00000000" w:rsidRPr="00000000">
        <w:rPr>
          <w:b w:val="1"/>
          <w:bCs w:val="1"/>
          <w:rtl w:val="0"/>
        </w:rPr>
        <w:t xml:space="preserve">Data management checklists alone are insufficient:</w:t>
      </w:r>
      <w:r w:rsidDel="00000000" w:rsidR="00000000" w:rsidRPr="00000000">
        <w:rPr>
          <w:rtl w:val="0"/>
        </w:rPr>
        <w:t xml:space="preserve"> Standard DM checks frequently miss critical-to-quality (CTQ) elements important for statistical integrity, such as treatment duration checks affecting primary analyses [Source: email_summaries.docx, p. 6; additional_materials.docx, p. 6].</w:t>
      </w:r>
    </w:p>
    <w:p w:rsidR="00000000" w:rsidDel="00000000" w:rsidP="00000000" w:rsidRDefault="00000000" w:rsidRPr="00000000" w14:paraId="000000FA">
      <w:pPr>
        <w:numPr>
          <w:ilvl w:val="0"/>
          <w:numId w:val="16"/>
        </w:numPr>
        <w:ind w:left="720" w:hanging="360"/>
        <w:rPr/>
      </w:pPr>
      <w:r w:rsidDel="00000000" w:rsidR="00000000" w:rsidRPr="00000000">
        <w:rPr>
          <w:b w:val="1"/>
          <w:bCs w:val="1"/>
          <w:rtl w:val="0"/>
        </w:rPr>
        <w:t xml:space="preserve">Each function reviews risk differently:</w:t>
      </w:r>
      <w:r w:rsidDel="00000000" w:rsidR="00000000" w:rsidRPr="00000000">
        <w:rPr>
          <w:rtl w:val="0"/>
        </w:rPr>
        <w:t xml:space="preserve"> Statistics focuses on endpoints and programming, clinical teams focus on safety, and DM applies standard checks. Without integration, important risks may fall through the gaps [Source: additional_materials.docx, p. 6].</w:t>
      </w:r>
    </w:p>
    <w:p w:rsidR="00000000" w:rsidDel="00000000" w:rsidP="00000000" w:rsidRDefault="00000000" w:rsidRPr="00000000" w14:paraId="000000FB">
      <w:pPr>
        <w:numPr>
          <w:ilvl w:val="0"/>
          <w:numId w:val="16"/>
        </w:numPr>
        <w:ind w:left="720" w:hanging="360"/>
        <w:rPr/>
      </w:pPr>
      <w:r w:rsidDel="00000000" w:rsidR="00000000" w:rsidRPr="00000000">
        <w:rPr>
          <w:b w:val="1"/>
          <w:bCs w:val="1"/>
          <w:rtl w:val="0"/>
        </w:rPr>
        <w:t xml:space="preserve">In-house studies benefit from more frequent cross-functional review</w:t>
      </w:r>
      <w:r w:rsidDel="00000000" w:rsidR="00000000" w:rsidRPr="00000000">
        <w:rPr>
          <w:rtl w:val="0"/>
        </w:rPr>
        <w:t xml:space="preserve"> compared to outsourced (CRO) studies, where data quality issues are often detected later [Source: email_summaries.docx, p. 8].</w:t>
      </w:r>
    </w:p>
    <w:p w:rsidR="00000000" w:rsidDel="00000000" w:rsidP="00000000" w:rsidRDefault="00000000" w:rsidRPr="00000000" w14:paraId="000000FC">
      <w:pPr>
        <w:rPr>
          <w:b w:val="1"/>
          <w:bCs w:val="1"/>
        </w:rPr>
      </w:pPr>
      <w:r w:rsidDel="00000000" w:rsidR="00000000" w:rsidRPr="00000000">
        <w:rPr>
          <w:b w:val="1"/>
          <w:bCs w:val="1"/>
          <w:rtl w:val="0"/>
        </w:rPr>
        <w:t xml:space="preserve">5.2 Recommended Collaboration Model</w:t>
      </w:r>
    </w:p>
    <w:p w:rsidR="00000000" w:rsidDel="00000000" w:rsidP="00000000" w:rsidRDefault="00000000" w:rsidRPr="00000000" w14:paraId="000000FD">
      <w:pPr>
        <w:rPr/>
      </w:pPr>
      <w:r w:rsidDel="00000000" w:rsidR="00000000" w:rsidRPr="00000000">
        <w:rPr>
          <w:rtl w:val="0"/>
        </w:rPr>
        <w:t xml:space="preserve">We propose a </w:t>
      </w:r>
      <w:r w:rsidDel="00000000" w:rsidR="00000000" w:rsidRPr="00000000">
        <w:rPr>
          <w:b w:val="1"/>
          <w:bCs w:val="1"/>
          <w:rtl w:val="0"/>
        </w:rPr>
        <w:t xml:space="preserve">cross-functional central monitoring committee</w:t>
      </w:r>
      <w:r w:rsidDel="00000000" w:rsidR="00000000" w:rsidRPr="00000000">
        <w:rPr>
          <w:rtl w:val="0"/>
        </w:rPr>
        <w:t xml:space="preserve"> for each study, comprising:</w:t>
      </w:r>
    </w:p>
    <w:p w:rsidR="00000000" w:rsidDel="00000000" w:rsidP="00000000" w:rsidRDefault="00000000" w:rsidRPr="00000000" w14:paraId="000000FE">
      <w:pPr>
        <w:numPr>
          <w:ilvl w:val="0"/>
          <w:numId w:val="17"/>
        </w:numPr>
        <w:ind w:left="720" w:hanging="360"/>
        <w:rPr/>
      </w:pPr>
      <w:r w:rsidDel="00000000" w:rsidR="00000000" w:rsidRPr="00000000">
        <w:rPr>
          <w:rtl w:val="0"/>
        </w:rPr>
        <w:t xml:space="preserve">Study statistician (lead for anomaly detection output review)</w:t>
      </w:r>
    </w:p>
    <w:p w:rsidR="00000000" w:rsidDel="00000000" w:rsidP="00000000" w:rsidRDefault="00000000" w:rsidRPr="00000000" w14:paraId="000000FF">
      <w:pPr>
        <w:numPr>
          <w:ilvl w:val="0"/>
          <w:numId w:val="17"/>
        </w:numPr>
        <w:ind w:left="720" w:hanging="360"/>
        <w:rPr/>
      </w:pPr>
      <w:r w:rsidDel="00000000" w:rsidR="00000000" w:rsidRPr="00000000">
        <w:rPr>
          <w:rtl w:val="0"/>
        </w:rPr>
        <w:t xml:space="preserve">Central monitoring lead</w:t>
      </w:r>
    </w:p>
    <w:p w:rsidR="00000000" w:rsidDel="00000000" w:rsidP="00000000" w:rsidRDefault="00000000" w:rsidRPr="00000000" w14:paraId="00000100">
      <w:pPr>
        <w:numPr>
          <w:ilvl w:val="0"/>
          <w:numId w:val="17"/>
        </w:numPr>
        <w:ind w:left="720" w:hanging="360"/>
        <w:rPr/>
      </w:pPr>
      <w:r w:rsidDel="00000000" w:rsidR="00000000" w:rsidRPr="00000000">
        <w:rPr>
          <w:rtl w:val="0"/>
        </w:rPr>
        <w:t xml:space="preserve">CRA manager</w:t>
      </w:r>
    </w:p>
    <w:p w:rsidR="00000000" w:rsidDel="00000000" w:rsidP="00000000" w:rsidRDefault="00000000" w:rsidRPr="00000000" w14:paraId="00000101">
      <w:pPr>
        <w:numPr>
          <w:ilvl w:val="0"/>
          <w:numId w:val="17"/>
        </w:numPr>
        <w:ind w:left="720" w:hanging="360"/>
        <w:rPr/>
      </w:pPr>
      <w:r w:rsidDel="00000000" w:rsidR="00000000" w:rsidRPr="00000000">
        <w:rPr>
          <w:rtl w:val="0"/>
        </w:rPr>
        <w:t xml:space="preserve">Data management lead</w:t>
      </w:r>
    </w:p>
    <w:p w:rsidR="00000000" w:rsidDel="00000000" w:rsidP="00000000" w:rsidRDefault="00000000" w:rsidRPr="00000000" w14:paraId="00000102">
      <w:pPr>
        <w:numPr>
          <w:ilvl w:val="0"/>
          <w:numId w:val="17"/>
        </w:numPr>
        <w:ind w:left="720" w:hanging="360"/>
        <w:rPr/>
      </w:pPr>
      <w:r w:rsidDel="00000000" w:rsidR="00000000" w:rsidRPr="00000000">
        <w:rPr>
          <w:rtl w:val="0"/>
        </w:rPr>
        <w:t xml:space="preserve">Medical monitor or clinical lead</w:t>
      </w:r>
    </w:p>
    <w:p w:rsidR="00000000" w:rsidDel="00000000" w:rsidP="00000000" w:rsidRDefault="00000000" w:rsidRPr="00000000" w14:paraId="00000103">
      <w:pPr>
        <w:numPr>
          <w:ilvl w:val="0"/>
          <w:numId w:val="17"/>
        </w:numPr>
        <w:ind w:left="720" w:hanging="360"/>
        <w:rPr/>
      </w:pPr>
      <w:r w:rsidDel="00000000" w:rsidR="00000000" w:rsidRPr="00000000">
        <w:rPr>
          <w:rtl w:val="0"/>
        </w:rPr>
        <w:t xml:space="preserve">Investigator engagement representative (for escalated cases)</w:t>
      </w:r>
    </w:p>
    <w:p w:rsidR="00000000" w:rsidDel="00000000" w:rsidP="00000000" w:rsidRDefault="00000000" w:rsidRPr="00000000" w14:paraId="00000104">
      <w:pPr>
        <w:rPr/>
      </w:pPr>
      <w:r w:rsidDel="00000000" w:rsidR="00000000" w:rsidRPr="00000000">
        <w:rPr>
          <w:rtl w:val="0"/>
        </w:rPr>
        <w:t xml:space="preserve">This committee meets at a regular cadence (e.g., monthly or biweekly) for a </w:t>
      </w:r>
      <w:r w:rsidDel="00000000" w:rsidR="00000000" w:rsidRPr="00000000">
        <w:rPr>
          <w:b w:val="1"/>
          <w:bCs w:val="1"/>
          <w:rtl w:val="0"/>
        </w:rPr>
        <w:t xml:space="preserve">triage meeting</w:t>
      </w:r>
      <w:r w:rsidDel="00000000" w:rsidR="00000000" w:rsidRPr="00000000">
        <w:rPr>
          <w:rtl w:val="0"/>
        </w:rPr>
        <w:t xml:space="preserve"> to review all active risk signals, prioritize investigations, assign responsibilities, and track resolution [Source: external_presentation____analytics_transforming_clinical_trial_oversight.pptx, p. 6].</w:t>
      </w:r>
    </w:p>
    <w:p w:rsidR="00000000" w:rsidDel="00000000" w:rsidP="00000000" w:rsidRDefault="00000000" w:rsidRPr="00000000" w14:paraId="00000105">
      <w:pPr>
        <w:rPr>
          <w:b w:val="1"/>
          <w:bCs w:val="1"/>
        </w:rPr>
      </w:pPr>
      <w:r w:rsidDel="00000000" w:rsidR="00000000" w:rsidRPr="00000000">
        <w:rPr>
          <w:b w:val="1"/>
          <w:bCs w:val="1"/>
          <w:rtl w:val="0"/>
        </w:rPr>
        <w:t xml:space="preserve">5.3 Data Quality Challenges Around Database Lock</w:t>
      </w:r>
    </w:p>
    <w:p w:rsidR="00000000" w:rsidDel="00000000" w:rsidP="00000000" w:rsidRDefault="00000000" w:rsidRPr="00000000" w14:paraId="00000106">
      <w:pPr>
        <w:rPr/>
      </w:pPr>
      <w:r w:rsidDel="00000000" w:rsidR="00000000" w:rsidRPr="00000000">
        <w:rPr>
          <w:rtl w:val="0"/>
        </w:rPr>
        <w:t xml:space="preserve">It was acknowledged during working group discussions that not all data issues can be resolved before database lock. Some site-confirmed data may still appear clinically or statistically implausible. Current practice relies on post hoc sensitivity and exploratory analyses to assess impact, but earlier, more systematic identification of such risks could improve downstream interpretation and communication [Source: email_summaries.docx, p. 2].</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6. Leveraging AI and Machine Learning</w:t>
      </w:r>
    </w:p>
    <w:p w:rsidR="00000000" w:rsidDel="00000000" w:rsidP="00000000" w:rsidRDefault="00000000" w:rsidRPr="00000000" w14:paraId="00000109">
      <w:pPr>
        <w:spacing w:after="240" w:before="240" w:lineRule="auto"/>
        <w:rPr/>
      </w:pPr>
      <w:r w:rsidDel="00000000" w:rsidR="00000000" w:rsidRPr="00000000">
        <w:rPr>
          <w:rtl w:val="0"/>
        </w:rPr>
        <w:t xml:space="preserve">AI and machine learning (AI/ML) are natural extensions of centralized statistical monitoring. Traditional QTLs, KRIs, and central statistical monitoring methods are effective for detecting pre-specified risks or statistical irregularities once sufficient data have accumulated. AI/ML methods can extend this paradigm by learning complex, multivariate patterns across patients, sites, countries, and historical trials; identifying risk earlier; and supporting more consistent interpretation of signals across functional teams.</w:t>
      </w:r>
    </w:p>
    <w:p w:rsidR="00000000" w:rsidDel="00000000" w:rsidP="00000000" w:rsidRDefault="00000000" w:rsidRPr="00000000" w14:paraId="0000010A">
      <w:pPr>
        <w:spacing w:after="240" w:before="240" w:lineRule="auto"/>
        <w:rPr/>
      </w:pPr>
      <w:r w:rsidDel="00000000" w:rsidR="00000000" w:rsidRPr="00000000">
        <w:rPr>
          <w:rtl w:val="0"/>
        </w:rPr>
        <w:t xml:space="preserve">The goal of AI/ML in dynamic trial monitoring should not be to replace clinical, statistical, or operational judgment. Rather, AI/ML should function as a decision-support layer that improves prioritization, accelerates triage, and helps study teams intervene before quality, enrollment, retention, or data integrity issues become material.</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heading=h.hl6pj2xmrgyg" w:id="0"/>
      <w:bookmarkEnd w:id="0"/>
      <w:r w:rsidDel="00000000" w:rsidR="00000000" w:rsidRPr="00000000">
        <w:rPr>
          <w:b w:val="1"/>
          <w:bCs w:val="1"/>
          <w:color w:val="000000"/>
          <w:sz w:val="26"/>
          <w:szCs w:val="26"/>
          <w:rtl w:val="0"/>
        </w:rPr>
        <w:t xml:space="preserve">6.1 Current AI/ML Applications in Trial Monitoring</w:t>
      </w:r>
    </w:p>
    <w:p w:rsidR="00000000" w:rsidDel="00000000" w:rsidP="00000000" w:rsidRDefault="00000000" w:rsidRPr="00000000" w14:paraId="0000010C">
      <w:pPr>
        <w:spacing w:after="240" w:before="240" w:lineRule="auto"/>
        <w:rPr/>
      </w:pPr>
      <w:r w:rsidDel="00000000" w:rsidR="00000000" w:rsidRPr="00000000">
        <w:rPr>
          <w:rtl w:val="0"/>
        </w:rPr>
        <w:t xml:space="preserve">Current and emerging AI/ML applications in trial monitoring can be grouped into several practical categories.</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Pattern detection across historical trials:</w:t>
      </w:r>
      <w:r w:rsidDel="00000000" w:rsidR="00000000" w:rsidRPr="00000000">
        <w:rPr>
          <w:rtl w:val="0"/>
        </w:rPr>
        <w:br w:type="textWrapping"/>
        <w:t xml:space="preserve">ML models trained on historical trial data can identify patterns associated with specific types of risk, such as sites that later required intensive monitoring, sites with confirmed GCP issues, regions with persistent enrollment delays, or patient profiles associated with high discontinuation risk. These models can then be applied prospectively to new trials to support early risk stratification.</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Predictive dropout modeling:</w:t>
      </w:r>
      <w:r w:rsidDel="00000000" w:rsidR="00000000" w:rsidRPr="00000000">
        <w:rPr>
          <w:rtl w:val="0"/>
        </w:rPr>
        <w:br w:type="textWrapping"/>
        <w:t xml:space="preserve">Predictive models can identify patients, sites, or regions at elevated risk of premature discontinuation. Unlike static dropout-rate monitoring, which flags a problem only after discontinuations have occurred, predictive dropout modeling aims to estimate future discontinuation risk using accumulating patient-level, site-level, and operational data. This enables proactive site engagement, targeted retention support, and earlier escalation when dropout risk threatens trial power or interpretability.</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Event-rate and endpoint monitoring:</w:t>
      </w:r>
      <w:r w:rsidDel="00000000" w:rsidR="00000000" w:rsidRPr="00000000">
        <w:rPr>
          <w:rtl w:val="0"/>
        </w:rPr>
        <w:br w:type="textWrapping"/>
        <w:t xml:space="preserve">For event-driven trials, AI/ML and Bayesian forecasting methods can monitor whether observed event accrual is tracking expectations. These models can identify sites or regions with unexpectedly low or high event rates after adjustment for enrollment timing, follow-up duration, patient mix, and geography. This is particularly important when event rates drive sample size, trial duration, interim analysis timing, or operational decisions about extending enrollment.</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NLP and LLM applications:</w:t>
      </w:r>
      <w:r w:rsidDel="00000000" w:rsidR="00000000" w:rsidRPr="00000000">
        <w:rPr>
          <w:rtl w:val="0"/>
        </w:rPr>
        <w:br w:type="textWrapping"/>
        <w:t xml:space="preserve">Natural language processing and large language models can help extract structured insights from monitoring visit reports, site correspondence, protocol deviation narratives, data query text, audit findings, and issue logs. These tools can identify recurring themes, summarize site-level concerns, and support consistency in signal interpretation across studies.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left"/>
        <w:rPr>
          <w:b w:val="1"/>
          <w:bCs w:val="1"/>
        </w:rPr>
      </w:pPr>
      <w:r w:rsidDel="00000000" w:rsidR="00000000" w:rsidRPr="00000000">
        <w:rPr>
          <w:b w:val="1"/>
          <w:bCs w:val="1"/>
          <w:rtl w:val="0"/>
        </w:rPr>
        <w:t xml:space="preserve">AI/ML as an Extension of RBQM</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left"/>
        <w:rPr/>
      </w:pPr>
      <w:r w:rsidDel="00000000" w:rsidR="00000000" w:rsidRPr="00000000">
        <w:rPr>
          <w:rtl w:val="0"/>
        </w:rPr>
        <w:t xml:space="preserve">AI/ML should not be viewed as a separate monitoring paradigm, but rather as a natural extension of risk-based quality management (RBQM). RBQM provides the governance framework through Quality Tolerance Limits (QTLs), Key Risk Indicators (KRIs), centralized monitoring processes, documented risk reviews, and predefined action pathways. AI/ML can enhance each of these components by improving signal detection sensitivity, enabling earlier prediction of emerging issues, and supporting more consistent prioritization of monitoring activities. Rather than operating as standalone analytical tools, AI/ML approaches are likely to provide the greatest value when integrated directly into existing RBQM workflows and governance structures. </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left"/>
        <w:rPr/>
      </w:pPr>
      <w:r w:rsidDel="00000000" w:rsidR="00000000" w:rsidRPr="00000000">
        <w:rPr>
          <w:rtl w:val="0"/>
        </w:rPr>
        <w:t xml:space="preserve">A useful conceptual distinction is that traditional centralized monitoring primarily identifies risks that have already emerged, whereas AI/ML methods seek to identify trends and patterns suggesting that future risks may develop. In this sense, AI-enabled monitoring can extend RBQM from a predominantly reactive process toward a more proactive and preventive framework. The objective is not simply to generate additional signals, but to support earlier, more targeted interventions that reduce operational burden while maintaining trial quality, patient safety, and endpoint integrity. </w: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heading=h.fpxbphb8qyne" w:id="1"/>
      <w:bookmarkEnd w:id="1"/>
      <w:r w:rsidDel="00000000" w:rsidR="00000000" w:rsidRPr="00000000">
        <w:rPr>
          <w:b w:val="1"/>
          <w:bCs w:val="1"/>
          <w:color w:val="000000"/>
          <w:sz w:val="26"/>
          <w:szCs w:val="26"/>
          <w:rtl w:val="0"/>
        </w:rPr>
        <w:t xml:space="preserve">6.2 Predictive Dropout Modeling</w:t>
      </w:r>
    </w:p>
    <w:p w:rsidR="00000000" w:rsidDel="00000000" w:rsidP="00000000" w:rsidRDefault="00000000" w:rsidRPr="00000000" w14:paraId="00000115">
      <w:pPr>
        <w:spacing w:after="240" w:before="240" w:lineRule="auto"/>
        <w:rPr/>
      </w:pPr>
      <w:r w:rsidDel="00000000" w:rsidR="00000000" w:rsidRPr="00000000">
        <w:rPr>
          <w:rtl w:val="0"/>
        </w:rPr>
        <w:t xml:space="preserve">Predictive dropout modeling is one of the most actionable AI/ML use cases for dynamic trial monitoring because patient discontinuation has direct consequences for statistical power, treatment estimand interpretation, missing data, and operational efficiency. A useful dropout model should estimate not only whether a patient is likely to discontinue, but also when that risk is likely to emerge and which modifiable factors may be contributing to it.</w:t>
      </w:r>
    </w:p>
    <w:p w:rsidR="00000000" w:rsidDel="00000000" w:rsidP="00000000" w:rsidRDefault="00000000" w:rsidRPr="00000000" w14:paraId="00000116">
      <w:pPr>
        <w:spacing w:after="240" w:before="240" w:lineRule="auto"/>
        <w:rPr/>
      </w:pPr>
      <w:r w:rsidDel="00000000" w:rsidR="00000000" w:rsidRPr="00000000">
        <w:rPr>
          <w:rtl w:val="0"/>
        </w:rPr>
        <w:t xml:space="preserve">A predictive dropout framework typically includes the following components.</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Outcome definition:</w:t>
      </w:r>
      <w:r w:rsidDel="00000000" w:rsidR="00000000" w:rsidRPr="00000000">
        <w:rPr>
          <w:rtl w:val="0"/>
        </w:rPr>
        <w:br w:type="textWrapping"/>
        <w:t xml:space="preserve">The target outcome should be defined prospectively and aligned with the study estimand and protocol. Depending on the trial, the model may predict treatment discontinuation, study withdrawal, missed visits, loss to follow-up, or a composite retention-risk endpoint. Clear distinction should be made between discontinuations due to adverse events, lack of efficacy, administrative reasons, withdrawal of consent, and site-level follow-up failures, as these may require different interventions.</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Feature domains:</w:t>
      </w:r>
      <w:r w:rsidDel="00000000" w:rsidR="00000000" w:rsidRPr="00000000">
        <w:rPr>
          <w:rtl w:val="0"/>
        </w:rPr>
        <w:br w:type="textWrapping"/>
        <w:t xml:space="preserve">Predictive features may include patient characteristics, baseline disease severity, prior medical history, treatment assignment where appropriate and permissible, early safety signals, visit adherence, missed assessments, eCOA completion patterns, query burden, distance to site, site workload, site enrollment velocity, country-level operational factors, and historical site retention performance. Time-varying features are especially important because dropout risk often changes after adverse events, missed visits, dose interruptions, or early signs of treatment burden.</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Modeling approaches:</w:t>
      </w:r>
      <w:r w:rsidDel="00000000" w:rsidR="00000000" w:rsidRPr="00000000">
        <w:rPr>
          <w:rtl w:val="0"/>
        </w:rPr>
        <w:br w:type="textWrapping"/>
        <w:t xml:space="preserve">Several modeling strategies may be appropriate:</w:t>
      </w:r>
    </w:p>
    <w:p w:rsidR="00000000" w:rsidDel="00000000" w:rsidP="00000000" w:rsidRDefault="00000000" w:rsidRPr="00000000" w14:paraId="0000011A">
      <w:pPr>
        <w:numPr>
          <w:ilvl w:val="0"/>
          <w:numId w:val="39"/>
        </w:numPr>
        <w:spacing w:after="0" w:afterAutospacing="0" w:before="240" w:lineRule="auto"/>
        <w:ind w:left="720" w:hanging="360"/>
        <w:rPr/>
      </w:pPr>
      <w:r w:rsidDel="00000000" w:rsidR="00000000" w:rsidRPr="00000000">
        <w:rPr>
          <w:rtl w:val="0"/>
        </w:rPr>
        <w:t xml:space="preserve">Logistic regression or penalized regression for interpretable prediction over a fixed time window.</w:t>
      </w:r>
    </w:p>
    <w:p w:rsidR="00000000" w:rsidDel="00000000" w:rsidP="00000000" w:rsidRDefault="00000000" w:rsidRPr="00000000" w14:paraId="0000011B">
      <w:pPr>
        <w:numPr>
          <w:ilvl w:val="0"/>
          <w:numId w:val="39"/>
        </w:numPr>
        <w:spacing w:after="0" w:afterAutospacing="0" w:before="0" w:beforeAutospacing="0" w:lineRule="auto"/>
        <w:ind w:left="720" w:hanging="360"/>
        <w:rPr/>
      </w:pPr>
      <w:r w:rsidDel="00000000" w:rsidR="00000000" w:rsidRPr="00000000">
        <w:rPr>
          <w:rtl w:val="0"/>
        </w:rPr>
        <w:t xml:space="preserve">Cox proportional hazards or flexible survival models for time-to-discontinuation risk.</w:t>
      </w:r>
    </w:p>
    <w:p w:rsidR="00000000" w:rsidDel="00000000" w:rsidP="00000000" w:rsidRDefault="00000000" w:rsidRPr="00000000" w14:paraId="0000011C">
      <w:pPr>
        <w:numPr>
          <w:ilvl w:val="0"/>
          <w:numId w:val="39"/>
        </w:numPr>
        <w:spacing w:after="0" w:afterAutospacing="0" w:before="0" w:beforeAutospacing="0" w:lineRule="auto"/>
        <w:ind w:left="720" w:hanging="360"/>
        <w:rPr/>
      </w:pPr>
      <w:r w:rsidDel="00000000" w:rsidR="00000000" w:rsidRPr="00000000">
        <w:rPr>
          <w:rtl w:val="0"/>
        </w:rPr>
        <w:t xml:space="preserve">Random survival forests, gradient boosting, or other tree-based methods when nonlinear interactions are expected.</w:t>
      </w:r>
    </w:p>
    <w:p w:rsidR="00000000" w:rsidDel="00000000" w:rsidP="00000000" w:rsidRDefault="00000000" w:rsidRPr="00000000" w14:paraId="0000011D">
      <w:pPr>
        <w:numPr>
          <w:ilvl w:val="0"/>
          <w:numId w:val="39"/>
        </w:numPr>
        <w:spacing w:after="0" w:afterAutospacing="0" w:before="0" w:beforeAutospacing="0" w:lineRule="auto"/>
        <w:ind w:left="720" w:hanging="360"/>
        <w:rPr/>
      </w:pPr>
      <w:r w:rsidDel="00000000" w:rsidR="00000000" w:rsidRPr="00000000">
        <w:rPr>
          <w:rtl w:val="0"/>
        </w:rPr>
        <w:t xml:space="preserve">Bayesian hierarchical models to borrow information across sites, countries, or trials while accounting for heterogeneity.</w:t>
      </w:r>
    </w:p>
    <w:p w:rsidR="00000000" w:rsidDel="00000000" w:rsidP="00000000" w:rsidRDefault="00000000" w:rsidRPr="00000000" w14:paraId="0000011E">
      <w:pPr>
        <w:numPr>
          <w:ilvl w:val="0"/>
          <w:numId w:val="39"/>
        </w:numPr>
        <w:spacing w:after="240" w:before="0" w:beforeAutospacing="0" w:lineRule="auto"/>
        <w:ind w:left="720" w:hanging="360"/>
        <w:rPr/>
      </w:pPr>
      <w:r w:rsidDel="00000000" w:rsidR="00000000" w:rsidRPr="00000000">
        <w:rPr>
          <w:rtl w:val="0"/>
        </w:rPr>
        <w:t xml:space="preserve">Dynamic landmark models that update predicted risk at scheduled visits as new patient data become available.</w:t>
      </w:r>
    </w:p>
    <w:p w:rsidR="00000000" w:rsidDel="00000000" w:rsidP="00000000" w:rsidRDefault="00000000" w:rsidRPr="00000000" w14:paraId="0000011F">
      <w:pPr>
        <w:spacing w:after="240" w:before="240" w:lineRule="auto"/>
        <w:rPr/>
      </w:pPr>
      <w:r w:rsidDel="00000000" w:rsidR="00000000" w:rsidRPr="00000000">
        <w:rPr>
          <w:rtl w:val="0"/>
        </w:rPr>
        <w:t xml:space="preserve">In practice, simpler and more interpretable models may be preferable when the model output will drive operational action. More complex ML methods may improve discrimination but should be accompanied by calibration assessment, explainability tools, and clear documentation.</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Validation and performance monitoring:</w:t>
      </w:r>
      <w:r w:rsidDel="00000000" w:rsidR="00000000" w:rsidRPr="00000000">
        <w:rPr>
          <w:rtl w:val="0"/>
        </w:rPr>
        <w:br w:type="textWrapping"/>
        <w:t xml:space="preserve">Dropout models should be evaluated using discrimination, calibration, and clinical utility. Common measures include area under the receiver operating characteristic curve, precision-recall performance for rare dropout events, calibration plots, Brier score, and decision-curve analysis. Because dropout behavior can differ substantially across therapeutic areas, regions, and protocol designs, external validation or temporal validation across studies is critical. Model performance should also be monitored during the trial for drift, especially if enrollment patterns or patient populations differ from historical assumptions.</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Operationalization:</w:t>
      </w:r>
      <w:r w:rsidDel="00000000" w:rsidR="00000000" w:rsidRPr="00000000">
        <w:rPr>
          <w:rtl w:val="0"/>
        </w:rPr>
        <w:br w:type="textWrapping"/>
        <w:t xml:space="preserve">Model outputs should be translated into practical risk categories rather than presented only as numerical probabilities. For example, patients or sites may be grouped into low, moderate, and high dropout-risk categories. Recommended actions may include targeted retention calls, additional patient education, site retraining on follow-up procedures, review of visit burden, or escalation to the study team if risk is concentrated at specific sites or regions. Importantly, any patient-level intervention must be ethically appropriate, documented, and consistent with the protocol and informed consent.</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heading=h.ezoatvfpv3nz" w:id="2"/>
      <w:bookmarkEnd w:id="2"/>
      <w:r w:rsidDel="00000000" w:rsidR="00000000" w:rsidRPr="00000000">
        <w:rPr>
          <w:b w:val="1"/>
          <w:bCs w:val="1"/>
          <w:color w:val="000000"/>
          <w:sz w:val="26"/>
          <w:szCs w:val="26"/>
          <w:rtl w:val="0"/>
        </w:rPr>
        <w:t xml:space="preserve">6.3 AI/ML for Event and Trial Trajectory Forecasting</w:t>
      </w:r>
    </w:p>
    <w:p w:rsidR="00000000" w:rsidDel="00000000" w:rsidP="00000000" w:rsidRDefault="00000000" w:rsidRPr="00000000" w14:paraId="00000123">
      <w:pPr>
        <w:spacing w:after="240" w:before="240" w:lineRule="auto"/>
        <w:rPr/>
      </w:pPr>
      <w:r w:rsidDel="00000000" w:rsidR="00000000" w:rsidRPr="00000000">
        <w:rPr>
          <w:rtl w:val="0"/>
        </w:rPr>
        <w:t xml:space="preserve">AI/ML and Bayesian forecasting methods can also support monitoring of event accrual and overall trial trajectory, particularly in event-driven studies. Traditional monitoring often compares cumulative observed event counts or dropout rates with pre-specified thresholds. More dynamic methods can estimate whether observed trial conduct is consistent with planning assumptions after accounting for enrollment timing, follow-up duration, patient mix, geography, treatment exposure, and site activation patterns.</w:t>
      </w:r>
    </w:p>
    <w:p w:rsidR="00000000" w:rsidDel="00000000" w:rsidP="00000000" w:rsidRDefault="00000000" w:rsidRPr="00000000" w14:paraId="00000124">
      <w:pPr>
        <w:spacing w:after="240" w:before="240" w:lineRule="auto"/>
        <w:rPr/>
      </w:pPr>
      <w:r w:rsidDel="00000000" w:rsidR="00000000" w:rsidRPr="00000000">
        <w:rPr>
          <w:rtl w:val="0"/>
        </w:rPr>
        <w:t xml:space="preserve">For event-driven trials, predictive models can estimate expected event accrual over time and generate probability statements, such as the likelihood that the required number of events will be reached by a target date. These forecasts can inform operational decisions about recruitment continuation, country or site activation, follow-up extension, and interim analysis timing.</w:t>
      </w:r>
    </w:p>
    <w:p w:rsidR="00000000" w:rsidDel="00000000" w:rsidP="00000000" w:rsidRDefault="00000000" w:rsidRPr="00000000" w14:paraId="00000125">
      <w:pPr>
        <w:spacing w:after="240" w:before="240" w:lineRule="auto"/>
        <w:rPr/>
      </w:pPr>
      <w:r w:rsidDel="00000000" w:rsidR="00000000" w:rsidRPr="00000000">
        <w:rPr>
          <w:rtl w:val="0"/>
        </w:rPr>
        <w:t xml:space="preserve">A practical framework should include exposure-adjusted observed-versus-expected comparisons, site- and country-level hierarchical effects, predictive intervals rather than point estimates alone, and flagging rules that distinguish ordinary statistical variation from operationally meaningful risk. Sites or regions with unexpectedly low or high event rates can then be reviewed in context, considering patient population, endpoint ascertainment, data entry timeliness, and potential differences in clinical practice.</w:t>
      </w:r>
    </w:p>
    <w:p w:rsidR="00000000" w:rsidDel="00000000" w:rsidP="00000000" w:rsidRDefault="00000000" w:rsidRPr="00000000" w14:paraId="00000126">
      <w:pPr>
        <w:spacing w:after="240" w:before="240" w:lineRule="auto"/>
        <w:rPr/>
      </w:pPr>
      <w:r w:rsidDel="00000000" w:rsidR="00000000" w:rsidRPr="00000000">
        <w:rPr>
          <w:rtl w:val="0"/>
        </w:rPr>
        <w:t xml:space="preserve">The key value of this approach is earlier and more context-aware detection. Rather than waiting for a QTL boundary to be crossed, study teams can identify whether the trial is trending toward a future enrollment, event, or interpretability problem and intervene while corrective action remains feasible.</w:t>
      </w:r>
    </w:p>
    <w:p w:rsidR="00000000" w:rsidDel="00000000" w:rsidP="00000000" w:rsidRDefault="00000000" w:rsidRPr="00000000" w14:paraId="00000127">
      <w:pPr>
        <w:spacing w:after="240" w:before="240" w:lineRule="auto"/>
        <w:rPr/>
      </w:pPr>
      <w:r w:rsidDel="00000000" w:rsidR="00000000" w:rsidRPr="00000000">
        <w:rPr>
          <w:rtl w:val="0"/>
        </w:rPr>
        <w:t xml:space="preserve">A practical AI/ML event monitoring framework should include:</w:t>
      </w:r>
    </w:p>
    <w:p w:rsidR="00000000" w:rsidDel="00000000" w:rsidP="00000000" w:rsidRDefault="00000000" w:rsidRPr="00000000" w14:paraId="00000128">
      <w:pPr>
        <w:numPr>
          <w:ilvl w:val="0"/>
          <w:numId w:val="2"/>
        </w:numPr>
        <w:spacing w:after="0" w:afterAutospacing="0" w:before="240" w:lineRule="auto"/>
        <w:ind w:left="720" w:hanging="360"/>
        <w:rPr/>
      </w:pPr>
      <w:r w:rsidDel="00000000" w:rsidR="00000000" w:rsidRPr="00000000">
        <w:rPr>
          <w:rtl w:val="0"/>
        </w:rPr>
        <w:t xml:space="preserve">Exposure-adjusted observed-versus-expected comparisons.</w:t>
      </w:r>
    </w:p>
    <w:p w:rsidR="00000000" w:rsidDel="00000000" w:rsidP="00000000" w:rsidRDefault="00000000" w:rsidRPr="00000000" w14:paraId="00000129">
      <w:pPr>
        <w:numPr>
          <w:ilvl w:val="0"/>
          <w:numId w:val="2"/>
        </w:numPr>
        <w:spacing w:after="0" w:afterAutospacing="0" w:before="0" w:beforeAutospacing="0" w:lineRule="auto"/>
        <w:ind w:left="720" w:hanging="360"/>
        <w:rPr/>
      </w:pPr>
      <w:r w:rsidDel="00000000" w:rsidR="00000000" w:rsidRPr="00000000">
        <w:rPr>
          <w:rtl w:val="0"/>
        </w:rPr>
        <w:t xml:space="preserve">Site-, country-, and region-level hierarchical effects.</w:t>
      </w:r>
    </w:p>
    <w:p w:rsidR="00000000" w:rsidDel="00000000" w:rsidP="00000000" w:rsidRDefault="00000000" w:rsidRPr="00000000" w14:paraId="0000012A">
      <w:pPr>
        <w:numPr>
          <w:ilvl w:val="0"/>
          <w:numId w:val="2"/>
        </w:numPr>
        <w:spacing w:after="0" w:afterAutospacing="0" w:before="0" w:beforeAutospacing="0" w:lineRule="auto"/>
        <w:ind w:left="720" w:hanging="360"/>
        <w:rPr/>
      </w:pPr>
      <w:r w:rsidDel="00000000" w:rsidR="00000000" w:rsidRPr="00000000">
        <w:rPr>
          <w:rtl w:val="0"/>
        </w:rPr>
        <w:t xml:space="preserve">Time-varying risk updates as new visits, events, and discontinuations occur.</w:t>
      </w:r>
    </w:p>
    <w:p w:rsidR="00000000" w:rsidDel="00000000" w:rsidP="00000000" w:rsidRDefault="00000000" w:rsidRPr="00000000" w14:paraId="0000012B">
      <w:pPr>
        <w:numPr>
          <w:ilvl w:val="0"/>
          <w:numId w:val="2"/>
        </w:numPr>
        <w:spacing w:after="0" w:afterAutospacing="0" w:before="0" w:beforeAutospacing="0" w:lineRule="auto"/>
        <w:ind w:left="720" w:hanging="360"/>
        <w:rPr/>
      </w:pPr>
      <w:r w:rsidDel="00000000" w:rsidR="00000000" w:rsidRPr="00000000">
        <w:rPr>
          <w:rtl w:val="0"/>
        </w:rPr>
        <w:t xml:space="preserve">Predictive intervals rather than point estimates alone.</w:t>
      </w:r>
    </w:p>
    <w:p w:rsidR="00000000" w:rsidDel="00000000" w:rsidP="00000000" w:rsidRDefault="00000000" w:rsidRPr="00000000" w14:paraId="0000012C">
      <w:pPr>
        <w:numPr>
          <w:ilvl w:val="0"/>
          <w:numId w:val="2"/>
        </w:numPr>
        <w:spacing w:after="0" w:afterAutospacing="0" w:before="0" w:beforeAutospacing="0" w:lineRule="auto"/>
        <w:ind w:left="720" w:hanging="360"/>
        <w:rPr/>
      </w:pPr>
      <w:r w:rsidDel="00000000" w:rsidR="00000000" w:rsidRPr="00000000">
        <w:rPr>
          <w:rtl w:val="0"/>
        </w:rPr>
        <w:t xml:space="preserve">Flagging rules that distinguish statistical variation from operationally meaningful risk.</w:t>
      </w:r>
    </w:p>
    <w:p w:rsidR="00000000" w:rsidDel="00000000" w:rsidP="00000000" w:rsidRDefault="00000000" w:rsidRPr="00000000" w14:paraId="0000012D">
      <w:pPr>
        <w:numPr>
          <w:ilvl w:val="0"/>
          <w:numId w:val="2"/>
        </w:numPr>
        <w:spacing w:after="240" w:before="0" w:beforeAutospacing="0" w:lineRule="auto"/>
        <w:ind w:left="720" w:hanging="360"/>
        <w:rPr/>
      </w:pPr>
      <w:r w:rsidDel="00000000" w:rsidR="00000000" w:rsidRPr="00000000">
        <w:rPr>
          <w:rtl w:val="0"/>
        </w:rPr>
        <w:t xml:space="preserve">Explainable drivers of each signal so the study team can determine whether action is warranted.</w:t>
      </w:r>
    </w:p>
    <w:p w:rsidR="00000000" w:rsidDel="00000000" w:rsidP="00000000" w:rsidRDefault="00000000" w:rsidRPr="00000000" w14:paraId="0000012E">
      <w:pPr>
        <w:spacing w:after="240" w:before="240" w:lineRule="auto"/>
        <w:rPr/>
      </w:pPr>
      <w:r w:rsidDel="00000000" w:rsidR="00000000" w:rsidRPr="00000000">
        <w:rPr>
          <w:rtl w:val="0"/>
        </w:rPr>
        <w:t xml:space="preserve">The key benefit is earlier and more context-aware detection. Rather than waiting for a QTL boundary to be crossed, the study team can see whether the trial is trending toward a future enrollment, event, or retention problem and intervene while corrective action is still feasible.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left"/>
        <w:rPr>
          <w:b w:val="1"/>
          <w:bCs w:val="1"/>
        </w:rPr>
      </w:pPr>
      <w:r w:rsidDel="00000000" w:rsidR="00000000" w:rsidRPr="00000000">
        <w:rPr>
          <w:b w:val="1"/>
          <w:bCs w:val="1"/>
          <w:rtl w:val="0"/>
        </w:rPr>
        <w:t xml:space="preserve">From Reactive Monitoring to Predictive Monitoring</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left"/>
        <w:rPr/>
      </w:pPr>
      <w:r w:rsidDel="00000000" w:rsidR="00000000" w:rsidRPr="00000000">
        <w:rPr>
          <w:rtl w:val="0"/>
        </w:rPr>
        <w:t xml:space="preserve">Historically, most centralized statistical monitoring approaches have been retrospective and diagnostic in nature. Monitoring systems identify abnormalities after quality metrics, adverse event rates, protocol deviations, enrollment patterns, or endpoint distributions have already diverged from expectations. While valuable, such approaches often provide limited time for meaningful corrective action. By the time a signal becomes statistically detectable, part of the quality impact may already have occurred.</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left"/>
        <w:rPr/>
      </w:pPr>
      <w:r w:rsidDel="00000000" w:rsidR="00000000" w:rsidRPr="00000000">
        <w:rPr>
          <w:rtl w:val="0"/>
        </w:rPr>
        <w:t xml:space="preserve">AI/ML methods introduce the possibility of predictive monitoring, whereby the objective is not only to identify existing anomalies, but also to estimate the probability that future operational or data-quality issues may occur. Examples include forecasting elevated dropout risk, predicting enrollment shortfalls, anticipating delayed event accrual, identifying sites likely to require intensive monitoring, and recognizing patterns associated with future protocol compliance challenges. The shift from detecting deviations to predicting deviations represents an important conceptual evolution in dynamic trial oversight.</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left"/>
        <w:rPr/>
      </w:pPr>
      <w:r w:rsidDel="00000000" w:rsidR="00000000" w:rsidRPr="00000000">
        <w:rPr>
          <w:rtl w:val="0"/>
        </w:rPr>
        <w:t xml:space="preserve">In the longer term, predictive monitoring may enable preventive monitoring, where interventions occur before predefined risk thresholds are crossed. Study teams could proactively adjust site engagement strategies, provide additional training, increase oversight, or implement retention initiatives before trial quality is materially affected. This progression from retrospective detection to prospective prevention may represent one of the most important future directions for dynamic trial monitoring. </w: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heading=h.3slddxlad8v" w:id="3"/>
      <w:bookmarkEnd w:id="3"/>
      <w:r w:rsidDel="00000000" w:rsidR="00000000" w:rsidRPr="00000000">
        <w:rPr>
          <w:b w:val="1"/>
          <w:bCs w:val="1"/>
          <w:color w:val="000000"/>
          <w:sz w:val="26"/>
          <w:szCs w:val="26"/>
          <w:rtl w:val="0"/>
        </w:rPr>
        <w:t xml:space="preserve">6.4 Leveraging Historical Trial Data</w:t>
      </w:r>
    </w:p>
    <w:p w:rsidR="00000000" w:rsidDel="00000000" w:rsidP="00000000" w:rsidRDefault="00000000" w:rsidRPr="00000000" w14:paraId="00000134">
      <w:pPr>
        <w:spacing w:after="240" w:before="240" w:lineRule="auto"/>
        <w:rPr/>
      </w:pPr>
      <w:r w:rsidDel="00000000" w:rsidR="00000000" w:rsidRPr="00000000">
        <w:rPr>
          <w:rtl w:val="0"/>
        </w:rPr>
        <w:t xml:space="preserve">Historical trial data represent a substantial but underused resource for improving dynamic monitoring. Across organizations, completed trials contain information on enrollment trajectories, retention patterns, event rates, protocol deviations, query burden, site performance, monitoring findings, audit outcomes, and operational interventions. When harmonized and analyzed appropriately, these data can support more evidence-based monitoring thresholds and better prospective risk models.</w:t>
      </w:r>
    </w:p>
    <w:p w:rsidR="00000000" w:rsidDel="00000000" w:rsidP="00000000" w:rsidRDefault="00000000" w:rsidRPr="00000000" w14:paraId="00000135">
      <w:pPr>
        <w:spacing w:after="240" w:before="240" w:lineRule="auto"/>
        <w:rPr/>
      </w:pPr>
      <w:r w:rsidDel="00000000" w:rsidR="00000000" w:rsidRPr="00000000">
        <w:rPr>
          <w:rtl w:val="0"/>
        </w:rPr>
        <w:t xml:space="preserve">Historical data can be used in several ways.</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Baseline calibration:</w:t>
      </w:r>
      <w:r w:rsidDel="00000000" w:rsidR="00000000" w:rsidRPr="00000000">
        <w:rPr>
          <w:rtl w:val="0"/>
        </w:rPr>
        <w:br w:type="textWrapping"/>
        <w:t xml:space="preserve">Historical QTL and KRI distributions can inform data-driven benchmarks for new studies. For example, expected dropout rates, screen failure rates, query aging, or adverse event reporting rates can be estimated by therapeutic area, phase, country, site type, and protocol complexity.</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Model training and transfer learning:</w:t>
      </w:r>
      <w:r w:rsidDel="00000000" w:rsidR="00000000" w:rsidRPr="00000000">
        <w:rPr>
          <w:rtl w:val="0"/>
        </w:rPr>
        <w:br w:type="textWrapping"/>
        <w:t xml:space="preserve">Historical studies can provide training data for predictive models, particularly when several trials share similar endpoints, operational processes, or patient populations. Where direct pooling is difficult, transfer learning or hierarchical modeling can allow partial borrowing of information while preserving study-specific calibration.</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Synthetic or federated learning approaches:</w:t>
      </w:r>
      <w:r w:rsidDel="00000000" w:rsidR="00000000" w:rsidRPr="00000000">
        <w:rPr>
          <w:rtl w:val="0"/>
        </w:rPr>
        <w:br w:type="textWrapping"/>
        <w:t xml:space="preserve">Because patient-level and site-level data may be difficult to share across sponsors, federated learning may offer a path for cross-industry model development without centralizing sensitive data. In this model, algorithms are trained across distributed datasets while data remain within each organization. This approach may be especially valuable for rare labels such as confirmed misconduct, major audit findings, or verified data fabrication.</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Informing site selection and risk stratification:</w:t>
      </w:r>
      <w:r w:rsidDel="00000000" w:rsidR="00000000" w:rsidRPr="00000000">
        <w:rPr>
          <w:rtl w:val="0"/>
        </w:rPr>
        <w:br w:type="textWrapping"/>
        <w:t xml:space="preserve">Historical site performance data can support prospective site risk assessment. Variables such as prior enrollment performance, retention, query responsiveness, protocol deviation history, monitoring findings, and audit outcomes can be combined with external data sources to support site selection and early monitoring intensity decisions.</w:t>
      </w:r>
    </w:p>
    <w:p w:rsidR="00000000" w:rsidDel="00000000" w:rsidP="00000000" w:rsidRDefault="00000000" w:rsidRPr="00000000" w14:paraId="0000013A">
      <w:pPr>
        <w:spacing w:after="240" w:before="240" w:lineRule="auto"/>
        <w:ind w:left="0" w:firstLine="0"/>
        <w:rPr/>
      </w:pPr>
      <w:r w:rsidDel="00000000" w:rsidR="00000000" w:rsidRPr="00000000">
        <w:rPr>
          <w:b w:val="1"/>
          <w:bCs w:val="1"/>
          <w:rtl w:val="0"/>
        </w:rPr>
        <w:t xml:space="preserve">Regional/contextual calibration:</w:t>
        <w:br w:type="textWrapping"/>
      </w:r>
      <w:r w:rsidDel="00000000" w:rsidR="00000000" w:rsidRPr="00000000">
        <w:rPr>
          <w:rtl w:val="0"/>
        </w:rPr>
        <w:t xml:space="preserve">Historical trial data can also support regional risk calibration. A large-scale analysis of 585 clinical trials found that KRI risk patterns vary by region and that relative risk scoring can help study teams interpret signals in context rather than applying uniform thresholds mechanically. This is especially relevant for global trials, where expected variability may reflect regional differences in clinical practice, infrastructure, crisis conditions, or operational norms. (Source: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BMJ Open regional variation analysis</w:t>
        </w:r>
      </w:hyperlink>
      <w:r w:rsidDel="00000000" w:rsidR="00000000" w:rsidRPr="00000000">
        <w:rPr>
          <w:rtl w:val="0"/>
        </w:rPr>
        <w:t xml:space="preserve">.)</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heading=h.a7avrd8m7um9" w:id="4"/>
      <w:bookmarkEnd w:id="4"/>
      <w:r w:rsidDel="00000000" w:rsidR="00000000" w:rsidRPr="00000000">
        <w:rPr>
          <w:b w:val="1"/>
          <w:bCs w:val="1"/>
          <w:color w:val="000000"/>
          <w:sz w:val="26"/>
          <w:szCs w:val="26"/>
          <w:rtl w:val="0"/>
        </w:rPr>
        <w:t xml:space="preserve">6.5 Constraints and Limitations</w:t>
      </w:r>
    </w:p>
    <w:p w:rsidR="00000000" w:rsidDel="00000000" w:rsidP="00000000" w:rsidRDefault="00000000" w:rsidRPr="00000000" w14:paraId="0000013C">
      <w:pPr>
        <w:spacing w:after="240" w:before="240" w:lineRule="auto"/>
        <w:rPr/>
      </w:pPr>
      <w:r w:rsidDel="00000000" w:rsidR="00000000" w:rsidRPr="00000000">
        <w:rPr>
          <w:rtl w:val="0"/>
        </w:rPr>
        <w:t xml:space="preserve">Despite its promise, AI/ML for trial monitoring faces important constraints.</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Training data requirements:</w:t>
      </w:r>
      <w:r w:rsidDel="00000000" w:rsidR="00000000" w:rsidRPr="00000000">
        <w:rPr>
          <w:rtl w:val="0"/>
        </w:rPr>
        <w:br w:type="textWrapping"/>
        <w:t xml:space="preserve">Supervised ML methods require labeled training data, such as confirmed GCP issues, verified fraud, major quality events, or documented site underperformance. These labels are rare, inconsistently defined, and often not shared across organizations. As a result, unsupervised and semi-supervised methods may be more practical for broad deployment in the near term.</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Interpretability and explainability:</w:t>
      </w:r>
      <w:r w:rsidDel="00000000" w:rsidR="00000000" w:rsidRPr="00000000">
        <w:rPr>
          <w:rtl w:val="0"/>
        </w:rPr>
        <w:br w:type="textWrapping"/>
        <w:t xml:space="preserve">Regulatory acceptance and operational trust require that AI/ML outputs be explainable. A model that flags a site as high risk but cannot explain the contributing factors is unlikely to support effective action or documentation. Models should provide interpretable drivers of risk, such as unusual AE reporting patterns, rising missed-visit rates, atypical data distributions, or deviations from expected event accrual.</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Generalizability:</w:t>
      </w:r>
      <w:r w:rsidDel="00000000" w:rsidR="00000000" w:rsidRPr="00000000">
        <w:rPr>
          <w:rtl w:val="0"/>
        </w:rPr>
        <w:br w:type="textWrapping"/>
        <w:t xml:space="preserve">Models trained in one therapeutic area, phase, geography, or operational model may not generalize to another. Oncology, cardiovascular, rare disease, CNS, and vaccine trials often have substantially different endpoint structures, visit schedules, dropout mechanisms, and event dynamics. AI/ML models should therefore be recalibrated and validated before being deployed in new contexts.</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Bias and fairness:</w:t>
      </w:r>
      <w:r w:rsidDel="00000000" w:rsidR="00000000" w:rsidRPr="00000000">
        <w:rPr>
          <w:rtl w:val="0"/>
        </w:rPr>
        <w:br w:type="textWrapping"/>
        <w:t xml:space="preserve">Models may inadvertently encode historical operational biases, such as systematically rating certain regions, site types, or patient populations as higher risk because of historical monitoring intensity rather than true quality issues. Model governance should include bias assessment and periodic review by cross-functional experts.</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Regulatory documentation:</w:t>
      </w:r>
      <w:r w:rsidDel="00000000" w:rsidR="00000000" w:rsidRPr="00000000">
        <w:rPr>
          <w:rtl w:val="0"/>
        </w:rPr>
        <w:br w:type="textWrapping"/>
        <w:t xml:space="preserve">AI/ML-driven monitoring must remain auditable. Study teams should document model purpose, input data, validation results, threshold logic, signal review decisions, and actions taken. The model should support the risk-based quality management process rather than create an undocumented parallel decision system.</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Maturity of autonomous feedback loops:</w:t>
      </w:r>
      <w:r w:rsidDel="00000000" w:rsidR="00000000" w:rsidRPr="00000000">
        <w:rPr>
          <w:rtl w:val="0"/>
        </w:rPr>
        <w:br w:type="textWrapping"/>
        <w:t xml:space="preserve">Fully autonomous systems that adapt monitoring strategies in real time are not yet mature for routine clinical trial use. Current practice should emphasize human-in-the-loop decision support, where AI/ML generates signals and recommendations but accountable study team members make and document final decisions.</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heading=h.98ozbqkvzhri" w:id="5"/>
      <w:bookmarkEnd w:id="5"/>
      <w:r w:rsidDel="00000000" w:rsidR="00000000" w:rsidRPr="00000000">
        <w:rPr>
          <w:b w:val="1"/>
          <w:bCs w:val="1"/>
          <w:color w:val="000000"/>
          <w:sz w:val="26"/>
          <w:szCs w:val="26"/>
          <w:rtl w:val="0"/>
        </w:rPr>
        <w:t xml:space="preserve">6.6 The Role of Agentic AI</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left"/>
        <w:rPr>
          <w:b w:val="1"/>
          <w:bCs w:val="1"/>
        </w:rPr>
      </w:pPr>
      <w:r w:rsidDel="00000000" w:rsidR="00000000" w:rsidRPr="00000000">
        <w:rPr>
          <w:b w:val="1"/>
          <w:bCs w:val="1"/>
          <w:rtl w:val="0"/>
        </w:rPr>
        <w:t xml:space="preserve">Learning from Prior Signals and Actions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left"/>
        <w:rPr/>
      </w:pPr>
      <w:r w:rsidDel="00000000" w:rsidR="00000000" w:rsidRPr="00000000">
        <w:rPr>
          <w:rtl w:val="0"/>
        </w:rPr>
        <w:t xml:space="preserve">A key challenge in centralized monitoring is that risk signals are often reviewed in isolation, with limited ability to leverage organizational learning from previous studies. In practice, sponsors accumulate substantial knowledge regarding recurring risk patterns, root causes, corrective actions, audit findings, and monitoring outcomes across completed trials. However, these experiences are frequently documented in disconnected systems and are rarely available in a structured form during ongoing signal review. </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left"/>
        <w:rPr/>
      </w:pPr>
      <w:r w:rsidDel="00000000" w:rsidR="00000000" w:rsidRPr="00000000">
        <w:rPr>
          <w:rtl w:val="0"/>
        </w:rPr>
        <w:t xml:space="preserve">Future monitoring platforms may increasingly incorporate knowledge-based approaches that combine historical monitoring signals, investigation outcomes, CAPAs, audit findings, and site-performance history into a reusable organizational knowledge base. AI systems could leverage this information to identify whether similar patterns have occurred previously, summarize prior investigations, and suggest potential actions that have historically proven effective. Such capabilities may improve consistency in signal interpretation while reducing unnecessary variability across studies, reviewers, and functional teams. </w: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Agentic AI may eventually help address one of the persistent challenges in dynamic monitoring: inconsistent interpretation of risk signals across studies, functions, and reviewers. In a future-state model, an AI agent with access to controlled study context, protocol-specific risk definitions, monitoring history, statistical outputs, data management trends, and regulatory requirements could support signal triage by synthesizing relevant information across functions.</w:t>
      </w:r>
    </w:p>
    <w:p w:rsidR="00000000" w:rsidDel="00000000" w:rsidP="00000000" w:rsidRDefault="00000000" w:rsidRPr="00000000" w14:paraId="00000148">
      <w:pPr>
        <w:spacing w:after="240" w:before="240" w:lineRule="auto"/>
        <w:rPr/>
      </w:pPr>
      <w:r w:rsidDel="00000000" w:rsidR="00000000" w:rsidRPr="00000000">
        <w:rPr>
          <w:rtl w:val="0"/>
        </w:rPr>
        <w:t xml:space="preserve">Such an agent could:</w:t>
      </w:r>
    </w:p>
    <w:p w:rsidR="00000000" w:rsidDel="00000000" w:rsidP="00000000" w:rsidRDefault="00000000" w:rsidRPr="00000000" w14:paraId="00000149">
      <w:pPr>
        <w:numPr>
          <w:ilvl w:val="0"/>
          <w:numId w:val="38"/>
        </w:numPr>
        <w:spacing w:after="0" w:afterAutospacing="0" w:before="240" w:lineRule="auto"/>
        <w:ind w:left="720" w:hanging="360"/>
        <w:rPr/>
      </w:pPr>
      <w:r w:rsidDel="00000000" w:rsidR="00000000" w:rsidRPr="00000000">
        <w:rPr>
          <w:rtl w:val="0"/>
        </w:rPr>
        <w:t xml:space="preserve">Summarize why a signal was generated and which data sources contributed to it.</w:t>
      </w:r>
    </w:p>
    <w:p w:rsidR="00000000" w:rsidDel="00000000" w:rsidP="00000000" w:rsidRDefault="00000000" w:rsidRPr="00000000" w14:paraId="0000014A">
      <w:pPr>
        <w:numPr>
          <w:ilvl w:val="0"/>
          <w:numId w:val="38"/>
        </w:numPr>
        <w:spacing w:after="0" w:afterAutospacing="0" w:before="0" w:beforeAutospacing="0" w:lineRule="auto"/>
        <w:ind w:left="720" w:hanging="360"/>
        <w:rPr/>
      </w:pPr>
      <w:r w:rsidDel="00000000" w:rsidR="00000000" w:rsidRPr="00000000">
        <w:rPr>
          <w:rtl w:val="0"/>
        </w:rPr>
        <w:t xml:space="preserve">Identify whether similar signals occurred in prior studies and what actions were taken.</w:t>
      </w:r>
    </w:p>
    <w:p w:rsidR="00000000" w:rsidDel="00000000" w:rsidP="00000000" w:rsidRDefault="00000000" w:rsidRPr="00000000" w14:paraId="0000014B">
      <w:pPr>
        <w:numPr>
          <w:ilvl w:val="0"/>
          <w:numId w:val="38"/>
        </w:numPr>
        <w:spacing w:after="0" w:afterAutospacing="0" w:before="0" w:beforeAutospacing="0" w:lineRule="auto"/>
        <w:ind w:left="720" w:hanging="360"/>
        <w:rPr/>
      </w:pPr>
      <w:r w:rsidDel="00000000" w:rsidR="00000000" w:rsidRPr="00000000">
        <w:rPr>
          <w:rtl w:val="0"/>
        </w:rPr>
        <w:t xml:space="preserve">Suggest additional reviews, such as targeted SDV, medical review, data query assessment, or site retraining.</w:t>
      </w:r>
    </w:p>
    <w:p w:rsidR="00000000" w:rsidDel="00000000" w:rsidP="00000000" w:rsidRDefault="00000000" w:rsidRPr="00000000" w14:paraId="0000014C">
      <w:pPr>
        <w:numPr>
          <w:ilvl w:val="0"/>
          <w:numId w:val="38"/>
        </w:numPr>
        <w:spacing w:after="0" w:afterAutospacing="0" w:before="0" w:beforeAutospacing="0" w:lineRule="auto"/>
        <w:ind w:left="720" w:hanging="360"/>
        <w:rPr/>
      </w:pPr>
      <w:r w:rsidDel="00000000" w:rsidR="00000000" w:rsidRPr="00000000">
        <w:rPr>
          <w:rtl w:val="0"/>
        </w:rPr>
        <w:t xml:space="preserve">Draft structured signal-review documentation for human approval.</w:t>
      </w:r>
    </w:p>
    <w:p w:rsidR="00000000" w:rsidDel="00000000" w:rsidP="00000000" w:rsidRDefault="00000000" w:rsidRPr="00000000" w14:paraId="0000014D">
      <w:pPr>
        <w:numPr>
          <w:ilvl w:val="0"/>
          <w:numId w:val="38"/>
        </w:numPr>
        <w:spacing w:after="0" w:afterAutospacing="0" w:before="0" w:beforeAutospacing="0" w:lineRule="auto"/>
        <w:ind w:left="720" w:hanging="360"/>
        <w:rPr/>
      </w:pPr>
      <w:r w:rsidDel="00000000" w:rsidR="00000000" w:rsidRPr="00000000">
        <w:rPr>
          <w:rtl w:val="0"/>
        </w:rPr>
        <w:t xml:space="preserve">Help ensure that statistics, clinical operations, data management, medical quality, and regulatory perspectives are considered consistently.</w:t>
      </w:r>
    </w:p>
    <w:p w:rsidR="00000000" w:rsidDel="00000000" w:rsidP="00000000" w:rsidRDefault="00000000" w:rsidRPr="00000000" w14:paraId="0000014E">
      <w:pPr>
        <w:numPr>
          <w:ilvl w:val="0"/>
          <w:numId w:val="38"/>
        </w:numPr>
        <w:spacing w:after="240" w:before="0" w:beforeAutospacing="0" w:lineRule="auto"/>
        <w:ind w:left="720" w:hanging="360"/>
        <w:rPr/>
      </w:pPr>
      <w:r w:rsidDel="00000000" w:rsidR="00000000" w:rsidRPr="00000000">
        <w:rPr>
          <w:rtl w:val="0"/>
        </w:rPr>
        <w:t xml:space="preserve">Track whether recommended actions were completed and whether the signal was resolved.</w:t>
      </w:r>
    </w:p>
    <w:p w:rsidR="00000000" w:rsidDel="00000000" w:rsidP="00000000" w:rsidRDefault="00000000" w:rsidRPr="00000000" w14:paraId="0000014F">
      <w:pPr>
        <w:spacing w:after="240" w:before="240" w:lineRule="auto"/>
        <w:rPr/>
      </w:pPr>
      <w:r w:rsidDel="00000000" w:rsidR="00000000" w:rsidRPr="00000000">
        <w:rPr>
          <w:rtl w:val="0"/>
        </w:rPr>
        <w:t xml:space="preserve">Near-term agentic AI should be implemented cautiously as an assistive capability, not as an autonomous decision-maker. Outputs should be traceable to source data, reviewed by accountable functional owners, and governed by clear procedures. The most practical early use cases are likely to be summarization, signal contextualization, action recommendation, and documentation support.</w:t>
      </w:r>
    </w:p>
    <w:p w:rsidR="00000000" w:rsidDel="00000000" w:rsidP="00000000" w:rsidRDefault="00000000" w:rsidRPr="00000000" w14:paraId="00000150">
      <w:pPr>
        <w:spacing w:after="240" w:before="240" w:lineRule="auto"/>
        <w:rPr/>
      </w:pPr>
      <w:r w:rsidDel="00000000" w:rsidR="00000000" w:rsidRPr="00000000">
        <w:rPr>
          <w:rtl w:val="0"/>
        </w:rPr>
        <w:t xml:space="preserve">Importantly, these systems should be viewed as decision-support tools rather than automated decision-makers. Recommendations generated from historical experience must still be reviewed within the context of the current protocol, patient population, therapeutic area, and operational environment. Consistent with the principles described throughout this paper, accountable study teams should retain responsibility for final decisions and documentation.</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heading=h.2e1n6jwwwn23" w:id="6"/>
      <w:bookmarkEnd w:id="6"/>
      <w:r w:rsidDel="00000000" w:rsidR="00000000" w:rsidRPr="00000000">
        <w:rPr>
          <w:b w:val="1"/>
          <w:bCs w:val="1"/>
          <w:color w:val="000000"/>
          <w:sz w:val="26"/>
          <w:szCs w:val="26"/>
          <w:rtl w:val="0"/>
        </w:rPr>
        <w:t xml:space="preserve">6.7 Practical Implementation Considerations</w:t>
      </w:r>
    </w:p>
    <w:p w:rsidR="00000000" w:rsidDel="00000000" w:rsidP="00000000" w:rsidRDefault="00000000" w:rsidRPr="00000000" w14:paraId="00000152">
      <w:pPr>
        <w:spacing w:after="240" w:before="240" w:lineRule="auto"/>
        <w:rPr/>
      </w:pPr>
      <w:r w:rsidDel="00000000" w:rsidR="00000000" w:rsidRPr="00000000">
        <w:rPr>
          <w:rtl w:val="0"/>
        </w:rPr>
        <w:t xml:space="preserve">Organizations seeking to implement AI/ML-enabled trial monitoring should begin with narrowly scoped, high-value use cases rather than broad automation. Predictive dropout modeling, event accrual forecasting, enrollment forecasting, and NLP-assisted issue summarization are strong candidates because they address common operational pain points and can be evaluated against measurable outcomes.</w:t>
      </w:r>
    </w:p>
    <w:p w:rsidR="00000000" w:rsidDel="00000000" w:rsidP="00000000" w:rsidRDefault="00000000" w:rsidRPr="00000000" w14:paraId="00000153">
      <w:pPr>
        <w:spacing w:after="240" w:before="240" w:lineRule="auto"/>
        <w:rPr/>
      </w:pPr>
      <w:r w:rsidDel="00000000" w:rsidR="00000000" w:rsidRPr="00000000">
        <w:rPr>
          <w:rtl w:val="0"/>
        </w:rPr>
        <w:t xml:space="preserve">A practical implementation pathway includes:</w:t>
      </w:r>
    </w:p>
    <w:p w:rsidR="00000000" w:rsidDel="00000000" w:rsidP="00000000" w:rsidRDefault="00000000" w:rsidRPr="00000000" w14:paraId="00000154">
      <w:pPr>
        <w:numPr>
          <w:ilvl w:val="0"/>
          <w:numId w:val="1"/>
        </w:numPr>
        <w:spacing w:after="0" w:afterAutospacing="0" w:before="240" w:lineRule="auto"/>
        <w:ind w:left="720" w:hanging="360"/>
        <w:rPr/>
      </w:pPr>
      <w:r w:rsidDel="00000000" w:rsidR="00000000" w:rsidRPr="00000000">
        <w:rPr>
          <w:rtl w:val="0"/>
        </w:rPr>
        <w:t xml:space="preserve">Define the monitoring decision the model is intended to support.</w:t>
      </w:r>
    </w:p>
    <w:p w:rsidR="00000000" w:rsidDel="00000000" w:rsidP="00000000" w:rsidRDefault="00000000" w:rsidRPr="00000000" w14:paraId="00000155">
      <w:pPr>
        <w:numPr>
          <w:ilvl w:val="0"/>
          <w:numId w:val="1"/>
        </w:numPr>
        <w:spacing w:after="0" w:afterAutospacing="0" w:before="0" w:beforeAutospacing="0" w:lineRule="auto"/>
        <w:ind w:left="720" w:hanging="360"/>
        <w:rPr/>
      </w:pPr>
      <w:r w:rsidDel="00000000" w:rsidR="00000000" w:rsidRPr="00000000">
        <w:rPr>
          <w:rtl w:val="0"/>
        </w:rPr>
        <w:t xml:space="preserve">Specify the target outcome, prediction horizon, and intended action.</w:t>
      </w:r>
    </w:p>
    <w:p w:rsidR="00000000" w:rsidDel="00000000" w:rsidP="00000000" w:rsidRDefault="00000000" w:rsidRPr="00000000" w14:paraId="00000156">
      <w:pPr>
        <w:numPr>
          <w:ilvl w:val="0"/>
          <w:numId w:val="1"/>
        </w:numPr>
        <w:spacing w:after="0" w:afterAutospacing="0" w:before="0" w:beforeAutospacing="0" w:lineRule="auto"/>
        <w:ind w:left="720" w:hanging="360"/>
        <w:rPr/>
      </w:pPr>
      <w:r w:rsidDel="00000000" w:rsidR="00000000" w:rsidRPr="00000000">
        <w:rPr>
          <w:rtl w:val="0"/>
        </w:rPr>
        <w:t xml:space="preserve">Identify required data sources and assess data quality.</w:t>
      </w:r>
    </w:p>
    <w:p w:rsidR="00000000" w:rsidDel="00000000" w:rsidP="00000000" w:rsidRDefault="00000000" w:rsidRPr="00000000" w14:paraId="00000157">
      <w:pPr>
        <w:numPr>
          <w:ilvl w:val="0"/>
          <w:numId w:val="1"/>
        </w:numPr>
        <w:spacing w:after="0" w:afterAutospacing="0" w:before="0" w:beforeAutospacing="0" w:lineRule="auto"/>
        <w:ind w:left="720" w:hanging="360"/>
        <w:rPr/>
      </w:pPr>
      <w:r w:rsidDel="00000000" w:rsidR="00000000" w:rsidRPr="00000000">
        <w:rPr>
          <w:rtl w:val="0"/>
        </w:rPr>
        <w:t xml:space="preserve">Select interpretable modeling approaches where possible.</w:t>
      </w:r>
    </w:p>
    <w:p w:rsidR="00000000" w:rsidDel="00000000" w:rsidP="00000000" w:rsidRDefault="00000000" w:rsidRPr="00000000" w14:paraId="00000158">
      <w:pPr>
        <w:numPr>
          <w:ilvl w:val="0"/>
          <w:numId w:val="1"/>
        </w:numPr>
        <w:spacing w:after="0" w:afterAutospacing="0" w:before="0" w:beforeAutospacing="0" w:lineRule="auto"/>
        <w:ind w:left="720" w:hanging="360"/>
        <w:rPr/>
      </w:pPr>
      <w:r w:rsidDel="00000000" w:rsidR="00000000" w:rsidRPr="00000000">
        <w:rPr>
          <w:rtl w:val="0"/>
        </w:rPr>
        <w:t xml:space="preserve">Validate model performance using historical and prospective data.</w:t>
      </w:r>
    </w:p>
    <w:p w:rsidR="00000000" w:rsidDel="00000000" w:rsidP="00000000" w:rsidRDefault="00000000" w:rsidRPr="00000000" w14:paraId="00000159">
      <w:pPr>
        <w:numPr>
          <w:ilvl w:val="0"/>
          <w:numId w:val="1"/>
        </w:numPr>
        <w:spacing w:after="0" w:afterAutospacing="0" w:before="0" w:beforeAutospacing="0" w:lineRule="auto"/>
        <w:ind w:left="720" w:hanging="360"/>
        <w:rPr/>
      </w:pPr>
      <w:r w:rsidDel="00000000" w:rsidR="00000000" w:rsidRPr="00000000">
        <w:rPr>
          <w:rtl w:val="0"/>
        </w:rPr>
        <w:t xml:space="preserve">Establish thresholds for review, escalation, and documentation.</w:t>
      </w:r>
    </w:p>
    <w:p w:rsidR="00000000" w:rsidDel="00000000" w:rsidP="00000000" w:rsidRDefault="00000000" w:rsidRPr="00000000" w14:paraId="0000015A">
      <w:pPr>
        <w:numPr>
          <w:ilvl w:val="0"/>
          <w:numId w:val="1"/>
        </w:numPr>
        <w:spacing w:after="0" w:afterAutospacing="0" w:before="0" w:beforeAutospacing="0" w:lineRule="auto"/>
        <w:ind w:left="720" w:hanging="360"/>
        <w:rPr/>
      </w:pPr>
      <w:r w:rsidDel="00000000" w:rsidR="00000000" w:rsidRPr="00000000">
        <w:rPr>
          <w:rtl w:val="0"/>
        </w:rPr>
        <w:t xml:space="preserve">Integrate outputs into existing central monitoring dashboards and governance forums.</w:t>
      </w:r>
    </w:p>
    <w:p w:rsidR="00000000" w:rsidDel="00000000" w:rsidP="00000000" w:rsidRDefault="00000000" w:rsidRPr="00000000" w14:paraId="0000015B">
      <w:pPr>
        <w:numPr>
          <w:ilvl w:val="0"/>
          <w:numId w:val="1"/>
        </w:numPr>
        <w:spacing w:after="240" w:before="0" w:beforeAutospacing="0" w:lineRule="auto"/>
        <w:ind w:left="720" w:hanging="360"/>
        <w:rPr/>
      </w:pPr>
      <w:r w:rsidDel="00000000" w:rsidR="00000000" w:rsidRPr="00000000">
        <w:rPr>
          <w:rtl w:val="0"/>
        </w:rPr>
        <w:t xml:space="preserve">Monitor model performance, drift, and operational impact over time.</w:t>
      </w:r>
    </w:p>
    <w:p w:rsidR="00000000" w:rsidDel="00000000" w:rsidP="00000000" w:rsidRDefault="00000000" w:rsidRPr="00000000" w14:paraId="0000015C">
      <w:pPr>
        <w:spacing w:after="240" w:before="240" w:lineRule="auto"/>
        <w:rPr/>
      </w:pPr>
      <w:r w:rsidDel="00000000" w:rsidR="00000000" w:rsidRPr="00000000">
        <w:rPr>
          <w:rtl w:val="0"/>
        </w:rPr>
        <w:t xml:space="preserve">The ultimate measure of value is not model accuracy alone. AI/ML-enabled monitoring should be judged by whether it improves trial oversight, reduces avoidable operational burden, enables earlier intervention, supports better documentation, and contributes to more reliable trial outcomes.</w:t>
      </w:r>
    </w:p>
    <w:p w:rsidR="00000000" w:rsidDel="00000000" w:rsidP="00000000" w:rsidRDefault="00000000" w:rsidRPr="00000000" w14:paraId="0000015D">
      <w:pPr>
        <w:rPr>
          <w:b w:val="1"/>
          <w:bCs w:val="1"/>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b w:val="1"/>
          <w:bCs w:val="1"/>
          <w:strike w:val="1"/>
        </w:rPr>
      </w:pPr>
      <w:r w:rsidDel="00000000" w:rsidR="00000000" w:rsidRPr="00000000">
        <w:rPr>
          <w:b w:val="1"/>
          <w:bCs w:val="1"/>
          <w:strike w:val="1"/>
          <w:rtl w:val="0"/>
        </w:rPr>
        <w:t xml:space="preserve">6.1 Current AI/ML Applications in Trial Monitoring</w:t>
      </w:r>
    </w:p>
    <w:p w:rsidR="00000000" w:rsidDel="00000000" w:rsidP="00000000" w:rsidRDefault="00000000" w:rsidRPr="00000000" w14:paraId="00000162">
      <w:pPr>
        <w:rPr>
          <w:strike w:val="1"/>
        </w:rPr>
      </w:pPr>
      <w:r w:rsidDel="00000000" w:rsidR="00000000" w:rsidRPr="00000000">
        <w:rPr>
          <w:strike w:val="1"/>
          <w:rtl w:val="0"/>
        </w:rPr>
        <w:t xml:space="preserve">AI and ML are natural extensions of centralized statistical monitoring, offering the potential for:</w:t>
      </w:r>
    </w:p>
    <w:p w:rsidR="00000000" w:rsidDel="00000000" w:rsidP="00000000" w:rsidRDefault="00000000" w:rsidRPr="00000000" w14:paraId="00000163">
      <w:pPr>
        <w:numPr>
          <w:ilvl w:val="0"/>
          <w:numId w:val="18"/>
        </w:numPr>
        <w:ind w:left="720" w:hanging="360"/>
        <w:rPr>
          <w:strike w:val="1"/>
        </w:rPr>
      </w:pPr>
      <w:r w:rsidDel="00000000" w:rsidR="00000000" w:rsidRPr="00000000">
        <w:rPr>
          <w:b w:val="1"/>
          <w:bCs w:val="1"/>
          <w:strike w:val="1"/>
          <w:rtl w:val="0"/>
        </w:rPr>
        <w:t xml:space="preserve">Pattern detection across historical trials:</w:t>
      </w:r>
      <w:r w:rsidDel="00000000" w:rsidR="00000000" w:rsidRPr="00000000">
        <w:rPr>
          <w:strike w:val="1"/>
          <w:rtl w:val="0"/>
        </w:rPr>
        <w:t xml:space="preserve"> ML models trained on historical trial data can identify patterns associated with specific types of risk (e.g., sites that later had confirmed GCP issues) and apply these patterns prospectively to new trials [Source: additional_materials.docx, p. 5].</w:t>
      </w:r>
    </w:p>
    <w:p w:rsidR="00000000" w:rsidDel="00000000" w:rsidP="00000000" w:rsidRDefault="00000000" w:rsidRPr="00000000" w14:paraId="00000164">
      <w:pPr>
        <w:numPr>
          <w:ilvl w:val="0"/>
          <w:numId w:val="18"/>
        </w:numPr>
        <w:ind w:left="720" w:hanging="360"/>
        <w:rPr>
          <w:strike w:val="1"/>
        </w:rPr>
      </w:pPr>
      <w:r w:rsidDel="00000000" w:rsidR="00000000" w:rsidRPr="00000000">
        <w:rPr>
          <w:b w:val="1"/>
          <w:bCs w:val="1"/>
          <w:strike w:val="1"/>
          <w:rtl w:val="0"/>
        </w:rPr>
        <w:t xml:space="preserve">Predictive dropout modeling:</w:t>
      </w:r>
      <w:r w:rsidDel="00000000" w:rsidR="00000000" w:rsidRPr="00000000">
        <w:rPr>
          <w:strike w:val="1"/>
          <w:rtl w:val="0"/>
        </w:rPr>
        <w:t xml:space="preserve"> Predictive models can identify patients at high risk of discontinuation, enabling proactive site engagement before dropout occurs [Source: slides_bochao.pptx; as described by Bochao Jia in the subgroup charter].</w:t>
      </w:r>
    </w:p>
    <w:p w:rsidR="00000000" w:rsidDel="00000000" w:rsidP="00000000" w:rsidRDefault="00000000" w:rsidRPr="00000000" w14:paraId="00000165">
      <w:pPr>
        <w:numPr>
          <w:ilvl w:val="0"/>
          <w:numId w:val="18"/>
        </w:numPr>
        <w:ind w:left="720" w:hanging="360"/>
        <w:rPr>
          <w:strike w:val="1"/>
        </w:rPr>
      </w:pPr>
      <w:r w:rsidDel="00000000" w:rsidR="00000000" w:rsidRPr="00000000">
        <w:rPr>
          <w:b w:val="1"/>
          <w:bCs w:val="1"/>
          <w:strike w:val="1"/>
          <w:rtl w:val="0"/>
        </w:rPr>
        <w:t xml:space="preserve">Enrollment forecasting:</w:t>
      </w:r>
      <w:r w:rsidDel="00000000" w:rsidR="00000000" w:rsidRPr="00000000">
        <w:rPr>
          <w:strike w:val="1"/>
          <w:rtl w:val="0"/>
        </w:rPr>
        <w:t xml:space="preserve"> Bayesian models (e.g., Poisson models for patients-per-site-month) can project enrollment trajectories, identify lagging regions, and guide decisions on when to open new countries or stop screening [Source: slides_bochao.pptx, pp. 5–8].</w:t>
      </w:r>
    </w:p>
    <w:p w:rsidR="00000000" w:rsidDel="00000000" w:rsidP="00000000" w:rsidRDefault="00000000" w:rsidRPr="00000000" w14:paraId="00000166">
      <w:pPr>
        <w:numPr>
          <w:ilvl w:val="0"/>
          <w:numId w:val="18"/>
        </w:numPr>
        <w:ind w:left="720" w:hanging="360"/>
        <w:rPr>
          <w:strike w:val="1"/>
        </w:rPr>
      </w:pPr>
      <w:r w:rsidDel="00000000" w:rsidR="00000000" w:rsidRPr="00000000">
        <w:rPr>
          <w:b w:val="1"/>
          <w:bCs w:val="1"/>
          <w:strike w:val="1"/>
          <w:rtl w:val="0"/>
        </w:rPr>
        <w:t xml:space="preserve">NLP/LLM applications:</w:t>
      </w:r>
      <w:r w:rsidDel="00000000" w:rsidR="00000000" w:rsidRPr="00000000">
        <w:rPr>
          <w:strike w:val="1"/>
          <w:rtl w:val="0"/>
        </w:rPr>
        <w:t xml:space="preserve"> Natural language processing can digest monitoring reports and extract trends, inform site selection, and identify protocol deviation patterns from free-text data [Source: external_presentation____analytics_transforming_clinical_trial_oversight.pptx, p. 13].</w:t>
      </w:r>
    </w:p>
    <w:p w:rsidR="00000000" w:rsidDel="00000000" w:rsidP="00000000" w:rsidRDefault="00000000" w:rsidRPr="00000000" w14:paraId="00000167">
      <w:pPr>
        <w:rPr>
          <w:b w:val="1"/>
          <w:bCs w:val="1"/>
          <w:strike w:val="1"/>
        </w:rPr>
      </w:pPr>
      <w:r w:rsidDel="00000000" w:rsidR="00000000" w:rsidRPr="00000000">
        <w:rPr>
          <w:b w:val="1"/>
          <w:bCs w:val="1"/>
          <w:strike w:val="1"/>
          <w:rtl w:val="0"/>
        </w:rPr>
        <w:t xml:space="preserve">6.2 Constraints and Limitations</w:t>
      </w:r>
    </w:p>
    <w:p w:rsidR="00000000" w:rsidDel="00000000" w:rsidP="00000000" w:rsidRDefault="00000000" w:rsidRPr="00000000" w14:paraId="00000168">
      <w:pPr>
        <w:rPr>
          <w:strike w:val="1"/>
        </w:rPr>
      </w:pPr>
      <w:r w:rsidDel="00000000" w:rsidR="00000000" w:rsidRPr="00000000">
        <w:rPr>
          <w:strike w:val="1"/>
          <w:rtl w:val="0"/>
        </w:rPr>
        <w:t xml:space="preserve">Despite its promise, AI/ML for trial monitoring faces important constraints:</w:t>
      </w:r>
    </w:p>
    <w:p w:rsidR="00000000" w:rsidDel="00000000" w:rsidP="00000000" w:rsidRDefault="00000000" w:rsidRPr="00000000" w14:paraId="00000169">
      <w:pPr>
        <w:numPr>
          <w:ilvl w:val="0"/>
          <w:numId w:val="19"/>
        </w:numPr>
        <w:ind w:left="720" w:hanging="360"/>
        <w:rPr>
          <w:strike w:val="1"/>
        </w:rPr>
      </w:pPr>
      <w:r w:rsidDel="00000000" w:rsidR="00000000" w:rsidRPr="00000000">
        <w:rPr>
          <w:b w:val="1"/>
          <w:bCs w:val="1"/>
          <w:strike w:val="1"/>
          <w:rtl w:val="0"/>
        </w:rPr>
        <w:t xml:space="preserve">Training data requirements:</w:t>
      </w:r>
      <w:r w:rsidDel="00000000" w:rsidR="00000000" w:rsidRPr="00000000">
        <w:rPr>
          <w:strike w:val="1"/>
          <w:rtl w:val="0"/>
        </w:rPr>
        <w:t xml:space="preserve"> Supervised ML methods require labeled training data (e.g., confirmed fraud cases), which are rare and often not shared across organizations. This makes unsupervised methods currently more practical for broad deployment [Source: trotta2019_clinicaltrials_atypical_data_in_stats_monitoring.pdf, p. 2].</w:t>
      </w:r>
    </w:p>
    <w:p w:rsidR="00000000" w:rsidDel="00000000" w:rsidP="00000000" w:rsidRDefault="00000000" w:rsidRPr="00000000" w14:paraId="0000016A">
      <w:pPr>
        <w:numPr>
          <w:ilvl w:val="0"/>
          <w:numId w:val="19"/>
        </w:numPr>
        <w:ind w:left="720" w:hanging="360"/>
        <w:rPr>
          <w:strike w:val="1"/>
        </w:rPr>
      </w:pPr>
      <w:r w:rsidDel="00000000" w:rsidR="00000000" w:rsidRPr="00000000">
        <w:rPr>
          <w:b w:val="1"/>
          <w:bCs w:val="1"/>
          <w:strike w:val="1"/>
          <w:rtl w:val="0"/>
        </w:rPr>
        <w:t xml:space="preserve">Interpretability and explainability:</w:t>
      </w:r>
      <w:r w:rsidDel="00000000" w:rsidR="00000000" w:rsidRPr="00000000">
        <w:rPr>
          <w:strike w:val="1"/>
          <w:rtl w:val="0"/>
        </w:rPr>
        <w:t xml:space="preserve"> Regulatory acceptance of AI-driven decisions will require model interpretability. "Black box" algorithms may detect anomalies effectively but fail to provide the explanatory power needed for regulatory documentation and stakeholder trust [Source: additional_materials.docx, p. 6].</w:t>
      </w:r>
    </w:p>
    <w:p w:rsidR="00000000" w:rsidDel="00000000" w:rsidP="00000000" w:rsidRDefault="00000000" w:rsidRPr="00000000" w14:paraId="0000016B">
      <w:pPr>
        <w:numPr>
          <w:ilvl w:val="0"/>
          <w:numId w:val="19"/>
        </w:numPr>
        <w:ind w:left="720" w:hanging="360"/>
        <w:rPr>
          <w:strike w:val="1"/>
        </w:rPr>
      </w:pPr>
      <w:r w:rsidDel="00000000" w:rsidR="00000000" w:rsidRPr="00000000">
        <w:rPr>
          <w:b w:val="1"/>
          <w:bCs w:val="1"/>
          <w:strike w:val="1"/>
          <w:rtl w:val="0"/>
        </w:rPr>
        <w:t xml:space="preserve">Generalizability across therapeutic areas:</w:t>
      </w:r>
      <w:r w:rsidDel="00000000" w:rsidR="00000000" w:rsidRPr="00000000">
        <w:rPr>
          <w:strike w:val="1"/>
          <w:rtl w:val="0"/>
        </w:rPr>
        <w:t xml:space="preserve"> Models trained on cardiology trial data may not generalize to oncology or CNS trials, where data distributions and expected variability differ substantially.</w:t>
      </w:r>
    </w:p>
    <w:p w:rsidR="00000000" w:rsidDel="00000000" w:rsidP="00000000" w:rsidRDefault="00000000" w:rsidRPr="00000000" w14:paraId="0000016C">
      <w:pPr>
        <w:numPr>
          <w:ilvl w:val="0"/>
          <w:numId w:val="19"/>
        </w:numPr>
        <w:ind w:left="720" w:hanging="360"/>
        <w:rPr>
          <w:strike w:val="1"/>
        </w:rPr>
      </w:pPr>
      <w:r w:rsidDel="00000000" w:rsidR="00000000" w:rsidRPr="00000000">
        <w:rPr>
          <w:b w:val="1"/>
          <w:bCs w:val="1"/>
          <w:strike w:val="1"/>
          <w:rtl w:val="0"/>
        </w:rPr>
        <w:t xml:space="preserve">True AI-driven feedback loops are not yet mature:</w:t>
      </w:r>
      <w:r w:rsidDel="00000000" w:rsidR="00000000" w:rsidRPr="00000000">
        <w:rPr>
          <w:strike w:val="1"/>
          <w:rtl w:val="0"/>
        </w:rPr>
        <w:t xml:space="preserve"> While some automation exists, fully autonomous reinforcement learning–based systems that adapt monitoring strategies in real time are not yet implemented in practice [Source: email_summaries.docx, p. 7].</w:t>
      </w:r>
    </w:p>
    <w:p w:rsidR="00000000" w:rsidDel="00000000" w:rsidP="00000000" w:rsidRDefault="00000000" w:rsidRPr="00000000" w14:paraId="0000016D">
      <w:pPr>
        <w:rPr>
          <w:b w:val="1"/>
          <w:bCs w:val="1"/>
          <w:strike w:val="1"/>
        </w:rPr>
      </w:pPr>
      <w:r w:rsidDel="00000000" w:rsidR="00000000" w:rsidRPr="00000000">
        <w:rPr>
          <w:b w:val="1"/>
          <w:bCs w:val="1"/>
          <w:strike w:val="1"/>
          <w:rtl w:val="0"/>
        </w:rPr>
        <w:t xml:space="preserve">6.3 </w:t>
      </w:r>
      <w:sdt>
        <w:sdtPr>
          <w:id w:val="34112258"/>
          <w:tag w:val="goog_rdk_5"/>
        </w:sdtPr>
        <w:sdtContent>
          <w:commentRangeStart w:id="5"/>
        </w:sdtContent>
      </w:sdt>
      <w:r w:rsidDel="00000000" w:rsidR="00000000" w:rsidRPr="00000000">
        <w:rPr>
          <w:b w:val="1"/>
          <w:bCs w:val="1"/>
          <w:strike w:val="1"/>
          <w:rtl w:val="0"/>
        </w:rPr>
        <w:t xml:space="preserve">Leveraging Historical Trial Data</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6E">
      <w:pPr>
        <w:rPr>
          <w:strike w:val="1"/>
        </w:rPr>
      </w:pPr>
      <w:r w:rsidDel="00000000" w:rsidR="00000000" w:rsidRPr="00000000">
        <w:rPr>
          <w:strike w:val="1"/>
          <w:rtl w:val="0"/>
        </w:rPr>
        <w:t xml:space="preserve">Historical trial data represent a substantial untapped resource for improving monitoring frameworks:</w:t>
      </w:r>
    </w:p>
    <w:p w:rsidR="00000000" w:rsidDel="00000000" w:rsidP="00000000" w:rsidRDefault="00000000" w:rsidRPr="00000000" w14:paraId="0000016F">
      <w:pPr>
        <w:numPr>
          <w:ilvl w:val="0"/>
          <w:numId w:val="20"/>
        </w:numPr>
        <w:ind w:left="720" w:hanging="360"/>
        <w:rPr>
          <w:strike w:val="1"/>
        </w:rPr>
      </w:pPr>
      <w:r w:rsidDel="00000000" w:rsidR="00000000" w:rsidRPr="00000000">
        <w:rPr>
          <w:b w:val="1"/>
          <w:bCs w:val="1"/>
          <w:strike w:val="1"/>
          <w:rtl w:val="0"/>
        </w:rPr>
        <w:t xml:space="preserve">Baseline calibration:</w:t>
      </w:r>
      <w:r w:rsidDel="00000000" w:rsidR="00000000" w:rsidRPr="00000000">
        <w:rPr>
          <w:strike w:val="1"/>
          <w:rtl w:val="0"/>
        </w:rPr>
        <w:t xml:space="preserve"> Historical QTL and KRI benchmarks can be established by analyzing patterns across completed trials, providing data-driven starting points for new studies.</w:t>
      </w:r>
    </w:p>
    <w:p w:rsidR="00000000" w:rsidDel="00000000" w:rsidP="00000000" w:rsidRDefault="00000000" w:rsidRPr="00000000" w14:paraId="00000170">
      <w:pPr>
        <w:numPr>
          <w:ilvl w:val="0"/>
          <w:numId w:val="20"/>
        </w:numPr>
        <w:ind w:left="720" w:hanging="360"/>
        <w:rPr>
          <w:strike w:val="1"/>
        </w:rPr>
      </w:pPr>
      <w:r w:rsidDel="00000000" w:rsidR="00000000" w:rsidRPr="00000000">
        <w:rPr>
          <w:b w:val="1"/>
          <w:bCs w:val="1"/>
          <w:strike w:val="1"/>
          <w:rtl w:val="0"/>
        </w:rPr>
        <w:t xml:space="preserve">Meta-learning across trials:</w:t>
      </w:r>
      <w:r w:rsidDel="00000000" w:rsidR="00000000" w:rsidRPr="00000000">
        <w:rPr>
          <w:strike w:val="1"/>
          <w:rtl w:val="0"/>
        </w:rPr>
        <w:t xml:space="preserve"> Cross-study learning—potentially facilitated through federated learning approaches that preserve data privacy—could identify common patterns of site risk that generalize beyond individual studies.</w:t>
      </w:r>
    </w:p>
    <w:p w:rsidR="00000000" w:rsidDel="00000000" w:rsidP="00000000" w:rsidRDefault="00000000" w:rsidRPr="00000000" w14:paraId="00000171">
      <w:pPr>
        <w:numPr>
          <w:ilvl w:val="0"/>
          <w:numId w:val="20"/>
        </w:numPr>
        <w:ind w:left="720" w:hanging="360"/>
        <w:rPr>
          <w:strike w:val="1"/>
        </w:rPr>
      </w:pPr>
      <w:r w:rsidDel="00000000" w:rsidR="00000000" w:rsidRPr="00000000">
        <w:rPr>
          <w:b w:val="1"/>
          <w:bCs w:val="1"/>
          <w:strike w:val="1"/>
          <w:rtl w:val="0"/>
        </w:rPr>
        <w:t xml:space="preserve">Informing site selection:</w:t>
      </w:r>
      <w:r w:rsidDel="00000000" w:rsidR="00000000" w:rsidRPr="00000000">
        <w:rPr>
          <w:strike w:val="1"/>
          <w:rtl w:val="0"/>
        </w:rPr>
        <w:t xml:space="preserve"> Historical site performance data, combined with external data (e.g., trial registries, claims data), can support predictive models for site selection and stratification [Source: external_presentation____analytics_transforming_clinical_trial_oversight.pptx, p. 13].</w:t>
      </w:r>
    </w:p>
    <w:p w:rsidR="00000000" w:rsidDel="00000000" w:rsidP="00000000" w:rsidRDefault="00000000" w:rsidRPr="00000000" w14:paraId="00000172">
      <w:pPr>
        <w:rPr>
          <w:b w:val="1"/>
          <w:bCs w:val="1"/>
          <w:strike w:val="1"/>
        </w:rPr>
      </w:pPr>
      <w:r w:rsidDel="00000000" w:rsidR="00000000" w:rsidRPr="00000000">
        <w:rPr>
          <w:b w:val="1"/>
          <w:bCs w:val="1"/>
          <w:strike w:val="1"/>
          <w:rtl w:val="0"/>
        </w:rPr>
        <w:t xml:space="preserve">6.4 The Role of Agentic AI</w:t>
      </w:r>
    </w:p>
    <w:p w:rsidR="00000000" w:rsidDel="00000000" w:rsidP="00000000" w:rsidRDefault="00000000" w:rsidRPr="00000000" w14:paraId="00000173">
      <w:pPr>
        <w:rPr>
          <w:strike w:val="1"/>
        </w:rPr>
      </w:pPr>
      <w:r w:rsidDel="00000000" w:rsidR="00000000" w:rsidRPr="00000000">
        <w:rPr>
          <w:strike w:val="1"/>
          <w:rtl w:val="0"/>
        </w:rPr>
        <w:t xml:space="preserve">The working group discussed the potential for </w:t>
      </w:r>
      <w:r w:rsidDel="00000000" w:rsidR="00000000" w:rsidRPr="00000000">
        <w:rPr>
          <w:b w:val="1"/>
          <w:bCs w:val="1"/>
          <w:strike w:val="1"/>
          <w:rtl w:val="0"/>
        </w:rPr>
        <w:t xml:space="preserve">agentic AI</w:t>
      </w:r>
      <w:r w:rsidDel="00000000" w:rsidR="00000000" w:rsidRPr="00000000">
        <w:rPr>
          <w:strike w:val="1"/>
          <w:rtl w:val="0"/>
        </w:rPr>
        <w:t xml:space="preserve">—AI systems with domain knowledge across functional teams—to provide consistent, cross-functional context during risk signal review. In this model, </w:t>
      </w:r>
      <w:sdt>
        <w:sdtPr>
          <w:id w:val="1050574039"/>
          <w:tag w:val="goog_rdk_6"/>
        </w:sdtPr>
        <w:sdtContent>
          <w:commentRangeStart w:id="6"/>
        </w:sdtContent>
      </w:sdt>
      <w:r w:rsidDel="00000000" w:rsidR="00000000" w:rsidRPr="00000000">
        <w:rPr>
          <w:strike w:val="1"/>
          <w:rtl w:val="0"/>
        </w:rPr>
        <w:t xml:space="preserve">an AI agent</w:t>
      </w:r>
      <w:commentRangeEnd w:id="6"/>
      <w:r w:rsidDel="00000000" w:rsidR="00000000" w:rsidRPr="00000000">
        <w:commentReference w:id="6"/>
      </w:r>
      <w:r w:rsidDel="00000000" w:rsidR="00000000" w:rsidRPr="00000000">
        <w:rPr>
          <w:strike w:val="1"/>
          <w:rtl w:val="0"/>
        </w:rPr>
        <w:t xml:space="preserve"> with knowledge of statistics, clinical monitoring, data management, and regulatory requirements could:</w:t>
      </w:r>
    </w:p>
    <w:p w:rsidR="00000000" w:rsidDel="00000000" w:rsidP="00000000" w:rsidRDefault="00000000" w:rsidRPr="00000000" w14:paraId="00000174">
      <w:pPr>
        <w:numPr>
          <w:ilvl w:val="0"/>
          <w:numId w:val="21"/>
        </w:numPr>
        <w:ind w:left="720" w:hanging="360"/>
        <w:rPr>
          <w:strike w:val="1"/>
        </w:rPr>
      </w:pPr>
      <w:r w:rsidDel="00000000" w:rsidR="00000000" w:rsidRPr="00000000">
        <w:rPr>
          <w:strike w:val="1"/>
          <w:rtl w:val="0"/>
        </w:rPr>
        <w:t xml:space="preserve">Flag risks relevant to each functional area based on the same underlying signal.</w:t>
      </w:r>
    </w:p>
    <w:p w:rsidR="00000000" w:rsidDel="00000000" w:rsidP="00000000" w:rsidRDefault="00000000" w:rsidRPr="00000000" w14:paraId="00000175">
      <w:pPr>
        <w:numPr>
          <w:ilvl w:val="0"/>
          <w:numId w:val="21"/>
        </w:numPr>
        <w:ind w:left="720" w:hanging="360"/>
        <w:rPr>
          <w:strike w:val="1"/>
        </w:rPr>
      </w:pPr>
      <w:r w:rsidDel="00000000" w:rsidR="00000000" w:rsidRPr="00000000">
        <w:rPr>
          <w:strike w:val="1"/>
          <w:rtl w:val="0"/>
        </w:rPr>
        <w:t xml:space="preserve">Recommend additional risk reviews based on previous experience and knowledge.</w:t>
      </w:r>
    </w:p>
    <w:p w:rsidR="00000000" w:rsidDel="00000000" w:rsidP="00000000" w:rsidRDefault="00000000" w:rsidRPr="00000000" w14:paraId="00000176">
      <w:pPr>
        <w:numPr>
          <w:ilvl w:val="0"/>
          <w:numId w:val="21"/>
        </w:numPr>
        <w:ind w:left="720" w:hanging="360"/>
        <w:rPr>
          <w:strike w:val="1"/>
        </w:rPr>
      </w:pPr>
      <w:r w:rsidDel="00000000" w:rsidR="00000000" w:rsidRPr="00000000">
        <w:rPr>
          <w:strike w:val="1"/>
          <w:rtl w:val="0"/>
        </w:rPr>
        <w:t xml:space="preserve">Ensure consistent interpretation of signals across studies and reviewers [Source: additional_materials.docx, p. 6].</w:t>
      </w:r>
    </w:p>
    <w:p w:rsidR="00000000" w:rsidDel="00000000" w:rsidP="00000000" w:rsidRDefault="00000000" w:rsidRPr="00000000" w14:paraId="00000177">
      <w:pPr>
        <w:rPr>
          <w:strike w:val="1"/>
        </w:rPr>
      </w:pPr>
      <w:r w:rsidDel="00000000" w:rsidR="00000000" w:rsidRPr="00000000">
        <w:rPr>
          <w:strike w:val="1"/>
          <w:rtl w:val="0"/>
        </w:rPr>
        <w:t xml:space="preserve">While this remains aspirational, it represents a promising direction for reducing the variability in signal interpretation that the group identified as a recurring challenge.</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b w:val="1"/>
          <w:bCs w:val="1"/>
          <w:rtl w:val="0"/>
        </w:rPr>
        <w:t xml:space="preserve">7. Operational Efficiency, Predictability, and Success Rates</w:t>
      </w:r>
    </w:p>
    <w:p w:rsidR="00000000" w:rsidDel="00000000" w:rsidP="00000000" w:rsidRDefault="00000000" w:rsidRPr="00000000" w14:paraId="0000017A">
      <w:pPr>
        <w:rPr>
          <w:b w:val="1"/>
          <w:bCs w:val="1"/>
        </w:rPr>
      </w:pPr>
      <w:r w:rsidDel="00000000" w:rsidR="00000000" w:rsidRPr="00000000">
        <w:rPr>
          <w:b w:val="1"/>
          <w:bCs w:val="1"/>
          <w:rtl w:val="0"/>
        </w:rPr>
        <w:t xml:space="preserve">7.1 Grouping by Operational Outcomes</w:t>
      </w:r>
    </w:p>
    <w:p w:rsidR="00000000" w:rsidDel="00000000" w:rsidP="00000000" w:rsidRDefault="00000000" w:rsidRPr="00000000" w14:paraId="0000017B">
      <w:pPr>
        <w:rPr/>
      </w:pPr>
      <w:r w:rsidDel="00000000" w:rsidR="00000000" w:rsidRPr="00000000">
        <w:rPr>
          <w:rtl w:val="0"/>
        </w:rPr>
        <w:t xml:space="preserve">There may be benefit in categorizing trial monitoring outcomes along three dimensions:</w:t>
      </w:r>
    </w:p>
    <w:p w:rsidR="00000000" w:rsidDel="00000000" w:rsidP="00000000" w:rsidRDefault="00000000" w:rsidRPr="00000000" w14:paraId="0000017C">
      <w:pPr>
        <w:numPr>
          <w:ilvl w:val="0"/>
          <w:numId w:val="22"/>
        </w:numPr>
        <w:ind w:left="720" w:hanging="360"/>
        <w:rPr/>
      </w:pPr>
      <w:r w:rsidDel="00000000" w:rsidR="00000000" w:rsidRPr="00000000">
        <w:rPr>
          <w:b w:val="1"/>
          <w:bCs w:val="1"/>
          <w:rtl w:val="0"/>
        </w:rPr>
        <w:t xml:space="preserve">Operational Efficiency:</w:t>
      </w:r>
      <w:r w:rsidDel="00000000" w:rsidR="00000000" w:rsidRPr="00000000">
        <w:rPr>
          <w:rtl w:val="0"/>
        </w:rPr>
        <w:t xml:space="preserve"> Did the monitoring framework reduce unnecessary SDV, optimize CRA visit schedules, and focus resources on high-risk sites?</w:t>
      </w:r>
    </w:p>
    <w:p w:rsidR="00000000" w:rsidDel="00000000" w:rsidP="00000000" w:rsidRDefault="00000000" w:rsidRPr="00000000" w14:paraId="0000017D">
      <w:pPr>
        <w:numPr>
          <w:ilvl w:val="0"/>
          <w:numId w:val="22"/>
        </w:numPr>
        <w:ind w:left="720" w:hanging="360"/>
        <w:rPr/>
      </w:pPr>
      <w:r w:rsidDel="00000000" w:rsidR="00000000" w:rsidRPr="00000000">
        <w:rPr>
          <w:b w:val="1"/>
          <w:bCs w:val="1"/>
          <w:rtl w:val="0"/>
        </w:rPr>
        <w:t xml:space="preserve">Success Rates:</w:t>
      </w:r>
      <w:r w:rsidDel="00000000" w:rsidR="00000000" w:rsidRPr="00000000">
        <w:rPr>
          <w:rtl w:val="0"/>
        </w:rPr>
        <w:t xml:space="preserve"> Did the framework improve data quality, reduce confirmed GCP issues, and contribute to cleaner databases at lock?</w:t>
      </w:r>
    </w:p>
    <w:p w:rsidR="00000000" w:rsidDel="00000000" w:rsidP="00000000" w:rsidRDefault="00000000" w:rsidRPr="00000000" w14:paraId="0000017E">
      <w:pPr>
        <w:numPr>
          <w:ilvl w:val="0"/>
          <w:numId w:val="22"/>
        </w:numPr>
        <w:ind w:left="720" w:hanging="360"/>
        <w:rPr/>
      </w:pPr>
      <w:r w:rsidDel="00000000" w:rsidR="00000000" w:rsidRPr="00000000">
        <w:rPr>
          <w:b w:val="1"/>
          <w:bCs w:val="1"/>
          <w:rtl w:val="0"/>
        </w:rPr>
        <w:t xml:space="preserve">Predictability:</w:t>
      </w:r>
      <w:r w:rsidDel="00000000" w:rsidR="00000000" w:rsidRPr="00000000">
        <w:rPr>
          <w:rtl w:val="0"/>
        </w:rPr>
        <w:t xml:space="preserve"> How accurately did the framework anticipate risks before they materialized? Can we quantify the lead time between detection and confirmation of issues?</w:t>
      </w:r>
    </w:p>
    <w:p w:rsidR="00000000" w:rsidDel="00000000" w:rsidP="00000000" w:rsidRDefault="00000000" w:rsidRPr="00000000" w14:paraId="0000017F">
      <w:pPr>
        <w:rPr/>
      </w:pPr>
      <w:r w:rsidDel="00000000" w:rsidR="00000000" w:rsidRPr="00000000">
        <w:rPr>
          <w:rtl w:val="0"/>
        </w:rPr>
        <w:t xml:space="preserve">Predictability—the ability to identify risks early enough to intervene effectively—is perhaps the most important but hardest to measure dimension, and represents a key area for future research.</w:t>
      </w:r>
    </w:p>
    <w:p w:rsidR="00000000" w:rsidDel="00000000" w:rsidP="00000000" w:rsidRDefault="00000000" w:rsidRPr="00000000" w14:paraId="00000180">
      <w:pPr>
        <w:rPr>
          <w:b w:val="1"/>
          <w:bCs w:val="1"/>
        </w:rPr>
      </w:pPr>
      <w:r w:rsidDel="00000000" w:rsidR="00000000" w:rsidRPr="00000000">
        <w:rPr>
          <w:b w:val="1"/>
          <w:bCs w:val="1"/>
          <w:rtl w:val="0"/>
        </w:rPr>
        <w:t xml:space="preserve">7.2 Demonstrating Value</w:t>
      </w:r>
    </w:p>
    <w:p w:rsidR="00000000" w:rsidDel="00000000" w:rsidP="00000000" w:rsidRDefault="00000000" w:rsidRPr="00000000" w14:paraId="00000181">
      <w:pPr>
        <w:rPr/>
      </w:pPr>
      <w:r w:rsidDel="00000000" w:rsidR="00000000" w:rsidRPr="00000000">
        <w:rPr>
          <w:rtl w:val="0"/>
        </w:rPr>
        <w:t xml:space="preserve">The working group emphasized the importance of demonstrating tangible value to leadership through metrics such as:</w:t>
      </w:r>
    </w:p>
    <w:p w:rsidR="00000000" w:rsidDel="00000000" w:rsidP="00000000" w:rsidRDefault="00000000" w:rsidRPr="00000000" w14:paraId="00000182">
      <w:pPr>
        <w:numPr>
          <w:ilvl w:val="0"/>
          <w:numId w:val="23"/>
        </w:numPr>
        <w:ind w:left="720" w:hanging="360"/>
        <w:rPr/>
      </w:pPr>
      <w:r w:rsidDel="00000000" w:rsidR="00000000" w:rsidRPr="00000000">
        <w:rPr>
          <w:rtl w:val="0"/>
        </w:rPr>
        <w:t xml:space="preserve">Cycle-time reduction</w:t>
      </w:r>
    </w:p>
    <w:p w:rsidR="00000000" w:rsidDel="00000000" w:rsidP="00000000" w:rsidRDefault="00000000" w:rsidRPr="00000000" w14:paraId="00000183">
      <w:pPr>
        <w:numPr>
          <w:ilvl w:val="0"/>
          <w:numId w:val="23"/>
        </w:numPr>
        <w:ind w:left="720" w:hanging="360"/>
        <w:rPr/>
      </w:pPr>
      <w:r w:rsidDel="00000000" w:rsidR="00000000" w:rsidRPr="00000000">
        <w:rPr>
          <w:rtl w:val="0"/>
        </w:rPr>
        <w:t xml:space="preserve">Cost efficiency (reduced SDV costs, optimized monitoring resource allocation)</w:t>
      </w:r>
    </w:p>
    <w:p w:rsidR="00000000" w:rsidDel="00000000" w:rsidP="00000000" w:rsidRDefault="00000000" w:rsidRPr="00000000" w14:paraId="00000184">
      <w:pPr>
        <w:numPr>
          <w:ilvl w:val="0"/>
          <w:numId w:val="23"/>
        </w:numPr>
        <w:ind w:left="720" w:hanging="360"/>
        <w:rPr/>
      </w:pPr>
      <w:r w:rsidDel="00000000" w:rsidR="00000000" w:rsidRPr="00000000">
        <w:rPr>
          <w:rtl w:val="0"/>
        </w:rPr>
        <w:t xml:space="preserve">Data quality improvements (reduced post-lock queries, cleaner databases)</w:t>
      </w:r>
    </w:p>
    <w:p w:rsidR="00000000" w:rsidDel="00000000" w:rsidP="00000000" w:rsidRDefault="00000000" w:rsidRPr="00000000" w14:paraId="00000185">
      <w:pPr>
        <w:numPr>
          <w:ilvl w:val="0"/>
          <w:numId w:val="23"/>
        </w:numPr>
        <w:ind w:left="720" w:hanging="360"/>
        <w:rPr/>
      </w:pPr>
      <w:r w:rsidDel="00000000" w:rsidR="00000000" w:rsidRPr="00000000">
        <w:rPr>
          <w:rtl w:val="0"/>
        </w:rPr>
        <w:t xml:space="preserve">Diversity compliance (monitoring representation in real time) [Source: email_summaries.docx, p. 6]</w:t>
      </w:r>
    </w:p>
    <w:p w:rsidR="00000000" w:rsidDel="00000000" w:rsidP="00000000" w:rsidRDefault="00000000" w:rsidRPr="00000000" w14:paraId="00000186">
      <w:pPr>
        <w:rPr/>
      </w:pPr>
      <w:r w:rsidDel="00000000" w:rsidR="00000000" w:rsidRPr="00000000">
        <w:rPr>
          <w:rtl w:val="0"/>
        </w:rPr>
        <w:t xml:space="preserve">Concrete examples help: one case study from the working group involved a site flagged for significant discrepancies between local and central lab values, leading to an internal inspection, confirmation of a GCP issue, site closure, and removal from analysis. This demonstrated the system's effectiveness and justified the investment in monitoring infrastructure [Source: external_presentation____analytics_transforming_clinical_trial_oversight.pptx, p. 12; email_summaries.docx, pp. 11–12].</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b w:val="1"/>
          <w:bCs w:val="1"/>
          <w:rtl w:val="0"/>
        </w:rPr>
        <w:t xml:space="preserve">8. Future Directions and Next Steps</w:t>
      </w:r>
    </w:p>
    <w:p w:rsidR="00000000" w:rsidDel="00000000" w:rsidP="00000000" w:rsidRDefault="00000000" w:rsidRPr="00000000" w14:paraId="00000189">
      <w:pPr>
        <w:rPr>
          <w:b w:val="1"/>
          <w:bCs w:val="1"/>
        </w:rPr>
      </w:pPr>
      <w:r w:rsidDel="00000000" w:rsidR="00000000" w:rsidRPr="00000000">
        <w:rPr>
          <w:b w:val="1"/>
          <w:bCs w:val="1"/>
          <w:rtl w:val="0"/>
        </w:rPr>
        <w:t xml:space="preserve">8.1 From CSM to GenAI-Enabled Decision Systems</w:t>
      </w:r>
    </w:p>
    <w:p w:rsidR="00000000" w:rsidDel="00000000" w:rsidP="00000000" w:rsidRDefault="00000000" w:rsidRPr="00000000" w14:paraId="0000018A">
      <w:pPr>
        <w:rPr/>
      </w:pPr>
      <w:r w:rsidDel="00000000" w:rsidR="00000000" w:rsidRPr="00000000">
        <w:rPr>
          <w:rtl w:val="0"/>
        </w:rPr>
        <w:t xml:space="preserve">The evolution of trial monitoring is progressing along a clear trajectory:</w:t>
      </w:r>
    </w:p>
    <w:p w:rsidR="00000000" w:rsidDel="00000000" w:rsidP="00000000" w:rsidRDefault="00000000" w:rsidRPr="00000000" w14:paraId="0000018B">
      <w:pPr>
        <w:rPr/>
      </w:pPr>
      <w:r w:rsidDel="00000000" w:rsidR="00000000" w:rsidRPr="00000000">
        <w:rPr>
          <w:b w:val="1"/>
          <w:bCs w:val="1"/>
          <w:rtl w:val="0"/>
        </w:rPr>
        <w:t xml:space="preserve">Central Statistical Monitoring → Machine Learning → GenAI-Enabled Systems</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Current CSM methods are effective but largely reactive and require substantial human interpretation. ML methods add predictive capability and scalability. The next frontier—GenAI-enabled decision systems—promises to integrate detection, interpretation, and recommendation into a unified, adaptive workflow.</w:t>
      </w:r>
    </w:p>
    <w:p w:rsidR="00000000" w:rsidDel="00000000" w:rsidP="00000000" w:rsidRDefault="00000000" w:rsidRPr="00000000" w14:paraId="0000018D">
      <w:pPr>
        <w:rPr>
          <w:b w:val="1"/>
          <w:bCs w:val="1"/>
        </w:rPr>
      </w:pPr>
      <w:r w:rsidDel="00000000" w:rsidR="00000000" w:rsidRPr="00000000">
        <w:rPr>
          <w:b w:val="1"/>
          <w:bCs w:val="1"/>
          <w:rtl w:val="0"/>
        </w:rPr>
        <w:t xml:space="preserve">8.2 Consultation with Clinical Operations</w:t>
      </w:r>
    </w:p>
    <w:p w:rsidR="00000000" w:rsidDel="00000000" w:rsidP="00000000" w:rsidRDefault="00000000" w:rsidRPr="00000000" w14:paraId="0000018E">
      <w:pPr>
        <w:rPr/>
      </w:pPr>
      <w:r w:rsidDel="00000000" w:rsidR="00000000" w:rsidRPr="00000000">
        <w:rPr>
          <w:rtl w:val="0"/>
        </w:rPr>
        <w:t xml:space="preserve">To ensure that the frameworks proposed in this paper are operationally feasible and aligned with the realities of trial conduct, we plan to consult with Clinical Operations leaders across member companies. Specific areas for input include:</w:t>
      </w:r>
    </w:p>
    <w:p w:rsidR="00000000" w:rsidDel="00000000" w:rsidP="00000000" w:rsidRDefault="00000000" w:rsidRPr="00000000" w14:paraId="0000018F">
      <w:pPr>
        <w:numPr>
          <w:ilvl w:val="0"/>
          <w:numId w:val="24"/>
        </w:numPr>
        <w:ind w:left="720" w:hanging="360"/>
        <w:rPr/>
      </w:pPr>
      <w:r w:rsidDel="00000000" w:rsidR="00000000" w:rsidRPr="00000000">
        <w:rPr>
          <w:rtl w:val="0"/>
        </w:rPr>
        <w:t xml:space="preserve">Feasibility of proposed response pathway timelines.</w:t>
      </w:r>
    </w:p>
    <w:p w:rsidR="00000000" w:rsidDel="00000000" w:rsidP="00000000" w:rsidRDefault="00000000" w:rsidRPr="00000000" w14:paraId="00000190">
      <w:pPr>
        <w:numPr>
          <w:ilvl w:val="0"/>
          <w:numId w:val="24"/>
        </w:numPr>
        <w:ind w:left="720" w:hanging="360"/>
        <w:rPr/>
      </w:pPr>
      <w:r w:rsidDel="00000000" w:rsidR="00000000" w:rsidRPr="00000000">
        <w:rPr>
          <w:rtl w:val="0"/>
        </w:rPr>
        <w:t xml:space="preserve">Integration with existing CRA workflows and training programs.</w:t>
      </w:r>
    </w:p>
    <w:p w:rsidR="00000000" w:rsidDel="00000000" w:rsidP="00000000" w:rsidRDefault="00000000" w:rsidRPr="00000000" w14:paraId="00000191">
      <w:pPr>
        <w:numPr>
          <w:ilvl w:val="0"/>
          <w:numId w:val="24"/>
        </w:numPr>
        <w:ind w:left="720" w:hanging="360"/>
        <w:rPr/>
      </w:pPr>
      <w:r w:rsidDel="00000000" w:rsidR="00000000" w:rsidRPr="00000000">
        <w:rPr>
          <w:rtl w:val="0"/>
        </w:rPr>
        <w:t xml:space="preserve">Resource implications of enhanced monitoring activities.</w:t>
      </w:r>
    </w:p>
    <w:p w:rsidR="00000000" w:rsidDel="00000000" w:rsidP="00000000" w:rsidRDefault="00000000" w:rsidRPr="00000000" w14:paraId="00000192">
      <w:pPr>
        <w:numPr>
          <w:ilvl w:val="0"/>
          <w:numId w:val="24"/>
        </w:numPr>
        <w:ind w:left="720" w:hanging="360"/>
        <w:rPr/>
      </w:pPr>
      <w:r w:rsidDel="00000000" w:rsidR="00000000" w:rsidRPr="00000000">
        <w:rPr>
          <w:rtl w:val="0"/>
        </w:rPr>
        <w:t xml:space="preserve">Practical challenges with cross-functional triage meetings.</w:t>
      </w:r>
    </w:p>
    <w:p w:rsidR="00000000" w:rsidDel="00000000" w:rsidP="00000000" w:rsidRDefault="00000000" w:rsidRPr="00000000" w14:paraId="00000193">
      <w:pPr>
        <w:rPr>
          <w:b w:val="1"/>
          <w:bCs w:val="1"/>
        </w:rPr>
      </w:pPr>
      <w:r w:rsidDel="00000000" w:rsidR="00000000" w:rsidRPr="00000000">
        <w:rPr>
          <w:b w:val="1"/>
          <w:bCs w:val="1"/>
          <w:rtl w:val="0"/>
        </w:rPr>
        <w:t xml:space="preserve">8.3 Standardization and Sharing</w:t>
      </w:r>
    </w:p>
    <w:p w:rsidR="00000000" w:rsidDel="00000000" w:rsidP="00000000" w:rsidRDefault="00000000" w:rsidRPr="00000000" w14:paraId="00000194">
      <w:pPr>
        <w:rPr/>
      </w:pPr>
      <w:r w:rsidDel="00000000" w:rsidR="00000000" w:rsidRPr="00000000">
        <w:rPr>
          <w:rtl w:val="0"/>
        </w:rPr>
        <w:t xml:space="preserve">The EFFICIENCY+ initiative will continue to share insights through publications, workshops, and webinars. We encourage the broader industry to:</w:t>
      </w:r>
    </w:p>
    <w:p w:rsidR="00000000" w:rsidDel="00000000" w:rsidP="00000000" w:rsidRDefault="00000000" w:rsidRPr="00000000" w14:paraId="00000195">
      <w:pPr>
        <w:numPr>
          <w:ilvl w:val="0"/>
          <w:numId w:val="26"/>
        </w:numPr>
        <w:ind w:left="720" w:hanging="360"/>
        <w:rPr/>
      </w:pPr>
      <w:r w:rsidDel="00000000" w:rsidR="00000000" w:rsidRPr="00000000">
        <w:rPr>
          <w:rtl w:val="0"/>
        </w:rPr>
        <w:t xml:space="preserve">Adopt and adapt the frameworks proposed in this paper.</w:t>
      </w:r>
    </w:p>
    <w:p w:rsidR="00000000" w:rsidDel="00000000" w:rsidP="00000000" w:rsidRDefault="00000000" w:rsidRPr="00000000" w14:paraId="00000196">
      <w:pPr>
        <w:numPr>
          <w:ilvl w:val="0"/>
          <w:numId w:val="26"/>
        </w:numPr>
        <w:ind w:left="720" w:hanging="360"/>
        <w:rPr/>
      </w:pPr>
      <w:r w:rsidDel="00000000" w:rsidR="00000000" w:rsidRPr="00000000">
        <w:rPr>
          <w:rtl w:val="0"/>
        </w:rPr>
        <w:t xml:space="preserve">Share anonymized case studies of successful (and unsuccessful) monitoring interventions.</w:t>
      </w:r>
    </w:p>
    <w:p w:rsidR="00000000" w:rsidDel="00000000" w:rsidP="00000000" w:rsidRDefault="00000000" w:rsidRPr="00000000" w14:paraId="00000197">
      <w:pPr>
        <w:numPr>
          <w:ilvl w:val="0"/>
          <w:numId w:val="26"/>
        </w:numPr>
        <w:ind w:left="720" w:hanging="360"/>
        <w:rPr/>
      </w:pPr>
      <w:r w:rsidDel="00000000" w:rsidR="00000000" w:rsidRPr="00000000">
        <w:rPr>
          <w:rtl w:val="0"/>
        </w:rPr>
        <w:t xml:space="preserve">Collaborate on developing shared training datasets for AI/ML model development.</w:t>
      </w:r>
    </w:p>
    <w:p w:rsidR="00000000" w:rsidDel="00000000" w:rsidP="00000000" w:rsidRDefault="00000000" w:rsidRPr="00000000" w14:paraId="00000198">
      <w:pPr>
        <w:numPr>
          <w:ilvl w:val="0"/>
          <w:numId w:val="26"/>
        </w:numPr>
        <w:ind w:left="720" w:hanging="360"/>
        <w:rPr/>
      </w:pPr>
      <w:r w:rsidDel="00000000" w:rsidR="00000000" w:rsidRPr="00000000">
        <w:rPr>
          <w:rtl w:val="0"/>
        </w:rPr>
        <w:t xml:space="preserve">Engage regulatory authorities in dialogue about expectations for AI-enabled monitoring under ICH E6(R3).</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9. Conclusions</w:t>
      </w:r>
    </w:p>
    <w:p w:rsidR="00000000" w:rsidDel="00000000" w:rsidP="00000000" w:rsidRDefault="00000000" w:rsidRPr="00000000" w14:paraId="0000019B">
      <w:pPr>
        <w:rPr/>
      </w:pPr>
      <w:r w:rsidDel="00000000" w:rsidR="00000000" w:rsidRPr="00000000">
        <w:rPr>
          <w:rtl w:val="0"/>
        </w:rPr>
        <w:t xml:space="preserve">Dynamic trial monitoring has evolved from a primarily on-site, SDV-centric model to a sophisticated, data-driven paradigm encompassing study-level QTLs, site-level KRIs, and patient-level anomaly detection. The regulatory endorsement of risk-based quality management in ICH E6(R3) provides both mandate and framework for this evolution.</w:t>
      </w:r>
    </w:p>
    <w:p w:rsidR="00000000" w:rsidDel="00000000" w:rsidP="00000000" w:rsidRDefault="00000000" w:rsidRPr="00000000" w14:paraId="0000019C">
      <w:pPr>
        <w:rPr/>
      </w:pPr>
      <w:r w:rsidDel="00000000" w:rsidR="00000000" w:rsidRPr="00000000">
        <w:rPr>
          <w:rtl w:val="0"/>
        </w:rPr>
        <w:t xml:space="preserve">However, detection alone is insufficient. The most critical unmet need in the field is a set of standardized, evidence-based frameworks for translating risk signals into proportionate, timely, and effective action. This paper proposes such frameworks, drawing on the collective experience of multiple pharmaceutical companies within the EFFICIENCY+ initiative.</w:t>
      </w:r>
    </w:p>
    <w:p w:rsidR="00000000" w:rsidDel="00000000" w:rsidP="00000000" w:rsidRDefault="00000000" w:rsidRPr="00000000" w14:paraId="0000019D">
      <w:pPr>
        <w:rPr/>
      </w:pPr>
      <w:r w:rsidDel="00000000" w:rsidR="00000000" w:rsidRPr="00000000">
        <w:rPr>
          <w:rtl w:val="0"/>
        </w:rPr>
        <w:t xml:space="preserve">AI and ML offer substantial promise for enhancing both the sensitivity and efficiency of trial monitoring, but significant challenges remain in training data availability, model interpretability, and organizational readiness. The path forward requires not only technological innovation but also cross-functional collaboration, organizational change management, and industry-wide sharing of best practices.</w:t>
      </w:r>
    </w:p>
    <w:p w:rsidR="00000000" w:rsidDel="00000000" w:rsidP="00000000" w:rsidRDefault="00000000" w:rsidRPr="00000000" w14:paraId="0000019E">
      <w:pPr>
        <w:rPr/>
      </w:pPr>
      <w:r w:rsidDel="00000000" w:rsidR="00000000" w:rsidRPr="00000000">
        <w:rPr>
          <w:rtl w:val="0"/>
        </w:rPr>
        <w:t xml:space="preserve">We call on the clinical trial community to move beyond detection and embrace a holistic model of </w:t>
      </w:r>
      <w:r w:rsidDel="00000000" w:rsidR="00000000" w:rsidRPr="00000000">
        <w:rPr>
          <w:b w:val="1"/>
          <w:bCs w:val="1"/>
          <w:rtl w:val="0"/>
        </w:rPr>
        <w:t xml:space="preserve">detect → investigate → act → learn</w:t>
      </w:r>
      <w:r w:rsidDel="00000000" w:rsidR="00000000" w:rsidRPr="00000000">
        <w:rPr>
          <w:rtl w:val="0"/>
        </w:rPr>
        <w:t xml:space="preserve">, where each monitoring cycle generates insights that improve the next.</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b w:val="1"/>
          <w:bCs w:val="1"/>
          <w:rtl w:val="0"/>
        </w:rPr>
        <w:t xml:space="preserve">References</w:t>
      </w:r>
    </w:p>
    <w:p w:rsidR="00000000" w:rsidDel="00000000" w:rsidP="00000000" w:rsidRDefault="00000000" w:rsidRPr="00000000" w14:paraId="000001A1">
      <w:pPr>
        <w:numPr>
          <w:ilvl w:val="0"/>
          <w:numId w:val="27"/>
        </w:numPr>
        <w:ind w:left="720" w:hanging="360"/>
        <w:rPr/>
      </w:pPr>
      <w:r w:rsidDel="00000000" w:rsidR="00000000" w:rsidRPr="00000000">
        <w:rPr>
          <w:rtl w:val="0"/>
        </w:rPr>
        <w:t xml:space="preserve">Getz KA, et al. Measuring the incidence, causes, and repercussions of protocol amendments. </w:t>
      </w:r>
      <w:r w:rsidDel="00000000" w:rsidR="00000000" w:rsidRPr="00000000">
        <w:rPr>
          <w:i w:val="1"/>
          <w:iCs w:val="1"/>
          <w:rtl w:val="0"/>
        </w:rPr>
        <w:t xml:space="preserve">Drug Inf J.</w:t>
      </w:r>
      <w:r w:rsidDel="00000000" w:rsidR="00000000" w:rsidRPr="00000000">
        <w:rPr>
          <w:rtl w:val="0"/>
        </w:rPr>
        <w:t xml:space="preserve"> 2011;45(3):265–275.</w:t>
      </w:r>
    </w:p>
    <w:p w:rsidR="00000000" w:rsidDel="00000000" w:rsidP="00000000" w:rsidRDefault="00000000" w:rsidRPr="00000000" w14:paraId="000001A2">
      <w:pPr>
        <w:numPr>
          <w:ilvl w:val="0"/>
          <w:numId w:val="27"/>
        </w:numPr>
        <w:ind w:left="720" w:hanging="360"/>
        <w:rPr/>
      </w:pPr>
      <w:r w:rsidDel="00000000" w:rsidR="00000000" w:rsidRPr="00000000">
        <w:rPr>
          <w:rtl w:val="0"/>
        </w:rPr>
        <w:t xml:space="preserve">TransCelerate BioPharma Inc. Risk-Based Monitoring Methodology. Position Paper, 2013.</w:t>
      </w:r>
    </w:p>
    <w:p w:rsidR="00000000" w:rsidDel="00000000" w:rsidP="00000000" w:rsidRDefault="00000000" w:rsidRPr="00000000" w14:paraId="000001A3">
      <w:pPr>
        <w:numPr>
          <w:ilvl w:val="0"/>
          <w:numId w:val="27"/>
        </w:numPr>
        <w:ind w:left="720" w:hanging="360"/>
        <w:rPr/>
      </w:pPr>
      <w:r w:rsidDel="00000000" w:rsidR="00000000" w:rsidRPr="00000000">
        <w:rPr>
          <w:rtl w:val="0"/>
        </w:rPr>
        <w:t xml:space="preserve">US Food and Drug Administration. </w:t>
      </w:r>
      <w:r w:rsidDel="00000000" w:rsidR="00000000" w:rsidRPr="00000000">
        <w:rPr>
          <w:i w:val="1"/>
          <w:iCs w:val="1"/>
          <w:rtl w:val="0"/>
        </w:rPr>
        <w:t xml:space="preserve">Oversight of Clinical Investigations—A Risk-Based Approach to Monitoring.</w:t>
      </w:r>
      <w:r w:rsidDel="00000000" w:rsidR="00000000" w:rsidRPr="00000000">
        <w:rPr>
          <w:rtl w:val="0"/>
        </w:rPr>
        <w:t xml:space="preserve"> Guidance for Industry. August 2013.</w:t>
      </w:r>
    </w:p>
    <w:p w:rsidR="00000000" w:rsidDel="00000000" w:rsidP="00000000" w:rsidRDefault="00000000" w:rsidRPr="00000000" w14:paraId="000001A4">
      <w:pPr>
        <w:numPr>
          <w:ilvl w:val="0"/>
          <w:numId w:val="27"/>
        </w:numPr>
        <w:ind w:left="720" w:hanging="360"/>
        <w:rPr/>
      </w:pPr>
      <w:r w:rsidDel="00000000" w:rsidR="00000000" w:rsidRPr="00000000">
        <w:rPr>
          <w:rtl w:val="0"/>
        </w:rPr>
        <w:t xml:space="preserve">TransCelerate BioPharma. Defining a Central Monitoring Capability: Sharing the Experience of TransCelerate BioPharma's Approach, Part 1.</w:t>
      </w:r>
    </w:p>
    <w:p w:rsidR="00000000" w:rsidDel="00000000" w:rsidP="00000000" w:rsidRDefault="00000000" w:rsidRPr="00000000" w14:paraId="000001A5">
      <w:pPr>
        <w:numPr>
          <w:ilvl w:val="0"/>
          <w:numId w:val="27"/>
        </w:numPr>
        <w:ind w:left="720" w:hanging="360"/>
        <w:rPr/>
      </w:pPr>
      <w:r w:rsidDel="00000000" w:rsidR="00000000" w:rsidRPr="00000000">
        <w:rPr>
          <w:rtl w:val="0"/>
        </w:rPr>
        <w:t xml:space="preserve">TransCelerate BioPharma. Statistical Monitoring in Clinical Trials: Best Practices for Detecting Data Anomalies Suggestive of Fabrication or Misconduct.</w:t>
      </w:r>
    </w:p>
    <w:p w:rsidR="00000000" w:rsidDel="00000000" w:rsidP="00000000" w:rsidRDefault="00000000" w:rsidRPr="00000000" w14:paraId="000001A6">
      <w:pPr>
        <w:numPr>
          <w:ilvl w:val="0"/>
          <w:numId w:val="27"/>
        </w:numPr>
        <w:ind w:left="720" w:hanging="360"/>
        <w:rPr/>
      </w:pPr>
      <w:r w:rsidDel="00000000" w:rsidR="00000000" w:rsidRPr="00000000">
        <w:rPr>
          <w:rtl w:val="0"/>
        </w:rPr>
        <w:t xml:space="preserve">Buyse M, et al. Statistical fraud detection in clinical trials. In: </w:t>
      </w:r>
      <w:r w:rsidDel="00000000" w:rsidR="00000000" w:rsidRPr="00000000">
        <w:rPr>
          <w:i w:val="1"/>
          <w:iCs w:val="1"/>
          <w:rtl w:val="0"/>
        </w:rPr>
        <w:t xml:space="preserve">Wiley Encyclopedia of Clinical Trials.</w:t>
      </w:r>
      <w:r w:rsidDel="00000000" w:rsidR="00000000" w:rsidRPr="00000000">
        <w:rPr>
          <w:rtl w:val="0"/>
        </w:rPr>
        <w:t xml:space="preserve"> 2008.</w:t>
      </w:r>
    </w:p>
    <w:p w:rsidR="00000000" w:rsidDel="00000000" w:rsidP="00000000" w:rsidRDefault="00000000" w:rsidRPr="00000000" w14:paraId="000001A7">
      <w:pPr>
        <w:numPr>
          <w:ilvl w:val="0"/>
          <w:numId w:val="27"/>
        </w:numPr>
        <w:ind w:left="720" w:hanging="360"/>
        <w:rPr/>
      </w:pPr>
      <w:r w:rsidDel="00000000" w:rsidR="00000000" w:rsidRPr="00000000">
        <w:rPr>
          <w:rtl w:val="0"/>
        </w:rPr>
        <w:t xml:space="preserve">Pogue JM, Devereaux PJ, Thorlund K, Yusuf S. Central statistical monitoring: Detecting fraud in clinical trials. </w:t>
      </w:r>
      <w:r w:rsidDel="00000000" w:rsidR="00000000" w:rsidRPr="00000000">
        <w:rPr>
          <w:i w:val="1"/>
          <w:iCs w:val="1"/>
          <w:rtl w:val="0"/>
        </w:rPr>
        <w:t xml:space="preserve">Clinical Trials.</w:t>
      </w:r>
      <w:r w:rsidDel="00000000" w:rsidR="00000000" w:rsidRPr="00000000">
        <w:rPr>
          <w:rtl w:val="0"/>
        </w:rPr>
        <w:t xml:space="preserve"> 2013;10:225–235.</w:t>
      </w:r>
    </w:p>
    <w:p w:rsidR="00000000" w:rsidDel="00000000" w:rsidP="00000000" w:rsidRDefault="00000000" w:rsidRPr="00000000" w14:paraId="000001A8">
      <w:pPr>
        <w:numPr>
          <w:ilvl w:val="0"/>
          <w:numId w:val="27"/>
        </w:numPr>
        <w:ind w:left="720" w:hanging="360"/>
        <w:rPr/>
      </w:pPr>
      <w:r w:rsidDel="00000000" w:rsidR="00000000" w:rsidRPr="00000000">
        <w:rPr>
          <w:rtl w:val="0"/>
        </w:rPr>
        <w:t xml:space="preserve">Timmermans C, Venet D, Burzykowski T. Data-driven risk identification in phase III clinical trials using central statistical monitoring. </w:t>
      </w:r>
      <w:r w:rsidDel="00000000" w:rsidR="00000000" w:rsidRPr="00000000">
        <w:rPr>
          <w:i w:val="1"/>
          <w:iCs w:val="1"/>
          <w:rtl w:val="0"/>
        </w:rPr>
        <w:t xml:space="preserve">Int J Clin Oncol.</w:t>
      </w:r>
      <w:r w:rsidDel="00000000" w:rsidR="00000000" w:rsidRPr="00000000">
        <w:rPr>
          <w:rtl w:val="0"/>
        </w:rPr>
        <w:t xml:space="preserve"> 2016;21:38–45.</w:t>
      </w:r>
    </w:p>
    <w:p w:rsidR="00000000" w:rsidDel="00000000" w:rsidP="00000000" w:rsidRDefault="00000000" w:rsidRPr="00000000" w14:paraId="000001A9">
      <w:pPr>
        <w:numPr>
          <w:ilvl w:val="0"/>
          <w:numId w:val="27"/>
        </w:numPr>
        <w:ind w:left="720" w:hanging="360"/>
        <w:rPr/>
      </w:pPr>
      <w:r w:rsidDel="00000000" w:rsidR="00000000" w:rsidRPr="00000000">
        <w:rPr>
          <w:rtl w:val="0"/>
        </w:rPr>
        <w:t xml:space="preserve">de Viron S, Trotta L, Schumacher H, et al. Detection of fraud in a clinical trial using unsupervised statistical monitoring. </w:t>
      </w:r>
      <w:r w:rsidDel="00000000" w:rsidR="00000000" w:rsidRPr="00000000">
        <w:rPr>
          <w:i w:val="1"/>
          <w:iCs w:val="1"/>
          <w:rtl w:val="0"/>
        </w:rPr>
        <w:t xml:space="preserve">Ther Innov Regul Sci.</w:t>
      </w:r>
      <w:r w:rsidDel="00000000" w:rsidR="00000000" w:rsidRPr="00000000">
        <w:rPr>
          <w:rtl w:val="0"/>
        </w:rPr>
        <w:t xml:space="preserve"> 2022;56:130–136.</w:t>
      </w:r>
    </w:p>
    <w:p w:rsidR="00000000" w:rsidDel="00000000" w:rsidP="00000000" w:rsidRDefault="00000000" w:rsidRPr="00000000" w14:paraId="000001AA">
      <w:pPr>
        <w:numPr>
          <w:ilvl w:val="0"/>
          <w:numId w:val="27"/>
        </w:numPr>
        <w:ind w:left="720" w:hanging="360"/>
        <w:rPr/>
      </w:pPr>
      <w:r w:rsidDel="00000000" w:rsidR="00000000" w:rsidRPr="00000000">
        <w:rPr>
          <w:rtl w:val="0"/>
        </w:rPr>
        <w:t xml:space="preserve">Trotta L, Kabeya Y, Buyse M, et al. Detection of atypical data in multicenter clinical trials using unsupervised statistical monitoring. </w:t>
      </w:r>
      <w:r w:rsidDel="00000000" w:rsidR="00000000" w:rsidRPr="00000000">
        <w:rPr>
          <w:i w:val="1"/>
          <w:iCs w:val="1"/>
          <w:rtl w:val="0"/>
        </w:rPr>
        <w:t xml:space="preserve">Clinical Trials.</w:t>
      </w:r>
      <w:r w:rsidDel="00000000" w:rsidR="00000000" w:rsidRPr="00000000">
        <w:rPr>
          <w:rtl w:val="0"/>
        </w:rPr>
        <w:t xml:space="preserve"> 2019;16(5):512–522.</w:t>
      </w:r>
    </w:p>
    <w:p w:rsidR="00000000" w:rsidDel="00000000" w:rsidP="00000000" w:rsidRDefault="00000000" w:rsidRPr="00000000" w14:paraId="000001AB">
      <w:pPr>
        <w:numPr>
          <w:ilvl w:val="0"/>
          <w:numId w:val="27"/>
        </w:numPr>
        <w:ind w:left="720" w:hanging="360"/>
        <w:rPr/>
      </w:pPr>
      <w:r w:rsidDel="00000000" w:rsidR="00000000" w:rsidRPr="00000000">
        <w:rPr>
          <w:rtl w:val="0"/>
        </w:rPr>
        <w:t xml:space="preserve">Zink RC, Dmitrienko A, Dmitrienko A. Rethinking the clinically based thresholds of TransCelerate BioPharma for risk-based monitoring. </w:t>
      </w:r>
      <w:r w:rsidDel="00000000" w:rsidR="00000000" w:rsidRPr="00000000">
        <w:rPr>
          <w:i w:val="1"/>
          <w:iCs w:val="1"/>
          <w:rtl w:val="0"/>
        </w:rPr>
        <w:t xml:space="preserve">Ther Innov Regul Sci.</w:t>
      </w:r>
      <w:r w:rsidDel="00000000" w:rsidR="00000000" w:rsidRPr="00000000">
        <w:rPr>
          <w:rtl w:val="0"/>
        </w:rPr>
        <w:t xml:space="preserve"> 2018;52(5):560–571.</w:t>
      </w:r>
    </w:p>
    <w:p w:rsidR="00000000" w:rsidDel="00000000" w:rsidP="00000000" w:rsidRDefault="00000000" w:rsidRPr="00000000" w14:paraId="000001AC">
      <w:pPr>
        <w:numPr>
          <w:ilvl w:val="0"/>
          <w:numId w:val="27"/>
        </w:numPr>
        <w:ind w:left="720" w:hanging="360"/>
        <w:rPr/>
      </w:pPr>
      <w:r w:rsidDel="00000000" w:rsidR="00000000" w:rsidRPr="00000000">
        <w:rPr>
          <w:rtl w:val="0"/>
        </w:rPr>
        <w:t xml:space="preserve">ICH E6(R3) Good Clinical Practice. Step 4 Final Guideline. January 6, 2025. Available at: </w:t>
      </w:r>
      <w:hyperlink r:id="rId13">
        <w:r w:rsidDel="00000000" w:rsidR="00000000" w:rsidRPr="00000000">
          <w:rPr>
            <w:color w:val="467886"/>
            <w:u w:val="single"/>
            <w:rtl w:val="0"/>
          </w:rPr>
          <w:t xml:space="preserve">https://database.ich.org/sites/default/files/ICH_E6%28R3%29_Step4_FinalGuideline_2025_0106.pdf</w:t>
        </w:r>
      </w:hyperlink>
      <w:r w:rsidDel="00000000" w:rsidR="00000000" w:rsidRPr="00000000">
        <w:rPr>
          <w:rtl w:val="0"/>
        </w:rPr>
      </w:r>
    </w:p>
    <w:p w:rsidR="00000000" w:rsidDel="00000000" w:rsidP="00000000" w:rsidRDefault="00000000" w:rsidRPr="00000000" w14:paraId="000001AD">
      <w:pPr>
        <w:numPr>
          <w:ilvl w:val="0"/>
          <w:numId w:val="27"/>
        </w:numPr>
        <w:ind w:left="720" w:hanging="360"/>
        <w:rPr/>
      </w:pPr>
      <w:r w:rsidDel="00000000" w:rsidR="00000000" w:rsidRPr="00000000">
        <w:rPr>
          <w:rtl w:val="0"/>
        </w:rPr>
        <w:t xml:space="preserve">European Medicines Agency. Reflection Paper on Risk Based Quality Management in Clinical Trials. EMA/269011/2013.</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Appendix A: Glossary</w:t>
      </w:r>
    </w:p>
    <w:tbl>
      <w:tblPr>
        <w:tblStyle w:val="Table5"/>
        <w:tblW w:w="4755.0" w:type="dxa"/>
        <w:jc w:val="left"/>
        <w:tblLayout w:type="fixed"/>
        <w:tblLook w:val="0400"/>
      </w:tblPr>
      <w:tblGrid>
        <w:gridCol w:w="1350"/>
        <w:gridCol w:w="3405"/>
        <w:tblGridChange w:id="0">
          <w:tblGrid>
            <w:gridCol w:w="1350"/>
            <w:gridCol w:w="3405"/>
          </w:tblGrid>
        </w:tblGridChange>
      </w:tblGrid>
      <w:tr>
        <w:trPr>
          <w:cantSplit w:val="0"/>
          <w:tblHeader w:val="1"/>
        </w:trPr>
        <w:tc>
          <w:tcPr>
            <w:vAlign w:val="center"/>
          </w:tcPr>
          <w:p w:rsidR="00000000" w:rsidDel="00000000" w:rsidP="00000000" w:rsidRDefault="00000000" w:rsidRPr="00000000" w14:paraId="000001B0">
            <w:pPr>
              <w:rPr>
                <w:b w:val="1"/>
                <w:bCs w:val="1"/>
              </w:rPr>
            </w:pPr>
            <w:r w:rsidDel="00000000" w:rsidR="00000000" w:rsidRPr="00000000">
              <w:rPr>
                <w:b w:val="1"/>
                <w:bCs w:val="1"/>
                <w:rtl w:val="0"/>
              </w:rPr>
              <w:t xml:space="preserve">Term</w:t>
            </w:r>
          </w:p>
        </w:tc>
        <w:tc>
          <w:tcPr>
            <w:vAlign w:val="center"/>
          </w:tcPr>
          <w:p w:rsidR="00000000" w:rsidDel="00000000" w:rsidP="00000000" w:rsidRDefault="00000000" w:rsidRPr="00000000" w14:paraId="000001B1">
            <w:pPr>
              <w:rPr>
                <w:b w:val="1"/>
                <w:bCs w:val="1"/>
              </w:rPr>
            </w:pPr>
            <w:r w:rsidDel="00000000" w:rsidR="00000000" w:rsidRPr="00000000">
              <w:rPr>
                <w:b w:val="1"/>
                <w:bCs w:val="1"/>
                <w:rtl w:val="0"/>
              </w:rPr>
              <w:t xml:space="preserve">Definition</w:t>
            </w:r>
          </w:p>
        </w:tc>
      </w:tr>
      <w:tr>
        <w:trPr>
          <w:cantSplit w:val="0"/>
          <w:tblHeader w:val="0"/>
        </w:trPr>
        <w:tc>
          <w:tcPr>
            <w:vAlign w:val="center"/>
          </w:tcPr>
          <w:p w:rsidR="00000000" w:rsidDel="00000000" w:rsidP="00000000" w:rsidRDefault="00000000" w:rsidRPr="00000000" w14:paraId="000001B2">
            <w:pPr>
              <w:rPr/>
            </w:pPr>
            <w:r w:rsidDel="00000000" w:rsidR="00000000" w:rsidRPr="00000000">
              <w:rPr>
                <w:b w:val="1"/>
                <w:bCs w:val="1"/>
                <w:rtl w:val="0"/>
              </w:rPr>
              <w:t xml:space="preserve">CSM</w:t>
            </w:r>
            <w:r w:rsidDel="00000000" w:rsidR="00000000" w:rsidRPr="00000000">
              <w:rPr>
                <w:rtl w:val="0"/>
              </w:rPr>
            </w:r>
          </w:p>
        </w:tc>
        <w:tc>
          <w:tcPr>
            <w:vAlign w:val="center"/>
          </w:tcPr>
          <w:p w:rsidR="00000000" w:rsidDel="00000000" w:rsidP="00000000" w:rsidRDefault="00000000" w:rsidRPr="00000000" w14:paraId="000001B3">
            <w:pPr>
              <w:rPr/>
            </w:pPr>
            <w:sdt>
              <w:sdtPr>
                <w:id w:val="-1233839304"/>
                <w:tag w:val="goog_rdk_7"/>
              </w:sdtPr>
              <w:sdtContent>
                <w:commentRangeStart w:id="7"/>
              </w:sdtContent>
            </w:sdt>
            <w:r w:rsidDel="00000000" w:rsidR="00000000" w:rsidRPr="00000000">
              <w:rPr>
                <w:rtl w:val="0"/>
              </w:rPr>
              <w:t xml:space="preserve">Centralized </w:t>
            </w:r>
            <w:commentRangeEnd w:id="7"/>
            <w:r w:rsidDel="00000000" w:rsidR="00000000" w:rsidRPr="00000000">
              <w:commentReference w:id="7"/>
            </w:r>
            <w:r w:rsidDel="00000000" w:rsidR="00000000" w:rsidRPr="00000000">
              <w:rPr>
                <w:rtl w:val="0"/>
              </w:rPr>
              <w:t xml:space="preserve">Statistical Monitoring</w:t>
            </w:r>
          </w:p>
        </w:tc>
      </w:tr>
      <w:tr>
        <w:trPr>
          <w:cantSplit w:val="0"/>
          <w:tblHeader w:val="0"/>
        </w:trPr>
        <w:tc>
          <w:tcPr>
            <w:vAlign w:val="center"/>
          </w:tcPr>
          <w:p w:rsidR="00000000" w:rsidDel="00000000" w:rsidP="00000000" w:rsidRDefault="00000000" w:rsidRPr="00000000" w14:paraId="000001B4">
            <w:pPr>
              <w:rPr/>
            </w:pPr>
            <w:r w:rsidDel="00000000" w:rsidR="00000000" w:rsidRPr="00000000">
              <w:rPr>
                <w:b w:val="1"/>
                <w:bCs w:val="1"/>
                <w:rtl w:val="0"/>
              </w:rPr>
              <w:t xml:space="preserve">CRA</w:t>
            </w:r>
            <w:r w:rsidDel="00000000" w:rsidR="00000000" w:rsidRPr="00000000">
              <w:rPr>
                <w:rtl w:val="0"/>
              </w:rPr>
            </w:r>
          </w:p>
        </w:tc>
        <w:tc>
          <w:tcPr>
            <w:vAlign w:val="center"/>
          </w:tcPr>
          <w:p w:rsidR="00000000" w:rsidDel="00000000" w:rsidP="00000000" w:rsidRDefault="00000000" w:rsidRPr="00000000" w14:paraId="000001B5">
            <w:pPr>
              <w:rPr/>
            </w:pPr>
            <w:r w:rsidDel="00000000" w:rsidR="00000000" w:rsidRPr="00000000">
              <w:rPr>
                <w:rtl w:val="0"/>
              </w:rPr>
              <w:t xml:space="preserve">Clinical Research Associate</w:t>
            </w:r>
          </w:p>
        </w:tc>
      </w:tr>
      <w:tr>
        <w:trPr>
          <w:cantSplit w:val="0"/>
          <w:tblHeader w:val="0"/>
        </w:trPr>
        <w:tc>
          <w:tcPr>
            <w:vAlign w:val="center"/>
          </w:tcPr>
          <w:p w:rsidR="00000000" w:rsidDel="00000000" w:rsidP="00000000" w:rsidRDefault="00000000" w:rsidRPr="00000000" w14:paraId="000001B6">
            <w:pPr>
              <w:rPr/>
            </w:pPr>
            <w:r w:rsidDel="00000000" w:rsidR="00000000" w:rsidRPr="00000000">
              <w:rPr>
                <w:b w:val="1"/>
                <w:bCs w:val="1"/>
                <w:rtl w:val="0"/>
              </w:rPr>
              <w:t xml:space="preserve">CAPA</w:t>
            </w:r>
            <w:r w:rsidDel="00000000" w:rsidR="00000000" w:rsidRPr="00000000">
              <w:rPr>
                <w:rtl w:val="0"/>
              </w:rPr>
            </w:r>
          </w:p>
        </w:tc>
        <w:tc>
          <w:tcPr>
            <w:vAlign w:val="center"/>
          </w:tcPr>
          <w:p w:rsidR="00000000" w:rsidDel="00000000" w:rsidP="00000000" w:rsidRDefault="00000000" w:rsidRPr="00000000" w14:paraId="000001B7">
            <w:pPr>
              <w:rPr/>
            </w:pPr>
            <w:r w:rsidDel="00000000" w:rsidR="00000000" w:rsidRPr="00000000">
              <w:rPr>
                <w:rtl w:val="0"/>
              </w:rPr>
              <w:t xml:space="preserve">Corrective and Preventive Action</w:t>
            </w:r>
          </w:p>
        </w:tc>
      </w:tr>
      <w:tr>
        <w:trPr>
          <w:cantSplit w:val="0"/>
          <w:tblHeader w:val="0"/>
        </w:trPr>
        <w:tc>
          <w:tcPr>
            <w:vAlign w:val="center"/>
          </w:tcPr>
          <w:p w:rsidR="00000000" w:rsidDel="00000000" w:rsidP="00000000" w:rsidRDefault="00000000" w:rsidRPr="00000000" w14:paraId="000001B8">
            <w:pPr>
              <w:rPr/>
            </w:pPr>
            <w:sdt>
              <w:sdtPr>
                <w:id w:val="612250915"/>
                <w:tag w:val="goog_rdk_8"/>
              </w:sdtPr>
              <w:sdtContent>
                <w:commentRangeStart w:id="8"/>
              </w:sdtContent>
            </w:sdt>
            <w:r w:rsidDel="00000000" w:rsidR="00000000" w:rsidRPr="00000000">
              <w:rPr>
                <w:b w:val="1"/>
                <w:bCs w:val="1"/>
                <w:rtl w:val="0"/>
              </w:rPr>
              <w:t xml:space="preserve">CTQ</w:t>
            </w:r>
            <w:commentRangeEnd w:id="8"/>
            <w:r w:rsidDel="00000000" w:rsidR="00000000" w:rsidRPr="00000000">
              <w:commentReference w:id="8"/>
            </w:r>
            <w:r w:rsidDel="00000000" w:rsidR="00000000" w:rsidRPr="00000000">
              <w:rPr>
                <w:rtl w:val="0"/>
              </w:rPr>
            </w:r>
          </w:p>
        </w:tc>
        <w:tc>
          <w:tcPr>
            <w:vAlign w:val="center"/>
          </w:tcPr>
          <w:p w:rsidR="00000000" w:rsidDel="00000000" w:rsidP="00000000" w:rsidRDefault="00000000" w:rsidRPr="00000000" w14:paraId="000001B9">
            <w:pPr>
              <w:rPr/>
            </w:pPr>
            <w:r w:rsidDel="00000000" w:rsidR="00000000" w:rsidRPr="00000000">
              <w:rPr>
                <w:rtl w:val="0"/>
              </w:rPr>
              <w:t xml:space="preserve">Critical to Quality</w:t>
            </w:r>
          </w:p>
        </w:tc>
      </w:tr>
      <w:tr>
        <w:trPr>
          <w:cantSplit w:val="0"/>
          <w:tblHeader w:val="0"/>
        </w:trPr>
        <w:tc>
          <w:tcPr>
            <w:vAlign w:val="center"/>
          </w:tcPr>
          <w:p w:rsidR="00000000" w:rsidDel="00000000" w:rsidP="00000000" w:rsidRDefault="00000000" w:rsidRPr="00000000" w14:paraId="000001BA">
            <w:pPr>
              <w:rPr/>
            </w:pPr>
            <w:r w:rsidDel="00000000" w:rsidR="00000000" w:rsidRPr="00000000">
              <w:rPr>
                <w:b w:val="1"/>
                <w:bCs w:val="1"/>
                <w:rtl w:val="0"/>
              </w:rPr>
              <w:t xml:space="preserve">DIS</w:t>
            </w: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rtl w:val="0"/>
              </w:rPr>
              <w:t xml:space="preserve">Data Inconsistency Score</w:t>
            </w:r>
          </w:p>
        </w:tc>
      </w:tr>
      <w:tr>
        <w:trPr>
          <w:cantSplit w:val="0"/>
          <w:tblHeader w:val="0"/>
        </w:trPr>
        <w:tc>
          <w:tcPr>
            <w:vAlign w:val="center"/>
          </w:tcPr>
          <w:p w:rsidR="00000000" w:rsidDel="00000000" w:rsidP="00000000" w:rsidRDefault="00000000" w:rsidRPr="00000000" w14:paraId="000001BC">
            <w:pPr>
              <w:rPr/>
            </w:pPr>
            <w:r w:rsidDel="00000000" w:rsidR="00000000" w:rsidRPr="00000000">
              <w:rPr>
                <w:b w:val="1"/>
                <w:bCs w:val="1"/>
                <w:rtl w:val="0"/>
              </w:rPr>
              <w:t xml:space="preserve">EDC</w:t>
            </w: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rtl w:val="0"/>
              </w:rPr>
              <w:t xml:space="preserve">Electronic Data Capture</w:t>
            </w:r>
          </w:p>
        </w:tc>
      </w:tr>
      <w:tr>
        <w:trPr>
          <w:cantSplit w:val="0"/>
          <w:tblHeader w:val="0"/>
        </w:trPr>
        <w:tc>
          <w:tcPr>
            <w:vAlign w:val="center"/>
          </w:tcPr>
          <w:p w:rsidR="00000000" w:rsidDel="00000000" w:rsidP="00000000" w:rsidRDefault="00000000" w:rsidRPr="00000000" w14:paraId="000001BE">
            <w:pPr>
              <w:rPr/>
            </w:pPr>
            <w:r w:rsidDel="00000000" w:rsidR="00000000" w:rsidRPr="00000000">
              <w:rPr>
                <w:b w:val="1"/>
                <w:bCs w:val="1"/>
                <w:rtl w:val="0"/>
              </w:rPr>
              <w:t xml:space="preserve">ePRO</w:t>
            </w:r>
            <w:r w:rsidDel="00000000" w:rsidR="00000000" w:rsidRPr="00000000">
              <w:rPr>
                <w:rtl w:val="0"/>
              </w:rPr>
            </w:r>
          </w:p>
        </w:tc>
        <w:tc>
          <w:tcPr>
            <w:vAlign w:val="center"/>
          </w:tcPr>
          <w:p w:rsidR="00000000" w:rsidDel="00000000" w:rsidP="00000000" w:rsidRDefault="00000000" w:rsidRPr="00000000" w14:paraId="000001BF">
            <w:pPr>
              <w:rPr/>
            </w:pPr>
            <w:r w:rsidDel="00000000" w:rsidR="00000000" w:rsidRPr="00000000">
              <w:rPr>
                <w:rtl w:val="0"/>
              </w:rPr>
              <w:t xml:space="preserve">Electronic Patient-Reported Outcomes</w:t>
            </w:r>
          </w:p>
        </w:tc>
      </w:tr>
      <w:tr>
        <w:trPr>
          <w:cantSplit w:val="0"/>
          <w:tblHeader w:val="0"/>
        </w:trPr>
        <w:tc>
          <w:tcPr>
            <w:vAlign w:val="center"/>
          </w:tcPr>
          <w:p w:rsidR="00000000" w:rsidDel="00000000" w:rsidP="00000000" w:rsidRDefault="00000000" w:rsidRPr="00000000" w14:paraId="000001C0">
            <w:pPr>
              <w:rPr/>
            </w:pPr>
            <w:r w:rsidDel="00000000" w:rsidR="00000000" w:rsidRPr="00000000">
              <w:rPr>
                <w:b w:val="1"/>
                <w:bCs w:val="1"/>
                <w:rtl w:val="0"/>
              </w:rPr>
              <w:t xml:space="preserve">ICE</w:t>
            </w:r>
            <w:r w:rsidDel="00000000" w:rsidR="00000000" w:rsidRPr="00000000">
              <w:rPr>
                <w:rtl w:val="0"/>
              </w:rPr>
            </w:r>
          </w:p>
        </w:tc>
        <w:tc>
          <w:tcPr>
            <w:vAlign w:val="center"/>
          </w:tcPr>
          <w:p w:rsidR="00000000" w:rsidDel="00000000" w:rsidP="00000000" w:rsidRDefault="00000000" w:rsidRPr="00000000" w14:paraId="000001C1">
            <w:pPr>
              <w:rPr/>
            </w:pPr>
            <w:r w:rsidDel="00000000" w:rsidR="00000000" w:rsidRPr="00000000">
              <w:rPr>
                <w:rtl w:val="0"/>
              </w:rPr>
              <w:t xml:space="preserve">Intercurrent Event</w:t>
            </w:r>
          </w:p>
        </w:tc>
      </w:tr>
      <w:tr>
        <w:trPr>
          <w:cantSplit w:val="0"/>
          <w:tblHeader w:val="0"/>
        </w:trPr>
        <w:tc>
          <w:tcPr>
            <w:vAlign w:val="center"/>
          </w:tcPr>
          <w:p w:rsidR="00000000" w:rsidDel="00000000" w:rsidP="00000000" w:rsidRDefault="00000000" w:rsidRPr="00000000" w14:paraId="000001C2">
            <w:pPr>
              <w:rPr/>
            </w:pPr>
            <w:r w:rsidDel="00000000" w:rsidR="00000000" w:rsidRPr="00000000">
              <w:rPr>
                <w:b w:val="1"/>
                <w:bCs w:val="1"/>
                <w:rtl w:val="0"/>
              </w:rPr>
              <w:t xml:space="preserve">IRT</w:t>
            </w: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rtl w:val="0"/>
              </w:rPr>
              <w:t xml:space="preserve">Interactive Response Technology</w:t>
            </w:r>
          </w:p>
        </w:tc>
      </w:tr>
      <w:tr>
        <w:trPr>
          <w:cantSplit w:val="0"/>
          <w:tblHeader w:val="0"/>
        </w:trPr>
        <w:tc>
          <w:tcPr>
            <w:vAlign w:val="center"/>
          </w:tcPr>
          <w:p w:rsidR="00000000" w:rsidDel="00000000" w:rsidP="00000000" w:rsidRDefault="00000000" w:rsidRPr="00000000" w14:paraId="000001C4">
            <w:pPr>
              <w:rPr/>
            </w:pPr>
            <w:r w:rsidDel="00000000" w:rsidR="00000000" w:rsidRPr="00000000">
              <w:rPr>
                <w:b w:val="1"/>
                <w:bCs w:val="1"/>
                <w:rtl w:val="0"/>
              </w:rPr>
              <w:t xml:space="preserve">KRI</w:t>
            </w:r>
            <w:r w:rsidDel="00000000" w:rsidR="00000000" w:rsidRPr="00000000">
              <w:rPr>
                <w:rtl w:val="0"/>
              </w:rPr>
            </w:r>
          </w:p>
        </w:tc>
        <w:tc>
          <w:tcPr>
            <w:vAlign w:val="center"/>
          </w:tcPr>
          <w:p w:rsidR="00000000" w:rsidDel="00000000" w:rsidP="00000000" w:rsidRDefault="00000000" w:rsidRPr="00000000" w14:paraId="000001C5">
            <w:pPr>
              <w:rPr/>
            </w:pPr>
            <w:r w:rsidDel="00000000" w:rsidR="00000000" w:rsidRPr="00000000">
              <w:rPr>
                <w:rtl w:val="0"/>
              </w:rPr>
              <w:t xml:space="preserve">Key Risk Indicator</w:t>
            </w:r>
          </w:p>
        </w:tc>
      </w:tr>
      <w:tr>
        <w:trPr>
          <w:cantSplit w:val="0"/>
          <w:tblHeader w:val="0"/>
        </w:trPr>
        <w:tc>
          <w:tcPr>
            <w:vAlign w:val="center"/>
          </w:tcPr>
          <w:p w:rsidR="00000000" w:rsidDel="00000000" w:rsidP="00000000" w:rsidRDefault="00000000" w:rsidRPr="00000000" w14:paraId="000001C6">
            <w:pPr>
              <w:rPr/>
            </w:pPr>
            <w:r w:rsidDel="00000000" w:rsidR="00000000" w:rsidRPr="00000000">
              <w:rPr>
                <w:b w:val="1"/>
                <w:bCs w:val="1"/>
                <w:rtl w:val="0"/>
              </w:rPr>
              <w:t xml:space="preserve">QTL</w:t>
            </w:r>
            <w:r w:rsidDel="00000000" w:rsidR="00000000" w:rsidRPr="00000000">
              <w:rPr>
                <w:rtl w:val="0"/>
              </w:rPr>
            </w:r>
          </w:p>
        </w:tc>
        <w:tc>
          <w:tcPr>
            <w:vAlign w:val="center"/>
          </w:tcPr>
          <w:p w:rsidR="00000000" w:rsidDel="00000000" w:rsidP="00000000" w:rsidRDefault="00000000" w:rsidRPr="00000000" w14:paraId="000001C7">
            <w:pPr>
              <w:rPr/>
            </w:pPr>
            <w:r w:rsidDel="00000000" w:rsidR="00000000" w:rsidRPr="00000000">
              <w:rPr>
                <w:rtl w:val="0"/>
              </w:rPr>
              <w:t xml:space="preserve">Quality Tolerance Limit</w:t>
            </w:r>
          </w:p>
        </w:tc>
      </w:tr>
      <w:tr>
        <w:trPr>
          <w:cantSplit w:val="0"/>
          <w:tblHeader w:val="0"/>
        </w:trPr>
        <w:tc>
          <w:tcPr>
            <w:vAlign w:val="center"/>
          </w:tcPr>
          <w:p w:rsidR="00000000" w:rsidDel="00000000" w:rsidP="00000000" w:rsidRDefault="00000000" w:rsidRPr="00000000" w14:paraId="000001C8">
            <w:pPr>
              <w:rPr/>
            </w:pPr>
            <w:r w:rsidDel="00000000" w:rsidR="00000000" w:rsidRPr="00000000">
              <w:rPr>
                <w:b w:val="1"/>
                <w:bCs w:val="1"/>
                <w:rtl w:val="0"/>
              </w:rPr>
              <w:t xml:space="preserve">RBM</w:t>
            </w:r>
            <w:r w:rsidDel="00000000" w:rsidR="00000000" w:rsidRPr="00000000">
              <w:rPr>
                <w:rtl w:val="0"/>
              </w:rPr>
            </w:r>
          </w:p>
        </w:tc>
        <w:tc>
          <w:tcPr>
            <w:vAlign w:val="center"/>
          </w:tcPr>
          <w:p w:rsidR="00000000" w:rsidDel="00000000" w:rsidP="00000000" w:rsidRDefault="00000000" w:rsidRPr="00000000" w14:paraId="000001C9">
            <w:pPr>
              <w:rPr/>
            </w:pPr>
            <w:r w:rsidDel="00000000" w:rsidR="00000000" w:rsidRPr="00000000">
              <w:rPr>
                <w:rtl w:val="0"/>
              </w:rPr>
              <w:t xml:space="preserve">Risk-Based Monitoring</w:t>
            </w:r>
          </w:p>
        </w:tc>
      </w:tr>
      <w:tr>
        <w:trPr>
          <w:cantSplit w:val="0"/>
          <w:tblHeader w:val="0"/>
        </w:trPr>
        <w:tc>
          <w:tcPr>
            <w:vAlign w:val="center"/>
          </w:tcPr>
          <w:p w:rsidR="00000000" w:rsidDel="00000000" w:rsidP="00000000" w:rsidRDefault="00000000" w:rsidRPr="00000000" w14:paraId="000001CA">
            <w:pPr>
              <w:rPr/>
            </w:pPr>
            <w:r w:rsidDel="00000000" w:rsidR="00000000" w:rsidRPr="00000000">
              <w:rPr>
                <w:b w:val="1"/>
                <w:bCs w:val="1"/>
                <w:rtl w:val="0"/>
              </w:rPr>
              <w:t xml:space="preserve">SDV</w:t>
            </w:r>
            <w:r w:rsidDel="00000000" w:rsidR="00000000" w:rsidRPr="00000000">
              <w:rPr>
                <w:rtl w:val="0"/>
              </w:rPr>
            </w:r>
          </w:p>
        </w:tc>
        <w:tc>
          <w:tcPr>
            <w:vAlign w:val="center"/>
          </w:tcPr>
          <w:p w:rsidR="00000000" w:rsidDel="00000000" w:rsidP="00000000" w:rsidRDefault="00000000" w:rsidRPr="00000000" w14:paraId="000001CB">
            <w:pPr>
              <w:rPr/>
            </w:pPr>
            <w:r w:rsidDel="00000000" w:rsidR="00000000" w:rsidRPr="00000000">
              <w:rPr>
                <w:rtl w:val="0"/>
              </w:rPr>
              <w:t xml:space="preserve">Source Data Verification</w:t>
            </w:r>
          </w:p>
        </w:tc>
      </w:tr>
    </w:tbl>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b w:val="1"/>
          <w:bCs w:val="1"/>
          <w:rtl w:val="0"/>
        </w:rPr>
        <w:t xml:space="preserve">Appendix B: Example Central Monitoring Plan Components</w:t>
      </w:r>
    </w:p>
    <w:p w:rsidR="00000000" w:rsidDel="00000000" w:rsidP="00000000" w:rsidRDefault="00000000" w:rsidRPr="00000000" w14:paraId="000001CE">
      <w:pPr>
        <w:numPr>
          <w:ilvl w:val="0"/>
          <w:numId w:val="28"/>
        </w:numPr>
        <w:ind w:left="720" w:hanging="360"/>
        <w:rPr/>
      </w:pPr>
      <w:r w:rsidDel="00000000" w:rsidR="00000000" w:rsidRPr="00000000">
        <w:rPr>
          <w:b w:val="1"/>
          <w:bCs w:val="1"/>
          <w:rtl w:val="0"/>
        </w:rPr>
        <w:t xml:space="preserve">Statistical Anomaly Detection:</w:t>
      </w:r>
      <w:r w:rsidDel="00000000" w:rsidR="00000000" w:rsidRPr="00000000">
        <w:rPr>
          <w:rtl w:val="0"/>
        </w:rPr>
        <w:t xml:space="preserve"> Clinical data–driven, unsupervised; focused on primary and key secondary endpoints.</w:t>
      </w:r>
    </w:p>
    <w:p w:rsidR="00000000" w:rsidDel="00000000" w:rsidP="00000000" w:rsidRDefault="00000000" w:rsidRPr="00000000" w14:paraId="000001CF">
      <w:pPr>
        <w:numPr>
          <w:ilvl w:val="0"/>
          <w:numId w:val="28"/>
        </w:numPr>
        <w:ind w:left="720" w:hanging="360"/>
        <w:rPr/>
      </w:pPr>
      <w:r w:rsidDel="00000000" w:rsidR="00000000" w:rsidRPr="00000000">
        <w:rPr>
          <w:b w:val="1"/>
          <w:bCs w:val="1"/>
          <w:rtl w:val="0"/>
        </w:rPr>
        <w:t xml:space="preserve">Key Risk Indicators:</w:t>
      </w:r>
      <w:r w:rsidDel="00000000" w:rsidR="00000000" w:rsidRPr="00000000">
        <w:rPr>
          <w:rtl w:val="0"/>
        </w:rPr>
        <w:t xml:space="preserve"> Operational performance metrics (AE rate, query rate, screen failure rate, retention, enrollment rate); assessed via probability funnels.</w:t>
      </w:r>
    </w:p>
    <w:p w:rsidR="00000000" w:rsidDel="00000000" w:rsidP="00000000" w:rsidRDefault="00000000" w:rsidRPr="00000000" w14:paraId="000001D0">
      <w:pPr>
        <w:numPr>
          <w:ilvl w:val="0"/>
          <w:numId w:val="28"/>
        </w:numPr>
        <w:ind w:left="720" w:hanging="360"/>
        <w:rPr/>
      </w:pPr>
      <w:r w:rsidDel="00000000" w:rsidR="00000000" w:rsidRPr="00000000">
        <w:rPr>
          <w:b w:val="1"/>
          <w:bCs w:val="1"/>
          <w:rtl w:val="0"/>
        </w:rPr>
        <w:t xml:space="preserve">Quality Tolerance Limits:</w:t>
      </w:r>
      <w:r w:rsidDel="00000000" w:rsidR="00000000" w:rsidRPr="00000000">
        <w:rPr>
          <w:rtl w:val="0"/>
        </w:rPr>
        <w:t xml:space="preserve"> Study-level parameters (screening failure rate, dropout rate, event rate, protocol deviation rate); two-tier warning/action structure.</w:t>
      </w:r>
    </w:p>
    <w:p w:rsidR="00000000" w:rsidDel="00000000" w:rsidP="00000000" w:rsidRDefault="00000000" w:rsidRPr="00000000" w14:paraId="000001D1">
      <w:pPr>
        <w:numPr>
          <w:ilvl w:val="0"/>
          <w:numId w:val="28"/>
        </w:numPr>
        <w:ind w:left="720" w:hanging="360"/>
        <w:rPr/>
      </w:pPr>
      <w:r w:rsidDel="00000000" w:rsidR="00000000" w:rsidRPr="00000000">
        <w:rPr>
          <w:b w:val="1"/>
          <w:bCs w:val="1"/>
          <w:rtl w:val="0"/>
        </w:rPr>
        <w:t xml:space="preserve">Cross-functional review cadence:</w:t>
      </w:r>
      <w:r w:rsidDel="00000000" w:rsidR="00000000" w:rsidRPr="00000000">
        <w:rPr>
          <w:rtl w:val="0"/>
        </w:rPr>
        <w:t xml:space="preserve"> Monthly or biweekly triage meetings.</w:t>
      </w:r>
    </w:p>
    <w:p w:rsidR="00000000" w:rsidDel="00000000" w:rsidP="00000000" w:rsidRDefault="00000000" w:rsidRPr="00000000" w14:paraId="000001D2">
      <w:pPr>
        <w:numPr>
          <w:ilvl w:val="0"/>
          <w:numId w:val="28"/>
        </w:numPr>
        <w:ind w:left="720" w:hanging="360"/>
        <w:rPr/>
      </w:pPr>
      <w:r w:rsidDel="00000000" w:rsidR="00000000" w:rsidRPr="00000000">
        <w:rPr>
          <w:b w:val="1"/>
          <w:bCs w:val="1"/>
          <w:rtl w:val="0"/>
        </w:rPr>
        <w:t xml:space="preserve">Escalation pathways:</w:t>
      </w:r>
      <w:r w:rsidDel="00000000" w:rsidR="00000000" w:rsidRPr="00000000">
        <w:rPr>
          <w:rtl w:val="0"/>
        </w:rPr>
        <w:t xml:space="preserve"> Documented decision trees for each risk tier.</w:t>
      </w:r>
    </w:p>
    <w:p w:rsidR="00000000" w:rsidDel="00000000" w:rsidP="00000000" w:rsidRDefault="00000000" w:rsidRPr="00000000" w14:paraId="000001D3">
      <w:pPr>
        <w:numPr>
          <w:ilvl w:val="0"/>
          <w:numId w:val="28"/>
        </w:numPr>
        <w:ind w:left="720" w:hanging="360"/>
        <w:rPr/>
      </w:pPr>
      <w:r w:rsidDel="00000000" w:rsidR="00000000" w:rsidRPr="00000000">
        <w:rPr>
          <w:b w:val="1"/>
          <w:bCs w:val="1"/>
          <w:rtl w:val="0"/>
        </w:rPr>
        <w:t xml:space="preserve">Documentation requirements:</w:t>
      </w:r>
      <w:r w:rsidDel="00000000" w:rsidR="00000000" w:rsidRPr="00000000">
        <w:rPr>
          <w:rtl w:val="0"/>
        </w:rPr>
        <w:t xml:space="preserve"> ICH E6(R3)–compliant tracking and CSR reporting.</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rPr/>
      </w:pPr>
      <w:r w:rsidDel="00000000" w:rsidR="00000000" w:rsidRPr="00000000">
        <w:rPr>
          <w:i w:val="1"/>
          <w:iCs w:val="1"/>
          <w:rtl w:val="0"/>
        </w:rPr>
        <w:t xml:space="preserve">This is a working draft prepared for the EFFICIENCY+ Dynamic Trial Monitoring subgroup. All co-authors are invited to expand, revise, and contribute to their sections of interest. Target: rough draft completion by end of Q2 2026.</w:t>
      </w:r>
      <w:r w:rsidDel="00000000" w:rsidR="00000000" w:rsidRPr="00000000">
        <w:rPr>
          <w:rtl w:val="0"/>
        </w:rPr>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This is a comprehensive first draft that synthesizes content from all of the attached reference papers, the slide decks from Bochao, the additional materials outline, the email meeting summaries, regulatory guidance, and your outline structure. Here's a quick summary of what's covered and where collaborators might focus next:</w:t>
      </w:r>
    </w:p>
    <w:p w:rsidR="00000000" w:rsidDel="00000000" w:rsidP="00000000" w:rsidRDefault="00000000" w:rsidRPr="00000000" w14:paraId="000001D8">
      <w:pPr>
        <w:rPr/>
      </w:pPr>
      <w:r w:rsidDel="00000000" w:rsidR="00000000" w:rsidRPr="00000000">
        <w:rPr>
          <w:b w:val="1"/>
          <w:bCs w:val="1"/>
          <w:rtl w:val="0"/>
        </w:rPr>
        <w:t xml:space="preserve">Key structural decisions made:</w:t>
      </w:r>
      <w:r w:rsidDel="00000000" w:rsidR="00000000" w:rsidRPr="00000000">
        <w:rPr>
          <w:rtl w:val="0"/>
        </w:rPr>
      </w:r>
    </w:p>
    <w:p w:rsidR="00000000" w:rsidDel="00000000" w:rsidP="00000000" w:rsidRDefault="00000000" w:rsidRPr="00000000" w14:paraId="000001D9">
      <w:pPr>
        <w:numPr>
          <w:ilvl w:val="0"/>
          <w:numId w:val="29"/>
        </w:numPr>
        <w:ind w:left="720" w:hanging="360"/>
        <w:rPr/>
      </w:pPr>
      <w:r w:rsidDel="00000000" w:rsidR="00000000" w:rsidRPr="00000000">
        <w:rPr>
          <w:rtl w:val="0"/>
        </w:rPr>
        <w:t xml:space="preserve">Organized around your three main pillars: Detection → Response → Framework Setup</w:t>
      </w:r>
    </w:p>
    <w:p w:rsidR="00000000" w:rsidDel="00000000" w:rsidP="00000000" w:rsidRDefault="00000000" w:rsidRPr="00000000" w14:paraId="000001DA">
      <w:pPr>
        <w:numPr>
          <w:ilvl w:val="0"/>
          <w:numId w:val="29"/>
        </w:numPr>
        <w:ind w:left="720" w:hanging="360"/>
        <w:rPr/>
      </w:pPr>
      <w:r w:rsidDel="00000000" w:rsidR="00000000" w:rsidRPr="00000000">
        <w:rPr>
          <w:rtl w:val="0"/>
        </w:rPr>
        <w:t xml:space="preserve">Added a cross-functional integration section (drawing heavily from your meeting discussions about DM gaps)</w:t>
      </w:r>
    </w:p>
    <w:p w:rsidR="00000000" w:rsidDel="00000000" w:rsidP="00000000" w:rsidRDefault="00000000" w:rsidRPr="00000000" w14:paraId="000001DB">
      <w:pPr>
        <w:numPr>
          <w:ilvl w:val="0"/>
          <w:numId w:val="29"/>
        </w:numPr>
        <w:ind w:left="720" w:hanging="360"/>
        <w:rPr/>
      </w:pPr>
      <w:r w:rsidDel="00000000" w:rsidR="00000000" w:rsidRPr="00000000">
        <w:rPr>
          <w:rtl w:val="0"/>
        </w:rPr>
        <w:t xml:space="preserve">Kept AI/ML as a forward-looking enabler section rather than the core</w:t>
      </w:r>
    </w:p>
    <w:p w:rsidR="00000000" w:rsidDel="00000000" w:rsidP="00000000" w:rsidRDefault="00000000" w:rsidRPr="00000000" w14:paraId="000001DC">
      <w:pPr>
        <w:numPr>
          <w:ilvl w:val="0"/>
          <w:numId w:val="29"/>
        </w:numPr>
        <w:ind w:left="720" w:hanging="360"/>
        <w:rPr/>
      </w:pPr>
      <w:r w:rsidDel="00000000" w:rsidR="00000000" w:rsidRPr="00000000">
        <w:rPr>
          <w:rtl w:val="0"/>
        </w:rPr>
        <w:t xml:space="preserve">Included industry benchmarking table from Bochao's slides</w:t>
      </w:r>
    </w:p>
    <w:p w:rsidR="00000000" w:rsidDel="00000000" w:rsidP="00000000" w:rsidRDefault="00000000" w:rsidRPr="00000000" w14:paraId="000001DD">
      <w:pPr>
        <w:numPr>
          <w:ilvl w:val="0"/>
          <w:numId w:val="29"/>
        </w:numPr>
        <w:ind w:left="720" w:hanging="360"/>
        <w:rPr/>
      </w:pPr>
      <w:r w:rsidDel="00000000" w:rsidR="00000000" w:rsidRPr="00000000">
        <w:rPr>
          <w:rtl w:val="0"/>
        </w:rPr>
        <w:t xml:space="preserve">Embedded real case studies (POISE, ESPS2, lab value discrepancy) as evidence</w:t>
      </w:r>
    </w:p>
    <w:p w:rsidR="00000000" w:rsidDel="00000000" w:rsidP="00000000" w:rsidRDefault="00000000" w:rsidRPr="00000000" w14:paraId="000001DE">
      <w:pPr>
        <w:rPr/>
      </w:pPr>
      <w:r w:rsidDel="00000000" w:rsidR="00000000" w:rsidRPr="00000000">
        <w:rPr>
          <w:b w:val="1"/>
          <w:bCs w:val="1"/>
          <w:rtl w:val="0"/>
        </w:rPr>
        <w:t xml:space="preserve">Areas flagged for collaborator input:</w:t>
      </w:r>
      <w:r w:rsidDel="00000000" w:rsidR="00000000" w:rsidRPr="00000000">
        <w:rPr>
          <w:rtl w:val="0"/>
        </w:rPr>
      </w:r>
    </w:p>
    <w:p w:rsidR="00000000" w:rsidDel="00000000" w:rsidP="00000000" w:rsidRDefault="00000000" w:rsidRPr="00000000" w14:paraId="000001DF">
      <w:pPr>
        <w:numPr>
          <w:ilvl w:val="0"/>
          <w:numId w:val="30"/>
        </w:numPr>
        <w:ind w:left="720" w:hanging="360"/>
        <w:rPr/>
      </w:pPr>
      <w:r w:rsidDel="00000000" w:rsidR="00000000" w:rsidRPr="00000000">
        <w:rPr>
          <w:b w:val="1"/>
          <w:bCs w:val="1"/>
          <w:rtl w:val="0"/>
        </w:rPr>
        <w:t xml:space="preserve">Section 3 (Response Frameworks):</w:t>
      </w:r>
      <w:r w:rsidDel="00000000" w:rsidR="00000000" w:rsidRPr="00000000">
        <w:rPr>
          <w:rtl w:val="0"/>
        </w:rPr>
        <w:t xml:space="preserve"> Most novel contribution—needs real-world examples from each company</w:t>
      </w:r>
    </w:p>
    <w:p w:rsidR="00000000" w:rsidDel="00000000" w:rsidP="00000000" w:rsidRDefault="00000000" w:rsidRPr="00000000" w14:paraId="000001E0">
      <w:pPr>
        <w:numPr>
          <w:ilvl w:val="0"/>
          <w:numId w:val="30"/>
        </w:numPr>
        <w:ind w:left="720" w:hanging="360"/>
        <w:rPr/>
      </w:pPr>
      <w:r w:rsidDel="00000000" w:rsidR="00000000" w:rsidRPr="00000000">
        <w:rPr>
          <w:b w:val="1"/>
          <w:bCs w:val="1"/>
          <w:rtl w:val="0"/>
        </w:rPr>
        <w:t xml:space="preserve">Section 4.1 (Simulation):</w:t>
      </w:r>
      <w:r w:rsidDel="00000000" w:rsidR="00000000" w:rsidRPr="00000000">
        <w:rPr>
          <w:rtl w:val="0"/>
        </w:rPr>
        <w:t xml:space="preserve"> Vlad Anisimov's expertise in re-projection and enrollment forecasting could strengthen this</w:t>
      </w:r>
    </w:p>
    <w:p w:rsidR="00000000" w:rsidDel="00000000" w:rsidP="00000000" w:rsidRDefault="00000000" w:rsidRPr="00000000" w14:paraId="000001E1">
      <w:pPr>
        <w:numPr>
          <w:ilvl w:val="0"/>
          <w:numId w:val="30"/>
        </w:numPr>
        <w:ind w:left="720" w:hanging="360"/>
        <w:rPr/>
      </w:pPr>
      <w:r w:rsidDel="00000000" w:rsidR="00000000" w:rsidRPr="00000000">
        <w:rPr>
          <w:b w:val="1"/>
          <w:bCs w:val="1"/>
          <w:rtl w:val="0"/>
        </w:rPr>
        <w:t xml:space="preserve">Section 6 (AI/ML):</w:t>
      </w:r>
      <w:r w:rsidDel="00000000" w:rsidR="00000000" w:rsidRPr="00000000">
        <w:rPr>
          <w:rtl w:val="0"/>
        </w:rPr>
        <w:t xml:space="preserve"> Bochao's predictive dropout modeling and Zhuoxin's event/dropout monitoring work should be expanded with specific methodological detail</w:t>
      </w:r>
    </w:p>
    <w:p w:rsidR="00000000" w:rsidDel="00000000" w:rsidP="00000000" w:rsidRDefault="00000000" w:rsidRPr="00000000" w14:paraId="000001E2">
      <w:pPr>
        <w:numPr>
          <w:ilvl w:val="0"/>
          <w:numId w:val="30"/>
        </w:numPr>
        <w:ind w:left="720" w:hanging="360"/>
        <w:rPr/>
      </w:pPr>
      <w:r w:rsidDel="00000000" w:rsidR="00000000" w:rsidRPr="00000000">
        <w:rPr>
          <w:b w:val="1"/>
          <w:bCs w:val="1"/>
          <w:rtl w:val="0"/>
        </w:rPr>
        <w:t xml:space="preserve">QTL example thresholds (Table in 3.4):</w:t>
      </w:r>
      <w:r w:rsidDel="00000000" w:rsidR="00000000" w:rsidRPr="00000000">
        <w:rPr>
          <w:rtl w:val="0"/>
        </w:rPr>
        <w:t xml:space="preserve"> Needs specific numeric examples from actual studies</w:t>
      </w:r>
    </w:p>
    <w:p w:rsidR="00000000" w:rsidDel="00000000" w:rsidP="00000000" w:rsidRDefault="00000000" w:rsidRPr="00000000" w14:paraId="000001E3">
      <w:pPr>
        <w:numPr>
          <w:ilvl w:val="0"/>
          <w:numId w:val="30"/>
        </w:numPr>
        <w:ind w:left="720" w:hanging="360"/>
        <w:rPr/>
      </w:pPr>
      <w:r w:rsidDel="00000000" w:rsidR="00000000" w:rsidRPr="00000000">
        <w:rPr>
          <w:b w:val="1"/>
          <w:bCs w:val="1"/>
          <w:rtl w:val="0"/>
        </w:rPr>
        <w:t xml:space="preserve">Author affiliations:</w:t>
      </w:r>
      <w:r w:rsidDel="00000000" w:rsidR="00000000" w:rsidRPr="00000000">
        <w:rPr>
          <w:rtl w:val="0"/>
        </w:rPr>
        <w:t xml:space="preserve"> Need to be completed with correct names, titles, and company affiliations</w:t>
      </w:r>
    </w:p>
    <w:p w:rsidR="00000000" w:rsidDel="00000000" w:rsidP="00000000" w:rsidRDefault="00000000" w:rsidRPr="00000000" w14:paraId="000001E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ohui Wu" w:id="7" w:date="2026-06-13T01:48:19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"Central" to "Centralized".</w:t>
      </w:r>
    </w:p>
  </w:comment>
  <w:comment w:author="Guohui Wu" w:id="1" w:date="2026-06-12T11:54:44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this statement, QTLs are acceptable ranges. If we have a range for patient discontinuation rate, say [.1,.3], "When QTLs are exceeded, ..." could cause confusion. The word "exceed" here could mean exceed lower bound. Maybe we should say--"When QTLs are out of the range"?</w:t>
      </w:r>
    </w:p>
  </w:comment>
  <w:comment w:author="Guohui Wu" w:id="4" w:date="2026-06-12T12:00:56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the reference here.</w:t>
      </w:r>
    </w:p>
  </w:comment>
  <w:comment w:author="Guohui Wu" w:id="0" w:date="2026-10-16T12:27:42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QTLs instead?</w:t>
      </w:r>
    </w:p>
  </w:comment>
  <w:comment w:author="Guohui Wu" w:id="8" w:date="2026-06-13T01:47:14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CTQ be CtQ instead?</w:t>
      </w:r>
    </w:p>
  </w:comment>
  <w:comment w:author="Guohui Wu" w:id="3" w:date="2026-06-12T11:59:52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British Medicines and Healthcare products Regulatory Agency (appliedclinicaltrialsoneline.com/view/centralized-statistical-monitoring-way-improve-quality-clinical-data), common KRIs include: recruitment rates, screen failure rates, query rates, time to query rosultions vs. number of active queries, SAEs reported, number of subjects withdrawals/dropouts, and etc. I think we need to add references here. In addition, does FDA have a list of common KRIs?</w:t>
      </w:r>
    </w:p>
  </w:comment>
  <w:comment w:author="Guohui Wu" w:id="6" w:date="2026-04-13T03:07:58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this be a multi-agent AI with each agent having knowledge in one functional area?</w:t>
      </w:r>
    </w:p>
  </w:comment>
  <w:comment w:author="Guohui Wu" w:id="2" w:date="2026-04-13T02:46:41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we add references here?</w:t>
      </w:r>
    </w:p>
  </w:comment>
  <w:comment w:author="Guohui Wu" w:id="5" w:date="2026-04-13T03:09:40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historical trials should be leverage? Those in the same TA targeting the same/similar patient population?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E5" w15:done="0"/>
  <w15:commentEx w15:paraId="000001E6" w15:done="0"/>
  <w15:commentEx w15:paraId="000001E7" w15:done="0"/>
  <w15:commentEx w15:paraId="000001E8" w15:done="0"/>
  <w15:commentEx w15:paraId="000001E9" w15:done="0"/>
  <w15:commentEx w15:paraId="000001EA" w15:done="0"/>
  <w15:commentEx w15:paraId="000001EB" w15:done="0"/>
  <w15:commentEx w15:paraId="000001EC" w15:done="0"/>
  <w15:commentEx w15:paraId="000001E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A46A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A46A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A46A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A46A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A46A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A46A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A46A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A46A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A46A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A46A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A46A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A46A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A46A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A46A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A46A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A46AB"/>
    <w:rPr>
      <w:i w:val="1"/>
      <w:iCs w:val="1"/>
      <w:color w:val="404040" w:themeColor="text1" w:themeTint="0000BF"/>
    </w:rPr>
  </w:style>
  <w:style w:type="paragraph" w:styleId="ListParagraph">
    <w:name w:val="List Paragraph"/>
    <w:basedOn w:val="Normal"/>
    <w:uiPriority w:val="34"/>
    <w:qFormat w:val="1"/>
    <w:rsid w:val="001A46AB"/>
    <w:pPr>
      <w:ind w:left="720"/>
      <w:contextualSpacing w:val="1"/>
    </w:pPr>
  </w:style>
  <w:style w:type="character" w:styleId="IntenseEmphasis">
    <w:name w:val="Intense Emphasis"/>
    <w:basedOn w:val="DefaultParagraphFont"/>
    <w:uiPriority w:val="21"/>
    <w:qFormat w:val="1"/>
    <w:rsid w:val="001A46AB"/>
    <w:rPr>
      <w:i w:val="1"/>
      <w:iCs w:val="1"/>
      <w:color w:val="0f4761" w:themeColor="accent1" w:themeShade="0000BF"/>
    </w:rPr>
  </w:style>
  <w:style w:type="paragraph" w:styleId="IntenseQuote">
    <w:name w:val="Intense Quote"/>
    <w:basedOn w:val="Normal"/>
    <w:next w:val="Normal"/>
    <w:link w:val="IntenseQuoteChar"/>
    <w:uiPriority w:val="30"/>
    <w:qFormat w:val="1"/>
    <w:rsid w:val="001A46A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A46AB"/>
    <w:rPr>
      <w:i w:val="1"/>
      <w:iCs w:val="1"/>
      <w:color w:val="0f4761" w:themeColor="accent1" w:themeShade="0000BF"/>
    </w:rPr>
  </w:style>
  <w:style w:type="character" w:styleId="IntenseReference">
    <w:name w:val="Intense Reference"/>
    <w:basedOn w:val="DefaultParagraphFont"/>
    <w:uiPriority w:val="32"/>
    <w:qFormat w:val="1"/>
    <w:rsid w:val="001A46AB"/>
    <w:rPr>
      <w:b w:val="1"/>
      <w:bCs w:val="1"/>
      <w:smallCaps w:val="1"/>
      <w:color w:val="0f4761" w:themeColor="accent1" w:themeShade="0000BF"/>
      <w:spacing w:val="5"/>
    </w:rPr>
  </w:style>
  <w:style w:type="character" w:styleId="Hyperlink">
    <w:name w:val="Hyperlink"/>
    <w:basedOn w:val="DefaultParagraphFont"/>
    <w:uiPriority w:val="99"/>
    <w:unhideWhenUsed w:val="1"/>
    <w:rsid w:val="001A46AB"/>
    <w:rPr>
      <w:color w:val="467886" w:themeColor="hyperlink"/>
      <w:u w:val="single"/>
    </w:rPr>
  </w:style>
  <w:style w:type="character" w:styleId="UnresolvedMention">
    <w:name w:val="Unresolved Mention"/>
    <w:basedOn w:val="DefaultParagraphFont"/>
    <w:uiPriority w:val="99"/>
    <w:semiHidden w:val="1"/>
    <w:unhideWhenUsed w:val="1"/>
    <w:rsid w:val="001A46AB"/>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bmjopen.bmj.com/content/15/10/e094950" TargetMode="External"/><Relationship Id="rId10" Type="http://schemas.openxmlformats.org/officeDocument/2006/relationships/hyperlink" Target="https://database.ich.org/sites/default/files/ICH_E6%28R3%29_Step4_FinalGuideline_2025_0106.pdf" TargetMode="External"/><Relationship Id="rId13" Type="http://schemas.openxmlformats.org/officeDocument/2006/relationships/hyperlink" Target="https://database.ich.org/sites/default/files/ICH_E6%28R3%29_Step4_FinalGuideline_2025_0106.pdf" TargetMode="External"/><Relationship Id="rId12" Type="http://schemas.openxmlformats.org/officeDocument/2006/relationships/hyperlink" Target="https://bmjopen.bmj.com/content/15/10/e09495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atabase.ich.org/sites/default/files/ICH_E6%28R3%29_Step4_FinalGuideline_2025_0106.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1d9Qlrp/ste6K0Y6cu5bvoSIPA==">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2026-03-20T11:51:00Z</dcterms:created>
  <dc:creator>Ravindran, Palanikumar</dc:creator>
</cp:coreProperties>
</file>