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Simulation-Based Optimization of Clinical Trial Drug Supply Chains: A Practical Framework with AI-Assisted Implementation</w:t>
      </w:r>
    </w:p>
    <w:p>
      <w:pPr>
        <w:pStyle w:val="Author"/>
      </w:pPr>
      <w:r>
        <w:t xml:space="preserve">Efficiency+ Trials — Clinical Supply Chain Subteam</w:t>
      </w:r>
    </w:p>
    <w:p>
      <w:pPr>
        <w:pStyle w:val="Date"/>
      </w:pPr>
      <w:r>
        <w:t xml:space="preserve">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X8f6fde53530f97e7162695d7f95d0dacc1f67e6"/>
    <w:p>
      <w:pPr>
        <w:pStyle w:val="Heading1"/>
      </w:pPr>
      <w:r>
        <w:t xml:space="preserve">Simulation-Based Optimization of Clinical Trial Drug Supply Chains: A Practical Framework with AI-Assisted Implementation</w:t>
      </w:r>
    </w:p>
    <w:p>
      <w:r>
        <w:pict>
          <v:rect style="width:0;height:1.5pt" o:hralign="center" o:hrstd="t" o:hr="t"/>
        </w:pict>
      </w:r>
    </w:p>
    <w:bookmarkEnd w:id="9"/>
    <w:bookmarkStart w:id="47" w:name="executive-summary"/>
    <w:p>
      <w:pPr>
        <w:pStyle w:val="Heading1"/>
      </w:pPr>
      <w:r>
        <w:t xml:space="preserve">Executive Summary</w:t>
      </w:r>
    </w:p>
    <w:p>
      <w:pPr>
        <w:pStyle w:val="FirstParagraph"/>
      </w:pPr>
      <w:r>
        <w:t xml:space="preserve">Clinical trial supply teams must balance three competing goals. They must prevent stock-outs that could interrupt patient treatment, reduce drug waste, and control logistics costs. No single supply policy performs best on all three goals. The challenge grows as trials add countries, depots, treatment arms, and complex dosing schedules.</w:t>
      </w:r>
    </w:p>
    <w:p>
      <w:pPr>
        <w:pStyle w:val="BodyText"/>
      </w:pPr>
      <w:r>
        <w:t xml:space="preserve">This paper presents a stochastic simulation framework, which models uncertainty through repeated trial scenarios. It applies the framework to a hypothetical but realistic Phase 2b/3 trial with 250 patients, 23 clinical sites in Europe and China, two treatment arms, and weight-based dosing. The analysis uses 100 replications, with each replication representing one complete simulated version of the trial. It estimates stock-outs and waste under different supply policies. It assesses logistics cost qualitatively because study-specific freight, packaging, and handling rates were not available.</w:t>
      </w:r>
    </w:p>
    <w:p>
      <w:pPr>
        <w:pStyle w:val="BodyText"/>
      </w:pPr>
      <w:r>
        <w:t xml:space="preserve">The baseline policy produced a mean stock-out rate of 0.68% and a mean full-chain waste rate of 43.5%. Full-chain waste is the percentage of total drug produced that expires or is damaged at the central depot, regional depots, or clinical sites. Reducing the reorder target at European Union sites from 105 to 70 kits lowered full-chain waste to about 40%. The stock-out rate increased to about 1.4% but remained well below the 5% planning threshold.</w:t>
      </w:r>
    </w:p>
    <w:p>
      <w:pPr>
        <w:pStyle w:val="BodyText"/>
      </w:pPr>
      <w:r>
        <w:t xml:space="preserve">The European Union inventory protection buffer was the most critical tested setting for maintaining supply continuity in China. Reducing this reserve from 90 to 30 days increased the China stock-out rate from 0.08% to 3.0%, with almost no reduction in full-chain waste.</w:t>
      </w:r>
    </w:p>
    <w:p>
      <w:pPr>
        <w:pStyle w:val="BodyText"/>
      </w:pPr>
      <w:r>
        <w:t xml:space="preserve">The paper also presents the SKILL approach, a structured six-phase workflow using Amazon Kiro, an artificial intelligence coding assistant. It can translate protocol and supply documents into an initial simulation in days rather than weeks. Required human checkpoints confirm assumptions, dispensing rules, and operating logic throughout the workflow. The resulting model must still undergo human verification, validation, testing, and approval before its results inform supply decisions.</w:t>
      </w:r>
    </w:p>
    <w:p>
      <w:r>
        <w:pict>
          <v:rect style="width:0;height:1.5pt" o:hralign="center" o:hrstd="t" o:hr="t"/>
        </w:pict>
      </w:r>
    </w:p>
    <w:bookmarkStart w:id="10" w:name="introduction"/>
    <w:p>
      <w:pPr>
        <w:pStyle w:val="Heading2"/>
      </w:pPr>
      <w:r>
        <w:t xml:space="preserve">1. Introduction</w:t>
      </w:r>
    </w:p>
    <w:p>
      <w:pPr>
        <w:pStyle w:val="FirstParagraph"/>
      </w:pPr>
      <w:r>
        <w:t xml:space="preserve">Clinical trial supply teams must deliver the right drug to the right patient at the right time. They must also minimize drug waste, control logistics costs, and avoid stock-outs. A stock-out occurs when a site lacks usable drug for a scheduled patient visit. These three goals compete. Holding more inventory can reduce stock-outs but increase expiry. Sending smaller shipments can reduce waste but raise transport and packaging costs. No single supply setting performs best on all three goals.</w:t>
      </w:r>
    </w:p>
    <w:p>
      <w:pPr>
        <w:pStyle w:val="BodyText"/>
      </w:pPr>
      <w:r>
        <w:t xml:space="preserve">Effective planning therefore requires several disciplines to work together. Supply chain teams understand manufacturing, depot networks, replenishment, and shipping delays. Clinical operations teams understand site activation, enrollment, visit schedules, and patient discontinuation. Statisticians understand uncertainty and repeated simulation. However, these groups often use different terms and ways of thinking. This paper bridges that gap. It explains supply concepts for readers with clinical or statistical backgrounds. It also explains simulation concepts for readers with supply chain or operations backgrounds.</w:t>
      </w:r>
    </w:p>
    <w:p>
      <w:pPr>
        <w:pStyle w:val="BodyText"/>
      </w:pPr>
      <w:r>
        <w:t xml:space="preserve">The planning challenge is becoming harder. Trials increasingly operate across many countries, depots, and clinical sites. They may include several treatment arms, weight-based dosing, or adaptive designs, which allow planned trial features to change using predefined rules. Cold-chain biologics require temperature-controlled storage and transport. Enrollment remains difficult to predict. Sponsors also face greater scrutiny over the environmental impact of discarded drug, packaging, transport, and disposal.</w:t>
      </w:r>
    </w:p>
    <w:p>
      <w:pPr>
        <w:pStyle w:val="BodyText"/>
      </w:pPr>
      <w:r>
        <w:t xml:space="preserve">Despite this complexity, many supply plans still rely on fixed overages and rules of thumb. Overage is extra drug produced to protect against uncertain demand and supply delays. These methods can support early planning, but they may not show how enrollment, patient visits, expiry, and replenishment rules interact over time.</w:t>
      </w:r>
    </w:p>
    <w:p>
      <w:pPr>
        <w:pStyle w:val="BodyText"/>
      </w:pPr>
      <w:r>
        <w:t xml:space="preserve">This paper delivers two practical tools. First, it presents a simulation framework for a hypothetical global Phase 2b/3 trial with weight-based dosing. The model quantifies the trade-off between stock-outs and waste under uncertain enrollment, discontinuation, manufacturing, and shipping conditions. Second, it presents the paper’s central methodological contribution: the SKILL approach. This structured six-step, AI-assisted workflow translates protocol and supply specification documents into an initial simulation draft in days rather than weeks. Mandatory checkpoints keep human judgment, testing, verification, validation, and approval central throughout. The resulting model is not ready for decision-making until qualified experts have reviewed and approved it under the sponsor’s procedures.</w:t>
      </w:r>
    </w:p>
    <w:p>
      <w:pPr>
        <w:pStyle w:val="BodyText"/>
      </w:pPr>
      <w:r>
        <w:t xml:space="preserve">Section 2 describes the supply chain structure and challenges; Section 3 presents the simulation framework; Section 4 reports sensitivity analysis findings; Section 5 describes the AI-assisted implementation approach; Sections 6 and 7 discuss implications and conclusions.</w:t>
      </w:r>
    </w:p>
    <w:p>
      <w:r>
        <w:pict>
          <v:rect style="width:0;height:1.5pt" o:hralign="center" o:hrstd="t" o:hr="t"/>
        </w:pict>
      </w:r>
    </w:p>
    <w:bookmarkEnd w:id="10"/>
    <w:bookmarkStart w:id="15" w:name="X69ed505ad2dc50eaeaec484cd75ad902fdbaa31"/>
    <w:p>
      <w:pPr>
        <w:pStyle w:val="Heading2"/>
      </w:pPr>
      <w:r>
        <w:t xml:space="preserve">2. Clinical Trial Supply Chain: Structure and Challenges</w:t>
      </w:r>
    </w:p>
    <w:p>
      <w:pPr>
        <w:pStyle w:val="FirstParagraph"/>
      </w:pPr>
      <w:r>
        <w:t xml:space="preserve">A clinical trial supply chain typically moves drug through the following sequence:</w:t>
      </w:r>
    </w:p>
    <w:p>
      <w:pPr>
        <w:pStyle w:val="BodyText"/>
      </w:pPr>
      <w:r>
        <w:rPr>
          <w:b/>
          <w:bCs/>
        </w:rPr>
        <w:t xml:space="preserve">Manufacturer → EU central depot → regional depots → clinical sites → patients</w:t>
      </w:r>
    </w:p>
    <w:p>
      <w:pPr>
        <w:pStyle w:val="BodyText"/>
      </w:pPr>
      <w:r>
        <w:t xml:space="preserve">For example, drug may move from a manufacturer to a central depot in the European Union, then to a regional depot in China, and finally to participating hospitals. Each transfer takes time. International shipments may require customs clearance lasting several weeks or, in difficult cases, several months.</w:t>
      </w:r>
    </w:p>
    <w:p>
      <w:pPr>
        <w:pStyle w:val="BodyText"/>
      </w:pPr>
      <w:r>
        <w:t xml:space="preserve">This paper models distribution as a one-way flow. It does not model returns or redistribution between locations. Some trials allow limited returns or transfers, but these processes add time, cost, and regulatory complexity. Drug cannot be recovered after it has been used or has expired.</w:t>
      </w:r>
    </w:p>
    <w:bookmarkStart w:id="11" w:name="manufacturing-before-demand-is-known"/>
    <w:p>
      <w:pPr>
        <w:pStyle w:val="Heading3"/>
      </w:pPr>
      <w:r>
        <w:t xml:space="preserve">2.1 Manufacturing before demand is known</w:t>
      </w:r>
    </w:p>
    <w:p>
      <w:pPr>
        <w:pStyle w:val="FirstParagraph"/>
      </w:pPr>
      <w:r>
        <w:t xml:space="preserve">Manufacturers produce clinical drug in batches. A batch contains a set quantity, even when the trial does not need all of it immediately. This creates a basic planning problem. Production must begin before enrollment and patient demand are known.</w:t>
      </w:r>
    </w:p>
    <w:p>
      <w:pPr>
        <w:pStyle w:val="BodyText"/>
      </w:pPr>
      <w:r>
        <w:t xml:space="preserve">Phase 1 and Phase 2 trials often use small batches made in-house by a Product Development team. These teams may have some flexibility to adjust production timing and quantity. Phase 3 programs often shift production to a large commercial manufacturer. In some programs, this manufacturer may later supply pharmacies if the drug receives regulatory approval.</w:t>
      </w:r>
    </w:p>
    <w:p>
      <w:pPr>
        <w:pStyle w:val="BodyText"/>
      </w:pPr>
      <w:r>
        <w:t xml:space="preserve">The Phase 3 shift brings important trade-offs: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Manufacturing setting</w:t>
            </w:r>
          </w:p>
        </w:tc>
        <w:tc>
          <w:tcPr/>
          <w:p>
            <w:pPr>
              <w:pStyle w:val="Compact"/>
            </w:pPr>
            <w:r>
              <w:t xml:space="preserve">Typical advantages</w:t>
            </w:r>
          </w:p>
        </w:tc>
        <w:tc>
          <w:tcPr/>
          <w:p>
            <w:pPr>
              <w:pStyle w:val="Compact"/>
            </w:pPr>
            <w:r>
              <w:t xml:space="preserve">Typical constraints</w:t>
            </w:r>
          </w:p>
        </w:tc>
      </w:tr>
      <w:tr>
        <w:tc>
          <w:tcPr/>
          <w:p>
            <w:pPr>
              <w:pStyle w:val="Compact"/>
            </w:pPr>
            <w:r>
              <w:t xml:space="preserve">Small in-house batches</w:t>
            </w:r>
          </w:p>
        </w:tc>
        <w:tc>
          <w:tcPr/>
          <w:p>
            <w:pPr>
              <w:pStyle w:val="Compact"/>
            </w:pPr>
            <w:r>
              <w:t xml:space="preserve">Smaller quantities and greater scheduling flexibility</w:t>
            </w:r>
          </w:p>
        </w:tc>
        <w:tc>
          <w:tcPr/>
          <w:p>
            <w:pPr>
              <w:pStyle w:val="Compact"/>
            </w:pPr>
            <w:r>
              <w:t xml:space="preserve">Limited capacity and higher effort per unit</w:t>
            </w:r>
          </w:p>
        </w:tc>
      </w:tr>
      <w:tr>
        <w:tc>
          <w:tcPr/>
          <w:p>
            <w:pPr>
              <w:pStyle w:val="Compact"/>
            </w:pPr>
            <w:r>
              <w:t xml:space="preserve">Commercial manufacturing</w:t>
            </w:r>
          </w:p>
        </w:tc>
        <w:tc>
          <w:tcPr/>
          <w:p>
            <w:pPr>
              <w:pStyle w:val="Compact"/>
            </w:pPr>
            <w:r>
              <w:t xml:space="preserve">Large-scale, standardized production</w:t>
            </w:r>
          </w:p>
        </w:tc>
        <w:tc>
          <w:tcPr/>
          <w:p>
            <w:pPr>
              <w:pStyle w:val="Compact"/>
            </w:pPr>
            <w:r>
              <w:t xml:space="preserve">Larger minimum batches, longer planning cycles, and less flexibility</w:t>
            </w:r>
          </w:p>
        </w:tc>
      </w:tr>
    </w:tbl>
    <w:p>
      <w:pPr>
        <w:pStyle w:val="BodyText"/>
      </w:pPr>
      <w:r>
        <w:t xml:space="preserve">Producing too little may interrupt treatment. Producing too much increases the risk that drug will expire. This risk cannot be removed because production decisions must be made before actual demand is known.</w:t>
      </w:r>
    </w:p>
    <w:bookmarkEnd w:id="11"/>
    <w:bookmarkStart w:id="12" w:name="three-inventory-tiers"/>
    <w:p>
      <w:pPr>
        <w:pStyle w:val="Heading3"/>
      </w:pPr>
      <w:r>
        <w:t xml:space="preserve">2.2 Three inventory tiers</w:t>
      </w:r>
    </w:p>
    <w:p>
      <w:pPr>
        <w:pStyle w:val="FirstParagraph"/>
      </w:pPr>
      <w:r>
        <w:t xml:space="preserve">This paper models three inventory tiers: the EU central depot, regional depots, and clinical sites. Each tier holds stock and follows defined operating rules.</w:t>
      </w:r>
    </w:p>
    <w:p>
      <w:pPr>
        <w:pStyle w:val="BodyText"/>
      </w:pPr>
      <w:r>
        <w:t xml:space="preserve">Initial stocking is separate from ongoing resupply. At study start, the sponsor sends a defined quantity to each depot. A starting quantity is then sent to each clinical site when that site is initiated. Too little initial stock can cause an early stock-out. Too much can expire at sites that enroll slowly. The sensitivity analysis in Section 4 does not vary initial site stock. Initial site stock is therefore a candidate for future optimization.</w:t>
      </w:r>
    </w:p>
    <w:p>
      <w:pPr>
        <w:pStyle w:val="BodyText"/>
      </w:pPr>
      <w:r>
        <w:t xml:space="preserve">After startup, Interactive Response Technology, or IRT, manages randomization and drug supply. The broader term Randomization and Trial Supply Management, or RTSM, is also commonly used. This electronic system assigns patients to treatment groups, identifies the kit to dispense, records inventory, and triggers resupply. Its operating rules must closely match the assumptions used in the simulation. Otherwise, the simulation may recommend a policy that the live trial does not follow.</w:t>
      </w:r>
    </w:p>
    <w:p>
      <w:pPr>
        <w:pStyle w:val="BodyText"/>
      </w:pPr>
      <w:r>
        <w:t xml:space="preserve">Key inventory rules include: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Plain-language meaning</w:t>
            </w:r>
          </w:p>
        </w:tc>
      </w:tr>
      <w:tr>
        <w:tc>
          <w:tcPr/>
          <w:p>
            <w:pPr>
              <w:pStyle w:val="Compact"/>
            </w:pPr>
            <w:r>
              <w:t xml:space="preserve">Resupply trigger</w:t>
            </w:r>
          </w:p>
        </w:tc>
        <w:tc>
          <w:tcPr/>
          <w:p>
            <w:pPr>
              <w:pStyle w:val="Compact"/>
            </w:pPr>
            <w:r>
              <w:t xml:space="preserve">The system orders more drug when usable stock falls below a defined minimum.</w:t>
            </w:r>
          </w:p>
        </w:tc>
      </w:tr>
      <w:tr>
        <w:tc>
          <w:tcPr/>
          <w:p>
            <w:pPr>
              <w:pStyle w:val="Compact"/>
            </w:pPr>
            <w:r>
              <w:t xml:space="preserve">FEFO</w:t>
            </w:r>
          </w:p>
        </w:tc>
        <w:tc>
          <w:tcPr/>
          <w:p>
            <w:pPr>
              <w:pStyle w:val="Compact"/>
            </w:pPr>
            <w:r>
              <w:t xml:space="preserve">“First Expired, First Out.” Staff dispense the kit with the earliest expiry date first.</w:t>
            </w:r>
          </w:p>
        </w:tc>
      </w:tr>
      <w:tr>
        <w:tc>
          <w:tcPr/>
          <w:p>
            <w:pPr>
              <w:pStyle w:val="Compact"/>
            </w:pPr>
            <w:r>
              <w:t xml:space="preserve">DND</w:t>
            </w:r>
          </w:p>
        </w:tc>
        <w:tc>
          <w:tcPr/>
          <w:p>
            <w:pPr>
              <w:pStyle w:val="Compact"/>
            </w:pPr>
            <w:r>
              <w:t xml:space="preserve">“Do Not Dispense.” A kit cannot be given to a patient when it is within 13 days of expiry.</w:t>
            </w:r>
          </w:p>
        </w:tc>
      </w:tr>
      <w:tr>
        <w:tc>
          <w:tcPr/>
          <w:p>
            <w:pPr>
              <w:pStyle w:val="Compact"/>
            </w:pPr>
            <w:r>
              <w:t xml:space="preserve">DNS</w:t>
            </w:r>
          </w:p>
        </w:tc>
        <w:tc>
          <w:tcPr/>
          <w:p>
            <w:pPr>
              <w:pStyle w:val="Compact"/>
            </w:pPr>
            <w:r>
              <w:t xml:space="preserve">“Do Not Ship.” A kit cannot be shipped if its expected remaining shelf life on arrival is below the minimum required for the receiving tier.</w:t>
            </w:r>
          </w:p>
        </w:tc>
      </w:tr>
      <w:tr>
        <w:tc>
          <w:tcPr/>
          <w:p>
            <w:pPr>
              <w:pStyle w:val="Compact"/>
            </w:pPr>
            <w:r>
              <w:t xml:space="preserve">DNC</w:t>
            </w:r>
          </w:p>
        </w:tc>
        <w:tc>
          <w:tcPr/>
          <w:p>
            <w:pPr>
              <w:pStyle w:val="Compact"/>
            </w:pPr>
            <w:r>
              <w:t xml:space="preserve">“Do Not Count.” A kit may be physically present but excluded from the usable inventory count, such as when it has entered the DND window.</w:t>
            </w:r>
          </w:p>
        </w:tc>
      </w:tr>
    </w:tbl>
    <w:p>
      <w:pPr>
        <w:pStyle w:val="BodyText"/>
      </w:pPr>
      <w:r>
        <w:t xml:space="preserve">The 13-day DND window is a sponsor-defined quality threshold. It reflects the minimum usable life needed to support patient visits and dispensing safety checks.</w:t>
      </w:r>
    </w:p>
    <w:p>
      <w:pPr>
        <w:pStyle w:val="BodyText"/>
      </w:pPr>
      <w:r>
        <w:t xml:space="preserve">Shelf life is not the only condition for use in an actual trial. A site pharmacist must also confirm receipt in the RTSM system before a newly arrived kit becomes available for dispensing. This process includes checking the quantity, packaging integrity, labeling, temperature records, and remaining shelf life. The current simulation models the shelf-life DND rule. It does not model the additional receipt-confirmation step.</w:t>
      </w:r>
    </w:p>
    <w:p>
      <w:pPr>
        <w:pStyle w:val="BodyText"/>
      </w:pPr>
      <w:r>
        <w:t xml:space="preserve">Appendix A describes the DNS rule through minimum remaining shelf-life requirements at depot and site receipt.</w:t>
      </w:r>
    </w:p>
    <w:bookmarkEnd w:id="12"/>
    <w:bookmarkStart w:id="13" w:name="why-supply-is-difficult-to-predict"/>
    <w:p>
      <w:pPr>
        <w:pStyle w:val="Heading3"/>
      </w:pPr>
      <w:r>
        <w:t xml:space="preserve">2.3 Why supply is difficult to predict</w:t>
      </w:r>
    </w:p>
    <w:p>
      <w:pPr>
        <w:pStyle w:val="FirstParagraph"/>
      </w:pPr>
      <w:r>
        <w:t xml:space="preserve">Four uncertainties interact:</w:t>
      </w:r>
    </w:p>
    <w:p>
      <w:pPr>
        <w:pStyle w:val="Compact"/>
        <w:numPr>
          <w:ilvl w:val="0"/>
          <w:numId w:val="1001"/>
        </w:numPr>
      </w:pPr>
      <w:r>
        <w:t xml:space="preserve">Enrollment may start late or proceed faster or slower than expected.</w:t>
      </w:r>
    </w:p>
    <w:p>
      <w:pPr>
        <w:pStyle w:val="Compact"/>
        <w:numPr>
          <w:ilvl w:val="0"/>
          <w:numId w:val="1001"/>
        </w:numPr>
      </w:pPr>
      <w:r>
        <w:t xml:space="preserve">Randomization, meaning assignment by chance to a treatment group, makes demand by treatment arm uncertain.</w:t>
      </w:r>
    </w:p>
    <w:p>
      <w:pPr>
        <w:pStyle w:val="Compact"/>
        <w:numPr>
          <w:ilvl w:val="0"/>
          <w:numId w:val="1001"/>
        </w:numPr>
      </w:pPr>
      <w:r>
        <w:t xml:space="preserve">Manufacturing, shipping, and customs lead times vary.</w:t>
      </w:r>
    </w:p>
    <w:p>
      <w:pPr>
        <w:pStyle w:val="Compact"/>
        <w:numPr>
          <w:ilvl w:val="0"/>
          <w:numId w:val="1001"/>
        </w:numPr>
      </w:pPr>
      <w:r>
        <w:t xml:space="preserve">Every kit has a limited shelf life.</w:t>
      </w:r>
    </w:p>
    <w:p>
      <w:pPr>
        <w:pStyle w:val="FirstParagraph"/>
      </w:pPr>
      <w:r>
        <w:t xml:space="preserve">Together, these factors create a</w:t>
      </w:r>
      <w:r>
        <w:t xml:space="preserve"> </w:t>
      </w:r>
      <w:r>
        <w:rPr>
          <w:b/>
          <w:bCs/>
        </w:rPr>
        <w:t xml:space="preserve">shelf-life-constrained supply chain</w:t>
      </w:r>
      <w:r>
        <w:t xml:space="preserve">. Stock must reach the correct place for the correct treatment arm before the scheduled visit. It must also have enough remaining shelf life to be usable.</w:t>
      </w:r>
    </w:p>
    <w:p>
      <w:pPr>
        <w:pStyle w:val="BodyText"/>
      </w:pPr>
      <w:r>
        <w:t xml:space="preserve">Some waste drivers are largely fixed for a given trial. These include the number of countries and depots, required label languages, customs requirements, and drug shelf life. Other drivers can be adjusted by the study team. These include initial stock quantities and ongoing resupply thresholds. Optimization should focus mainly on these adjustable decisions.</w:t>
      </w:r>
    </w:p>
    <w:bookmarkEnd w:id="13"/>
    <w:bookmarkStart w:id="14" w:name="service-waste-and-cost-measures"/>
    <w:p>
      <w:pPr>
        <w:pStyle w:val="Heading3"/>
      </w:pPr>
      <w:r>
        <w:t xml:space="preserve">2.4 Service, waste, and cost measures</w:t>
      </w:r>
    </w:p>
    <w:p>
      <w:pPr>
        <w:pStyle w:val="FirstParagraph"/>
      </w:pPr>
      <w:r>
        <w:t xml:space="preserve">A stock-out occurs when no usable kit for the correct treatment arm is available at a scheduled patient visit. A stock-out can cause a missed visit, interrupt treatment, or extend the trial timeline. Delays may also reduce the effective period of patent exclusivity after approval.</w:t>
      </w:r>
    </w:p>
    <w:p>
      <w:pPr>
        <w:pStyle w:val="BodyText"/>
      </w:pPr>
      <w:r>
        <w:t xml:space="preserve">Many sponsors use a stock-out tolerance of 0% to 5% as a planning convention. The appropriate limit depends on disease severity, patient vulnerability, and the availability of alternative treatments.</w:t>
      </w:r>
    </w:p>
    <w:p>
      <w:pPr>
        <w:pStyle w:val="BodyText"/>
      </w:pPr>
      <w:r>
        <w:t xml:space="preserve">This paper distinguishes two waste measures that should not be confused: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Waste measure</w:t>
            </w:r>
          </w:p>
        </w:tc>
        <w:tc>
          <w:tcPr/>
          <w:p>
            <w:pPr>
              <w:pStyle w:val="Compact"/>
            </w:pPr>
            <w:r>
              <w:t xml:space="preserve">Definition and interpretation</w:t>
            </w:r>
          </w:p>
        </w:tc>
      </w:tr>
      <w:tr>
        <w:tc>
          <w:tcPr/>
          <w:p>
            <w:pPr>
              <w:pStyle w:val="Compact"/>
            </w:pPr>
            <w:r>
              <w:t xml:space="preserve">Operational waste ratio</w:t>
            </w:r>
          </w:p>
        </w:tc>
        <w:tc>
          <w:tcPr/>
          <w:p>
            <w:pPr>
              <w:pStyle w:val="Compact"/>
            </w:pPr>
            <w:r>
              <w:t xml:space="preserve">Kits shipped minus kits used, divided by kits used. For example, if 140 kits are shipped and 100 are used, the ratio is 40%. Published planning ranges of 30% to 50% commonly use this shipped-based definition (Anisimov, 2010; Peterson et al., 2004).</w:t>
            </w:r>
          </w:p>
        </w:tc>
      </w:tr>
      <w:tr>
        <w:tc>
          <w:tcPr/>
          <w:p>
            <w:pPr>
              <w:pStyle w:val="Compact"/>
            </w:pPr>
            <w:r>
              <w:t xml:space="preserve">Full-chain waste rate</w:t>
            </w:r>
          </w:p>
        </w:tc>
        <w:tc>
          <w:tcPr/>
          <w:p>
            <w:pPr>
              <w:pStyle w:val="Compact"/>
            </w:pPr>
            <w:r>
              <w:t xml:space="preserve">Drug that expires or is damaged at the central depot, regional depots, or clinical sites, stated as a percentage of all drug produced. This is the primary waste measure in this paper.</w:t>
            </w:r>
          </w:p>
        </w:tc>
      </w:tr>
    </w:tbl>
    <w:p>
      <w:pPr>
        <w:pStyle w:val="BodyText"/>
      </w:pPr>
      <w:r>
        <w:t xml:space="preserve">The measures answer different questions. The operational waste ratio compares distributed drug with drug used. The full-chain waste rate also captures losses before drug reaches a clinical site. Section 4 explains why the full-chain measure is more useful as the primary optimization measure.</w:t>
      </w:r>
    </w:p>
    <w:p>
      <w:pPr>
        <w:pStyle w:val="BodyText"/>
      </w:pPr>
      <w:r>
        <w:t xml:space="preserve">This paper shows the 30% to 50% range as a planning reference when reviewing full-chain results. However, the published range generally uses the operational, shipped-based definition. It is not a directly comparable benchmark for full-chain waste because the two measures use different denominators. Every comparison must therefore state which definition is being used.</w:t>
      </w:r>
    </w:p>
    <w:p>
      <w:pPr>
        <w:pStyle w:val="BodyText"/>
      </w:pPr>
      <w:r>
        <w:t xml:space="preserve">The main performance indicators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Definition or target</w:t>
            </w:r>
          </w:p>
        </w:tc>
      </w:tr>
      <w:tr>
        <w:tc>
          <w:tcPr/>
          <w:p>
            <w:pPr>
              <w:pStyle w:val="Compact"/>
            </w:pPr>
            <w:r>
              <w:t xml:space="preserve">Stock-out rate</w:t>
            </w:r>
          </w:p>
        </w:tc>
        <w:tc>
          <w:tcPr/>
          <w:p>
            <w:pPr>
              <w:pStyle w:val="Compact"/>
            </w:pPr>
            <w:r>
              <w:t xml:space="preserve">Percentage of scheduled patient visits at which no usable kit for the correct treatment arm is available; target below 5%.</w:t>
            </w:r>
          </w:p>
        </w:tc>
      </w:tr>
      <w:tr>
        <w:tc>
          <w:tcPr/>
          <w:p>
            <w:pPr>
              <w:pStyle w:val="Compact"/>
            </w:pPr>
            <w:r>
              <w:t xml:space="preserve">Full-chain waste rate</w:t>
            </w:r>
          </w:p>
        </w:tc>
        <w:tc>
          <w:tcPr/>
          <w:p>
            <w:pPr>
              <w:pStyle w:val="Compact"/>
            </w:pPr>
            <w:r>
              <w:t xml:space="preserve">Percentage of total drug produced that expires or is damaged anywhere in the supply chain. This paper shows 30% to 50% as a planning reference, while recognizing that the published range generally uses a different denominator.</w:t>
            </w:r>
          </w:p>
        </w:tc>
      </w:tr>
      <w:tr>
        <w:tc>
          <w:tcPr/>
          <w:p>
            <w:pPr>
              <w:pStyle w:val="Compact"/>
            </w:pPr>
            <w:r>
              <w:t xml:space="preserve">Logistics cost</w:t>
            </w:r>
          </w:p>
        </w:tc>
        <w:tc>
          <w:tcPr/>
          <w:p>
            <w:pPr>
              <w:pStyle w:val="Compact"/>
            </w:pPr>
            <w:r>
              <w:t xml:space="preserve">Shipping, packaging, and handling costs driven by shipment frequency, shipment size, and temperature-control requirements. This paper assesses this measure qualitatively.</w:t>
            </w:r>
          </w:p>
        </w:tc>
      </w:tr>
    </w:tbl>
    <w:p>
      <w:pPr>
        <w:pStyle w:val="BodyText"/>
      </w:pPr>
      <w:r>
        <w:t xml:space="preserve">Smaller, more frequent shipments can reduce expiry, but they increase logistics cost. Consider a shipping carton that holds four kits. If most packaging and transport costs are fixed for each shipment, sending one kit in each of four separate shipments may cost about four times as much as sending all four kits together. Actual costs depend on freight rates, shipment distance, packaging, and handling requirements.</w:t>
      </w:r>
    </w:p>
    <w:p>
      <w:pPr>
        <w:pStyle w:val="BodyText"/>
      </w:pPr>
      <w:r>
        <w:t xml:space="preserve">Cold-chain transport, meaning temperature-controlled storage and shipping, can increase these costs further. Some biologic products require ultra-cold conditions, which can make each shipment especially expensive.</w:t>
      </w:r>
    </w:p>
    <w:p>
      <w:pPr>
        <w:pStyle w:val="BodyText"/>
      </w:pPr>
      <w:r>
        <w:t xml:space="preserve">In this paper, logistics cost includes shipping, packaging, and handling only. It excludes the cost of manufacturing the Investigational Medicinal Product, or IMP, which is the drug being tested in the trial. Manufacturing is a separate and often much larger cost driver. Quantifying logistics cost requires study-specific freight, packaging, and handling rates. The current analysis therefore treats logistics cost qualitatively. Section 6 presents quantified cost modeling as a future extension.</w:t>
      </w:r>
    </w:p>
    <w:p>
      <w:pPr>
        <w:pStyle w:val="BodyText"/>
      </w:pPr>
      <w:r>
        <w:t xml:space="preserve">Expiry also creates an environmental burden. Every discarded kit represents wasted manufacturing materials, packaging, energy, transport, and disposal effort. The model does not directly estimate environmental impact. However, sustainability provides an additional reason, beyond financial cost, to reduce waste.</w:t>
      </w:r>
    </w:p>
    <w:p>
      <w:pPr>
        <w:pStyle w:val="BodyText"/>
      </w:pPr>
      <w:r>
        <w:t xml:space="preserve">The simulation approach presented later builds on the statistical modeling foundation described by Anisimov (2010) and Lefew, Ninh, and Anisimov (2021). It translates those concepts into operational decisions that supply chain, clinical operations, and statistical teams can evaluate together.</w:t>
      </w:r>
    </w:p>
    <w:p>
      <w:r>
        <w:pict>
          <v:rect style="width:0;height:1.5pt" o:hralign="center" o:hrstd="t" o:hr="t"/>
        </w:pict>
      </w:r>
    </w:p>
    <w:bookmarkEnd w:id="14"/>
    <w:bookmarkEnd w:id="15"/>
    <w:bookmarkStart w:id="20" w:name="stochastic-simulation-framework"/>
    <w:p>
      <w:pPr>
        <w:pStyle w:val="Heading2"/>
      </w:pPr>
      <w:r>
        <w:t xml:space="preserve">3. Stochastic Simulation Framework</w:t>
      </w:r>
    </w:p>
    <w:p>
      <w:pPr>
        <w:pStyle w:val="FirstParagraph"/>
      </w:pPr>
      <w:r>
        <w:t xml:space="preserve">This framework uses a hypothetical but realistic Phase 2b/3 confirmatory trial. It does not represent a specific approved or ongoing study. The trial uses weight-based dosing. Patients are grouped by body weight and receive different kit quantities based on their group. The grouping uses body weight, not body mass index, or BMI. Weight-based dosing is a common design feature in late-stage oncology, metabolic, and rare disease development.</w:t>
      </w:r>
    </w:p>
    <w:p>
      <w:pPr>
        <w:pStyle w:val="BodyText"/>
      </w:pPr>
      <w:r>
        <w:t xml:space="preserve">The example includes 250 patients, 23 clinical sites, and two treatment arms. Appendix A provides the full list of trial, supply, and operating parameters.</w:t>
      </w:r>
    </w:p>
    <w:bookmarkStart w:id="16" w:name="modeling-patient-enrollment"/>
    <w:p>
      <w:pPr>
        <w:pStyle w:val="Heading3"/>
      </w:pPr>
      <w:r>
        <w:t xml:space="preserve">3.1 Modeling patient enrollment</w:t>
      </w:r>
    </w:p>
    <w:p>
      <w:pPr>
        <w:pStyle w:val="FirstParagraph"/>
      </w:pPr>
      <w:r>
        <w:t xml:space="preserve">Sites rarely recruit patients at the same pace. A large specialist hospital may enroll several patients each month. A smaller site may enroll only occasionally. Some activated sites may never enroll a patient.</w:t>
      </w:r>
    </w:p>
    <w:p>
      <w:pPr>
        <w:pStyle w:val="BodyText"/>
      </w:pPr>
      <w:r>
        <w:t xml:space="preserve">The simulation assigns each site to one of three enrollment tiers: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Enrollment tier</w:t>
            </w:r>
          </w:p>
        </w:tc>
        <w:tc>
          <w:tcPr/>
          <w:p>
            <w:pPr>
              <w:pStyle w:val="Compact"/>
              <w:jc w:val="right"/>
            </w:pPr>
            <w:r>
              <w:t xml:space="preserve">Successful enrollments per month</w:t>
            </w:r>
          </w:p>
        </w:tc>
        <w:tc>
          <w:tcPr/>
          <w:p>
            <w:pPr>
              <w:pStyle w:val="Compact"/>
            </w:pPr>
            <w:r>
              <w:t xml:space="preserve">Practical interpretation</w:t>
            </w:r>
          </w:p>
        </w:tc>
      </w:tr>
      <w:tr>
        <w:tc>
          <w:tcPr/>
          <w:p>
            <w:pPr>
              <w:pStyle w:val="Compact"/>
            </w:pPr>
            <w:r>
              <w:t xml:space="preserve">Low</w:t>
            </w:r>
          </w:p>
        </w:tc>
        <w:tc>
          <w:tcPr/>
          <w:p>
            <w:pPr>
              <w:pStyle w:val="Compact"/>
              <w:jc w:val="right"/>
            </w:pPr>
            <w:r>
              <w:t xml:space="preserve">1</w:t>
            </w:r>
          </w:p>
        </w:tc>
        <w:tc>
          <w:tcPr/>
          <w:p>
            <w:pPr>
              <w:pStyle w:val="Compact"/>
            </w:pPr>
            <w:r>
              <w:t xml:space="preserve">A site enrolls about one patient each month.</w:t>
            </w:r>
          </w:p>
        </w:tc>
      </w:tr>
      <w:tr>
        <w:tc>
          <w:tcPr/>
          <w:p>
            <w:pPr>
              <w:pStyle w:val="Compact"/>
            </w:pPr>
            <w:r>
              <w:t xml:space="preserve">Medium</w:t>
            </w:r>
          </w:p>
        </w:tc>
        <w:tc>
          <w:tcPr/>
          <w:p>
            <w:pPr>
              <w:pStyle w:val="Compact"/>
              <w:jc w:val="right"/>
            </w:pPr>
            <w:r>
              <w:t xml:space="preserve">2</w:t>
            </w:r>
          </w:p>
        </w:tc>
        <w:tc>
          <w:tcPr/>
          <w:p>
            <w:pPr>
              <w:pStyle w:val="Compact"/>
            </w:pPr>
            <w:r>
              <w:t xml:space="preserve">A site enrolls about two patients each month.</w:t>
            </w:r>
          </w:p>
        </w:tc>
      </w:tr>
      <w:tr>
        <w:tc>
          <w:tcPr/>
          <w:p>
            <w:pPr>
              <w:pStyle w:val="Compact"/>
            </w:pPr>
            <w:r>
              <w:t xml:space="preserve">High</w:t>
            </w:r>
          </w:p>
        </w:tc>
        <w:tc>
          <w:tcPr/>
          <w:p>
            <w:pPr>
              <w:pStyle w:val="Compact"/>
              <w:jc w:val="right"/>
            </w:pPr>
            <w:r>
              <w:t xml:space="preserve">4</w:t>
            </w:r>
          </w:p>
        </w:tc>
        <w:tc>
          <w:tcPr/>
          <w:p>
            <w:pPr>
              <w:pStyle w:val="Compact"/>
            </w:pPr>
            <w:r>
              <w:t xml:space="preserve">A high-performing site enrolls about one patient each week.</w:t>
            </w:r>
          </w:p>
        </w:tc>
      </w:tr>
    </w:tbl>
    <w:p>
      <w:pPr>
        <w:pStyle w:val="BodyText"/>
      </w:pPr>
      <w:r>
        <w:t xml:space="preserve">These rates describe successful enrollment after screening. They do not represent the number of patients screened.</w:t>
      </w:r>
    </w:p>
    <w:p>
      <w:pPr>
        <w:pStyle w:val="BodyText"/>
      </w:pPr>
      <w:r>
        <w:t xml:space="preserve">The model assumes that 35% of screened patients fail screening. A screen failure occurs when a potential participant does not meet the study requirements or does not proceed to randomization. These patients create screening work for sites but do not generate treatment demand. This distinction matters when clinical operations data report screening activity rather than actual enrollment.</w:t>
      </w:r>
    </w:p>
    <w:p>
      <w:pPr>
        <w:pStyle w:val="BodyText"/>
      </w:pPr>
      <w:r>
        <w:t xml:space="preserve">The model also assumes that 15% of sites never enroll a patient. These sites still receive their initial stock when they open. That stock may remain unused until it expires. This is a common source of waste, especially when a trial opens many sites to protect against slow overall enrollment.</w:t>
      </w:r>
    </w:p>
    <w:p>
      <w:pPr>
        <w:pStyle w:val="BodyText"/>
      </w:pPr>
      <w:r>
        <w:t xml:space="preserve">Patient demand also changes after enrollment. The model assumes that 20% of enrolled patients discontinue treatment during the 52-week treatment period. Discontinuation may occur because of adverse events, lack of treatment benefit, withdrawal of consent, or other clinical reasons.</w:t>
      </w:r>
    </w:p>
    <w:p>
      <w:pPr>
        <w:pStyle w:val="BodyText"/>
      </w:pPr>
      <w:r>
        <w:t xml:space="preserve">The simulation models discontinuation directly. Once a patient discontinues, future scheduled doses no longer create demand. If discontinuation is omitted, the model treats every enrolled patient as completing all planned visits. That can overestimate total drug demand by about 10% to 15%. The resulting production plan may create unnecessary stock and expiry.</w:t>
      </w:r>
    </w:p>
    <w:bookmarkEnd w:id="16"/>
    <w:bookmarkStart w:id="17" w:name="how-the-simulation-runs-day-by-day"/>
    <w:p>
      <w:pPr>
        <w:pStyle w:val="Heading3"/>
      </w:pPr>
      <w:r>
        <w:t xml:space="preserve">3.2 How the simulation runs day by day</w:t>
      </w:r>
    </w:p>
    <w:p>
      <w:pPr>
        <w:pStyle w:val="FirstParagraph"/>
      </w:pPr>
      <w:r>
        <w:t xml:space="preserve">The simulation uses a daily time step over a horizon of about 850 days. This means that the model updates enrollment, patient visits, inventory, shipments, and expiry once for each simulated calendar day. This level of detail captures timing gaps that monthly planning models can miss.</w:t>
      </w:r>
    </w:p>
    <w:p>
      <w:pPr>
        <w:pStyle w:val="BodyText"/>
      </w:pPr>
      <w:r>
        <w:t xml:space="preserve">For example, a site may have stock at the beginning and end of a month but still experience a stock-out on a visit day in the middle of that month. The daily model records that event.</w:t>
      </w:r>
    </w:p>
    <w:p>
      <w:pPr>
        <w:pStyle w:val="BodyText"/>
      </w:pPr>
      <w:r>
        <w:t xml:space="preserve">Each simulated day follows the same operating sequence:</w:t>
      </w:r>
    </w:p>
    <w:p>
      <w:pPr>
        <w:pStyle w:val="Compact"/>
        <w:numPr>
          <w:ilvl w:val="0"/>
          <w:numId w:val="1002"/>
        </w:numPr>
      </w:pPr>
      <w:r>
        <w:rPr>
          <w:b/>
          <w:bCs/>
        </w:rPr>
        <w:t xml:space="preserve">Process enrollment.</w:t>
      </w:r>
      <w:r>
        <w:t xml:space="preserve"> </w:t>
      </w:r>
      <w:r>
        <w:t xml:space="preserve">Eligible patients enter the trial at active sites.</w:t>
      </w:r>
    </w:p>
    <w:p>
      <w:pPr>
        <w:pStyle w:val="Compact"/>
        <w:numPr>
          <w:ilvl w:val="0"/>
          <w:numId w:val="1002"/>
        </w:numPr>
      </w:pPr>
      <w:r>
        <w:rPr>
          <w:b/>
          <w:bCs/>
        </w:rPr>
        <w:t xml:space="preserve">Process visit attendance.</w:t>
      </w:r>
      <w:r>
        <w:t xml:space="preserve"> </w:t>
      </w:r>
      <w:r>
        <w:t xml:space="preserve">Enrolled patients reach scheduled treatment visits, subject to timing variation and discontinuation.</w:t>
      </w:r>
    </w:p>
    <w:p>
      <w:pPr>
        <w:pStyle w:val="Compact"/>
        <w:numPr>
          <w:ilvl w:val="0"/>
          <w:numId w:val="1002"/>
        </w:numPr>
      </w:pPr>
      <w:r>
        <w:rPr>
          <w:b/>
          <w:bCs/>
        </w:rPr>
        <w:t xml:space="preserve">Dispense kits.</w:t>
      </w:r>
      <w:r>
        <w:t xml:space="preserve"> </w:t>
      </w:r>
      <w:r>
        <w:t xml:space="preserve">The site identifies the required treatment arm, kit type, and quantity. It first excludes stock within the 13-day Do Not Dispense, or DND, window. It then applies First Expired, First Out, or FEFO, to the remaining usable stock.</w:t>
      </w:r>
    </w:p>
    <w:p>
      <w:pPr>
        <w:pStyle w:val="Compact"/>
        <w:numPr>
          <w:ilvl w:val="0"/>
          <w:numId w:val="1002"/>
        </w:numPr>
      </w:pPr>
      <w:r>
        <w:rPr>
          <w:b/>
          <w:bCs/>
        </w:rPr>
        <w:t xml:space="preserve">Review site inventory when scheduled.</w:t>
      </w:r>
      <w:r>
        <w:t xml:space="preserve"> </w:t>
      </w:r>
      <w:r>
        <w:t xml:space="preserve">Sites perform this review once each week. If usable stock is below the trigger, the site orders enough stock to reach its target.</w:t>
      </w:r>
    </w:p>
    <w:p>
      <w:pPr>
        <w:pStyle w:val="Compact"/>
        <w:numPr>
          <w:ilvl w:val="0"/>
          <w:numId w:val="1002"/>
        </w:numPr>
      </w:pPr>
      <w:r>
        <w:rPr>
          <w:b/>
          <w:bCs/>
        </w:rPr>
        <w:t xml:space="preserve">Process depot orders and shipments.</w:t>
      </w:r>
      <w:r>
        <w:t xml:space="preserve"> </w:t>
      </w:r>
      <w:r>
        <w:t xml:space="preserve">Depots prepare eligible stock and move it through the distribution network after the relevant processing and transport delays.</w:t>
      </w:r>
    </w:p>
    <w:p>
      <w:pPr>
        <w:pStyle w:val="Compact"/>
        <w:numPr>
          <w:ilvl w:val="0"/>
          <w:numId w:val="1002"/>
        </w:numPr>
      </w:pPr>
      <w:r>
        <w:rPr>
          <w:b/>
          <w:bCs/>
        </w:rPr>
        <w:t xml:space="preserve">Receive manufacturing batches.</w:t>
      </w:r>
      <w:r>
        <w:t xml:space="preserve"> </w:t>
      </w:r>
      <w:r>
        <w:t xml:space="preserve">Completed batches enter the EU central depot on their planned arrival dates.</w:t>
      </w:r>
    </w:p>
    <w:p>
      <w:pPr>
        <w:pStyle w:val="Compact"/>
        <w:numPr>
          <w:ilvl w:val="0"/>
          <w:numId w:val="1002"/>
        </w:numPr>
      </w:pPr>
      <w:r>
        <w:rPr>
          <w:b/>
          <w:bCs/>
        </w:rPr>
        <w:t xml:space="preserve">Remove expired stock.</w:t>
      </w:r>
      <w:r>
        <w:t xml:space="preserve"> </w:t>
      </w:r>
      <w:r>
        <w:t xml:space="preserve">An end-of-day sweep identifies expired kits at every location and records them as waste.</w:t>
      </w:r>
    </w:p>
    <w:p>
      <w:pPr>
        <w:pStyle w:val="FirstParagraph"/>
      </w:pPr>
      <w:r>
        <w:t xml:space="preserve">Each kit is tracked separately. Its record includes:</w:t>
      </w:r>
    </w:p>
    <w:p>
      <w:pPr>
        <w:pStyle w:val="Compact"/>
        <w:numPr>
          <w:ilvl w:val="0"/>
          <w:numId w:val="1003"/>
        </w:numPr>
      </w:pPr>
      <w:r>
        <w:t xml:space="preserve">Kit type: 5 ml, 2.5 ml, or 7.5 ml</w:t>
      </w:r>
    </w:p>
    <w:p>
      <w:pPr>
        <w:pStyle w:val="Compact"/>
        <w:numPr>
          <w:ilvl w:val="0"/>
          <w:numId w:val="1003"/>
        </w:numPr>
      </w:pPr>
      <w:r>
        <w:t xml:space="preserve">Treatment arm: A or B</w:t>
      </w:r>
    </w:p>
    <w:p>
      <w:pPr>
        <w:pStyle w:val="Compact"/>
        <w:numPr>
          <w:ilvl w:val="0"/>
          <w:numId w:val="1003"/>
        </w:numPr>
      </w:pPr>
      <w:r>
        <w:t xml:space="preserve">Expiry date</w:t>
      </w:r>
    </w:p>
    <w:p>
      <w:pPr>
        <w:pStyle w:val="Compact"/>
        <w:numPr>
          <w:ilvl w:val="0"/>
          <w:numId w:val="1003"/>
        </w:numPr>
      </w:pPr>
      <w:r>
        <w:t xml:space="preserve">Current location</w:t>
      </w:r>
    </w:p>
    <w:p>
      <w:pPr>
        <w:pStyle w:val="Compact"/>
        <w:numPr>
          <w:ilvl w:val="0"/>
          <w:numId w:val="1003"/>
        </w:numPr>
      </w:pPr>
      <w:r>
        <w:t xml:space="preserve">Shipment status, when in transit</w:t>
      </w:r>
    </w:p>
    <w:p>
      <w:pPr>
        <w:pStyle w:val="FirstParagraph"/>
      </w:pPr>
      <w:r>
        <w:t xml:space="preserve">Kit-level tracking is important for weight-based dosing. A site may have enough total kits but still lack the correct kit type or treatment arm for a specific patient. Aggregate inventory totals would hide that shortage.</w:t>
      </w:r>
    </w:p>
    <w:p>
      <w:pPr>
        <w:pStyle w:val="BodyText"/>
      </w:pPr>
      <w:r>
        <w:t xml:space="preserve">Sites review inventory weekly rather than responding to a trigger every day. Each order considers both stock physically at the site and stock already in transit. This prevents repeated orders while an earlier shipment is still moving through the network. Without this rule, daily triggers could create several overlapping orders and inflate site inventory.</w:t>
      </w:r>
    </w:p>
    <w:bookmarkEnd w:id="17"/>
    <w:bookmarkStart w:id="18" w:name="manufacturing-and-replenishment-policy"/>
    <w:p>
      <w:pPr>
        <w:pStyle w:val="Heading3"/>
      </w:pPr>
      <w:r>
        <w:t xml:space="preserve">3.3 Manufacturing and replenishment policy</w:t>
      </w:r>
    </w:p>
    <w:p>
      <w:pPr>
        <w:pStyle w:val="FirstParagraph"/>
      </w:pPr>
      <w:r>
        <w:t xml:space="preserve">The example uses eight manufacturing batches scheduled at 60-day intervals. Each batch is sized using about 210 days of expected demand. This planning quantity consists of approximately 150 days of expected coverage plus 60 days of safety stock. Safety stock is extra inventory held to absorb uncertainty in enrollment, patient demand, production, and shipping. Actual coverage may be shorter or longer because demand varies between simulated trials.</w:t>
      </w:r>
    </w:p>
    <w:p>
      <w:pPr>
        <w:pStyle w:val="BodyText"/>
      </w:pPr>
      <w:r>
        <w:t xml:space="preserve">This policy creates deliberate overlap between batches. The overlap reduces the risk that a production or transport delay will interrupt treatment. However, it can also increase expiry if actual enrollment is lower than expected.</w:t>
      </w:r>
    </w:p>
    <w:p>
      <w:pPr>
        <w:pStyle w:val="BodyText"/>
      </w:pPr>
      <w:r>
        <w:t xml:space="preserve">The central-to-regional replenishment policy includes two additional protections: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Policy</w:t>
            </w:r>
          </w:p>
        </w:tc>
        <w:tc>
          <w:tcPr/>
          <w:p>
            <w:pPr>
              <w:pStyle w:val="Compact"/>
            </w:pPr>
            <w:r>
              <w:t xml:space="preserve">Operating rule</w:t>
            </w:r>
          </w:p>
        </w:tc>
        <w:tc>
          <w:tcPr/>
          <w:p>
            <w:pPr>
              <w:pStyle w:val="Compact"/>
            </w:pPr>
            <w:r>
              <w:t xml:space="preserve">Purpose</w:t>
            </w:r>
          </w:p>
        </w:tc>
      </w:tr>
      <w:tr>
        <w:tc>
          <w:tcPr/>
          <w:p>
            <w:pPr>
              <w:pStyle w:val="Compact"/>
            </w:pPr>
            <w:r>
              <w:t xml:space="preserve">EU_PROTECT</w:t>
            </w:r>
          </w:p>
        </w:tc>
        <w:tc>
          <w:tcPr/>
          <w:p>
            <w:pPr>
              <w:pStyle w:val="Compact"/>
            </w:pPr>
            <w:r>
              <w:t xml:space="preserve">The EU central depot reserves 90 days of expected demand for the European network before transferring stock to China.</w:t>
            </w:r>
          </w:p>
        </w:tc>
        <w:tc>
          <w:tcPr/>
          <w:p>
            <w:pPr>
              <w:pStyle w:val="Compact"/>
            </w:pPr>
            <w:r>
              <w:t xml:space="preserve">Prevents regional transfers from placing European supply at risk.</w:t>
            </w:r>
          </w:p>
        </w:tc>
      </w:tr>
      <w:tr>
        <w:tc>
          <w:tcPr/>
          <w:p>
            <w:pPr>
              <w:pStyle w:val="Compact"/>
            </w:pPr>
            <w:r>
              <w:t xml:space="preserve">China top-up trigger</w:t>
            </w:r>
          </w:p>
        </w:tc>
        <w:tc>
          <w:tcPr/>
          <w:p>
            <w:pPr>
              <w:pStyle w:val="Compact"/>
            </w:pPr>
            <w:r>
              <w:t xml:space="preserve">The China depot checks its inventory position daily and requests stock when coverage falls to seven days.</w:t>
            </w:r>
          </w:p>
        </w:tc>
        <w:tc>
          <w:tcPr/>
          <w:p>
            <w:pPr>
              <w:pStyle w:val="Compact"/>
            </w:pPr>
            <w:r>
              <w:t xml:space="preserve">Provides an additional response to rapid depletion or shipment delays.</w:t>
            </w:r>
          </w:p>
        </w:tc>
      </w:tr>
    </w:tbl>
    <w:p>
      <w:pPr>
        <w:pStyle w:val="BodyText"/>
      </w:pPr>
      <w:r>
        <w:t xml:space="preserve">These rules show why replenishment policies must be assessed as a connected system. Increasing protection at the EU depot may reduce European risk but restrict stock available to China. A larger China buffer may protect Chinese sites but increase regional expiry.</w:t>
      </w:r>
    </w:p>
    <w:bookmarkEnd w:id="18"/>
    <w:bookmarkStart w:id="19" w:name="what-the-simulation-produces"/>
    <w:p>
      <w:pPr>
        <w:pStyle w:val="Heading3"/>
      </w:pPr>
      <w:r>
        <w:t xml:space="preserve">3.4 What the simulation produces</w:t>
      </w:r>
    </w:p>
    <w:p>
      <w:pPr>
        <w:pStyle w:val="FirstParagraph"/>
      </w:pPr>
      <w:r>
        <w:t xml:space="preserve">The analysis uses 100 independent replications. A replication is one complete simulated version of the trial. Each replication uses different random draws for enrollment, visit timing, and treatment discontinuation. The reported results are the means across all replications rather than the outcome of one simulated trial.</w:t>
      </w:r>
    </w:p>
    <w:p>
      <w:pPr>
        <w:pStyle w:val="BodyText"/>
      </w:pPr>
      <w:r>
        <w:t xml:space="preserve">The stock-out rate is the percentage of scheduled patient visits at which the dispensing site has no usable kit for the correct treatment arm on the visit day. For weight-based dosing, the site must also have the required kit type and quantity. A kit within the DND window does not count as usable, even if it remains physically present.</w:t>
      </w:r>
    </w:p>
    <w:p>
      <w:pPr>
        <w:pStyle w:val="BodyText"/>
      </w:pPr>
      <w:r>
        <w:t xml:space="preserve">All waste results use the full-chain definition introduced in Section 2. They include expired and damaged kits at the EU central depot, regional depots, and clinical sites. Waste is reported as a percentage of total drug produced.</w:t>
      </w:r>
    </w:p>
    <w:p>
      <w:pPr>
        <w:pStyle w:val="BodyText"/>
      </w:pPr>
      <w:r>
        <w:t xml:space="preserve">One hundred replications are a computationally feasible lower bound for this analysis. Analysts in simulation-intensive fields often use 1,000 or more replications, especially when estimating low-probability events. More replications would reduce uncertainty in the reported means.</w:t>
      </w:r>
    </w:p>
    <w:p>
      <w:pPr>
        <w:pStyle w:val="BodyText"/>
      </w:pPr>
      <w:r>
        <w:t xml:space="preserve">The baseline results showed the following ranges across the 100 replications:</w:t>
      </w:r>
    </w:p>
    <w:p>
      <w:pPr>
        <w:pStyle w:val="Compact"/>
        <w:numPr>
          <w:ilvl w:val="0"/>
          <w:numId w:val="1004"/>
        </w:numPr>
      </w:pPr>
      <w:r>
        <w:t xml:space="preserve">Stock-out rates ranged from about 0% to 2%.</w:t>
      </w:r>
    </w:p>
    <w:p>
      <w:pPr>
        <w:pStyle w:val="Compact"/>
        <w:numPr>
          <w:ilvl w:val="0"/>
          <w:numId w:val="1004"/>
        </w:numPr>
      </w:pPr>
      <w:r>
        <w:t xml:space="preserve">Full-chain waste rates ranged from about 38% to 49%.</w:t>
      </w:r>
    </w:p>
    <w:p>
      <w:pPr>
        <w:pStyle w:val="FirstParagraph"/>
      </w:pPr>
      <w:r>
        <w:t xml:space="preserve">These ranges provide practical reassurance that the mean results are reasonably stable for this example design. However, ranges alone do not establish statistical precision. A decision-grade production planning exercise should use 1,000 or more replications when computing resources allow.</w:t>
      </w:r>
    </w:p>
    <w:p>
      <w:pPr>
        <w:pStyle w:val="BodyText"/>
      </w:pPr>
      <w:r>
        <w:t xml:space="preserve">The baseline results were: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Trial design</w:t>
            </w:r>
          </w:p>
        </w:tc>
        <w:tc>
          <w:tcPr/>
          <w:p>
            <w:pPr>
              <w:pStyle w:val="Compact"/>
              <w:jc w:val="right"/>
            </w:pPr>
            <w:r>
              <w:t xml:space="preserve">Mean stock-out rate</w:t>
            </w:r>
          </w:p>
        </w:tc>
        <w:tc>
          <w:tcPr/>
          <w:p>
            <w:pPr>
              <w:pStyle w:val="Compact"/>
              <w:jc w:val="right"/>
            </w:pPr>
            <w:r>
              <w:t xml:space="preserve">Mean full-chain waste rate</w:t>
            </w:r>
          </w:p>
        </w:tc>
      </w:tr>
      <w:tr>
        <w:tc>
          <w:tcPr/>
          <w:p>
            <w:pPr>
              <w:pStyle w:val="Compact"/>
            </w:pPr>
            <w:r>
              <w:t xml:space="preserve">250 patients, 23 sites, and 2 treatment arms</w:t>
            </w:r>
          </w:p>
        </w:tc>
        <w:tc>
          <w:tcPr/>
          <w:p>
            <w:pPr>
              <w:pStyle w:val="Compact"/>
              <w:jc w:val="right"/>
            </w:pPr>
            <w:r>
              <w:t xml:space="preserve">0.68%</w:t>
            </w:r>
          </w:p>
        </w:tc>
        <w:tc>
          <w:tcPr/>
          <w:p>
            <w:pPr>
              <w:pStyle w:val="Compact"/>
              <w:jc w:val="right"/>
            </w:pPr>
            <w:r>
              <w:t xml:space="preserve">43.5%</w:t>
            </w:r>
          </w:p>
        </w:tc>
      </w:tr>
    </w:tbl>
    <w:p>
      <w:pPr>
        <w:pStyle w:val="BodyText"/>
      </w:pPr>
      <w:r>
        <w:t xml:space="preserve">The low stock-out rate indicates strong patient protection under the baseline policy. The 43.5% full-chain waste rate shows the inventory consequence of that protection, including unused, expired, and damaged kits. Section 4 examines which adjustable supply parameters can reduce waste without pushing stock-outs above the 5% planning limit.</w:t>
      </w:r>
    </w:p>
    <w:p>
      <w:r>
        <w:pict>
          <v:rect style="width:0;height:1.5pt" o:hralign="center" o:hrstd="t" o:hr="t"/>
        </w:pict>
      </w:r>
    </w:p>
    <w:bookmarkEnd w:id="19"/>
    <w:bookmarkEnd w:id="20"/>
    <w:bookmarkStart w:id="30" w:name="X98f6c0a068880ca28ae19688570b8773e5d4a76"/>
    <w:p>
      <w:pPr>
        <w:pStyle w:val="Heading2"/>
      </w:pPr>
      <w:r>
        <w:t xml:space="preserve">4. Sensitivity Analysis and Parameter Optimization</w:t>
      </w:r>
    </w:p>
    <w:bookmarkStart w:id="21" w:name="what-sensitivity-analysis-means-here"/>
    <w:p>
      <w:pPr>
        <w:pStyle w:val="Heading3"/>
      </w:pPr>
      <w:r>
        <w:t xml:space="preserve">4.1 What sensitivity analysis means here</w:t>
      </w:r>
    </w:p>
    <w:p>
      <w:pPr>
        <w:pStyle w:val="FirstParagraph"/>
      </w:pPr>
      <w:r>
        <w:t xml:space="preserve">Sensitivity analysis tests how results change when one planning assumption changes. It helps the study team identify which settings have a meaningful effect and which settings only move inventory or waste between locations.</w:t>
      </w:r>
    </w:p>
    <w:p>
      <w:pPr>
        <w:pStyle w:val="BodyText"/>
      </w:pPr>
      <w:r>
        <w:t xml:space="preserve">This analysis changed one parameter at a time. All other assumptions remained at their baseline values. Each parameter setting was tested with 100 independent replications. The analysis then compared the mean stock-out and waste results with the baseline.</w:t>
      </w:r>
    </w:p>
    <w:p>
      <w:pPr>
        <w:pStyle w:val="BodyText"/>
      </w:pPr>
      <w:r>
        <w:t xml:space="preserve">The trial context remained constant:</w:t>
      </w:r>
    </w:p>
    <w:p>
      <w:pPr>
        <w:pStyle w:val="Compact"/>
        <w:numPr>
          <w:ilvl w:val="0"/>
          <w:numId w:val="1005"/>
        </w:numPr>
      </w:pPr>
      <w:r>
        <w:t xml:space="preserve">250 patients</w:t>
      </w:r>
    </w:p>
    <w:p>
      <w:pPr>
        <w:pStyle w:val="Compact"/>
        <w:numPr>
          <w:ilvl w:val="0"/>
          <w:numId w:val="1005"/>
        </w:numPr>
      </w:pPr>
      <w:r>
        <w:t xml:space="preserve">23 sites, including 13 in the EU and 10 in China</w:t>
      </w:r>
    </w:p>
    <w:p>
      <w:pPr>
        <w:pStyle w:val="Compact"/>
        <w:numPr>
          <w:ilvl w:val="0"/>
          <w:numId w:val="1005"/>
        </w:numPr>
      </w:pPr>
      <w:r>
        <w:t xml:space="preserve">Two treatment arms</w:t>
      </w:r>
    </w:p>
    <w:p>
      <w:pPr>
        <w:pStyle w:val="Compact"/>
        <w:numPr>
          <w:ilvl w:val="0"/>
          <w:numId w:val="1005"/>
        </w:numPr>
      </w:pPr>
      <w:r>
        <w:t xml:space="preserve">Double-blind treatment, meaning patients and blinded study staff do not know the assigned treatment</w:t>
      </w:r>
    </w:p>
    <w:p>
      <w:pPr>
        <w:pStyle w:val="Compact"/>
        <w:numPr>
          <w:ilvl w:val="0"/>
          <w:numId w:val="1005"/>
        </w:numPr>
      </w:pPr>
      <w:r>
        <w:t xml:space="preserve">About 27 months of trial operations within an 850-day simulation</w:t>
      </w:r>
    </w:p>
    <w:p>
      <w:pPr>
        <w:pStyle w:val="FirstParagraph"/>
      </w:pPr>
      <w:r>
        <w:t xml:space="preserve">The baseline policy produced: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Baseline result</w:t>
            </w:r>
          </w:p>
        </w:tc>
      </w:tr>
      <w:tr>
        <w:tc>
          <w:tcPr/>
          <w:p>
            <w:pPr>
              <w:pStyle w:val="Compact"/>
            </w:pPr>
            <w:r>
              <w:t xml:space="preserve">Mean stock-out rate</w:t>
            </w:r>
          </w:p>
        </w:tc>
        <w:tc>
          <w:tcPr/>
          <w:p>
            <w:pPr>
              <w:pStyle w:val="Compact"/>
              <w:jc w:val="right"/>
            </w:pPr>
            <w:r>
              <w:t xml:space="preserve">0.68%</w:t>
            </w:r>
          </w:p>
        </w:tc>
      </w:tr>
      <w:tr>
        <w:tc>
          <w:tcPr/>
          <w:p>
            <w:pPr>
              <w:pStyle w:val="Compact"/>
            </w:pPr>
            <w:r>
              <w:t xml:space="preserve">Mean full-chain waste rate</w:t>
            </w:r>
          </w:p>
        </w:tc>
        <w:tc>
          <w:tcPr/>
          <w:p>
            <w:pPr>
              <w:pStyle w:val="Compact"/>
              <w:jc w:val="right"/>
            </w:pPr>
            <w:r>
              <w:t xml:space="preserve">43.5%</w:t>
            </w:r>
          </w:p>
        </w:tc>
      </w:tr>
    </w:tbl>
    <w:p>
      <w:pPr>
        <w:pStyle w:val="BodyText"/>
      </w:pPr>
      <w:r>
        <w:t xml:space="preserve">All waste findings in this section use the full-chain definition unless stated otherwise. Full-chain waste includes expired and damaged kits at the EU central depot, regional depots, and clinical sites. The denominator is all drug produced.</w:t>
      </w:r>
    </w:p>
    <w:p>
      <w:pPr>
        <w:pStyle w:val="BodyText"/>
      </w:pPr>
      <w:r>
        <w:t xml:space="preserve">The operational waste ratio provides a second view when shipment and use totals are available. It is calculated as kits shipped minus kits used, relative to kits used. This definition is closer to the industry planning range discussed in Section 2. It is not interchangeable with full-chain waste. The shipment and use totals needed to calculate this ratio were not available for the sensitivity comparisons below. The results therefore report full-chain waste only.</w:t>
      </w:r>
    </w:p>
    <w:bookmarkEnd w:id="21"/>
    <w:bookmarkStart w:id="26" w:name="the-four-parameters-that-matter-most"/>
    <w:p>
      <w:pPr>
        <w:pStyle w:val="Heading3"/>
      </w:pPr>
      <w:r>
        <w:t xml:space="preserve">4.2 The four parameters that matter most</w:t>
      </w:r>
    </w:p>
    <w:bookmarkStart w:id="22" w:name="site-reorder-target"/>
    <w:p>
      <w:pPr>
        <w:pStyle w:val="Heading4"/>
      </w:pPr>
      <w:r>
        <w:t xml:space="preserve">Site reorder target</w:t>
      </w:r>
    </w:p>
    <w:p>
      <w:pPr>
        <w:pStyle w:val="FirstParagraph"/>
      </w:pPr>
      <w:r>
        <w:t xml:space="preserve">The site reorder target, labeled</w:t>
      </w:r>
      <w:r>
        <w:t xml:space="preserve"> </w:t>
      </w:r>
      <w:r>
        <w:rPr>
          <w:b/>
          <w:bCs/>
        </w:rPr>
        <w:t xml:space="preserve">THRESH top</w:t>
      </w:r>
      <w:r>
        <w:t xml:space="preserve"> </w:t>
      </w:r>
      <w:r>
        <w:t xml:space="preserve">in the model, is the inventory level that a resupply order aims to restore. A higher target gives sites more protection. However, it also places more drug close to patients, where the drug may expire before use.</w:t>
      </w:r>
    </w:p>
    <w:p>
      <w:pPr>
        <w:pStyle w:val="BodyText"/>
      </w:pPr>
      <w:r>
        <w:t xml:space="preserve">The default target was 105 kits. Reducing the target to 70 kits lowered full-chain waste from 43.5% to about 40%. The overall stock-out rate increased from 0.68% to about 1.4%, but remained well below the 5% planning limit.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Site reorder target</w:t>
            </w:r>
          </w:p>
        </w:tc>
        <w:tc>
          <w:tcPr/>
          <w:p>
            <w:pPr>
              <w:pStyle w:val="Compact"/>
              <w:jc w:val="right"/>
            </w:pPr>
            <w:r>
              <w:t xml:space="preserve">Mean stock-out rate</w:t>
            </w:r>
          </w:p>
        </w:tc>
        <w:tc>
          <w:tcPr/>
          <w:p>
            <w:pPr>
              <w:pStyle w:val="Compact"/>
              <w:jc w:val="right"/>
            </w:pPr>
            <w:r>
              <w:t xml:space="preserve">Mean full-chain waste rate</w:t>
            </w:r>
          </w:p>
        </w:tc>
      </w:tr>
      <w:tr>
        <w:tc>
          <w:tcPr/>
          <w:p>
            <w:pPr>
              <w:pStyle w:val="Compact"/>
            </w:pPr>
            <w:r>
              <w:t xml:space="preserve">105 kits</w:t>
            </w:r>
          </w:p>
        </w:tc>
        <w:tc>
          <w:tcPr/>
          <w:p>
            <w:pPr>
              <w:pStyle w:val="Compact"/>
              <w:jc w:val="right"/>
            </w:pPr>
            <w:r>
              <w:t xml:space="preserve">0.68%</w:t>
            </w:r>
          </w:p>
        </w:tc>
        <w:tc>
          <w:tcPr/>
          <w:p>
            <w:pPr>
              <w:pStyle w:val="Compact"/>
              <w:jc w:val="right"/>
            </w:pPr>
            <w:r>
              <w:t xml:space="preserve">43.5%</w:t>
            </w:r>
          </w:p>
        </w:tc>
      </w:tr>
      <w:tr>
        <w:tc>
          <w:tcPr/>
          <w:p>
            <w:pPr>
              <w:pStyle w:val="Compact"/>
            </w:pPr>
            <w:r>
              <w:t xml:space="preserve">70 kits</w:t>
            </w:r>
          </w:p>
        </w:tc>
        <w:tc>
          <w:tcPr/>
          <w:p>
            <w:pPr>
              <w:pStyle w:val="Compact"/>
              <w:jc w:val="right"/>
            </w:pPr>
            <w:r>
              <w:t xml:space="preserve">About 1.4%</w:t>
            </w:r>
          </w:p>
        </w:tc>
        <w:tc>
          <w:tcPr/>
          <w:p>
            <w:pPr>
              <w:pStyle w:val="Compact"/>
              <w:jc w:val="right"/>
            </w:pPr>
            <w:r>
              <w:t xml:space="preserve">About 40%</w:t>
            </w:r>
          </w:p>
        </w:tc>
      </w:tr>
    </w:tbl>
    <w:p>
      <w:pPr>
        <w:pStyle w:val="BodyText"/>
      </w:pPr>
      <w:r>
        <w:t xml:space="preserve">This was the strongest single waste-reduction opportunity identified. It reduced excess site inventory without creating an unacceptable patient supply risk.</w:t>
      </w:r>
    </w:p>
    <w:p>
      <w:pPr>
        <w:pStyle w:val="BodyText"/>
      </w:pPr>
      <w:r>
        <w:rPr>
          <w:b/>
          <w:bCs/>
        </w:rPr>
        <w:t xml:space="preserve">Recommendation:</w:t>
      </w:r>
      <w:r>
        <w:t xml:space="preserve"> </w:t>
      </w:r>
      <w:r>
        <w:t xml:space="preserve">Reduce the EU site reorder target from 105 kits to 70 kits. Before implementation, confirm how the target will apply by kit type and treatment arm in the Interactive Response Technology, or IRT, system.</w:t>
      </w:r>
    </w:p>
    <w:bookmarkEnd w:id="22"/>
    <w:bookmarkStart w:id="23" w:name="minimum-shelf-life-at-site-receipt"/>
    <w:p>
      <w:pPr>
        <w:pStyle w:val="Heading4"/>
      </w:pPr>
      <w:r>
        <w:t xml:space="preserve">Minimum shelf life at site receipt</w:t>
      </w:r>
    </w:p>
    <w:p>
      <w:pPr>
        <w:pStyle w:val="FirstParagraph"/>
      </w:pPr>
      <w:r>
        <w:t xml:space="preserve">The minimum shelf-life setting, labeled</w:t>
      </w:r>
      <w:r>
        <w:t xml:space="preserve"> </w:t>
      </w:r>
      <w:r>
        <w:rPr>
          <w:b/>
          <w:bCs/>
        </w:rPr>
        <w:t xml:space="preserve">MIN_SHELF</w:t>
      </w:r>
      <w:r>
        <w:t xml:space="preserve"> </w:t>
      </w:r>
      <w:r>
        <w:t xml:space="preserve">in the model, defines how much shelf life a kit must have when it reaches a site. The default was 30 days.</w:t>
      </w:r>
    </w:p>
    <w:p>
      <w:pPr>
        <w:pStyle w:val="BodyText"/>
      </w:pPr>
      <w:r>
        <w:t xml:space="preserve">Tightening this rule did not materially reduce full-chain waste. Sites rejected more near-expiry kits, but those kits remained at the regional depot and later expired there. Site-level waste fell while depot-level waste rose. Total waste across the supply chain barely changed.</w:t>
      </w:r>
    </w:p>
    <w:p>
      <w:pPr>
        <w:pStyle w:val="BodyText"/>
      </w:pPr>
      <w:r>
        <w:t xml:space="preserve">A stricter receipt rule does not create more usable shelf life. It only affects where short-dated stock is held when it expires.</w:t>
      </w:r>
    </w:p>
    <w:p>
      <w:pPr>
        <w:pStyle w:val="BodyText"/>
      </w:pPr>
      <w:r>
        <w:rPr>
          <w:b/>
          <w:bCs/>
        </w:rPr>
        <w:t xml:space="preserve">Recommendation:</w:t>
      </w:r>
      <w:r>
        <w:t xml:space="preserve"> </w:t>
      </w:r>
      <w:r>
        <w:t xml:space="preserve">Keep the 30-day default. Treat this setting as a quality-control requirement, not as a waste-reduction lever.</w:t>
      </w:r>
    </w:p>
    <w:bookmarkEnd w:id="23"/>
    <w:bookmarkStart w:id="24" w:name="eu-reserve-for-china-transfers"/>
    <w:p>
      <w:pPr>
        <w:pStyle w:val="Heading4"/>
      </w:pPr>
      <w:r>
        <w:t xml:space="preserve">EU reserve for China transfers</w:t>
      </w:r>
    </w:p>
    <w:p>
      <w:pPr>
        <w:pStyle w:val="FirstParagraph"/>
      </w:pPr>
      <w:r>
        <w:t xml:space="preserve">The</w:t>
      </w:r>
      <w:r>
        <w:t xml:space="preserve"> </w:t>
      </w:r>
      <w:r>
        <w:rPr>
          <w:b/>
          <w:bCs/>
        </w:rPr>
        <w:t xml:space="preserve">EU_PROTECT</w:t>
      </w:r>
      <w:r>
        <w:t xml:space="preserve"> </w:t>
      </w:r>
      <w:r>
        <w:t xml:space="preserve">setting reserves a defined number of days of expected EU demand before the central depot releases stock to China. The default was 90 days.</w:t>
      </w:r>
    </w:p>
    <w:p>
      <w:pPr>
        <w:pStyle w:val="BodyText"/>
      </w:pPr>
      <w:r>
        <w:t xml:space="preserve">Reducing the reserve to 30 days sharply increased supply risk in China: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EU reserve</w:t>
            </w:r>
          </w:p>
        </w:tc>
        <w:tc>
          <w:tcPr/>
          <w:p>
            <w:pPr>
              <w:pStyle w:val="Compact"/>
              <w:jc w:val="right"/>
            </w:pPr>
            <w:r>
              <w:t xml:space="preserve">Mean China stock-out rate</w:t>
            </w:r>
          </w:p>
        </w:tc>
        <w:tc>
          <w:tcPr/>
          <w:p>
            <w:pPr>
              <w:pStyle w:val="Compact"/>
            </w:pPr>
            <w:r>
              <w:t xml:space="preserve">Change in full-chain waste</w:t>
            </w:r>
          </w:p>
        </w:tc>
      </w:tr>
      <w:tr>
        <w:tc>
          <w:tcPr/>
          <w:p>
            <w:pPr>
              <w:pStyle w:val="Compact"/>
            </w:pPr>
            <w:r>
              <w:t xml:space="preserve">90 days</w:t>
            </w:r>
          </w:p>
        </w:tc>
        <w:tc>
          <w:tcPr/>
          <w:p>
            <w:pPr>
              <w:pStyle w:val="Compact"/>
              <w:jc w:val="right"/>
            </w:pPr>
            <w:r>
              <w:t xml:space="preserve">0.08%</w:t>
            </w:r>
          </w:p>
        </w:tc>
        <w:tc>
          <w:tcPr/>
          <w:p>
            <w:pPr>
              <w:pStyle w:val="Compact"/>
            </w:pPr>
            <w:r>
              <w:t xml:space="preserve">Reference setting</w:t>
            </w:r>
          </w:p>
        </w:tc>
      </w:tr>
      <w:tr>
        <w:tc>
          <w:tcPr/>
          <w:p>
            <w:pPr>
              <w:pStyle w:val="Compact"/>
            </w:pPr>
            <w:r>
              <w:t xml:space="preserve">30 days</w:t>
            </w:r>
          </w:p>
        </w:tc>
        <w:tc>
          <w:tcPr/>
          <w:p>
            <w:pPr>
              <w:pStyle w:val="Compact"/>
              <w:jc w:val="right"/>
            </w:pPr>
            <w:r>
              <w:t xml:space="preserve">3.0%</w:t>
            </w:r>
          </w:p>
        </w:tc>
        <w:tc>
          <w:tcPr/>
          <w:p>
            <w:pPr>
              <w:pStyle w:val="Compact"/>
            </w:pPr>
            <w:r>
              <w:t xml:space="preserve">Barely changed</w:t>
            </w:r>
          </w:p>
        </w:tc>
      </w:tr>
    </w:tbl>
    <w:p>
      <w:pPr>
        <w:pStyle w:val="BodyText"/>
      </w:pPr>
      <w:r>
        <w:t xml:space="preserve">The China stock-out rate increased from 0.08% to 3.0%. This was a 37.5-fold increase. Full-chain waste showed little improvement.</w:t>
      </w:r>
    </w:p>
    <w:p>
      <w:pPr>
        <w:pStyle w:val="BodyText"/>
      </w:pPr>
      <w:r>
        <w:t xml:space="preserve">A lower reserve can allow more stock to leave the EU earlier. However, it also depletes the central buffer sooner. Later China orders may then be restricted because too little transferable stock remains after EU demand is protected. International shipments to China can take weeks or months. Once the shortage becomes visible, the network may not have enough time to correct it before scheduled patient visits.</w:t>
      </w:r>
    </w:p>
    <w:p>
      <w:pPr>
        <w:pStyle w:val="BodyText"/>
      </w:pPr>
      <w:r>
        <w:rPr>
          <w:b/>
          <w:bCs/>
        </w:rPr>
        <w:t xml:space="preserve">Recommendation:</w:t>
      </w:r>
      <w:r>
        <w:t xml:space="preserve"> </w:t>
      </w:r>
      <w:r>
        <w:t xml:space="preserve">For this trial design, do not reduce EU protection below 60 days. Keep the 90-day default unless further simulation shows that a lower setting remains safe under delayed manufacturing and shipping conditions.</w:t>
      </w:r>
    </w:p>
    <w:bookmarkEnd w:id="24"/>
    <w:bookmarkStart w:id="25" w:name="manufacturing-batch-frequency"/>
    <w:p>
      <w:pPr>
        <w:pStyle w:val="Heading4"/>
      </w:pPr>
      <w:r>
        <w:t xml:space="preserve">Manufacturing batch frequency</w:t>
      </w:r>
    </w:p>
    <w:p>
      <w:pPr>
        <w:pStyle w:val="FirstParagraph"/>
      </w:pPr>
      <w:r>
        <w:t xml:space="preserve">The analysis also tested manufacturing frequency while holding total production volume fixed. This comparison changed when drug became available, not how much drug was produced.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Manufacturing schedule</w:t>
            </w:r>
          </w:p>
        </w:tc>
        <w:tc>
          <w:tcPr/>
          <w:p>
            <w:pPr>
              <w:pStyle w:val="Compact"/>
              <w:jc w:val="right"/>
            </w:pPr>
            <w:r>
              <w:t xml:space="preserve">Mean stock-out rate</w:t>
            </w:r>
          </w:p>
        </w:tc>
        <w:tc>
          <w:tcPr/>
          <w:p>
            <w:pPr>
              <w:pStyle w:val="Compact"/>
              <w:jc w:val="right"/>
            </w:pPr>
            <w:r>
              <w:t xml:space="preserve">Mean full-chain waste rate</w:t>
            </w:r>
          </w:p>
        </w:tc>
        <w:tc>
          <w:tcPr/>
          <w:p>
            <w:pPr>
              <w:pStyle w:val="Compact"/>
            </w:pPr>
            <w:r>
              <w:t xml:space="preserve">Interpretation</w:t>
            </w:r>
          </w:p>
        </w:tc>
      </w:tr>
      <w:tr>
        <w:tc>
          <w:tcPr/>
          <w:p>
            <w:pPr>
              <w:pStyle w:val="Compact"/>
            </w:pPr>
            <w:r>
              <w:t xml:space="preserve">4 large batches</w:t>
            </w:r>
          </w:p>
        </w:tc>
        <w:tc>
          <w:tcPr/>
          <w:p>
            <w:pPr>
              <w:pStyle w:val="Compact"/>
              <w:jc w:val="right"/>
            </w:pPr>
            <w:r>
              <w:t xml:space="preserve">0.08%</w:t>
            </w:r>
          </w:p>
        </w:tc>
        <w:tc>
          <w:tcPr/>
          <w:p>
            <w:pPr>
              <w:pStyle w:val="Compact"/>
              <w:jc w:val="right"/>
            </w:pPr>
            <w:r>
              <w:t xml:space="preserve">56%</w:t>
            </w:r>
          </w:p>
        </w:tc>
        <w:tc>
          <w:tcPr/>
          <w:p>
            <w:pPr>
              <w:pStyle w:val="Compact"/>
            </w:pPr>
            <w:r>
              <w:t xml:space="preserve">Strong early protection, but substantial depot expiry</w:t>
            </w:r>
          </w:p>
        </w:tc>
      </w:tr>
      <w:tr>
        <w:tc>
          <w:tcPr/>
          <w:p>
            <w:pPr>
              <w:pStyle w:val="Compact"/>
            </w:pPr>
            <w:r>
              <w:t xml:space="preserve">8 batches at 60-day intervals</w:t>
            </w:r>
          </w:p>
        </w:tc>
        <w:tc>
          <w:tcPr/>
          <w:p>
            <w:pPr>
              <w:pStyle w:val="Compact"/>
              <w:jc w:val="right"/>
            </w:pPr>
            <w:r>
              <w:t xml:space="preserve">0.68%</w:t>
            </w:r>
          </w:p>
        </w:tc>
        <w:tc>
          <w:tcPr/>
          <w:p>
            <w:pPr>
              <w:pStyle w:val="Compact"/>
              <w:jc w:val="right"/>
            </w:pPr>
            <w:r>
              <w:t xml:space="preserve">43.5%</w:t>
            </w:r>
          </w:p>
        </w:tc>
        <w:tc>
          <w:tcPr/>
          <w:p>
            <w:pPr>
              <w:pStyle w:val="Compact"/>
            </w:pPr>
            <w:r>
              <w:t xml:space="preserve">Best tested balance of service and waste</w:t>
            </w:r>
          </w:p>
        </w:tc>
      </w:tr>
      <w:tr>
        <w:tc>
          <w:tcPr/>
          <w:p>
            <w:pPr>
              <w:pStyle w:val="Compact"/>
            </w:pPr>
            <w:r>
              <w:t xml:space="preserve">15 small batches</w:t>
            </w:r>
          </w:p>
        </w:tc>
        <w:tc>
          <w:tcPr/>
          <w:p>
            <w:pPr>
              <w:pStyle w:val="Compact"/>
              <w:jc w:val="right"/>
            </w:pPr>
            <w:r>
              <w:t xml:space="preserve">3.8%</w:t>
            </w:r>
          </w:p>
        </w:tc>
        <w:tc>
          <w:tcPr/>
          <w:p>
            <w:pPr>
              <w:pStyle w:val="Compact"/>
              <w:jc w:val="right"/>
            </w:pPr>
            <w:r>
              <w:t xml:space="preserve">About 43%</w:t>
            </w:r>
          </w:p>
        </w:tc>
        <w:tc>
          <w:tcPr/>
          <w:p>
            <w:pPr>
              <w:pStyle w:val="Compact"/>
            </w:pPr>
            <w:r>
              <w:t xml:space="preserve">Similar waste, but less protection between arrivals</w:t>
            </w:r>
          </w:p>
        </w:tc>
      </w:tr>
    </w:tbl>
    <w:p>
      <w:pPr>
        <w:pStyle w:val="BodyText"/>
      </w:pPr>
      <w:r>
        <w:t xml:space="preserve">Four large batches placed a large quantity into the network early. This buffer protected against peak demand and gaps between deliveries. However, much of the drug remained at depots and expired before patients needed it. The very low stock-out rate came at a high waste cost.</w:t>
      </w:r>
    </w:p>
    <w:p>
      <w:pPr>
        <w:pStyle w:val="BodyText"/>
      </w:pPr>
      <w:r>
        <w:t xml:space="preserve">Fifteen smaller batches did not materially improve waste. They left less stock available between deliveries, which increased the stock-out rate to 3.8%. This remained below the 5% planning limit, but it provided less protection against manufacturing or shipping delays.</w:t>
      </w:r>
    </w:p>
    <w:p>
      <w:pPr>
        <w:pStyle w:val="BodyText"/>
      </w:pPr>
      <w:r>
        <w:rPr>
          <w:b/>
          <w:bCs/>
        </w:rPr>
        <w:t xml:space="preserve">Recommendation:</w:t>
      </w:r>
      <w:r>
        <w:t xml:space="preserve"> </w:t>
      </w:r>
      <w:r>
        <w:t xml:space="preserve">Keep eight batches at 60-day intervals.</w:t>
      </w:r>
    </w:p>
    <w:bookmarkEnd w:id="25"/>
    <w:bookmarkEnd w:id="26"/>
    <w:bookmarkStart w:id="27" w:name="why-the-right-waste-metric-matters"/>
    <w:p>
      <w:pPr>
        <w:pStyle w:val="Heading3"/>
      </w:pPr>
      <w:r>
        <w:t xml:space="preserve">4.3 Why the right waste metric matters</w:t>
      </w:r>
    </w:p>
    <w:p>
      <w:pPr>
        <w:pStyle w:val="FirstParagraph"/>
      </w:pPr>
      <w:r>
        <w:t xml:space="preserve">Site-only waste can give a misleading answer. For example, a stricter shelf-life rule may reduce expiry at sites because sites accept fewer short-dated kits. If those kits expire at the regional depot instead, the network has not reduced total waste. It has only moved the waste upstream.</w:t>
      </w:r>
    </w:p>
    <w:p>
      <w:pPr>
        <w:pStyle w:val="BodyText"/>
      </w:pPr>
      <w:r>
        <w:t xml:space="preserve">The primary measure should therefore be full-chain waste. It captures expiry and damage at every modeled location and compares those losses with total production.</w:t>
      </w:r>
    </w:p>
    <w:p>
      <w:pPr>
        <w:pStyle w:val="BodyText"/>
      </w:pPr>
      <w:r>
        <w:t xml:space="preserve">The three waste views serve different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Best use</w:t>
            </w:r>
          </w:p>
        </w:tc>
        <w:tc>
          <w:tcPr/>
          <w:p>
            <w:pPr>
              <w:pStyle w:val="Compact"/>
            </w:pPr>
            <w:r>
              <w:t xml:space="preserve">Main limitation</w:t>
            </w:r>
          </w:p>
        </w:tc>
      </w:tr>
      <w:tr>
        <w:tc>
          <w:tcPr/>
          <w:p>
            <w:pPr>
              <w:pStyle w:val="Compact"/>
            </w:pPr>
            <w:r>
              <w:t xml:space="preserve">Site-only waste</w:t>
            </w:r>
          </w:p>
        </w:tc>
        <w:tc>
          <w:tcPr/>
          <w:p>
            <w:pPr>
              <w:pStyle w:val="Compact"/>
            </w:pPr>
            <w:r>
              <w:t xml:space="preserve">Reviewing site inventory practices</w:t>
            </w:r>
          </w:p>
        </w:tc>
        <w:tc>
          <w:tcPr/>
          <w:p>
            <w:pPr>
              <w:pStyle w:val="Compact"/>
            </w:pPr>
            <w:r>
              <w:t xml:space="preserve">Misses waste moved upstream to depots</w:t>
            </w:r>
          </w:p>
        </w:tc>
      </w:tr>
      <w:tr>
        <w:tc>
          <w:tcPr/>
          <w:p>
            <w:pPr>
              <w:pStyle w:val="Compact"/>
            </w:pPr>
            <w:r>
              <w:t xml:space="preserve">Operational waste ratio</w:t>
            </w:r>
          </w:p>
        </w:tc>
        <w:tc>
          <w:tcPr/>
          <w:p>
            <w:pPr>
              <w:pStyle w:val="Compact"/>
            </w:pPr>
            <w:r>
              <w:t xml:space="preserve">Comparing shipped drug with patient use</w:t>
            </w:r>
          </w:p>
        </w:tc>
        <w:tc>
          <w:tcPr/>
          <w:p>
            <w:pPr>
              <w:pStyle w:val="Compact"/>
            </w:pPr>
            <w:r>
              <w:t xml:space="preserve">Excludes some losses before shipment and uses kits used as the denominator</w:t>
            </w:r>
          </w:p>
        </w:tc>
      </w:tr>
      <w:tr>
        <w:tc>
          <w:tcPr/>
          <w:p>
            <w:pPr>
              <w:pStyle w:val="Compact"/>
            </w:pPr>
            <w:r>
              <w:t xml:space="preserve">Full-chain waste rate</w:t>
            </w:r>
          </w:p>
        </w:tc>
        <w:tc>
          <w:tcPr/>
          <w:p>
            <w:pPr>
              <w:pStyle w:val="Compact"/>
            </w:pPr>
            <w:r>
              <w:t xml:space="preserve">Optimizing total production and distribution</w:t>
            </w:r>
          </w:p>
        </w:tc>
        <w:tc>
          <w:tcPr/>
          <w:p>
            <w:pPr>
              <w:pStyle w:val="Compact"/>
            </w:pPr>
            <w:r>
              <w:t xml:space="preserve">Not directly comparable with shipped-based industry benchmarks</w:t>
            </w:r>
          </w:p>
        </w:tc>
      </w:tr>
    </w:tbl>
    <w:p>
      <w:pPr>
        <w:pStyle w:val="BodyText"/>
      </w:pPr>
      <w:r>
        <w:t xml:space="preserve">The 30% to 50% planning range cited in Section 2 generally refers to the operational waste ratio. The full-chain rate used in this paper has a different scope and denominator. It includes expiry and damage at all modeled locations and divides those losses by total drug produced. The two measures should not be compared as if they were equivalent. Every reported result should clearly state which definition applies.</w:t>
      </w:r>
    </w:p>
    <w:bookmarkEnd w:id="27"/>
    <w:bookmarkStart w:id="28" w:name="recommended-operating-configuration"/>
    <w:p>
      <w:pPr>
        <w:pStyle w:val="Heading3"/>
      </w:pPr>
      <w:r>
        <w:t xml:space="preserve">4.4 Recommended operating configuration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Recommended setting</w:t>
            </w:r>
          </w:p>
        </w:tc>
        <w:tc>
          <w:tcPr/>
          <w:p>
            <w:pPr>
              <w:pStyle w:val="Compact"/>
            </w:pPr>
            <w:r>
              <w:t xml:space="preserve">Reason</w:t>
            </w:r>
          </w:p>
        </w:tc>
      </w:tr>
      <w:tr>
        <w:tc>
          <w:tcPr/>
          <w:p>
            <w:pPr>
              <w:pStyle w:val="Compact"/>
            </w:pPr>
            <w:r>
              <w:t xml:space="preserve">EU site reorder target</w:t>
            </w:r>
          </w:p>
        </w:tc>
        <w:tc>
          <w:tcPr/>
          <w:p>
            <w:pPr>
              <w:pStyle w:val="Compact"/>
            </w:pPr>
            <w:r>
              <w:t xml:space="preserve">70 kits</w:t>
            </w:r>
          </w:p>
        </w:tc>
        <w:tc>
          <w:tcPr/>
          <w:p>
            <w:pPr>
              <w:pStyle w:val="Compact"/>
            </w:pPr>
            <w:r>
              <w:t xml:space="preserve">Reduces full-chain waste while keeping the overall stock-out rate near 1.4%</w:t>
            </w:r>
          </w:p>
        </w:tc>
      </w:tr>
      <w:tr>
        <w:tc>
          <w:tcPr/>
          <w:p>
            <w:pPr>
              <w:pStyle w:val="Compact"/>
            </w:pPr>
            <w:r>
              <w:t xml:space="preserve">Minimum shelf life at site receipt</w:t>
            </w:r>
          </w:p>
        </w:tc>
        <w:tc>
          <w:tcPr/>
          <w:p>
            <w:pPr>
              <w:pStyle w:val="Compact"/>
            </w:pPr>
            <w:r>
              <w:t xml:space="preserve">30 days</w:t>
            </w:r>
          </w:p>
        </w:tc>
        <w:tc>
          <w:tcPr/>
          <w:p>
            <w:pPr>
              <w:pStyle w:val="Compact"/>
            </w:pPr>
            <w:r>
              <w:t xml:space="preserve">Protects quality; tighter limits mainly shift expiry from sites to depots</w:t>
            </w:r>
          </w:p>
        </w:tc>
      </w:tr>
      <w:tr>
        <w:tc>
          <w:tcPr/>
          <w:p>
            <w:pPr>
              <w:pStyle w:val="Compact"/>
            </w:pPr>
            <w:r>
              <w:t xml:space="preserve">EU demand protection</w:t>
            </w:r>
          </w:p>
        </w:tc>
        <w:tc>
          <w:tcPr/>
          <w:p>
            <w:pPr>
              <w:pStyle w:val="Compact"/>
            </w:pPr>
            <w:r>
              <w:t xml:space="preserve">90 days, with a 60-day minimum for this design</w:t>
            </w:r>
          </w:p>
        </w:tc>
        <w:tc>
          <w:tcPr/>
          <w:p>
            <w:pPr>
              <w:pStyle w:val="Compact"/>
            </w:pPr>
            <w:r>
              <w:t xml:space="preserve">Protects China supply against long replenishment lead times</w:t>
            </w:r>
          </w:p>
        </w:tc>
      </w:tr>
      <w:tr>
        <w:tc>
          <w:tcPr/>
          <w:p>
            <w:pPr>
              <w:pStyle w:val="Compact"/>
            </w:pPr>
            <w:r>
              <w:t xml:space="preserve">Manufacturing schedule</w:t>
            </w:r>
          </w:p>
        </w:tc>
        <w:tc>
          <w:tcPr/>
          <w:p>
            <w:pPr>
              <w:pStyle w:val="Compact"/>
            </w:pPr>
            <w:r>
              <w:t xml:space="preserve">8 batches at 60-day intervals</w:t>
            </w:r>
          </w:p>
        </w:tc>
        <w:tc>
          <w:tcPr/>
          <w:p>
            <w:pPr>
              <w:pStyle w:val="Compact"/>
            </w:pPr>
            <w:r>
              <w:t xml:space="preserve">Provides the best tested balance between service and waste</w:t>
            </w:r>
          </w:p>
        </w:tc>
      </w:tr>
    </w:tbl>
    <w:p>
      <w:pPr>
        <w:pStyle w:val="BodyText"/>
      </w:pPr>
      <w:r>
        <w:t xml:space="preserve">The analysis did not vary initial site stock. Sites that enroll slowly, or never enroll, may hold startup stock until it expires. Initial site stock is therefore an important candidate for future sensitivity testing.</w:t>
      </w:r>
    </w:p>
    <w:bookmarkEnd w:id="28"/>
    <w:bookmarkStart w:id="29" w:name="connection-to-the-academic-literature"/>
    <w:p>
      <w:pPr>
        <w:pStyle w:val="Heading3"/>
      </w:pPr>
      <w:r>
        <w:t xml:space="preserve">4.5 Connection to the academic literature</w:t>
      </w:r>
    </w:p>
    <w:p>
      <w:pPr>
        <w:pStyle w:val="FirstParagraph"/>
      </w:pPr>
      <w:r>
        <w:t xml:space="preserve">The findings are consistent with the pattern described by Anisimov (2010): the amount of extra drug needed for protection rises steeply as the desired stock-out rate approaches zero. This extra drug is called overage. Overage and full-chain waste are not the same measure, but higher overage can increase expiry when demand is lower than planned.</w:t>
      </w:r>
    </w:p>
    <w:p>
      <w:pPr>
        <w:pStyle w:val="BodyText"/>
      </w:pPr>
      <w:r>
        <w:t xml:space="preserve">The four-batch scenario illustrates this trade-off. It reduced the stock-out rate to 0.08%, but increased full-chain waste to 56%.</w:t>
      </w:r>
    </w:p>
    <w:p>
      <w:pPr>
        <w:pStyle w:val="BodyText"/>
      </w:pPr>
      <w:r>
        <w:t xml:space="preserve">The literature also shows that center-stratified randomization can require less overage than unstratified randomization. Center-stratified randomization balances treatment assignments within each clinical site, rather than only across the trial as a whole. This can make each site’s demand by treatment arm more predictable.</w:t>
      </w:r>
    </w:p>
    <w:p>
      <w:pPr>
        <w:pStyle w:val="BodyText"/>
      </w:pPr>
      <w:r>
        <w:t xml:space="preserve">Conversely, more depots and more treatment arms usually require additional overage. Each added location or treatment arm divides inventory into smaller pools. A kit held for one treatment arm or region cannot automatically cover a shortage in another. Trial design and supply design must therefore be planned together.</w:t>
      </w:r>
    </w:p>
    <w:p>
      <w:r>
        <w:pict>
          <v:rect style="width:0;height:1.5pt" o:hralign="center" o:hrstd="t" o:hr="t"/>
        </w:pict>
      </w:r>
    </w:p>
    <w:bookmarkEnd w:id="29"/>
    <w:bookmarkEnd w:id="30"/>
    <w:bookmarkStart w:id="42" w:name="X752d5a664b2fe3773a45c6a59c16754c3fb2663"/>
    <w:p>
      <w:pPr>
        <w:pStyle w:val="Heading2"/>
      </w:pPr>
      <w:r>
        <w:t xml:space="preserve">5. AI-Assisted Implementation: The SKILL Approach</w:t>
      </w:r>
    </w:p>
    <w:bookmarkStart w:id="31" w:name="X6147b74d040e6471da01c8dbb6a95976f86899f"/>
    <w:p>
      <w:pPr>
        <w:pStyle w:val="Heading3"/>
      </w:pPr>
      <w:r>
        <w:t xml:space="preserve">5.1 The challenge of building a simulation from scratch</w:t>
      </w:r>
    </w:p>
    <w:p>
      <w:pPr>
        <w:pStyle w:val="FirstParagraph"/>
      </w:pPr>
      <w:r>
        <w:t xml:space="preserve">A detailed Investigational Medicinal Product, or IMP, supply simulation often requires 500 to 1,000 lines of code. It must connect patient enrollment, randomization, visits, dosing, inventory, shipments, lead times, and expiry. It must also apply operating rules in the correct order each day.</w:t>
      </w:r>
    </w:p>
    <w:p>
      <w:pPr>
        <w:pStyle w:val="BodyText"/>
      </w:pPr>
      <w:r>
        <w:t xml:space="preserve">Writing this model manually can take several weeks. Testing difficult cases can take longer. For example, the model must determine what happens when:</w:t>
      </w:r>
    </w:p>
    <w:p>
      <w:pPr>
        <w:pStyle w:val="Compact"/>
        <w:numPr>
          <w:ilvl w:val="0"/>
          <w:numId w:val="1006"/>
        </w:numPr>
      </w:pPr>
      <w:r>
        <w:t xml:space="preserve">A patient needs several kits, but the site has only some of them.</w:t>
      </w:r>
    </w:p>
    <w:p>
      <w:pPr>
        <w:pStyle w:val="Compact"/>
        <w:numPr>
          <w:ilvl w:val="0"/>
          <w:numId w:val="1006"/>
        </w:numPr>
      </w:pPr>
      <w:r>
        <w:t xml:space="preserve">A kit is physically present but has entered the Do Not Dispense, or DND, window.</w:t>
      </w:r>
    </w:p>
    <w:p>
      <w:pPr>
        <w:pStyle w:val="Compact"/>
        <w:numPr>
          <w:ilvl w:val="0"/>
          <w:numId w:val="1006"/>
        </w:numPr>
      </w:pPr>
      <w:r>
        <w:t xml:space="preserve">A shipment is already in transit when a site reaches its reorder trigger.</w:t>
      </w:r>
    </w:p>
    <w:p>
      <w:pPr>
        <w:pStyle w:val="Compact"/>
        <w:numPr>
          <w:ilvl w:val="0"/>
          <w:numId w:val="1006"/>
        </w:numPr>
      </w:pPr>
      <w:r>
        <w:t xml:space="preserve">A patient discontinues before the next scheduled visit.</w:t>
      </w:r>
    </w:p>
    <w:p>
      <w:pPr>
        <w:pStyle w:val="Compact"/>
        <w:numPr>
          <w:ilvl w:val="0"/>
          <w:numId w:val="1006"/>
        </w:numPr>
      </w:pPr>
      <w:r>
        <w:t xml:space="preserve">A regional depot has stock, but the stock cannot meet the minimum shelf-life rule at arrival.</w:t>
      </w:r>
    </w:p>
    <w:p>
      <w:pPr>
        <w:pStyle w:val="Compact"/>
        <w:numPr>
          <w:ilvl w:val="0"/>
          <w:numId w:val="1006"/>
        </w:numPr>
      </w:pPr>
      <w:r>
        <w:t xml:space="preserve">Two treatment arms require different kit types at the same site.</w:t>
      </w:r>
    </w:p>
    <w:p>
      <w:pPr>
        <w:pStyle w:val="FirstParagraph"/>
      </w:pPr>
      <w:r>
        <w:t xml:space="preserve">The required information rarely appears in one document. It may be spread across:</w:t>
      </w:r>
    </w:p>
    <w:p>
      <w:pPr>
        <w:pStyle w:val="Compact"/>
        <w:numPr>
          <w:ilvl w:val="0"/>
          <w:numId w:val="1007"/>
        </w:numPr>
      </w:pPr>
      <w:r>
        <w:t xml:space="preserve">The clinical protocol</w:t>
      </w:r>
    </w:p>
    <w:p>
      <w:pPr>
        <w:pStyle w:val="Compact"/>
        <w:numPr>
          <w:ilvl w:val="0"/>
          <w:numId w:val="1007"/>
        </w:numPr>
      </w:pPr>
      <w:r>
        <w:t xml:space="preserve">The supply strategy and specifications</w:t>
      </w:r>
    </w:p>
    <w:p>
      <w:pPr>
        <w:pStyle w:val="Compact"/>
        <w:numPr>
          <w:ilvl w:val="0"/>
          <w:numId w:val="1007"/>
        </w:numPr>
      </w:pPr>
      <w:r>
        <w:t xml:space="preserve">Interactive Response Technology, or IRT, design documents</w:t>
      </w:r>
    </w:p>
    <w:p>
      <w:pPr>
        <w:pStyle w:val="Compact"/>
        <w:numPr>
          <w:ilvl w:val="0"/>
          <w:numId w:val="1007"/>
        </w:numPr>
      </w:pPr>
      <w:r>
        <w:t xml:space="preserve">Randomization schedules</w:t>
      </w:r>
    </w:p>
    <w:p>
      <w:pPr>
        <w:pStyle w:val="Compact"/>
        <w:numPr>
          <w:ilvl w:val="0"/>
          <w:numId w:val="1007"/>
        </w:numPr>
      </w:pPr>
      <w:r>
        <w:t xml:space="preserve">Manufacturing plans</w:t>
      </w:r>
    </w:p>
    <w:p>
      <w:pPr>
        <w:pStyle w:val="Compact"/>
        <w:numPr>
          <w:ilvl w:val="0"/>
          <w:numId w:val="1007"/>
        </w:numPr>
      </w:pPr>
      <w:r>
        <w:t xml:space="preserve">Depot and freight assumptions</w:t>
      </w:r>
    </w:p>
    <w:p>
      <w:pPr>
        <w:pStyle w:val="Compact"/>
        <w:numPr>
          <w:ilvl w:val="0"/>
          <w:numId w:val="1007"/>
        </w:numPr>
      </w:pPr>
      <w:r>
        <w:t xml:space="preserve">Emails and meeting notes</w:t>
      </w:r>
    </w:p>
    <w:p>
      <w:pPr>
        <w:pStyle w:val="Compact"/>
        <w:numPr>
          <w:ilvl w:val="0"/>
          <w:numId w:val="1007"/>
        </w:numPr>
      </w:pPr>
      <w:r>
        <w:t xml:space="preserve">Decisions made during earlier study discussions</w:t>
      </w:r>
    </w:p>
    <w:p>
      <w:pPr>
        <w:pStyle w:val="FirstParagraph"/>
      </w:pPr>
      <w:r>
        <w:t xml:space="preserve">Different documents may use different names for the same rule. They may also conflict. A protocol may describe a visit window, while the supply specification assumes one exact visit day. An email may change the shelf-life requirement without updating the formal specification.</w:t>
      </w:r>
    </w:p>
    <w:p>
      <w:pPr>
        <w:pStyle w:val="BodyText"/>
      </w:pPr>
      <w:r>
        <w:t xml:space="preserve">The analyst must translate this scattered information into precise operating instructions. Small translation errors can change the results. A model may run successfully and produce reasonable-looking tables even when its underlying logic is wrong.</w:t>
      </w:r>
    </w:p>
    <w:p>
      <w:pPr>
        <w:pStyle w:val="BodyText"/>
      </w:pPr>
      <w:r>
        <w:t xml:space="preserve">Artificial intelligence can reduce the time needed to create the first version. However, an open-ended request such as “build a clinical supply simulation” gives the AI too much freedom. It may fill gaps with assumptions that sound reasonable but do not match the trial. A more controlled approach is needed.</w:t>
      </w:r>
    </w:p>
    <w:bookmarkEnd w:id="31"/>
    <w:bookmarkStart w:id="32" w:name="what-the-skill-approach-is"/>
    <w:p>
      <w:pPr>
        <w:pStyle w:val="Heading3"/>
      </w:pPr>
      <w:r>
        <w:t xml:space="preserve">5.2 What the SKILL approach is</w:t>
      </w:r>
    </w:p>
    <w:p>
      <w:pPr>
        <w:pStyle w:val="FirstParagraph"/>
      </w:pPr>
      <w:r>
        <w:t xml:space="preserve">The SKILL approach uses a structured set of instructions for Amazon Kiro, an AI coding assistant. These instructions capture clinical supply knowledge as a reusable workflow.</w:t>
      </w:r>
    </w:p>
    <w:p>
      <w:pPr>
        <w:pStyle w:val="BodyText"/>
      </w:pPr>
      <w:r>
        <w:t xml:space="preserve">A</w:t>
      </w:r>
      <w:r>
        <w:t xml:space="preserve"> </w:t>
      </w:r>
      <w:r>
        <w:rPr>
          <w:b/>
          <w:bCs/>
        </w:rPr>
        <w:t xml:space="preserve">skill</w:t>
      </w:r>
      <w:r>
        <w:t xml:space="preserve"> </w:t>
      </w:r>
      <w:r>
        <w:t xml:space="preserve">tells the AI how to complete the task, not just what output to produce. It defines the required sequence of work and the checks that must occur before the AI moves to the next stage.</w:t>
      </w:r>
    </w:p>
    <w:p>
      <w:pPr>
        <w:pStyle w:val="BodyText"/>
      </w:pPr>
      <w:r>
        <w:t xml:space="preserve">The SKILL requires the AI to:</w:t>
      </w:r>
    </w:p>
    <w:p>
      <w:pPr>
        <w:pStyle w:val="Compact"/>
        <w:numPr>
          <w:ilvl w:val="0"/>
          <w:numId w:val="1008"/>
        </w:numPr>
      </w:pPr>
      <w:r>
        <w:t xml:space="preserve">Read the source documents.</w:t>
      </w:r>
    </w:p>
    <w:p>
      <w:pPr>
        <w:pStyle w:val="Compact"/>
        <w:numPr>
          <w:ilvl w:val="0"/>
          <w:numId w:val="1008"/>
        </w:numPr>
      </w:pPr>
      <w:r>
        <w:t xml:space="preserve">Identify missing or conflicting information.</w:t>
      </w:r>
    </w:p>
    <w:p>
      <w:pPr>
        <w:pStyle w:val="Compact"/>
        <w:numPr>
          <w:ilvl w:val="0"/>
          <w:numId w:val="1008"/>
        </w:numPr>
      </w:pPr>
      <w:r>
        <w:t xml:space="preserve">Confirm modeling assumptions with the analyst.</w:t>
      </w:r>
    </w:p>
    <w:p>
      <w:pPr>
        <w:pStyle w:val="Compact"/>
        <w:numPr>
          <w:ilvl w:val="0"/>
          <w:numId w:val="1008"/>
        </w:numPr>
      </w:pPr>
      <w:r>
        <w:t xml:space="preserve">Check difficult dispensing situations.</w:t>
      </w:r>
    </w:p>
    <w:p>
      <w:pPr>
        <w:pStyle w:val="Compact"/>
        <w:numPr>
          <w:ilvl w:val="0"/>
          <w:numId w:val="1008"/>
        </w:numPr>
      </w:pPr>
      <w:r>
        <w:t xml:space="preserve">Generate the simulation code.</w:t>
      </w:r>
    </w:p>
    <w:p>
      <w:pPr>
        <w:pStyle w:val="Compact"/>
        <w:numPr>
          <w:ilvl w:val="0"/>
          <w:numId w:val="1008"/>
        </w:numPr>
      </w:pPr>
      <w:r>
        <w:t xml:space="preserve">Help interpret the output.</w:t>
      </w:r>
    </w:p>
    <w:p>
      <w:pPr>
        <w:pStyle w:val="Compact"/>
        <w:numPr>
          <w:ilvl w:val="0"/>
          <w:numId w:val="1008"/>
        </w:numPr>
      </w:pPr>
      <w:r>
        <w:t xml:space="preserve">Record approved lessons for future work.</w:t>
      </w:r>
    </w:p>
    <w:p>
      <w:pPr>
        <w:pStyle w:val="FirstParagraph"/>
      </w:pPr>
      <w:r>
        <w:t xml:space="preserve">This structure limits silent assumptions. If the documents do not state how partial dispensing should work, the AI must ask. It cannot quietly choose a rule and continue.</w:t>
      </w:r>
    </w:p>
    <w:p>
      <w:pPr>
        <w:pStyle w:val="BodyText"/>
      </w:pPr>
      <w:r>
        <w:t xml:space="preserve">The approach also supports consistency across studies. Trial parameters may change, but the same review process still applies. Every new model must address enrollment limits, dispensing order, inventory withdrawal, expiry, and full-chain waste.</w:t>
      </w:r>
    </w:p>
    <w:p>
      <w:pPr>
        <w:pStyle w:val="BodyText"/>
      </w:pPr>
      <w:r>
        <w:t xml:space="preserve">The AI can produce an initial draft much faster than a programmer starting from a blank file. In this example, it translated a 13-page specification into an initial simulation structure. That speed is useful, but it does not prove that the model is correct.</w:t>
      </w:r>
    </w:p>
    <w:p>
      <w:pPr>
        <w:pStyle w:val="BodyText"/>
      </w:pPr>
      <w:r>
        <w:t xml:space="preserve">An AI-generated draft is not a verified or validated simulation.</w:t>
      </w:r>
      <w:r>
        <w:t xml:space="preserve"> </w:t>
      </w:r>
      <w:r>
        <w:rPr>
          <w:b/>
          <w:bCs/>
        </w:rPr>
        <w:t xml:space="preserve">Verification</w:t>
      </w:r>
      <w:r>
        <w:t xml:space="preserve"> </w:t>
      </w:r>
      <w:r>
        <w:t xml:space="preserve">checks that the code follows the approved specifications and operating rules.</w:t>
      </w:r>
      <w:r>
        <w:t xml:space="preserve"> </w:t>
      </w:r>
      <w:r>
        <w:rPr>
          <w:b/>
          <w:bCs/>
        </w:rPr>
        <w:t xml:space="preserve">Validation</w:t>
      </w:r>
      <w:r>
        <w:t xml:space="preserve"> </w:t>
      </w:r>
      <w:r>
        <w:t xml:space="preserve">assesses whether the model is suitable for its intended decision. Both require human review, structured testing, comparison with known examples, and approval under the sponsor’s procedures before the study team can trust the results.</w:t>
      </w:r>
    </w:p>
    <w:p>
      <w:pPr>
        <w:pStyle w:val="BodyText"/>
      </w:pPr>
      <w:r>
        <w:t xml:space="preserve">Study teams must also follow their organization’s data-handling rules. Confidential protocols, supply plans, randomization information, and simulation outputs should be provided to an AI assistant only when the platform and intended use have been approved.</w:t>
      </w:r>
    </w:p>
    <w:bookmarkEnd w:id="32"/>
    <w:bookmarkStart w:id="39" w:name="the-workflow-in-practice"/>
    <w:p>
      <w:pPr>
        <w:pStyle w:val="Heading3"/>
      </w:pPr>
      <w:r>
        <w:t xml:space="preserve">5.3 The workflow in practice</w:t>
      </w:r>
    </w:p>
    <w:p>
      <w:pPr>
        <w:pStyle w:val="FirstParagraph"/>
      </w:pPr>
      <w:r>
        <w:t xml:space="preserve">The SKILL uses six phases: 0, 0.5, 0.7, 1, 2, and 3. The numbering reflects how the workflow developed. Practical experience showed that confirmation steps were needed between reading the documents and writing the code. Phases 0.5 and 0.7 were therefore inserted as mandatory quality gates.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Main activity</w:t>
            </w:r>
          </w:p>
        </w:tc>
        <w:tc>
          <w:tcPr/>
          <w:p>
            <w:pPr>
              <w:pStyle w:val="Compact"/>
            </w:pPr>
            <w:r>
              <w:t xml:space="preserve">Required output</w:t>
            </w:r>
          </w:p>
        </w:tc>
      </w:tr>
      <w:tr>
        <w:tc>
          <w:tcPr/>
          <w:p>
            <w:pPr>
              <w:pStyle w:val="Compact"/>
            </w:pPr>
            <w:r>
              <w:t xml:space="preserve">0</w:t>
            </w:r>
          </w:p>
        </w:tc>
        <w:tc>
          <w:tcPr/>
          <w:p>
            <w:pPr>
              <w:pStyle w:val="Compact"/>
            </w:pPr>
            <w:r>
              <w:t xml:space="preserve">Read before writing</w:t>
            </w:r>
          </w:p>
        </w:tc>
        <w:tc>
          <w:tcPr/>
          <w:p>
            <w:pPr>
              <w:pStyle w:val="Compact"/>
            </w:pPr>
            <w:r>
              <w:t xml:space="preserve">Summary of the analysis, source documents, and known context</w:t>
            </w:r>
          </w:p>
        </w:tc>
      </w:tr>
      <w:tr>
        <w:tc>
          <w:tcPr/>
          <w:p>
            <w:pPr>
              <w:pStyle w:val="Compact"/>
            </w:pPr>
            <w:r>
              <w:t xml:space="preserve">0.5</w:t>
            </w:r>
          </w:p>
        </w:tc>
        <w:tc>
          <w:tcPr/>
          <w:p>
            <w:pPr>
              <w:pStyle w:val="Compact"/>
            </w:pPr>
            <w:r>
              <w:t xml:space="preserve">Confirm every assumption</w:t>
            </w:r>
          </w:p>
        </w:tc>
        <w:tc>
          <w:tcPr/>
          <w:p>
            <w:pPr>
              <w:pStyle w:val="Compact"/>
            </w:pPr>
            <w:r>
              <w:t xml:space="preserve">Approved table of major modeling decisions</w:t>
            </w:r>
          </w:p>
        </w:tc>
      </w:tr>
      <w:tr>
        <w:tc>
          <w:tcPr/>
          <w:p>
            <w:pPr>
              <w:pStyle w:val="Compact"/>
            </w:pPr>
            <w:r>
              <w:t xml:space="preserve">0.7</w:t>
            </w:r>
          </w:p>
        </w:tc>
        <w:tc>
          <w:tcPr/>
          <w:p>
            <w:pPr>
              <w:pStyle w:val="Compact"/>
            </w:pPr>
            <w:r>
              <w:t xml:space="preserve">Verify dispensing edge cases</w:t>
            </w:r>
          </w:p>
        </w:tc>
        <w:tc>
          <w:tcPr/>
          <w:p>
            <w:pPr>
              <w:pStyle w:val="Compact"/>
            </w:pPr>
            <w:r>
              <w:t xml:space="preserve">Approved checklist of difficult patient and inventory situations</w:t>
            </w:r>
          </w:p>
        </w:tc>
      </w:tr>
      <w:tr>
        <w:tc>
          <w:tcPr/>
          <w:p>
            <w:pPr>
              <w:pStyle w:val="Compact"/>
            </w:pPr>
            <w:r>
              <w:t xml:space="preserve">1</w:t>
            </w:r>
          </w:p>
        </w:tc>
        <w:tc>
          <w:tcPr/>
          <w:p>
            <w:pPr>
              <w:pStyle w:val="Compact"/>
            </w:pPr>
            <w:r>
              <w:t xml:space="preserve">Generate code</w:t>
            </w:r>
          </w:p>
        </w:tc>
        <w:tc>
          <w:tcPr/>
          <w:p>
            <w:pPr>
              <w:pStyle w:val="Compact"/>
            </w:pPr>
            <w:r>
              <w:t xml:space="preserve">First complete version of the simulation</w:t>
            </w:r>
          </w:p>
        </w:tc>
      </w:tr>
      <w:tr>
        <w:tc>
          <w:tcPr/>
          <w:p>
            <w:pPr>
              <w:pStyle w:val="Compact"/>
            </w:pPr>
            <w:r>
              <w:t xml:space="preserve">2</w:t>
            </w:r>
          </w:p>
        </w:tc>
        <w:tc>
          <w:tcPr/>
          <w:p>
            <w:pPr>
              <w:pStyle w:val="Compact"/>
            </w:pPr>
            <w:r>
              <w:t xml:space="preserve">Run and interpret</w:t>
            </w:r>
          </w:p>
        </w:tc>
        <w:tc>
          <w:tcPr/>
          <w:p>
            <w:pPr>
              <w:pStyle w:val="Compact"/>
            </w:pPr>
            <w:r>
              <w:t xml:space="preserve">Reviewed results, anomaly checks, and plain-language interpretation</w:t>
            </w:r>
          </w:p>
        </w:tc>
      </w:tr>
      <w:tr>
        <w:tc>
          <w:tcPr/>
          <w:p>
            <w:pPr>
              <w:pStyle w:val="Compact"/>
            </w:pPr>
            <w:r>
              <w:t xml:space="preserve">3</w:t>
            </w:r>
          </w:p>
        </w:tc>
        <w:tc>
          <w:tcPr/>
          <w:p>
            <w:pPr>
              <w:pStyle w:val="Compact"/>
            </w:pPr>
            <w:r>
              <w:t xml:space="preserve">Prepare a structured report</w:t>
            </w:r>
          </w:p>
        </w:tc>
        <w:tc>
          <w:tcPr/>
          <w:p>
            <w:pPr>
              <w:pStyle w:val="Compact"/>
            </w:pPr>
            <w:r>
              <w:t xml:space="preserve">Performance summary, recommendations, and open decisions</w:t>
            </w:r>
          </w:p>
        </w:tc>
      </w:tr>
    </w:tbl>
    <w:bookmarkStart w:id="33" w:name="phase-0-read-before-writing"/>
    <w:p>
      <w:pPr>
        <w:pStyle w:val="Heading4"/>
      </w:pPr>
      <w:r>
        <w:t xml:space="preserve">Phase 0 — Read before writing</w:t>
      </w:r>
    </w:p>
    <w:p>
      <w:pPr>
        <w:pStyle w:val="FirstParagraph"/>
      </w:pPr>
      <w:r>
        <w:t xml:space="preserve">The AI first reads the full protocol and supply specification, together with other approved source documents needed for the analysis. It determines the type of analysis required. For example, the task may involve a baseline simulation, a sensitivity analysis, or a comparison of replenishment policies.</w:t>
      </w:r>
    </w:p>
    <w:p>
      <w:pPr>
        <w:pStyle w:val="BodyText"/>
      </w:pPr>
      <w:r>
        <w:t xml:space="preserve">The AI also checks a persistent context file. This is a saved record of approved decisions and lessons from earlier working sessions. It may contain definitions, naming conventions, known limitations, and past corrections. This file reduces the risk that important decisions will be lost when a new session begins.</w:t>
      </w:r>
    </w:p>
    <w:p>
      <w:pPr>
        <w:pStyle w:val="BodyText"/>
      </w:pPr>
      <w:r>
        <w:t xml:space="preserve">The context file must have an owner, a version date, and a record of who approved each important decision. The analyst should remove outdated or study-specific content before reusing it. Otherwise, the AI may apply an old decision to the wrong trial.</w:t>
      </w:r>
    </w:p>
    <w:p>
      <w:pPr>
        <w:pStyle w:val="BodyText"/>
      </w:pPr>
      <w:r>
        <w:t xml:space="preserve">The AI does not write simulation code during this phase.</w:t>
      </w:r>
    </w:p>
    <w:bookmarkEnd w:id="33"/>
    <w:bookmarkStart w:id="34" w:name="phase-0.5-confirm-every-assumption"/>
    <w:p>
      <w:pPr>
        <w:pStyle w:val="Heading4"/>
      </w:pPr>
      <w:r>
        <w:t xml:space="preserve">Phase 0.5 — Confirm every assumption</w:t>
      </w:r>
    </w:p>
    <w:p>
      <w:pPr>
        <w:pStyle w:val="FirstParagraph"/>
      </w:pPr>
      <w:r>
        <w:t xml:space="preserve">The AI presents a table of the major modeling decisions. The analyst must approve or correct each one before coding begins.</w:t>
      </w:r>
    </w:p>
    <w:p>
      <w:pPr>
        <w:pStyle w:val="BodyText"/>
      </w:pPr>
      <w:r>
        <w:t xml:space="preserve">The table typically covers:</w:t>
      </w:r>
    </w:p>
    <w:p>
      <w:pPr>
        <w:pStyle w:val="Compact"/>
        <w:numPr>
          <w:ilvl w:val="0"/>
          <w:numId w:val="1009"/>
        </w:numPr>
      </w:pPr>
      <w:r>
        <w:t xml:space="preserve">Enrollment rates and the maximum patient count</w:t>
      </w:r>
    </w:p>
    <w:p>
      <w:pPr>
        <w:pStyle w:val="Compact"/>
        <w:numPr>
          <w:ilvl w:val="0"/>
          <w:numId w:val="1009"/>
        </w:numPr>
      </w:pPr>
      <w:r>
        <w:t xml:space="preserve">Site activation timing</w:t>
      </w:r>
    </w:p>
    <w:p>
      <w:pPr>
        <w:pStyle w:val="Compact"/>
        <w:numPr>
          <w:ilvl w:val="0"/>
          <w:numId w:val="1009"/>
        </w:numPr>
      </w:pPr>
      <w:r>
        <w:t xml:space="preserve">Screen failure and discontinuation</w:t>
      </w:r>
    </w:p>
    <w:p>
      <w:pPr>
        <w:pStyle w:val="Compact"/>
        <w:numPr>
          <w:ilvl w:val="0"/>
          <w:numId w:val="1009"/>
        </w:numPr>
      </w:pPr>
      <w:r>
        <w:t xml:space="preserve">Randomization and treatment-arm allocation</w:t>
      </w:r>
    </w:p>
    <w:p>
      <w:pPr>
        <w:pStyle w:val="Compact"/>
        <w:numPr>
          <w:ilvl w:val="0"/>
          <w:numId w:val="1009"/>
        </w:numPr>
      </w:pPr>
      <w:r>
        <w:t xml:space="preserve">Visit schedules and allowed timing variation</w:t>
      </w:r>
    </w:p>
    <w:p>
      <w:pPr>
        <w:pStyle w:val="Compact"/>
        <w:numPr>
          <w:ilvl w:val="0"/>
          <w:numId w:val="1009"/>
        </w:numPr>
      </w:pPr>
      <w:r>
        <w:t xml:space="preserve">Weight groups and kit requirements</w:t>
      </w:r>
    </w:p>
    <w:p>
      <w:pPr>
        <w:pStyle w:val="Compact"/>
        <w:numPr>
          <w:ilvl w:val="0"/>
          <w:numId w:val="1009"/>
        </w:numPr>
      </w:pPr>
      <w:r>
        <w:t xml:space="preserve">Initial stock and reorder targets</w:t>
      </w:r>
    </w:p>
    <w:p>
      <w:pPr>
        <w:pStyle w:val="Compact"/>
        <w:numPr>
          <w:ilvl w:val="0"/>
          <w:numId w:val="1009"/>
        </w:numPr>
      </w:pPr>
      <w:r>
        <w:t xml:space="preserve">Weekly or daily inventory reviews</w:t>
      </w:r>
    </w:p>
    <w:p>
      <w:pPr>
        <w:pStyle w:val="Compact"/>
        <w:numPr>
          <w:ilvl w:val="0"/>
          <w:numId w:val="1009"/>
        </w:numPr>
      </w:pPr>
      <w:r>
        <w:t xml:space="preserve">Manufacturing dates and quantities</w:t>
      </w:r>
    </w:p>
    <w:p>
      <w:pPr>
        <w:pStyle w:val="Compact"/>
        <w:numPr>
          <w:ilvl w:val="0"/>
          <w:numId w:val="1009"/>
        </w:numPr>
      </w:pPr>
      <w:r>
        <w:t xml:space="preserve">Shipping and customs lead times</w:t>
      </w:r>
    </w:p>
    <w:p>
      <w:pPr>
        <w:pStyle w:val="Compact"/>
        <w:numPr>
          <w:ilvl w:val="0"/>
          <w:numId w:val="1009"/>
        </w:numPr>
      </w:pPr>
      <w:r>
        <w:t xml:space="preserve">Shelf life, DND, and Do Not Ship rules</w:t>
      </w:r>
    </w:p>
    <w:p>
      <w:pPr>
        <w:pStyle w:val="Compact"/>
        <w:numPr>
          <w:ilvl w:val="0"/>
          <w:numId w:val="1009"/>
        </w:numPr>
      </w:pPr>
      <w:r>
        <w:t xml:space="preserve">Definitions of stock-out and waste</w:t>
      </w:r>
    </w:p>
    <w:p>
      <w:pPr>
        <w:pStyle w:val="FirstParagraph"/>
      </w:pPr>
      <w:r>
        <w:t xml:space="preserve">This phase turns uncertainty into visible questions. The AI must not treat missing information as permission to choose a convenient value. Any unresolved item should remain an open question or be recorded as an explicitly approved assumption.</w:t>
      </w:r>
    </w:p>
    <w:bookmarkEnd w:id="34"/>
    <w:bookmarkStart w:id="35" w:name="phase-0.7-verify-dispensing-edge-cases"/>
    <w:p>
      <w:pPr>
        <w:pStyle w:val="Heading4"/>
      </w:pPr>
      <w:r>
        <w:t xml:space="preserve">Phase 0.7 — Verify dispensing edge cases</w:t>
      </w:r>
    </w:p>
    <w:p>
      <w:pPr>
        <w:pStyle w:val="FirstParagraph"/>
      </w:pPr>
      <w:r>
        <w:t xml:space="preserve">The next quality gate focuses on unusual but important situations. An</w:t>
      </w:r>
      <w:r>
        <w:t xml:space="preserve"> </w:t>
      </w:r>
      <w:r>
        <w:rPr>
          <w:b/>
          <w:bCs/>
        </w:rPr>
        <w:t xml:space="preserve">edge case</w:t>
      </w:r>
      <w:r>
        <w:t xml:space="preserve"> </w:t>
      </w:r>
      <w:r>
        <w:t xml:space="preserve">is a less common situation that can expose a weakness in the model.</w:t>
      </w:r>
    </w:p>
    <w:p>
      <w:pPr>
        <w:pStyle w:val="BodyText"/>
      </w:pPr>
      <w:r>
        <w:t xml:space="preserve">The checklist includes more than ten scenarios. Examples include:</w:t>
      </w:r>
    </w:p>
    <w:p>
      <w:pPr>
        <w:pStyle w:val="Compact"/>
        <w:numPr>
          <w:ilvl w:val="0"/>
          <w:numId w:val="1010"/>
        </w:numPr>
      </w:pPr>
      <w:r>
        <w:t xml:space="preserve">A patient misses a scheduled visit.</w:t>
      </w:r>
    </w:p>
    <w:p>
      <w:pPr>
        <w:pStyle w:val="Compact"/>
        <w:numPr>
          <w:ilvl w:val="0"/>
          <w:numId w:val="1010"/>
        </w:numPr>
      </w:pPr>
      <w:r>
        <w:t xml:space="preserve">A patient arrives early or late.</w:t>
      </w:r>
    </w:p>
    <w:p>
      <w:pPr>
        <w:pStyle w:val="Compact"/>
        <w:numPr>
          <w:ilvl w:val="0"/>
          <w:numId w:val="1010"/>
        </w:numPr>
      </w:pPr>
      <w:r>
        <w:t xml:space="preserve">A patient discontinues before a future visit.</w:t>
      </w:r>
    </w:p>
    <w:p>
      <w:pPr>
        <w:pStyle w:val="Compact"/>
        <w:numPr>
          <w:ilvl w:val="0"/>
          <w:numId w:val="1010"/>
        </w:numPr>
      </w:pPr>
      <w:r>
        <w:t xml:space="preserve">The site has enough total kits but not enough of the correct type.</w:t>
      </w:r>
    </w:p>
    <w:p>
      <w:pPr>
        <w:pStyle w:val="Compact"/>
        <w:numPr>
          <w:ilvl w:val="0"/>
          <w:numId w:val="1010"/>
        </w:numPr>
      </w:pPr>
      <w:r>
        <w:t xml:space="preserve">Stock runs out partway through a multi-kit dispensing event.</w:t>
      </w:r>
    </w:p>
    <w:p>
      <w:pPr>
        <w:pStyle w:val="Compact"/>
        <w:numPr>
          <w:ilvl w:val="0"/>
          <w:numId w:val="1010"/>
        </w:numPr>
      </w:pPr>
      <w:r>
        <w:t xml:space="preserve">Some required kits are available, but a full dose cannot be supplied.</w:t>
      </w:r>
    </w:p>
    <w:p>
      <w:pPr>
        <w:pStyle w:val="Compact"/>
        <w:numPr>
          <w:ilvl w:val="0"/>
          <w:numId w:val="1010"/>
        </w:numPr>
      </w:pPr>
      <w:r>
        <w:t xml:space="preserve">The oldest kits are inside the DND window.</w:t>
      </w:r>
    </w:p>
    <w:p>
      <w:pPr>
        <w:pStyle w:val="Compact"/>
        <w:numPr>
          <w:ilvl w:val="0"/>
          <w:numId w:val="1010"/>
        </w:numPr>
      </w:pPr>
      <w:r>
        <w:t xml:space="preserve">Kits expire while in transit.</w:t>
      </w:r>
    </w:p>
    <w:p>
      <w:pPr>
        <w:pStyle w:val="Compact"/>
        <w:numPr>
          <w:ilvl w:val="0"/>
          <w:numId w:val="1010"/>
        </w:numPr>
      </w:pPr>
      <w:r>
        <w:t xml:space="preserve">A shipment arrives on the same day as a patient visit.</w:t>
      </w:r>
    </w:p>
    <w:p>
      <w:pPr>
        <w:pStyle w:val="Compact"/>
        <w:numPr>
          <w:ilvl w:val="0"/>
          <w:numId w:val="1010"/>
        </w:numPr>
      </w:pPr>
      <w:r>
        <w:t xml:space="preserve">Stock is physically present but is not yet available for use.</w:t>
      </w:r>
    </w:p>
    <w:p>
      <w:pPr>
        <w:pStyle w:val="Compact"/>
        <w:numPr>
          <w:ilvl w:val="0"/>
          <w:numId w:val="1010"/>
        </w:numPr>
      </w:pPr>
      <w:r>
        <w:t xml:space="preserve">An earlier site order is already in transit.</w:t>
      </w:r>
    </w:p>
    <w:p>
      <w:pPr>
        <w:pStyle w:val="Compact"/>
        <w:numPr>
          <w:ilvl w:val="0"/>
          <w:numId w:val="1010"/>
        </w:numPr>
      </w:pPr>
      <w:r>
        <w:t xml:space="preserve">A depot cannot completely fill a site order.</w:t>
      </w:r>
    </w:p>
    <w:p>
      <w:pPr>
        <w:pStyle w:val="FirstParagraph"/>
      </w:pPr>
      <w:r>
        <w:t xml:space="preserve">The analyst must confirm the intended outcome for every scenario before coding begins. This step prevents basic dispensing errors from becoming embedded in hundreds of lines of code.</w:t>
      </w:r>
    </w:p>
    <w:bookmarkEnd w:id="35"/>
    <w:bookmarkStart w:id="36" w:name="phase-1-generate-code"/>
    <w:p>
      <w:pPr>
        <w:pStyle w:val="Heading4"/>
      </w:pPr>
      <w:r>
        <w:t xml:space="preserve">Phase 1 — Generate code</w:t>
      </w:r>
    </w:p>
    <w:p>
      <w:pPr>
        <w:pStyle w:val="FirstParagraph"/>
      </w:pPr>
      <w:r>
        <w:t xml:space="preserve">After the assumptions and edge cases are approved, the AI writes the model in R, a statistical programming language commonly used for data analysis and simulation.</w:t>
      </w:r>
    </w:p>
    <w:p>
      <w:pPr>
        <w:pStyle w:val="BodyText"/>
      </w:pPr>
      <w:r>
        <w:t xml:space="preserve">The SKILL includes mandatory coding rules. The model must:</w:t>
      </w:r>
    </w:p>
    <w:p>
      <w:pPr>
        <w:pStyle w:val="Compact"/>
        <w:numPr>
          <w:ilvl w:val="0"/>
          <w:numId w:val="1011"/>
        </w:numPr>
      </w:pPr>
      <w:r>
        <w:t xml:space="preserve">Use First Expired, First Out dispensing.</w:t>
      </w:r>
    </w:p>
    <w:p>
      <w:pPr>
        <w:pStyle w:val="Compact"/>
        <w:numPr>
          <w:ilvl w:val="0"/>
          <w:numId w:val="1011"/>
        </w:numPr>
      </w:pPr>
      <w:r>
        <w:t xml:space="preserve">Exclude kits that are no longer usable.</w:t>
      </w:r>
    </w:p>
    <w:p>
      <w:pPr>
        <w:pStyle w:val="Compact"/>
        <w:numPr>
          <w:ilvl w:val="0"/>
          <w:numId w:val="1011"/>
        </w:numPr>
      </w:pPr>
      <w:r>
        <w:t xml:space="preserve">Review site inventory weekly.</w:t>
      </w:r>
    </w:p>
    <w:p>
      <w:pPr>
        <w:pStyle w:val="Compact"/>
        <w:numPr>
          <w:ilvl w:val="0"/>
          <w:numId w:val="1011"/>
        </w:numPr>
      </w:pPr>
      <w:r>
        <w:t xml:space="preserve">Count stock in transit when calculating replenishment needs.</w:t>
      </w:r>
    </w:p>
    <w:p>
      <w:pPr>
        <w:pStyle w:val="Compact"/>
        <w:numPr>
          <w:ilvl w:val="0"/>
          <w:numId w:val="1011"/>
        </w:numPr>
      </w:pPr>
      <w:r>
        <w:t xml:space="preserve">Pull shipped kits from actual depot inventory.</w:t>
      </w:r>
    </w:p>
    <w:p>
      <w:pPr>
        <w:pStyle w:val="Compact"/>
        <w:numPr>
          <w:ilvl w:val="0"/>
          <w:numId w:val="1011"/>
        </w:numPr>
      </w:pPr>
      <w:r>
        <w:t xml:space="preserve">Validate enrollment against the trial target.</w:t>
      </w:r>
    </w:p>
    <w:p>
      <w:pPr>
        <w:pStyle w:val="Compact"/>
        <w:numPr>
          <w:ilvl w:val="0"/>
          <w:numId w:val="1011"/>
        </w:numPr>
      </w:pPr>
      <w:r>
        <w:t xml:space="preserve">Track expiry and damage across all modeled inventory tiers.</w:t>
      </w:r>
    </w:p>
    <w:p>
      <w:pPr>
        <w:pStyle w:val="Compact"/>
        <w:numPr>
          <w:ilvl w:val="0"/>
          <w:numId w:val="1011"/>
        </w:numPr>
      </w:pPr>
      <w:r>
        <w:t xml:space="preserve">Report full-chain waste as the primary waste measure.</w:t>
      </w:r>
    </w:p>
    <w:p>
      <w:pPr>
        <w:pStyle w:val="FirstParagraph"/>
      </w:pPr>
      <w:r>
        <w:t xml:space="preserve">These requirements create a consistent starting point. They do not remove the need for human review and testing.</w:t>
      </w:r>
    </w:p>
    <w:bookmarkEnd w:id="36"/>
    <w:bookmarkStart w:id="37" w:name="phase-2-run-and-interpret"/>
    <w:p>
      <w:pPr>
        <w:pStyle w:val="Heading4"/>
      </w:pPr>
      <w:r>
        <w:t xml:space="preserve">Phase 2 — Run and interpret</w:t>
      </w:r>
    </w:p>
    <w:p>
      <w:pPr>
        <w:pStyle w:val="FirstParagraph"/>
      </w:pPr>
      <w:r>
        <w:t xml:space="preserve">The analyst runs the code in the organization’s approved computing environment. The team should also use approved version control so it can identify which code, assumptions, input data, and random-number settings produced each result.</w:t>
      </w:r>
    </w:p>
    <w:p>
      <w:pPr>
        <w:pStyle w:val="BodyText"/>
      </w:pPr>
      <w:r>
        <w:t xml:space="preserve">The analyst may then share approved output with the AI. The output should not include confidential or patient-level information unless the organization has approved that use. The AI explains the findings in plain English and flags possible anomalies. Examples include:</w:t>
      </w:r>
    </w:p>
    <w:p>
      <w:pPr>
        <w:pStyle w:val="Compact"/>
        <w:numPr>
          <w:ilvl w:val="0"/>
          <w:numId w:val="1012"/>
        </w:numPr>
      </w:pPr>
      <w:r>
        <w:t xml:space="preserve">Enrollment far above the planned patient count</w:t>
      </w:r>
    </w:p>
    <w:p>
      <w:pPr>
        <w:pStyle w:val="Compact"/>
        <w:numPr>
          <w:ilvl w:val="0"/>
          <w:numId w:val="1012"/>
        </w:numPr>
      </w:pPr>
      <w:r>
        <w:t xml:space="preserve">Depot inventory that never decreases</w:t>
      </w:r>
    </w:p>
    <w:p>
      <w:pPr>
        <w:pStyle w:val="Compact"/>
        <w:numPr>
          <w:ilvl w:val="0"/>
          <w:numId w:val="1012"/>
        </w:numPr>
      </w:pPr>
      <w:r>
        <w:t xml:space="preserve">Negative inventory</w:t>
      </w:r>
    </w:p>
    <w:p>
      <w:pPr>
        <w:pStyle w:val="Compact"/>
        <w:numPr>
          <w:ilvl w:val="0"/>
          <w:numId w:val="1012"/>
        </w:numPr>
      </w:pPr>
      <w:r>
        <w:t xml:space="preserve">Stock-out rates that change sharply without a clear cause</w:t>
      </w:r>
    </w:p>
    <w:p>
      <w:pPr>
        <w:pStyle w:val="Compact"/>
        <w:numPr>
          <w:ilvl w:val="0"/>
          <w:numId w:val="1012"/>
        </w:numPr>
      </w:pPr>
      <w:r>
        <w:t xml:space="preserve">Waste reported only at sites</w:t>
      </w:r>
    </w:p>
    <w:p>
      <w:pPr>
        <w:pStyle w:val="Compact"/>
        <w:numPr>
          <w:ilvl w:val="0"/>
          <w:numId w:val="1012"/>
        </w:numPr>
      </w:pPr>
      <w:r>
        <w:t xml:space="preserve">Results that remain identical across random replications</w:t>
      </w:r>
    </w:p>
    <w:p>
      <w:pPr>
        <w:pStyle w:val="FirstParagraph"/>
      </w:pPr>
      <w:r>
        <w:t xml:space="preserve">The analyst investigates these warnings before accepting the results. The absence of a warning does not prove that the model is correct.</w:t>
      </w:r>
    </w:p>
    <w:bookmarkEnd w:id="37"/>
    <w:bookmarkStart w:id="38" w:name="phase-3-prepare-a-structured-report"/>
    <w:p>
      <w:pPr>
        <w:pStyle w:val="Heading4"/>
      </w:pPr>
      <w:r>
        <w:t xml:space="preserve">Phase 3 — Prepare a structured report</w:t>
      </w:r>
    </w:p>
    <w:p>
      <w:pPr>
        <w:pStyle w:val="FirstParagraph"/>
      </w:pPr>
      <w:r>
        <w:t xml:space="preserve">The final phase produces a decision-focused report. It includes:</w:t>
      </w:r>
    </w:p>
    <w:p>
      <w:pPr>
        <w:pStyle w:val="Compact"/>
        <w:numPr>
          <w:ilvl w:val="0"/>
          <w:numId w:val="1013"/>
        </w:numPr>
      </w:pPr>
      <w:r>
        <w:t xml:space="preserve">A summary of key performance indicators</w:t>
      </w:r>
    </w:p>
    <w:p>
      <w:pPr>
        <w:pStyle w:val="Compact"/>
        <w:numPr>
          <w:ilvl w:val="0"/>
          <w:numId w:val="1013"/>
        </w:numPr>
      </w:pPr>
      <w:r>
        <w:t xml:space="preserve">Comparisons with the baseline policy</w:t>
      </w:r>
    </w:p>
    <w:p>
      <w:pPr>
        <w:pStyle w:val="Compact"/>
        <w:numPr>
          <w:ilvl w:val="0"/>
          <w:numId w:val="1013"/>
        </w:numPr>
      </w:pPr>
      <w:r>
        <w:t xml:space="preserve">Prioritized recommendations</w:t>
      </w:r>
    </w:p>
    <w:p>
      <w:pPr>
        <w:pStyle w:val="Compact"/>
        <w:numPr>
          <w:ilvl w:val="0"/>
          <w:numId w:val="1013"/>
        </w:numPr>
      </w:pPr>
      <w:r>
        <w:t xml:space="preserve">Important model limitations</w:t>
      </w:r>
    </w:p>
    <w:p>
      <w:pPr>
        <w:pStyle w:val="Compact"/>
        <w:numPr>
          <w:ilvl w:val="0"/>
          <w:numId w:val="1013"/>
        </w:numPr>
      </w:pPr>
      <w:r>
        <w:t xml:space="preserve">Open questions that require human judgment</w:t>
      </w:r>
    </w:p>
    <w:p>
      <w:pPr>
        <w:pStyle w:val="FirstParagraph"/>
      </w:pPr>
      <w:r>
        <w:t xml:space="preserve">This report should separate model findings from management decisions. The simulation may show that a lower site target raises stock-outs from 0.7% to 1.4%. It cannot decide whether that increase is clinically acceptable.</w:t>
      </w:r>
    </w:p>
    <w:bookmarkEnd w:id="38"/>
    <w:bookmarkEnd w:id="39"/>
    <w:bookmarkStart w:id="40" w:name="Xb78699ef39aaea2513b9ef4db52fd118930df98"/>
    <w:p>
      <w:pPr>
        <w:pStyle w:val="Heading3"/>
      </w:pPr>
      <w:r>
        <w:t xml:space="preserve">5.4 What the AI handles well—and where humans must stay involved</w:t>
      </w:r>
    </w:p>
    <w:p>
      <w:pPr>
        <w:pStyle w:val="FirstParagraph"/>
      </w:pPr>
      <w:r>
        <w:t xml:space="preserve">AI provides the most value in repetitive, structured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AI handles well</w:t>
            </w:r>
          </w:p>
        </w:tc>
        <w:tc>
          <w:tcPr/>
          <w:p>
            <w:pPr>
              <w:pStyle w:val="Compact"/>
            </w:pPr>
            <w:r>
              <w:t xml:space="preserve">Humans must decide or approve</w:t>
            </w:r>
          </w:p>
        </w:tc>
      </w:tr>
      <w:tr>
        <w:tc>
          <w:tcPr/>
          <w:p>
            <w:pPr>
              <w:pStyle w:val="Compact"/>
            </w:pPr>
            <w:r>
              <w:t xml:space="preserve">Producing an initial code draft from a detailed specification</w:t>
            </w:r>
          </w:p>
        </w:tc>
        <w:tc>
          <w:tcPr/>
          <w:p>
            <w:pPr>
              <w:pStyle w:val="Compact"/>
            </w:pPr>
            <w:r>
              <w:t xml:space="preserve">Whether the stock-out tolerance is clinically acceptable</w:t>
            </w:r>
          </w:p>
        </w:tc>
      </w:tr>
      <w:tr>
        <w:tc>
          <w:tcPr/>
          <w:p>
            <w:pPr>
              <w:pStyle w:val="Compact"/>
            </w:pPr>
            <w:r>
              <w:t xml:space="preserve">Generating repeated parameter comparisons without fatigue</w:t>
            </w:r>
          </w:p>
        </w:tc>
        <w:tc>
          <w:tcPr/>
          <w:p>
            <w:pPr>
              <w:pStyle w:val="Compact"/>
            </w:pPr>
            <w:r>
              <w:t xml:space="preserve">How to interpret unclear or conflicting protocol language</w:t>
            </w:r>
          </w:p>
        </w:tc>
      </w:tr>
      <w:tr>
        <w:tc>
          <w:tcPr/>
          <w:p>
            <w:pPr>
              <w:pStyle w:val="Compact"/>
            </w:pPr>
            <w:r>
              <w:t xml:space="preserve">Checking names, units, and logic for consistency</w:t>
            </w:r>
          </w:p>
        </w:tc>
        <w:tc>
          <w:tcPr/>
          <w:p>
            <w:pPr>
              <w:pStyle w:val="Compact"/>
            </w:pPr>
            <w:r>
              <w:t xml:space="preserve">Whether the model reflects actual depot and IRT operations</w:t>
            </w:r>
          </w:p>
        </w:tc>
      </w:tr>
      <w:tr>
        <w:tc>
          <w:tcPr/>
          <w:p>
            <w:pPr>
              <w:pStyle w:val="Compact"/>
            </w:pPr>
            <w:r>
              <w:t xml:space="preserve">Summarizing large output tables</w:t>
            </w:r>
          </w:p>
        </w:tc>
        <w:tc>
          <w:tcPr/>
          <w:p>
            <w:pPr>
              <w:pStyle w:val="Compact"/>
            </w:pPr>
            <w:r>
              <w:t xml:space="preserve">Whether a recommendation creates a patient-safety risk</w:t>
            </w:r>
          </w:p>
        </w:tc>
      </w:tr>
      <w:tr>
        <w:tc>
          <w:tcPr/>
          <w:p>
            <w:pPr>
              <w:pStyle w:val="Compact"/>
            </w:pPr>
            <w:r>
              <w:t xml:space="preserve">Retaining approved lessons through a persistent context file</w:t>
            </w:r>
          </w:p>
        </w:tc>
        <w:tc>
          <w:tcPr/>
          <w:p>
            <w:pPr>
              <w:pStyle w:val="Compact"/>
            </w:pPr>
            <w:r>
              <w:t xml:space="preserve">Whether the model is ready for decision-making</w:t>
            </w:r>
          </w:p>
        </w:tc>
      </w:tr>
      <w:tr>
        <w:tc>
          <w:tcPr/>
          <w:p>
            <w:pPr>
              <w:pStyle w:val="Compact"/>
            </w:pPr>
            <w:r>
              <w:t xml:space="preserve">Drafting test cases and highlighting unusual results</w:t>
            </w:r>
          </w:p>
        </w:tc>
        <w:tc>
          <w:tcPr/>
          <w:p>
            <w:pPr>
              <w:pStyle w:val="Compact"/>
            </w:pPr>
            <w:r>
              <w:t xml:space="preserve">Any change that affects dosing, dispensing, or treatment continuity</w:t>
            </w:r>
          </w:p>
        </w:tc>
      </w:tr>
    </w:tbl>
    <w:p>
      <w:pPr>
        <w:pStyle w:val="BodyText"/>
      </w:pPr>
      <w:r>
        <w:t xml:space="preserve">The persistent context file can support institutional memory. It records why a rule was chosen, not only its final value. This is helpful when team members change or when a similar study begins months later. However, the file supports memory only if people keep it current, review it, and control access to it.</w:t>
      </w:r>
    </w:p>
    <w:p>
      <w:pPr>
        <w:pStyle w:val="BodyText"/>
      </w:pPr>
      <w:r>
        <w:t xml:space="preserve">Human accountability remains essential. Clinical operations must confirm that visit and discontinuation rules match the protocol. Supply chain experts must confirm that replenishment, depot, and shipping logic match actual practice. Statisticians must review the treatment of uncertainty and the number of replications. Quality and clinical leaders must approve decisions that may affect patients.</w:t>
      </w:r>
    </w:p>
    <w:bookmarkEnd w:id="40"/>
    <w:bookmarkStart w:id="41" w:name="Xb10c161f4da543e6b5dc03d2432a391206fc25b"/>
    <w:p>
      <w:pPr>
        <w:pStyle w:val="Heading3"/>
      </w:pPr>
      <w:r>
        <w:t xml:space="preserve">5.5 Hard lessons—and how the SKILL addressed them</w:t>
      </w:r>
    </w:p>
    <w:p>
      <w:pPr>
        <w:pStyle w:val="FirstParagraph"/>
      </w:pPr>
      <w:r>
        <w:t xml:space="preserve">Early versions of the workflow produced several important lessons.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Why it mattered</w:t>
            </w:r>
          </w:p>
        </w:tc>
        <w:tc>
          <w:tcPr/>
          <w:p>
            <w:pPr>
              <w:pStyle w:val="Compact"/>
            </w:pPr>
            <w:r>
              <w:t xml:space="preserve">SKILL response</w:t>
            </w:r>
          </w:p>
        </w:tc>
      </w:tr>
      <w:tr>
        <w:tc>
          <w:tcPr/>
          <w:p>
            <w:pPr>
              <w:pStyle w:val="Compact"/>
            </w:pPr>
            <w:r>
              <w:t xml:space="preserve">Over-enrollment</w:t>
            </w:r>
          </w:p>
        </w:tc>
        <w:tc>
          <w:tcPr/>
          <w:p>
            <w:pPr>
              <w:pStyle w:val="Compact"/>
            </w:pPr>
            <w:r>
              <w:t xml:space="preserve">The model enrolled three to four times the planned number of patients. The output looked plausible, but every demand and inventory result was meaningless.</w:t>
            </w:r>
          </w:p>
        </w:tc>
        <w:tc>
          <w:tcPr/>
          <w:p>
            <w:pPr>
              <w:pStyle w:val="Compact"/>
            </w:pPr>
            <w:r>
              <w:t xml:space="preserve">Enrollment validation became mandatory before any result could be interpreted.</w:t>
            </w:r>
          </w:p>
        </w:tc>
      </w:tr>
      <w:tr>
        <w:tc>
          <w:tcPr/>
          <w:p>
            <w:pPr>
              <w:pStyle w:val="Compact"/>
            </w:pPr>
            <w:r>
              <w:t xml:space="preserve">Phantom drug</w:t>
            </w:r>
          </w:p>
        </w:tc>
        <w:tc>
          <w:tcPr/>
          <w:p>
            <w:pPr>
              <w:pStyle w:val="Compact"/>
            </w:pPr>
            <w:r>
              <w:t xml:space="preserve">The model created new kit records during shipment instead of removing kits from depot stock. Depot inventory never declined.</w:t>
            </w:r>
          </w:p>
        </w:tc>
        <w:tc>
          <w:tcPr/>
          <w:p>
            <w:pPr>
              <w:pStyle w:val="Compact"/>
            </w:pPr>
            <w:r>
              <w:t xml:space="preserve">Explicit depot-pull logic became a non-negotiable coding rule. Every shipment must use existing inventory.</w:t>
            </w:r>
          </w:p>
        </w:tc>
      </w:tr>
      <w:tr>
        <w:tc>
          <w:tcPr/>
          <w:p>
            <w:pPr>
              <w:pStyle w:val="Compact"/>
            </w:pPr>
            <w:r>
              <w:t xml:space="preserve">Wrong waste metric</w:t>
            </w:r>
          </w:p>
        </w:tc>
        <w:tc>
          <w:tcPr/>
          <w:p>
            <w:pPr>
              <w:pStyle w:val="Compact"/>
            </w:pPr>
            <w:r>
              <w:t xml:space="preserve">Early reports counted only site expiry. They missed expiry at the central and regional depots, so waste appeared artificially low.</w:t>
            </w:r>
          </w:p>
        </w:tc>
        <w:tc>
          <w:tcPr/>
          <w:p>
            <w:pPr>
              <w:pStyle w:val="Compact"/>
            </w:pPr>
            <w:r>
              <w:t xml:space="preserve">Full-chain waste became the required primary measure. Location-level waste remains a supporting view.</w:t>
            </w:r>
          </w:p>
        </w:tc>
      </w:tr>
    </w:tbl>
    <w:p>
      <w:pPr>
        <w:pStyle w:val="BodyText"/>
      </w:pPr>
      <w:r>
        <w:t xml:space="preserve">These examples show why successful execution is not evidence of correctness. Code can run without displaying an error and still represent the supply chain incorrectly.</w:t>
      </w:r>
    </w:p>
    <w:p>
      <w:pPr>
        <w:pStyle w:val="BodyText"/>
      </w:pPr>
      <w:r>
        <w:t xml:space="preserve">Every model therefore needs tests against known benchmarks. For example, a depot that ships 100 kits should lose exactly 100 kits from its inventory records. A simulation capped at 250 patients should never enroll 750. The full-chain waste total should match the recorded losses across all modeled locations.</w:t>
      </w:r>
    </w:p>
    <w:p>
      <w:pPr>
        <w:pStyle w:val="BodyText"/>
      </w:pPr>
      <w:r>
        <w:t xml:space="preserve">The SKILL approach makes AI assistance faster and more disciplined. It does not replace expert review. Its main value comes from combining rapid drafting with mandatory human confirmation, verification, validation, testing, and approval.</w:t>
      </w:r>
    </w:p>
    <w:p>
      <w:r>
        <w:pict>
          <v:rect style="width:0;height:1.5pt" o:hralign="center" o:hrstd="t" o:hr="t"/>
        </w:pict>
      </w:r>
    </w:p>
    <w:bookmarkEnd w:id="41"/>
    <w:bookmarkEnd w:id="42"/>
    <w:bookmarkStart w:id="43" w:name="discussion"/>
    <w:p>
      <w:pPr>
        <w:pStyle w:val="Heading2"/>
      </w:pPr>
      <w:r>
        <w:t xml:space="preserve">6. Discussion</w:t>
      </w:r>
    </w:p>
    <w:p>
      <w:pPr>
        <w:pStyle w:val="FirstParagraph"/>
      </w:pPr>
      <w:r>
        <w:t xml:space="preserve">Clinical trial supply optimization is a strategic capability, not a back-office logistics task. A well-designed supply plan keeps patients on treatment and supports trial timelines. Completing a trial sooner may support an earlier regulatory submission and product launch. This can preserve more of the product’s effective patent exclusivity period. Lower waste also reduces the drug supply cost per enrolled patient.</w:t>
      </w:r>
    </w:p>
    <w:p>
      <w:pPr>
        <w:pStyle w:val="BodyText"/>
      </w:pPr>
      <w:r>
        <w:t xml:space="preserve">Poor configuration creates the opposite result. Too little inventory can delay dosing and disrupt trial timelines. Too much inventory increases manufacturing, storage, and expiry costs. The baseline simulation in Section 3 produced a mean stock-out rate of 0.68% and a mean full-chain waste rate of 43.5%. Section 4 showed that changing supply settings can shift this balance substantially. Four large manufacturing batches reduced the stock-out rate to 0.08% but increased full-chain waste to 56%. By contrast, reducing the site reorder target from 105 to 70 kits lowered waste from 43.5% to about 40%, while keeping the stock-out rate near 1.4%.</w:t>
      </w:r>
    </w:p>
    <w:p>
      <w:pPr>
        <w:pStyle w:val="BodyText"/>
      </w:pPr>
      <w:r>
        <w:t xml:space="preserve">Formula-based methods and simulation serve complementary purposes. Methods such as those described by Anisimov provide fast comparisons during early trial design. They can estimate how the number of treatment arms, clinical sites, and desired service level affects the extra drug required to protect against shortages. This extra drug is called overage.</w:t>
      </w:r>
    </w:p>
    <w:p>
      <w:pPr>
        <w:pStyle w:val="BodyText"/>
      </w:pPr>
      <w:r>
        <w:t xml:space="preserve">Simulation adds operational detail during supply planning. It can also support trial execution when teams update the model with current enrollment, inventory, and shipment data. The framework can represent:</w:t>
      </w:r>
    </w:p>
    <w:p>
      <w:pPr>
        <w:pStyle w:val="Compact"/>
        <w:numPr>
          <w:ilvl w:val="0"/>
          <w:numId w:val="1014"/>
        </w:numPr>
      </w:pPr>
      <w:r>
        <w:t xml:space="preserve">First Expired, First Out, or FEFO, dispensing, which uses the stock that will expire soonest first</w:t>
      </w:r>
    </w:p>
    <w:p>
      <w:pPr>
        <w:pStyle w:val="Compact"/>
        <w:numPr>
          <w:ilvl w:val="0"/>
          <w:numId w:val="1014"/>
        </w:numPr>
      </w:pPr>
      <w:r>
        <w:t xml:space="preserve">Sites that open and receive stock but enroll no patients</w:t>
      </w:r>
    </w:p>
    <w:p>
      <w:pPr>
        <w:pStyle w:val="Compact"/>
        <w:numPr>
          <w:ilvl w:val="0"/>
          <w:numId w:val="1014"/>
        </w:numPr>
      </w:pPr>
      <w:r>
        <w:t xml:space="preserve">Weekly rather than continuous inventory reviews</w:t>
      </w:r>
    </w:p>
    <w:p>
      <w:pPr>
        <w:pStyle w:val="Compact"/>
        <w:numPr>
          <w:ilvl w:val="0"/>
          <w:numId w:val="1014"/>
        </w:numPr>
      </w:pPr>
      <w:r>
        <w:t xml:space="preserve">Replenishment decisions that respond to current stock, stock already in transit, and expected demand</w:t>
      </w:r>
    </w:p>
    <w:p>
      <w:pPr>
        <w:pStyle w:val="Compact"/>
        <w:numPr>
          <w:ilvl w:val="0"/>
          <w:numId w:val="1014"/>
        </w:numPr>
      </w:pPr>
      <w:r>
        <w:t xml:space="preserve">Expiry dates and locations tracked for each individual kit</w:t>
      </w:r>
    </w:p>
    <w:p>
      <w:pPr>
        <w:pStyle w:val="FirstParagraph"/>
      </w:pPr>
      <w:r>
        <w:t xml:space="preserve">These details can reveal shortages or waste that a formula based on broader assumptions may not show. For example, a site may have enough total inventory but still lack the correct kit type or treatment arm for a scheduled patient visit.</w:t>
      </w:r>
    </w:p>
    <w:p>
      <w:pPr>
        <w:pStyle w:val="BodyText"/>
      </w:pPr>
      <w:r>
        <w:t xml:space="preserve">The framework also has important limitations:</w:t>
      </w:r>
    </w:p>
    <w:p>
      <w:pPr>
        <w:pStyle w:val="Compact"/>
        <w:numPr>
          <w:ilvl w:val="0"/>
          <w:numId w:val="1015"/>
        </w:numPr>
      </w:pPr>
      <w:r>
        <w:t xml:space="preserve">It represents one trial design. Each new study requires its own calibrated assumptions for enrollment, dosing, discontinuation, lead times, shelf life, and other operating conditions.</w:t>
      </w:r>
    </w:p>
    <w:p>
      <w:pPr>
        <w:pStyle w:val="Compact"/>
        <w:numPr>
          <w:ilvl w:val="0"/>
          <w:numId w:val="1015"/>
        </w:numPr>
      </w:pPr>
      <w:r>
        <w:t xml:space="preserve">The SKILL approach requires access to AI tools and an analyst who is willing to test, review, and revise the model. AI can accelerate implementation, but it does not replace expert review.</w:t>
      </w:r>
    </w:p>
    <w:p>
      <w:pPr>
        <w:pStyle w:val="Compact"/>
        <w:numPr>
          <w:ilvl w:val="0"/>
          <w:numId w:val="1015"/>
        </w:numPr>
      </w:pPr>
      <w:r>
        <w:t xml:space="preserve">Results depend on input quality. Incorrect enrollment or dropout assumptions will produce an incorrect supply plan.</w:t>
      </w:r>
    </w:p>
    <w:p>
      <w:pPr>
        <w:pStyle w:val="Compact"/>
        <w:numPr>
          <w:ilvl w:val="0"/>
          <w:numId w:val="1015"/>
        </w:numPr>
      </w:pPr>
      <w:r>
        <w:t xml:space="preserve">The model has not been validated against historical trial data. This is a known limitation. Retrospective validation against actual enrollment, shipment, dispensing, and expiry records would strengthen confidence in the framework.</w:t>
      </w:r>
    </w:p>
    <w:p>
      <w:pPr>
        <w:pStyle w:val="Compact"/>
        <w:numPr>
          <w:ilvl w:val="0"/>
          <w:numId w:val="1015"/>
        </w:numPr>
      </w:pPr>
      <w:r>
        <w:t xml:space="preserve">One hundred replications produced reasonably stable mean results for this example. However, they do not fully characterize rare but severe outcomes. Teams should review the range across replications, not only the mean, and should use more replications for decision-grade planning when computing resources allow.</w:t>
      </w:r>
    </w:p>
    <w:p>
      <w:pPr>
        <w:pStyle w:val="FirstParagraph"/>
      </w:pPr>
      <w:r>
        <w:t xml:space="preserve">The SKILL workflow can also support other complex clinical simulation tasks. Examples include recruitment forecasting, adaptive trial scenario testing, and biomarker-driven randomization. Biomarker-driven randomization assigns treatment based partly on a patient’s biological test result. Each use case requires different inputs and operating rules, but the same iterative workflow can help teams define assumptions, test scenarios, and review results.</w:t>
      </w:r>
    </w:p>
    <w:p>
      <w:pPr>
        <w:pStyle w:val="BodyText"/>
      </w:pPr>
      <w:r>
        <w:t xml:space="preserve">Quantified logistics cost modeling is a natural next step. This paper describes cost trade-offs qualitatively. A future model could include study-specific freight, packaging, storage, and emergency shipment costs. That extension would complete a three-part optimization framework covering patient supply, drug waste, and logistics cost.</w:t>
      </w:r>
    </w:p>
    <w:p>
      <w:r>
        <w:pict>
          <v:rect style="width:0;height:1.5pt" o:hralign="center" o:hrstd="t" o:hr="t"/>
        </w:pict>
      </w:r>
    </w:p>
    <w:bookmarkEnd w:id="43"/>
    <w:bookmarkStart w:id="44" w:name="conclusion"/>
    <w:p>
      <w:pPr>
        <w:pStyle w:val="Heading2"/>
      </w:pPr>
      <w:r>
        <w:t xml:space="preserve">7. Conclusion</w:t>
      </w:r>
    </w:p>
    <w:p>
      <w:pPr>
        <w:pStyle w:val="FirstParagraph"/>
      </w:pPr>
      <w:r>
        <w:t xml:space="preserve">Clinical trial supply planning must balance three competing goals: prevent stock-outs, limit drug waste, and control cost. Simulation makes these trade-offs visible before they affect patients. In this example, lowering the site reorder target from 105 to 70 kits reduced full-chain waste from 43.5% to about 40%. The mean stock-out rate rose from 0.68% to about 1.4%, but remained well below the 5% planning limit. The EU demand protection rule was especially important for China supply continuity. Reducing the reserve from 90 to 30 days increased the China stock-out rate more than 37-fold, from 0.08% to 3.0%, with almost no waste benefit.</w:t>
      </w:r>
    </w:p>
    <w:p>
      <w:pPr>
        <w:pStyle w:val="BodyText"/>
      </w:pPr>
      <w:r>
        <w:t xml:space="preserve">The SKILL approach shortened the development of an initial protocol-to-simulation draft from weeks to days. It combined AI-assisted drafting with required human checkpoints throughout the workflow. The process now includes permanent safeguards against three serious errors: enrolling more patients than the trial allows, creating phantom drug by recording shipments without removing kits from depot inventory, and reporting site waste while missing depot waste. These guardrails can make future simulations faster and safer. However, they do not make a model self-validating. Supply chain, clinical operations, statistics, quality, and clinical leaders must still test the model, approve its assumptions, and decide whether its recommendations are acceptable.</w:t>
      </w:r>
    </w:p>
    <w:p>
      <w:pPr>
        <w:pStyle w:val="BodyText"/>
      </w:pPr>
      <w:r>
        <w:t xml:space="preserve">Supply teams should treat simulation-based planning as a standard operational tool rather than a one-time technical exercise. Teams can use it during study design, supply planning, and trial execution. Rigorous modeling, structured AI assistance, and accountable human oversight are ready for operational use today when applied within approved procedures. Together, they can protect treatment continuity, reduce avoidable waste, and support better cross-functional decisions.</w:t>
      </w:r>
    </w:p>
    <w:p>
      <w:r>
        <w:pict>
          <v:rect style="width:0;height:1.5pt" o:hralign="center" o:hrstd="t" o:hr="t"/>
        </w:pict>
      </w:r>
    </w:p>
    <w:bookmarkEnd w:id="44"/>
    <w:bookmarkStart w:id="45" w:name="glossary"/>
    <w:p>
      <w:pPr>
        <w:pStyle w:val="Heading2"/>
      </w:pPr>
      <w:r>
        <w:t xml:space="preserve">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DNC (Do Not Count)</w:t>
            </w:r>
          </w:p>
        </w:tc>
        <w:tc>
          <w:tcPr/>
          <w:p>
            <w:pPr>
              <w:pStyle w:val="Compact"/>
            </w:pPr>
            <w:r>
              <w:t xml:space="preserve">Inventory that physically exists but is excluded from usable stock counts. This usually includes kits within the DND window or kits quarantined pending quality review.</w:t>
            </w:r>
          </w:p>
        </w:tc>
      </w:tr>
      <w:tr>
        <w:tc>
          <w:tcPr/>
          <w:p>
            <w:pPr>
              <w:pStyle w:val="Compact"/>
            </w:pPr>
            <w:r>
              <w:rPr>
                <w:b/>
                <w:bCs/>
              </w:rPr>
              <w:t xml:space="preserve">DND (Do Not Dispense)</w:t>
            </w:r>
          </w:p>
        </w:tc>
        <w:tc>
          <w:tcPr/>
          <w:p>
            <w:pPr>
              <w:pStyle w:val="Compact"/>
            </w:pPr>
            <w:r>
              <w:t xml:space="preserve">A sponsor-defined rule that prevents dispensing a kit if it will expire within a set period, which is 13 days in this paper. These kits remain physically on the shelf but cannot be given to patients; some systems also apply DND until a site confirms receipt in the RTSM system.</w:t>
            </w:r>
          </w:p>
        </w:tc>
      </w:tr>
      <w:tr>
        <w:tc>
          <w:tcPr/>
          <w:p>
            <w:pPr>
              <w:pStyle w:val="Compact"/>
            </w:pPr>
            <w:r>
              <w:rPr>
                <w:b/>
                <w:bCs/>
              </w:rPr>
              <w:t xml:space="preserve">DNS (Do Not Ship)</w:t>
            </w:r>
          </w:p>
        </w:tc>
        <w:tc>
          <w:tcPr/>
          <w:p>
            <w:pPr>
              <w:pStyle w:val="Compact"/>
            </w:pPr>
            <w:r>
              <w:t xml:space="preserve">A rule that prevents shipment when a kit would have too little shelf life remaining at its expected arrival. In this example, the minimum is 180 days at site receipt and 270 days at regional depot receipt.</w:t>
            </w:r>
          </w:p>
        </w:tc>
      </w:tr>
      <w:tr>
        <w:tc>
          <w:tcPr/>
          <w:p>
            <w:pPr>
              <w:pStyle w:val="Compact"/>
            </w:pPr>
            <w:r>
              <w:rPr>
                <w:b/>
                <w:bCs/>
              </w:rPr>
              <w:t xml:space="preserve">FEFO (First Expired, First Out)</w:t>
            </w:r>
          </w:p>
        </w:tc>
        <w:tc>
          <w:tcPr/>
          <w:p>
            <w:pPr>
              <w:pStyle w:val="Compact"/>
            </w:pPr>
            <w:r>
              <w:t xml:space="preserve">A rule requiring staff to use the kit with the earliest expiry date first. This reduces avoidable expiry.</w:t>
            </w:r>
          </w:p>
        </w:tc>
      </w:tr>
      <w:tr>
        <w:tc>
          <w:tcPr/>
          <w:p>
            <w:pPr>
              <w:pStyle w:val="Compact"/>
            </w:pPr>
            <w:r>
              <w:rPr>
                <w:b/>
                <w:bCs/>
              </w:rPr>
              <w:t xml:space="preserve">Full-chain waste rate</w:t>
            </w:r>
          </w:p>
        </w:tc>
        <w:tc>
          <w:tcPr/>
          <w:p>
            <w:pPr>
              <w:pStyle w:val="Compact"/>
            </w:pPr>
            <w:r>
              <w:t xml:space="preserve">Drug that expires or is damaged at the central depot, regional depots, or clinical sites, expressed as a percentage of total drug produced.</w:t>
            </w:r>
          </w:p>
        </w:tc>
      </w:tr>
      <w:tr>
        <w:tc>
          <w:tcPr/>
          <w:p>
            <w:pPr>
              <w:pStyle w:val="Compact"/>
            </w:pPr>
            <w:r>
              <w:rPr>
                <w:b/>
                <w:bCs/>
              </w:rPr>
              <w:t xml:space="preserve">IMP (Investigational Medicinal Product)</w:t>
            </w:r>
          </w:p>
        </w:tc>
        <w:tc>
          <w:tcPr/>
          <w:p>
            <w:pPr>
              <w:pStyle w:val="Compact"/>
            </w:pPr>
            <w:r>
              <w:t xml:space="preserve">The drug being studied in a clinical trial.</w:t>
            </w:r>
          </w:p>
        </w:tc>
      </w:tr>
      <w:tr>
        <w:tc>
          <w:tcPr/>
          <w:p>
            <w:pPr>
              <w:pStyle w:val="Compact"/>
            </w:pPr>
            <w:r>
              <w:rPr>
                <w:b/>
                <w:bCs/>
              </w:rPr>
              <w:t xml:space="preserve">IRT / RTSM (Interactive Response Technology / Randomization and Trial Supply Management)</w:t>
            </w:r>
          </w:p>
        </w:tc>
        <w:tc>
          <w:tcPr/>
          <w:p>
            <w:pPr>
              <w:pStyle w:val="Compact"/>
            </w:pPr>
            <w:r>
              <w:t xml:space="preserve">The electronic system used to manage patient randomization and clinical trial drug supply.</w:t>
            </w:r>
          </w:p>
        </w:tc>
      </w:tr>
      <w:tr>
        <w:tc>
          <w:tcPr/>
          <w:p>
            <w:pPr>
              <w:pStyle w:val="Compact"/>
            </w:pPr>
            <w:r>
              <w:rPr>
                <w:b/>
                <w:bCs/>
              </w:rPr>
              <w:t xml:space="preserve">Long window</w:t>
            </w:r>
          </w:p>
        </w:tc>
        <w:tc>
          <w:tcPr/>
          <w:p>
            <w:pPr>
              <w:pStyle w:val="Compact"/>
            </w:pPr>
            <w:r>
              <w:t xml:space="preserve">An extended look-ahead period used to forecast demand for resupply planning. It typically covers 60 to 90 days in this example.</w:t>
            </w:r>
          </w:p>
        </w:tc>
      </w:tr>
      <w:tr>
        <w:tc>
          <w:tcPr/>
          <w:p>
            <w:pPr>
              <w:pStyle w:val="Compact"/>
            </w:pPr>
            <w:r>
              <w:rPr>
                <w:b/>
                <w:bCs/>
              </w:rPr>
              <w:t xml:space="preserve">Operational waste ratio</w:t>
            </w:r>
          </w:p>
        </w:tc>
        <w:tc>
          <w:tcPr/>
          <w:p>
            <w:pPr>
              <w:pStyle w:val="Compact"/>
            </w:pPr>
            <w:r>
              <w:t xml:space="preserve">Kits shipped minus kits used, divided by kits used. This common industry measure uses kits used rather than total production as its denominator.</w:t>
            </w:r>
          </w:p>
        </w:tc>
      </w:tr>
      <w:tr>
        <w:tc>
          <w:tcPr/>
          <w:p>
            <w:pPr>
              <w:pStyle w:val="Compact"/>
            </w:pPr>
            <w:r>
              <w:rPr>
                <w:b/>
                <w:bCs/>
              </w:rPr>
              <w:t xml:space="preserve">Short window</w:t>
            </w:r>
          </w:p>
        </w:tc>
        <w:tc>
          <w:tcPr/>
          <w:p>
            <w:pPr>
              <w:pStyle w:val="Compact"/>
            </w:pPr>
            <w:r>
              <w:t xml:space="preserve">A near-term look-ahead period used to detect urgent resupply needs. It typically covers 7 to 37 days in this example.</w:t>
            </w:r>
          </w:p>
        </w:tc>
      </w:tr>
      <w:tr>
        <w:tc>
          <w:tcPr/>
          <w:p>
            <w:pPr>
              <w:pStyle w:val="Compact"/>
            </w:pPr>
            <w:r>
              <w:rPr>
                <w:b/>
                <w:bCs/>
              </w:rPr>
              <w:t xml:space="preserve">Stochastic simulation</w:t>
            </w:r>
          </w:p>
        </w:tc>
        <w:tc>
          <w:tcPr/>
          <w:p>
            <w:pPr>
              <w:pStyle w:val="Compact"/>
            </w:pPr>
            <w:r>
              <w:t xml:space="preserve">A model that includes random variation. It runs many independent versions of a trial to show a range of possible outcomes rather than one fixed forecast.</w:t>
            </w:r>
          </w:p>
        </w:tc>
      </w:tr>
      <w:tr>
        <w:tc>
          <w:tcPr/>
          <w:p>
            <w:pPr>
              <w:pStyle w:val="Compact"/>
            </w:pPr>
            <w:r>
              <w:rPr>
                <w:b/>
                <w:bCs/>
              </w:rPr>
              <w:t xml:space="preserve">Stock-out</w:t>
            </w:r>
          </w:p>
        </w:tc>
        <w:tc>
          <w:tcPr/>
          <w:p>
            <w:pPr>
              <w:pStyle w:val="Compact"/>
            </w:pPr>
            <w:r>
              <w:t xml:space="preserve">A situation in which a clinical site has no usable kit for the correct treatment arm when a patient visit is scheduled. For weight-based dosing, the site must also have the required kit type and quantity.</w:t>
            </w:r>
          </w:p>
        </w:tc>
      </w:tr>
    </w:tbl>
    <w:p>
      <w:r>
        <w:pict>
          <v:rect style="width:0;height:1.5pt" o:hralign="center" o:hrstd="t" o:hr="t"/>
        </w:pict>
      </w:r>
    </w:p>
    <w:bookmarkEnd w:id="45"/>
    <w:bookmarkStart w:id="46" w:name="references"/>
    <w:p>
      <w:pPr>
        <w:pStyle w:val="Heading2"/>
      </w:pPr>
      <w:r>
        <w:t xml:space="preserve">References</w:t>
      </w:r>
    </w:p>
    <w:p>
      <w:pPr>
        <w:numPr>
          <w:ilvl w:val="0"/>
          <w:numId w:val="1016"/>
        </w:numPr>
      </w:pPr>
      <w:r>
        <w:t xml:space="preserve">Anisimov VV. Drug supply modelling in clinical trials (statistical methodology).</w:t>
      </w:r>
      <w:r>
        <w:t xml:space="preserve"> </w:t>
      </w:r>
      <w:r>
        <w:rPr>
          <w:i/>
          <w:iCs/>
        </w:rPr>
        <w:t xml:space="preserve">Pharmaceutical Outsourcing</w:t>
      </w:r>
      <w:r>
        <w:t xml:space="preserve">. May/Jun 2010:17–20.</w:t>
      </w:r>
    </w:p>
    <w:p>
      <w:pPr>
        <w:numPr>
          <w:ilvl w:val="0"/>
          <w:numId w:val="1016"/>
        </w:numPr>
      </w:pPr>
      <w:r>
        <w:t xml:space="preserve">Lefew M, Ninh A, Anisimov V. End-to-end drug supply management in multicenter trials.</w:t>
      </w:r>
      <w:r>
        <w:t xml:space="preserve"> </w:t>
      </w:r>
      <w:r>
        <w:rPr>
          <w:i/>
          <w:iCs/>
        </w:rPr>
        <w:t xml:space="preserve">Methodology and Computing in Applied Probability</w:t>
      </w:r>
      <w:r>
        <w:t xml:space="preserve">. 2021;23:695–709. https://doi.org/10.1007/s11009-020-09776-z</w:t>
      </w:r>
    </w:p>
    <w:p>
      <w:pPr>
        <w:numPr>
          <w:ilvl w:val="0"/>
          <w:numId w:val="1016"/>
        </w:numPr>
      </w:pPr>
      <w:r>
        <w:t xml:space="preserve">Anisimov VV, Fedorov VV. Modelling, prediction and adaptive adjustment of recruitment in multicentre trials.</w:t>
      </w:r>
      <w:r>
        <w:t xml:space="preserve"> </w:t>
      </w:r>
      <w:r>
        <w:rPr>
          <w:i/>
          <w:iCs/>
        </w:rPr>
        <w:t xml:space="preserve">Statistics in Medicine</w:t>
      </w:r>
      <w:r>
        <w:t xml:space="preserve">. 2007;26(27):4958–4975.</w:t>
      </w:r>
    </w:p>
    <w:p>
      <w:pPr>
        <w:numPr>
          <w:ilvl w:val="0"/>
          <w:numId w:val="1016"/>
        </w:numPr>
      </w:pPr>
      <w:r>
        <w:t xml:space="preserve">Anisimov VV, Fedorov VV, Heiberger R, Saha S, Kothapalli M. Drug Supply Modeling Software: User Manual. GSK DDS Technical Report 2010-01. GlaxoSmithKline Pharmaceuticals; 2010.</w:t>
      </w:r>
    </w:p>
    <w:p>
      <w:pPr>
        <w:numPr>
          <w:ilvl w:val="0"/>
          <w:numId w:val="1016"/>
        </w:numPr>
      </w:pPr>
      <w:r>
        <w:t xml:space="preserve">Peterson M, Byrom B, Dowlman N, McEntegart D. Optimizing clinical trial supply requirements: simulation of computer-controlled supply chain management.</w:t>
      </w:r>
      <w:r>
        <w:t xml:space="preserve"> </w:t>
      </w:r>
      <w:r>
        <w:rPr>
          <w:i/>
          <w:iCs/>
        </w:rPr>
        <w:t xml:space="preserve">Clinical Trials</w:t>
      </w:r>
      <w:r>
        <w:t xml:space="preserve">. 2004;1(4):399–412.</w:t>
      </w:r>
    </w:p>
    <w:p>
      <w:pPr>
        <w:numPr>
          <w:ilvl w:val="0"/>
          <w:numId w:val="1016"/>
        </w:numPr>
      </w:pPr>
      <w:r>
        <w:t xml:space="preserve">International Council for Harmonisation. ICH E6(R3): Guideline for Good Clinical Practice. ICH; 2023.</w:t>
      </w:r>
    </w:p>
    <w:p>
      <w:pPr>
        <w:numPr>
          <w:ilvl w:val="0"/>
          <w:numId w:val="1016"/>
        </w:numPr>
      </w:pPr>
      <w:r>
        <w:t xml:space="preserve">Shafer SL, Derendorf H. Predicting the future: the challenge of simulation in drug development.</w:t>
      </w:r>
      <w:r>
        <w:t xml:space="preserve"> </w:t>
      </w:r>
      <w:r>
        <w:rPr>
          <w:i/>
          <w:iCs/>
        </w:rPr>
        <w:t xml:space="preserve">Clinical Pharmacology &amp; Therapeutics</w:t>
      </w:r>
      <w:r>
        <w:t xml:space="preserve">. 2010;88(1):89–92.</w:t>
      </w:r>
    </w:p>
    <w:p>
      <w:pPr>
        <w:numPr>
          <w:ilvl w:val="0"/>
          <w:numId w:val="1016"/>
        </w:numPr>
      </w:pPr>
      <w:r>
        <w:t xml:space="preserve">European Medicines Agency. Guideline on the requirements for quality documentation concerning biological investigational medicinal products in clinical trials. EMA/CHMP/BWP/534898/2008; 2012.</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Simulation-Based Optimization of Clinical Trial Drug Supply Chains: A Practical Framework with AI-Assisted Implementation</dc:title>
  <dc:creator>Efficiency+ Trials — Clinical Supply Chain Subteam</dc:creator>
  <cp:keywords/>
  <dcterms:created xsi:type="dcterms:W3CDTF">2026-10-12T13:49:20Z</dcterms:created>
  <dcterms:modified xsi:type="dcterms:W3CDTF">2026-10-12T13:49:20Z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