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Simulation-Based Optimization of Clinical Trial Drug Supply Chains: A Practical Framework with AI-Assisted Implementation</w:t>
      </w:r>
    </w:p>
    <w:p>
      <w:pPr>
        <w:pStyle w:val="Author"/>
      </w:pPr>
      <w:r>
        <w:t xml:space="preserve">Efficiency+ Trials — Clinical Supply Chain Subteam</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8f6fde53530f97e7162695d7f95d0dacc1f67e6"/>
    <w:p>
      <w:pPr>
        <w:pStyle w:val="Heading1"/>
      </w:pPr>
      <w:r>
        <w:t xml:space="preserve">Simulation-Based Optimization of Clinical Trial Drug Supply Chains: A Practical Framework with AI-Assisted Implementation</w:t>
      </w:r>
    </w:p>
    <w:p>
      <w:r>
        <w:pict>
          <v:rect style="width:0;height:1.5pt" o:hralign="center" o:hrstd="t" o:hr="t"/>
        </w:pict>
      </w:r>
    </w:p>
    <w:bookmarkEnd w:id="9"/>
    <w:bookmarkStart w:id="45" w:name="executive-summary"/>
    <w:p>
      <w:pPr>
        <w:pStyle w:val="Heading1"/>
      </w:pPr>
      <w:r>
        <w:t xml:space="preserve">Executive Summary</w:t>
      </w:r>
    </w:p>
    <w:p>
      <w:pPr>
        <w:pStyle w:val="FirstParagraph"/>
      </w:pPr>
      <w:r>
        <w:t xml:space="preserve">Clinical trial supply teams must balance three competing goals. They must limit drug waste, control logistics costs, and prevent stock-outs that could interrupt patient treatment. No single supply policy performs best on all three. This challenge grows as trials add countries, depots, treatment arms, dosing groups, and uncertain shipment lead times.</w:t>
      </w:r>
    </w:p>
    <w:p>
      <w:pPr>
        <w:pStyle w:val="BodyText"/>
      </w:pPr>
      <w:r>
        <w:t xml:space="preserve">This paper presents a stochastic simulation framework, which uses random variation to represent uncertain trial events. It applies the framework to a hypothetical but realistic Phase 2b/3 trial with 250 patients, 23 global sites, two treatment arms, and weight-based dosing. The model runs 100 independent versions of the trial to assess how different supply policies affect stock-outs and waste under uncertainty. It assesses logistics cost qualitatively rather than calculating it.</w:t>
      </w:r>
    </w:p>
    <w:p>
      <w:pPr>
        <w:pStyle w:val="BodyText"/>
      </w:pPr>
      <w:r>
        <w:t xml:space="preserve">Across the 100 baseline replications, the mean stock-out rate was 0.68%, and the mean full-chain waste rate was 43.5%. Full-chain waste includes drug that expires or is damaged at central depots, regional depots, and clinical sites. Reducing the European Union site reorder target—the inventory level that a resupply order aims to restore—from 105 to 70 kits lowered full-chain waste to about 40%. The stock-out rate increased to about 1.4% but remained well below the 5% planning target. The European Union inventory protection buffer, called EU_PROTECT, was the most critical setting for maintaining supply continuity in China. This buffer reserves stock in Europe before allowing transfers to China.</w:t>
      </w:r>
    </w:p>
    <w:p>
      <w:pPr>
        <w:pStyle w:val="BodyText"/>
      </w:pPr>
      <w:r>
        <w:t xml:space="preserve">The paper also presents the SKILL approach, a structured six-step workflow using Amazon Kiro, an artificial intelligence coding assistant. The workflow translates clinical protocols and supply specifications into a working simulation in days rather than weeks. It includes human review checkpoints for assumptions, dispensing rules, model logic, results, and recommendations. These controls help ensure that the model reflects actual trial operations before teams use its results for supply decisions.</w:t>
      </w:r>
    </w:p>
    <w:p>
      <w:pPr>
        <w:pStyle w:val="BodyText"/>
      </w:pPr>
      <w:r>
        <w:t xml:space="preserve">The numerical findings reported here are specific to the modeled trial design and assumptions. They should not be applied to other studies without recalibration. The transferable contributions are the simulation framework and the SKILL workflow, both of which can be adapted to different trial designs, supply networks, and operating conditions.</w:t>
      </w:r>
    </w:p>
    <w:p>
      <w:r>
        <w:pict>
          <v:rect style="width:0;height:1.5pt" o:hralign="center" o:hrstd="t" o:hr="t"/>
        </w:pict>
      </w:r>
    </w:p>
    <w:bookmarkStart w:id="10" w:name="introduction"/>
    <w:p>
      <w:pPr>
        <w:pStyle w:val="Heading2"/>
      </w:pPr>
      <w:r>
        <w:t xml:space="preserve">1. Introduction</w:t>
      </w:r>
    </w:p>
    <w:p>
      <w:pPr>
        <w:pStyle w:val="FirstParagraph"/>
      </w:pPr>
      <w:r>
        <w:t xml:space="preserve">Clinical trial supply teams must deliver the right drug to the right patient at the right time. They must also minimize drug waste, control logistics costs, and avoid stock-outs. These goals compete. More inventory can reduce stock-out risk but increase expiry. Smaller, more frequent shipments can reduce waste but raise freight, packaging, and handling costs. No single supply setting performs best on all three goals.</w:t>
      </w:r>
    </w:p>
    <w:p>
      <w:pPr>
        <w:pStyle w:val="BodyText"/>
      </w:pPr>
      <w:r>
        <w:t xml:space="preserve">Effective planning therefore requires input from several disciplines. Supply chain teams understand depot networks, replenishment rules, shelf life, and shipment delays. Clinical operations teams understand enrollment, site performance, dosing visits, and patient discontinuation. Statisticians understand uncertainty and random variation. However, these groups often use different terms and ways of thinking.</w:t>
      </w:r>
    </w:p>
    <w:p>
      <w:pPr>
        <w:pStyle w:val="BodyText"/>
      </w:pPr>
      <w:r>
        <w:t xml:space="preserve">This paper bridges that gap. It explains supply chain concepts for readers from clinical or statistical backgrounds. It also explains simulation concepts for readers from supply chain or clinical operations. The focus remains practical: how operating decisions affect drug availability, waste, and logistics cost.</w:t>
      </w:r>
    </w:p>
    <w:p>
      <w:pPr>
        <w:pStyle w:val="BodyText"/>
      </w:pPr>
      <w:r>
        <w:t xml:space="preserve">The challenge is growing. Trials increasingly operate across many countries and depots. They may use adaptive designs, which allow planned changes based on accumulating trial data. They may include several treatment arms, weight-based dosing, or cold-chain biologics that require temperature-controlled transport. Enrollment can vary widely across sites and countries. Sponsors also face greater scrutiny over the environmental impact of drug that is manufactured, shipped, and then discarded.</w:t>
      </w:r>
    </w:p>
    <w:p>
      <w:pPr>
        <w:pStyle w:val="BodyText"/>
      </w:pPr>
      <w:r>
        <w:t xml:space="preserve">Despite this complexity, many supply plans still rely on fixed overages—extra drug supplied beyond expected patient use—and rules of thumb. These methods are useful for early planning. However, they may not show how enrollment, visit schedules, shipment delays, replenishment rules, and expiry interact over time.</w:t>
      </w:r>
    </w:p>
    <w:p>
      <w:pPr>
        <w:pStyle w:val="BodyText"/>
      </w:pPr>
      <w:r>
        <w:t xml:space="preserve">This paper delivers two practical tools. First, it presents a simulation framework for a hypothetical global Phase 2b/3 trial with weight-based dosing. The framework applies random variation to enrollment, visit timing, and patient discontinuation. It also models manufacturing arrivals, inventory movements, resupply, and expiry. The analysis quantifies the trade-off between waste and stock-out risk. It assesses logistics cost qualitatively.</w:t>
      </w:r>
    </w:p>
    <w:p>
      <w:pPr>
        <w:pStyle w:val="BodyText"/>
      </w:pPr>
      <w:r>
        <w:t xml:space="preserve">Second, it presents the paper’s central methodological contribution: the SKILL approach. SKILL is a structured six-step, AI-assisted workflow that translates protocol and supply specification documents into a working simulation in days rather than weeks. It uses AI to accelerate structured development while keeping human judgment, testing, validation, and approval central at every step.</w:t>
      </w:r>
    </w:p>
    <w:p>
      <w:pPr>
        <w:pStyle w:val="BodyText"/>
      </w:pPr>
      <w:r>
        <w:t xml:space="preserve">Section 2 describes the supply chain structure and challenges; Section 3 presents the simulation framework; Section 4 reports sensitivity analysis findings; Section 5 describes the AI-assisted implementation approach; Sections 6 and 7 discuss implications and conclusions.</w:t>
      </w:r>
    </w:p>
    <w:p>
      <w:r>
        <w:pict>
          <v:rect style="width:0;height:1.5pt" o:hralign="center" o:hrstd="t" o:hr="t"/>
        </w:pict>
      </w:r>
    </w:p>
    <w:bookmarkEnd w:id="10"/>
    <w:bookmarkStart w:id="15" w:name="X69ed505ad2dc50eaeaec484cd75ad902fdbaa31"/>
    <w:p>
      <w:pPr>
        <w:pStyle w:val="Heading2"/>
      </w:pPr>
      <w:r>
        <w:t xml:space="preserve">2. Clinical Trial Supply Chain: Structure and Challenges</w:t>
      </w:r>
    </w:p>
    <w:p>
      <w:pPr>
        <w:pStyle w:val="FirstParagraph"/>
      </w:pPr>
      <w:r>
        <w:t xml:space="preserve">A clinical trial supply chain moves drug through a one-way network:</w:t>
      </w:r>
    </w:p>
    <w:p>
      <w:pPr>
        <w:pStyle w:val="BodyText"/>
      </w:pPr>
      <w:r>
        <w:rPr>
          <w:b/>
          <w:bCs/>
        </w:rPr>
        <w:t xml:space="preserve">Manufacturer → EU central depot → regional depots → clinical sites → patients</w:t>
      </w:r>
    </w:p>
    <w:p>
      <w:pPr>
        <w:pStyle w:val="BodyText"/>
      </w:pPr>
      <w:r>
        <w:t xml:space="preserve">For example, drug may move from a manufacturer to a central depot in the European Union, then to a regional depot in China, and finally to participating hospitals. Each transfer takes time. International shipments may also require customs clearance, which can add weeks or months. Drug generally cannot move back upstream when demand changes. This makes early supply decisions difficult to reverse.</w:t>
      </w:r>
    </w:p>
    <w:bookmarkStart w:id="11" w:name="manufacturing-before-demand-is-known"/>
    <w:p>
      <w:pPr>
        <w:pStyle w:val="Heading3"/>
      </w:pPr>
      <w:r>
        <w:t xml:space="preserve">2.1 Manufacturing before demand is known</w:t>
      </w:r>
    </w:p>
    <w:p>
      <w:pPr>
        <w:pStyle w:val="FirstParagraph"/>
      </w:pPr>
      <w:r>
        <w:t xml:space="preserve">Clinical trial drug is produced in batches. A batch contains a set quantity, even when the trial does not need that quantity immediately.</w:t>
      </w:r>
    </w:p>
    <w:p>
      <w:pPr>
        <w:pStyle w:val="BodyText"/>
      </w:pPr>
      <w:r>
        <w:t xml:space="preserve">During Phase 1 and Phase 2, a Product Development team may produce small batches in-house. These batches support early studies with limited patient numbers. The sponsor can often adjust production with reasonable flexibility.</w:t>
      </w:r>
    </w:p>
    <w:p>
      <w:pPr>
        <w:pStyle w:val="BodyText"/>
      </w:pPr>
      <w:r>
        <w:t xml:space="preserve">During Phase 3, the operating model often changes. Production may move to a large commercial manufacturer that could later support supply to pharmacies after product approval. This manufacturer often requires larger minimum batches. It also works with longer planning cycles and offers less flexibility.</w:t>
      </w:r>
    </w:p>
    <w:p>
      <w:pPr>
        <w:pStyle w:val="BodyText"/>
      </w:pPr>
      <w:r>
        <w:t xml:space="preserve">In both cases, production starts before actual demand is known. The sponsor must forecast enrollment, treatment assignment, and patient retention months in advance. If actual demand is lower than expected, drug may expire unused. If demand is higher or occurs sooner than expected, patients may face a stock-out.</w:t>
      </w:r>
    </w:p>
    <w:bookmarkEnd w:id="11"/>
    <w:bookmarkStart w:id="12" w:name="three-inventory-tiers"/>
    <w:p>
      <w:pPr>
        <w:pStyle w:val="Heading3"/>
      </w:pPr>
      <w:r>
        <w:t xml:space="preserve">2.2 Three inventory tiers</w:t>
      </w:r>
    </w:p>
    <w:p>
      <w:pPr>
        <w:pStyle w:val="FirstParagraph"/>
      </w:pPr>
      <w:r>
        <w:t xml:space="preserve">This paper models three inventory tiers: the EU central depot, regional depots, and clinical sites. Each tier holds stock and follows defined operating rules.</w:t>
      </w:r>
    </w:p>
    <w:p>
      <w:pPr>
        <w:pStyle w:val="BodyText"/>
      </w:pPr>
      <w:r>
        <w:t xml:space="preserve">Initial supply is separate from ongoing resupply. At study start, the sponsor sends a defined quantity to each depot. Each site also receives starting stock when it is initiated and becomes ready to enroll patients.</w:t>
      </w:r>
    </w:p>
    <w:p>
      <w:pPr>
        <w:pStyle w:val="BodyText"/>
      </w:pPr>
      <w:r>
        <w:t xml:space="preserve">Initial site stock creates an immediate trade-off. Too little stock may cause an early stock-out after the first patients enroll. Too much stock may expire at slow-enrolling sites. The sensitivity analysis in Section 4 does not vary initial site stock. It remains a candidate for future optimization.</w:t>
      </w:r>
    </w:p>
    <w:p>
      <w:pPr>
        <w:pStyle w:val="BodyText"/>
      </w:pPr>
      <w:r>
        <w:t xml:space="preserve">After initiation, an electronic trial system manages ongoing resupply. Interactive Response Technology, or IRT, assigns patients to treatment arms and identifies kits for dispensing. Randomization and Trial Supply Management, or RTSM, is a broader term for systems that combine these functions with inventory tracking and resupply management. In practice, the terms are sometimes used interchangeably.</w:t>
      </w:r>
    </w:p>
    <w:p>
      <w:pPr>
        <w:pStyle w:val="BodyText"/>
      </w:pPr>
      <w:r>
        <w:t xml:space="preserve">When usable stock falls below a defined minimum, the system automatically generates a resupply request. The simulation must closely match the live IRT or RTSM configuration. For example, if the simulation assumes that a shipment is triggered at four usable kits but the live system triggers at two, the model will not represent actual trial operations.</w:t>
      </w:r>
    </w:p>
    <w:p>
      <w:pPr>
        <w:pStyle w:val="BodyText"/>
      </w:pPr>
      <w:r>
        <w:t xml:space="preserve">Several rules determine whether a kit is truly usable: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Plain-language meaning</w:t>
            </w:r>
          </w:p>
        </w:tc>
        <w:tc>
          <w:tcPr/>
          <w:p>
            <w:pPr>
              <w:pStyle w:val="Compact"/>
            </w:pPr>
            <w:r>
              <w:t xml:space="preserve">Operational effect</w:t>
            </w:r>
          </w:p>
        </w:tc>
      </w:tr>
      <w:tr>
        <w:tc>
          <w:tcPr/>
          <w:p>
            <w:pPr>
              <w:pStyle w:val="Compact"/>
            </w:pPr>
            <w:r>
              <w:rPr>
                <w:b/>
                <w:bCs/>
              </w:rPr>
              <w:t xml:space="preserve">FEFO: First Expired, First Out</w:t>
            </w:r>
          </w:p>
        </w:tc>
        <w:tc>
          <w:tcPr/>
          <w:p>
            <w:pPr>
              <w:pStyle w:val="Compact"/>
            </w:pPr>
            <w:r>
              <w:t xml:space="preserve">Use the kit with the earliest expiry date first.</w:t>
            </w:r>
          </w:p>
        </w:tc>
        <w:tc>
          <w:tcPr/>
          <w:p>
            <w:pPr>
              <w:pStyle w:val="Compact"/>
            </w:pPr>
            <w:r>
              <w:t xml:space="preserve">Reduces avoidable expiry when several batches are available.</w:t>
            </w:r>
          </w:p>
        </w:tc>
      </w:tr>
      <w:tr>
        <w:tc>
          <w:tcPr/>
          <w:p>
            <w:pPr>
              <w:pStyle w:val="Compact"/>
            </w:pPr>
            <w:r>
              <w:rPr>
                <w:b/>
                <w:bCs/>
              </w:rPr>
              <w:t xml:space="preserve">DND: Do Not Dispense</w:t>
            </w:r>
          </w:p>
        </w:tc>
        <w:tc>
          <w:tcPr/>
          <w:p>
            <w:pPr>
              <w:pStyle w:val="Compact"/>
            </w:pPr>
            <w:r>
              <w:t xml:space="preserve">Do not give a kit to a patient if it expires within 13 days.</w:t>
            </w:r>
          </w:p>
        </w:tc>
        <w:tc>
          <w:tcPr/>
          <w:p>
            <w:pPr>
              <w:pStyle w:val="Compact"/>
            </w:pPr>
            <w:r>
              <w:t xml:space="preserve">A kit may be on the shelf but unavailable for a visit.</w:t>
            </w:r>
          </w:p>
        </w:tc>
      </w:tr>
      <w:tr>
        <w:tc>
          <w:tcPr/>
          <w:p>
            <w:pPr>
              <w:pStyle w:val="Compact"/>
            </w:pPr>
            <w:r>
              <w:rPr>
                <w:b/>
                <w:bCs/>
              </w:rPr>
              <w:t xml:space="preserve">DNS: Do Not Ship</w:t>
            </w:r>
          </w:p>
        </w:tc>
        <w:tc>
          <w:tcPr/>
          <w:p>
            <w:pPr>
              <w:pStyle w:val="Compact"/>
            </w:pPr>
            <w:r>
              <w:t xml:space="preserve">Do not ship a kit if its remaining shelf life at expected arrival will be below the minimum for the receiving location.</w:t>
            </w:r>
          </w:p>
        </w:tc>
        <w:tc>
          <w:tcPr/>
          <w:p>
            <w:pPr>
              <w:pStyle w:val="Compact"/>
            </w:pPr>
            <w:r>
              <w:t xml:space="preserve">Prevents stock from reaching a depot or site with insufficient usable life.</w:t>
            </w:r>
          </w:p>
        </w:tc>
      </w:tr>
      <w:tr>
        <w:tc>
          <w:tcPr/>
          <w:p>
            <w:pPr>
              <w:pStyle w:val="Compact"/>
            </w:pPr>
            <w:r>
              <w:rPr>
                <w:b/>
                <w:bCs/>
              </w:rPr>
              <w:t xml:space="preserve">DNC: Do Not Count</w:t>
            </w:r>
          </w:p>
        </w:tc>
        <w:tc>
          <w:tcPr/>
          <w:p>
            <w:pPr>
              <w:pStyle w:val="Compact"/>
            </w:pPr>
            <w:r>
              <w:t xml:space="preserve">Exclude certain physical stock from the usable inventory total.</w:t>
            </w:r>
          </w:p>
        </w:tc>
        <w:tc>
          <w:tcPr/>
          <w:p>
            <w:pPr>
              <w:pStyle w:val="Compact"/>
            </w:pPr>
            <w:r>
              <w:t xml:space="preserve">For example, kits inside the DND window do not prevent a resupply trigger.</w:t>
            </w:r>
          </w:p>
        </w:tc>
      </w:tr>
    </w:tbl>
    <w:p>
      <w:pPr>
        <w:pStyle w:val="BodyText"/>
      </w:pPr>
      <w:r>
        <w:t xml:space="preserve">The 13-day DND window is a sponsor-defined quality threshold. It represents the minimum usable life needed to support patient visits and dispensing safety checks. Appendix A describes the DNS rule as the minimum remaining shelf life required when a shipment reaches a depot or site.</w:t>
      </w:r>
    </w:p>
    <w:p>
      <w:pPr>
        <w:pStyle w:val="BodyText"/>
      </w:pPr>
      <w:r>
        <w:t xml:space="preserve">In practice, delivery does not make a kit immediately available. The site pharmacist must first confirm receipt in the RTSM system. This process includes checking the quantity, packaging integrity, labeling, temperature records, and remaining shelf life. The model captures the shelf-life DND rule but does not capture the receipt-confirmation step or any resulting delay.</w:t>
      </w:r>
    </w:p>
    <w:bookmarkEnd w:id="12"/>
    <w:bookmarkStart w:id="13" w:name="why-supply-is-difficult-to-plan"/>
    <w:p>
      <w:pPr>
        <w:pStyle w:val="Heading3"/>
      </w:pPr>
      <w:r>
        <w:t xml:space="preserve">2.3 Why supply is difficult to plan</w:t>
      </w:r>
    </w:p>
    <w:p>
      <w:pPr>
        <w:pStyle w:val="FirstParagraph"/>
      </w:pPr>
      <w:r>
        <w:t xml:space="preserve">Four uncertainties interact:</w:t>
      </w:r>
    </w:p>
    <w:p>
      <w:pPr>
        <w:pStyle w:val="Compact"/>
        <w:numPr>
          <w:ilvl w:val="0"/>
          <w:numId w:val="1001"/>
        </w:numPr>
      </w:pPr>
      <w:r>
        <w:t xml:space="preserve">Enrollment may be faster or slower than forecast.</w:t>
      </w:r>
    </w:p>
    <w:p>
      <w:pPr>
        <w:pStyle w:val="Compact"/>
        <w:numPr>
          <w:ilvl w:val="0"/>
          <w:numId w:val="1001"/>
        </w:numPr>
      </w:pPr>
      <w:r>
        <w:t xml:space="preserve">Randomization may place more patients in one treatment arm than expected.</w:t>
      </w:r>
    </w:p>
    <w:p>
      <w:pPr>
        <w:pStyle w:val="Compact"/>
        <w:numPr>
          <w:ilvl w:val="0"/>
          <w:numId w:val="1001"/>
        </w:numPr>
      </w:pPr>
      <w:r>
        <w:t xml:space="preserve">Manufacturing and shipment lead times may vary.</w:t>
      </w:r>
    </w:p>
    <w:p>
      <w:pPr>
        <w:pStyle w:val="Compact"/>
        <w:numPr>
          <w:ilvl w:val="0"/>
          <w:numId w:val="1001"/>
        </w:numPr>
      </w:pPr>
      <w:r>
        <w:t xml:space="preserve">Every kit has a limited shelf life.</w:t>
      </w:r>
    </w:p>
    <w:p>
      <w:pPr>
        <w:pStyle w:val="FirstParagraph"/>
      </w:pPr>
      <w:r>
        <w:t xml:space="preserve">Together, these factors create a</w:t>
      </w:r>
      <w:r>
        <w:t xml:space="preserve"> </w:t>
      </w:r>
      <w:r>
        <w:rPr>
          <w:b/>
          <w:bCs/>
        </w:rPr>
        <w:t xml:space="preserve">shelf-life-constrained supply chain</w:t>
      </w:r>
      <w:r>
        <w:t xml:space="preserve">. This means inventory must be available at the right place and time, but it cannot be held indefinitely as protection against uncertainty.</w:t>
      </w:r>
    </w:p>
    <w:p>
      <w:pPr>
        <w:pStyle w:val="BodyText"/>
      </w:pPr>
      <w:r>
        <w:t xml:space="preserve">Some waste drivers are largely fixed for a given study. These include the number of countries and depots, required label languages, customs requirements, and drug shelf life. Other drivers are adjustable. These include initial stock quantities and resupply thresholds. Optimization should focus first on these adjustable decisions.</w:t>
      </w:r>
    </w:p>
    <w:p>
      <w:pPr>
        <w:pStyle w:val="BodyText"/>
      </w:pPr>
      <w:r>
        <w:t xml:space="preserve">This framework builds on the statistical modeling approaches described by Anisimov (2010) and Lefew, Ninh, and Anisimov (2021). Later sections translate this foundation into a practical simulation and optimization process.</w:t>
      </w:r>
    </w:p>
    <w:bookmarkEnd w:id="13"/>
    <w:bookmarkStart w:id="14" w:name="waste-service-and-cost-measures"/>
    <w:p>
      <w:pPr>
        <w:pStyle w:val="Heading3"/>
      </w:pPr>
      <w:r>
        <w:t xml:space="preserve">2.4 Waste, service, and cost measures</w:t>
      </w:r>
    </w:p>
    <w:p>
      <w:pPr>
        <w:pStyle w:val="FirstParagraph"/>
      </w:pPr>
      <w:r>
        <w:t xml:space="preserve">Waste must be defined carefully because the two measures used in this paper have different denominators.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Definition and example</w:t>
            </w:r>
          </w:p>
        </w:tc>
        <w:tc>
          <w:tcPr/>
          <w:p>
            <w:pPr>
              <w:pStyle w:val="Compact"/>
            </w:pPr>
            <w:r>
              <w:t xml:space="preserve">Use in this paper</w:t>
            </w:r>
          </w:p>
        </w:tc>
      </w:tr>
      <w:tr>
        <w:tc>
          <w:tcPr/>
          <w:p>
            <w:pPr>
              <w:pStyle w:val="Compact"/>
            </w:pPr>
            <w:r>
              <w:rPr>
                <w:b/>
                <w:bCs/>
              </w:rPr>
              <w:t xml:space="preserve">Operational waste ratio</w:t>
            </w:r>
          </w:p>
        </w:tc>
        <w:tc>
          <w:tcPr/>
          <w:p>
            <w:pPr>
              <w:pStyle w:val="Compact"/>
            </w:pPr>
            <w:r>
              <w:t xml:space="preserve">Kits shipped minus kits used, divided by kits used. If 140 kits are shipped and 100 are used, the ratio is 40%.</w:t>
            </w:r>
          </w:p>
        </w:tc>
        <w:tc>
          <w:tcPr/>
          <w:p>
            <w:pPr>
              <w:pStyle w:val="Compact"/>
            </w:pPr>
            <w:r>
              <w:t xml:space="preserve">Reported for comparison with common industry practice. Planning ranges of 30–50% cited in the literature generally use this shipped-based definition (Anisimov, 2010; Peterson et al., 2004).</w:t>
            </w:r>
          </w:p>
        </w:tc>
      </w:tr>
      <w:tr>
        <w:tc>
          <w:tcPr/>
          <w:p>
            <w:pPr>
              <w:pStyle w:val="Compact"/>
            </w:pPr>
            <w:r>
              <w:rPr>
                <w:b/>
                <w:bCs/>
              </w:rPr>
              <w:t xml:space="preserve">Full-chain waste rate</w:t>
            </w:r>
          </w:p>
        </w:tc>
        <w:tc>
          <w:tcPr/>
          <w:p>
            <w:pPr>
              <w:pStyle w:val="Compact"/>
            </w:pPr>
            <w:r>
              <w:t xml:space="preserve">All drug that expires or is damaged at the central depot, regional depots, or clinical sites, divided by all drug produced.</w:t>
            </w:r>
          </w:p>
        </w:tc>
        <w:tc>
          <w:tcPr/>
          <w:p>
            <w:pPr>
              <w:pStyle w:val="Compact"/>
            </w:pPr>
            <w:r>
              <w:t xml:space="preserve">Used as the primary waste measure because it captures losses across the complete supply chain.</w:t>
            </w:r>
          </w:p>
        </w:tc>
      </w:tr>
    </w:tbl>
    <w:p>
      <w:pPr>
        <w:pStyle w:val="BodyText"/>
      </w:pPr>
      <w:r>
        <w:t xml:space="preserve">These measures are not interchangeable. The operational waste ratio can overlook drug that expires or is damaged at a central or regional depot before it is shipped onward. It also uses drug used, rather than drug produced, as its denominator.</w:t>
      </w:r>
    </w:p>
    <w:p>
      <w:pPr>
        <w:pStyle w:val="BodyText"/>
      </w:pPr>
      <w:r>
        <w:t xml:space="preserve">For this reason, the cited 30–50% planning range should not be treated as a direct benchmark for the full-chain waste rate. A valid full-chain benchmark would need to use the same locations, loss categories, and production-based denominator. Section 4 explains why this paper uses the full-chain measure as its primary metric while also reporting the operational measure for comparison.</w:t>
      </w:r>
    </w:p>
    <w:p>
      <w:pPr>
        <w:pStyle w:val="BodyText"/>
      </w:pPr>
      <w:r>
        <w:t xml:space="preserve">The main performance indicators are:</w:t>
      </w:r>
    </w:p>
    <w:p>
      <w:pPr>
        <w:pStyle w:val="Compact"/>
        <w:numPr>
          <w:ilvl w:val="0"/>
          <w:numId w:val="1002"/>
        </w:numPr>
      </w:pPr>
      <w:r>
        <w:rPr>
          <w:b/>
          <w:bCs/>
        </w:rPr>
        <w:t xml:space="preserve">Stock-out rate:</w:t>
      </w:r>
      <w:r>
        <w:t xml:space="preserve"> </w:t>
      </w:r>
      <w:r>
        <w:t xml:space="preserve">the percentage of scheduled patient visits at which no usable kit for the correct treatment arm is available. This paper uses below 5% as its planning target.</w:t>
      </w:r>
    </w:p>
    <w:p>
      <w:pPr>
        <w:pStyle w:val="Compact"/>
        <w:numPr>
          <w:ilvl w:val="0"/>
          <w:numId w:val="1002"/>
        </w:numPr>
      </w:pPr>
      <w:r>
        <w:rPr>
          <w:b/>
          <w:bCs/>
        </w:rPr>
        <w:t xml:space="preserve">Full-chain waste rate:</w:t>
      </w:r>
      <w:r>
        <w:t xml:space="preserve"> </w:t>
      </w:r>
      <w:r>
        <w:t xml:space="preserve">the percentage of total drug produced that expires or is damaged anywhere in the modeled network.</w:t>
      </w:r>
    </w:p>
    <w:p>
      <w:pPr>
        <w:pStyle w:val="Compact"/>
        <w:numPr>
          <w:ilvl w:val="0"/>
          <w:numId w:val="1002"/>
        </w:numPr>
      </w:pPr>
      <w:r>
        <w:rPr>
          <w:b/>
          <w:bCs/>
        </w:rPr>
        <w:t xml:space="preserve">Logistics cost:</w:t>
      </w:r>
      <w:r>
        <w:t xml:space="preserve"> </w:t>
      </w:r>
      <w:r>
        <w:t xml:space="preserve">shipping, packaging, and handling costs driven by shipment frequency, shipment size, and temperature-control requirements. This paper assesses these costs qualitatively rather than calculating them.</w:t>
      </w:r>
    </w:p>
    <w:p>
      <w:pPr>
        <w:pStyle w:val="FirstParagraph"/>
      </w:pPr>
      <w:r>
        <w:t xml:space="preserve">Many sponsors use a stock-out tolerance between 0% and 5% as a planning convention. The acceptable level varies by study. It depends on disease severity, patient vulnerability, and whether alternative treatments are available. Stock-outs can cause missed visits and extend trial timelines. Delays to development or approval may also reduce the effective period of patent-protected sales.</w:t>
      </w:r>
    </w:p>
    <w:p>
      <w:pPr>
        <w:pStyle w:val="BodyText"/>
      </w:pPr>
      <w:r>
        <w:t xml:space="preserve">Lower waste does not always mean lower logistics cost. Smaller, more frequent shipments can reduce expiry but increase freight, packaging, and handling costs. For example, if the smallest shipping carton holds four kits, four separate one-kit shipments may cost about four times as much as one shipment containing all four kits. The exact difference depends on the carrier, route, and packaging requirements.</w:t>
      </w:r>
    </w:p>
    <w:p>
      <w:pPr>
        <w:pStyle w:val="BodyText"/>
      </w:pPr>
      <w:r>
        <w:t xml:space="preserve">Cold-chain requirements increase these costs further. Cold chain means temperature-controlled storage and transport. Some biologics require ultra-cold conditions, making each shipment particularly expensive (European Medicines Agency, 2012).</w:t>
      </w:r>
    </w:p>
    <w:p>
      <w:pPr>
        <w:pStyle w:val="BodyText"/>
      </w:pPr>
      <w:r>
        <w:t xml:space="preserve">In this paper,</w:t>
      </w:r>
      <w:r>
        <w:t xml:space="preserve"> </w:t>
      </w:r>
      <w:r>
        <w:rPr>
          <w:b/>
          <w:bCs/>
        </w:rPr>
        <w:t xml:space="preserve">logistics cost</w:t>
      </w:r>
      <w:r>
        <w:t xml:space="preserve"> </w:t>
      </w:r>
      <w:r>
        <w:t xml:space="preserve">includes only shipping, packaging, and handling. It excludes Investigational Medicinal Product, or IMP, manufacturing costs. Manufacturing is a separate and often much larger cost driver. Quantifying logistics cost requires study-specific freight rates, shipment profiles, and packaging costs. The current analysis therefore treats logistics cost qualitatively. Section 6 presents quantitative cost modeling as a future extension.</w:t>
      </w:r>
    </w:p>
    <w:p>
      <w:pPr>
        <w:pStyle w:val="BodyText"/>
      </w:pPr>
      <w:r>
        <w:t xml:space="preserve">Finally, expiry has environmental as well as financial consequences. Every discarded kit represents wasted drug ingredients, packaging, manufacturing energy, transport, and disposal effort. The model does not directly calculate environmental impact. However, sustainability provides an additional reason, beyond cost, to reduce avoidable waste.</w:t>
      </w:r>
    </w:p>
    <w:p>
      <w:r>
        <w:pict>
          <v:rect style="width:0;height:1.5pt" o:hralign="center" o:hrstd="t" o:hr="t"/>
        </w:pict>
      </w:r>
    </w:p>
    <w:bookmarkEnd w:id="14"/>
    <w:bookmarkEnd w:id="15"/>
    <w:bookmarkStart w:id="20" w:name="stochastic-simulation-framework"/>
    <w:p>
      <w:pPr>
        <w:pStyle w:val="Heading2"/>
      </w:pPr>
      <w:r>
        <w:t xml:space="preserve">3. Stochastic Simulation Framework</w:t>
      </w:r>
    </w:p>
    <w:p>
      <w:pPr>
        <w:pStyle w:val="FirstParagraph"/>
      </w:pPr>
      <w:r>
        <w:t xml:space="preserve">This paper uses a hypothetical but realistic Phase 2b/3 confirmatory trial to demonstrate the simulation framework. It does not represent a specific approved or ongoing study. The framework is stochastic, meaning that it uses random variation to represent uncertain events such as enrollment and discontinuation.</w:t>
      </w:r>
    </w:p>
    <w:p>
      <w:pPr>
        <w:pStyle w:val="BodyText"/>
      </w:pPr>
      <w:r>
        <w:t xml:space="preserve">The trial uses weight-based dosing. Patients are stratified by body weight and receive different kit quantities based on their weight group. The stratification uses body weight, not body mass index, or BMI. This design feature is common in late-stage oncology, metabolic, and rare disease studies. Appendix A provides the full parameter list.</w:t>
      </w:r>
    </w:p>
    <w:bookmarkStart w:id="16" w:name="modeling-patient-enrollment"/>
    <w:p>
      <w:pPr>
        <w:pStyle w:val="Heading3"/>
      </w:pPr>
      <w:r>
        <w:t xml:space="preserve">3.1 Modeling patient enrollment</w:t>
      </w:r>
    </w:p>
    <w:p>
      <w:pPr>
        <w:pStyle w:val="FirstParagraph"/>
      </w:pPr>
      <w:r>
        <w:t xml:space="preserve">Sites rarely recruit patients at the same pace. Differences can reflect the local patient population, competing studies, referral patterns, and site capacity. A single average enrollment rate would hide these differences.</w:t>
      </w:r>
    </w:p>
    <w:p>
      <w:pPr>
        <w:pStyle w:val="BodyText"/>
      </w:pPr>
      <w:r>
        <w:t xml:space="preserve">The simulation therefore assigns each site to one of three enrollment tiers: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Site enrollment tier</w:t>
            </w:r>
          </w:p>
        </w:tc>
        <w:tc>
          <w:tcPr/>
          <w:p>
            <w:pPr>
              <w:pStyle w:val="Compact"/>
              <w:jc w:val="right"/>
            </w:pPr>
            <w:r>
              <w:t xml:space="preserve">Successful enrollments per month</w:t>
            </w:r>
          </w:p>
        </w:tc>
      </w:tr>
      <w:tr>
        <w:tc>
          <w:tcPr/>
          <w:p>
            <w:pPr>
              <w:pStyle w:val="Compact"/>
            </w:pPr>
            <w:r>
              <w:t xml:space="preserve">Low</w:t>
            </w:r>
          </w:p>
        </w:tc>
        <w:tc>
          <w:tcPr/>
          <w:p>
            <w:pPr>
              <w:pStyle w:val="Compact"/>
              <w:jc w:val="right"/>
            </w:pPr>
            <w:r>
              <w:t xml:space="preserve">1</w:t>
            </w:r>
          </w:p>
        </w:tc>
      </w:tr>
      <w:tr>
        <w:tc>
          <w:tcPr/>
          <w:p>
            <w:pPr>
              <w:pStyle w:val="Compact"/>
            </w:pPr>
            <w:r>
              <w:t xml:space="preserve">Medium</w:t>
            </w:r>
          </w:p>
        </w:tc>
        <w:tc>
          <w:tcPr/>
          <w:p>
            <w:pPr>
              <w:pStyle w:val="Compact"/>
              <w:jc w:val="right"/>
            </w:pPr>
            <w:r>
              <w:t xml:space="preserve">2</w:t>
            </w:r>
          </w:p>
        </w:tc>
      </w:tr>
      <w:tr>
        <w:tc>
          <w:tcPr/>
          <w:p>
            <w:pPr>
              <w:pStyle w:val="Compact"/>
            </w:pPr>
            <w:r>
              <w:t xml:space="preserve">High</w:t>
            </w:r>
          </w:p>
        </w:tc>
        <w:tc>
          <w:tcPr/>
          <w:p>
            <w:pPr>
              <w:pStyle w:val="Compact"/>
              <w:jc w:val="right"/>
            </w:pPr>
            <w:r>
              <w:t xml:space="preserve">4</w:t>
            </w:r>
          </w:p>
        </w:tc>
      </w:tr>
    </w:tbl>
    <w:p>
      <w:pPr>
        <w:pStyle w:val="BodyText"/>
      </w:pPr>
      <w:r>
        <w:t xml:space="preserve">These rates describe patients who successfully enroll after screening. They do not describe the number of people screened.</w:t>
      </w:r>
    </w:p>
    <w:p>
      <w:pPr>
        <w:pStyle w:val="BodyText"/>
      </w:pPr>
      <w:r>
        <w:t xml:space="preserve">The model assumes that 35% of screened patients fail screening because they do not meet the study criteria. For example, of 100 people screened, about 65 would enroll. Screen failures do not receive study drug. Because the enrollment tiers count successful enrollments, the screen-failure rate affects the screening workload but does not reduce the stated enrollment rates.</w:t>
      </w:r>
    </w:p>
    <w:p>
      <w:pPr>
        <w:pStyle w:val="BodyText"/>
      </w:pPr>
      <w:r>
        <w:t xml:space="preserve">This distinction matters for operational planning. Clinical teams often monitor both screening activity and successful enrollment. Supply teams need the successful enrollment rate to forecast drug demand.</w:t>
      </w:r>
    </w:p>
    <w:p>
      <w:pPr>
        <w:pStyle w:val="BodyText"/>
      </w:pPr>
      <w:r>
        <w:t xml:space="preserve">The model also assumes that 15% of sites never enroll a patient. Such sites still receive initial stock when they open. That stock may remain unused and eventually expire. This is a common source of waste because the sponsor must place enough drug at a new site to support a potential first patient.</w:t>
      </w:r>
    </w:p>
    <w:p>
      <w:pPr>
        <w:pStyle w:val="BodyText"/>
      </w:pPr>
      <w:r>
        <w:t xml:space="preserve">Not every enrolled patient completes 52 weeks of treatment. The simulation assumes that 20% discontinue treatment during this period. Discontinuation may occur because of adverse events, lack of benefit, withdrawal of consent, or other reasons.</w:t>
      </w:r>
    </w:p>
    <w:p>
      <w:pPr>
        <w:pStyle w:val="BodyText"/>
      </w:pPr>
      <w:r>
        <w:t xml:space="preserve">Modeling discontinuation explicitly has a material effect. If the simulation assumes that every patient completes treatment, it overestimates total drug demand by about 10–15% for this design. That higher forecast can lead to unnecessary manufacturing and additional expiry.</w:t>
      </w:r>
    </w:p>
    <w:p>
      <w:pPr>
        <w:pStyle w:val="BodyText"/>
      </w:pPr>
      <w:r>
        <w:t xml:space="preserve">For each enrolled patient, the simulation records:</w:t>
      </w:r>
    </w:p>
    <w:p>
      <w:pPr>
        <w:pStyle w:val="Compact"/>
        <w:numPr>
          <w:ilvl w:val="0"/>
          <w:numId w:val="1003"/>
        </w:numPr>
      </w:pPr>
      <w:r>
        <w:t xml:space="preserve">The treatment arm, A or B.</w:t>
      </w:r>
    </w:p>
    <w:p>
      <w:pPr>
        <w:pStyle w:val="Compact"/>
        <w:numPr>
          <w:ilvl w:val="0"/>
          <w:numId w:val="1003"/>
        </w:numPr>
      </w:pPr>
      <w:r>
        <w:t xml:space="preserve">The body-weight group.</w:t>
      </w:r>
    </w:p>
    <w:p>
      <w:pPr>
        <w:pStyle w:val="Compact"/>
        <w:numPr>
          <w:ilvl w:val="0"/>
          <w:numId w:val="1003"/>
        </w:numPr>
      </w:pPr>
      <w:r>
        <w:t xml:space="preserve">The resulting kit quantity and kit type.</w:t>
      </w:r>
    </w:p>
    <w:p>
      <w:pPr>
        <w:pStyle w:val="Compact"/>
        <w:numPr>
          <w:ilvl w:val="0"/>
          <w:numId w:val="1003"/>
        </w:numPr>
      </w:pPr>
      <w:r>
        <w:t xml:space="preserve">The planned visit schedule.</w:t>
      </w:r>
    </w:p>
    <w:p>
      <w:pPr>
        <w:pStyle w:val="Compact"/>
        <w:numPr>
          <w:ilvl w:val="0"/>
          <w:numId w:val="1003"/>
        </w:numPr>
      </w:pPr>
      <w:r>
        <w:t xml:space="preserve">Whether and when the patient discontinues treatment.</w:t>
      </w:r>
    </w:p>
    <w:p>
      <w:pPr>
        <w:pStyle w:val="FirstParagraph"/>
      </w:pPr>
      <w:r>
        <w:t xml:space="preserve">This patient-level approach connects clinical assumptions directly to supply use. For example, a change in the distribution of body-weight groups can alter demand for 5 ml, 2.5 ml, and 7.5 ml kits even if total enrollment remains unchanged.</w:t>
      </w:r>
    </w:p>
    <w:bookmarkEnd w:id="16"/>
    <w:bookmarkStart w:id="17" w:name="how-the-simulation-runs-day-by-day"/>
    <w:p>
      <w:pPr>
        <w:pStyle w:val="Heading3"/>
      </w:pPr>
      <w:r>
        <w:t xml:space="preserve">3.2 How the simulation runs day by day</w:t>
      </w:r>
    </w:p>
    <w:p>
      <w:pPr>
        <w:pStyle w:val="FirstParagraph"/>
      </w:pPr>
      <w:r>
        <w:t xml:space="preserve">The model uses a daily time-step over a horizon of about 850 days. A daily time-step means that the model updates patients, inventory, shipments, and expiry once for each simulated calendar day.</w:t>
      </w:r>
    </w:p>
    <w:p>
      <w:pPr>
        <w:pStyle w:val="BodyText"/>
      </w:pPr>
      <w:r>
        <w:t xml:space="preserve">Each day follows a defined operating sequence:</w:t>
      </w:r>
    </w:p>
    <w:p>
      <w:pPr>
        <w:pStyle w:val="Compact"/>
        <w:numPr>
          <w:ilvl w:val="0"/>
          <w:numId w:val="1004"/>
        </w:numPr>
      </w:pPr>
      <w:r>
        <w:rPr>
          <w:b/>
          <w:bCs/>
        </w:rPr>
        <w:t xml:space="preserve">Patient enrollment:</w:t>
      </w:r>
      <w:r>
        <w:t xml:space="preserve"> </w:t>
      </w:r>
      <w:r>
        <w:t xml:space="preserve">Eligible patients enter the trial at active sites.</w:t>
      </w:r>
    </w:p>
    <w:p>
      <w:pPr>
        <w:pStyle w:val="Compact"/>
        <w:numPr>
          <w:ilvl w:val="0"/>
          <w:numId w:val="1004"/>
        </w:numPr>
      </w:pPr>
      <w:r>
        <w:rPr>
          <w:b/>
          <w:bCs/>
        </w:rPr>
        <w:t xml:space="preserve">Visit attendance:</w:t>
      </w:r>
      <w:r>
        <w:t xml:space="preserve"> </w:t>
      </w:r>
      <w:r>
        <w:t xml:space="preserve">Patients attend scheduled treatment visits, subject to timing variation and discontinuation.</w:t>
      </w:r>
    </w:p>
    <w:p>
      <w:pPr>
        <w:pStyle w:val="Compact"/>
        <w:numPr>
          <w:ilvl w:val="0"/>
          <w:numId w:val="1004"/>
        </w:numPr>
      </w:pPr>
      <w:r>
        <w:rPr>
          <w:b/>
          <w:bCs/>
        </w:rPr>
        <w:t xml:space="preserve">Kit dispensing:</w:t>
      </w:r>
      <w:r>
        <w:t xml:space="preserve"> </w:t>
      </w:r>
      <w:r>
        <w:t xml:space="preserve">The site selects kits for the correct treatment arm and dose. It applies First Expired, First Out, or FEFO, and excludes kits within the Do Not Dispense, or DND, window.</w:t>
      </w:r>
    </w:p>
    <w:p>
      <w:pPr>
        <w:pStyle w:val="Compact"/>
        <w:numPr>
          <w:ilvl w:val="0"/>
          <w:numId w:val="1004"/>
        </w:numPr>
      </w:pPr>
      <w:r>
        <w:rPr>
          <w:b/>
          <w:bCs/>
        </w:rPr>
        <w:t xml:space="preserve">Inventory review:</w:t>
      </w:r>
      <w:r>
        <w:t xml:space="preserve"> </w:t>
      </w:r>
      <w:r>
        <w:t xml:space="preserve">On the site’s weekly review day, the model checks usable stock and stock already in transit. It places a resupply order when needed.</w:t>
      </w:r>
    </w:p>
    <w:p>
      <w:pPr>
        <w:pStyle w:val="Compact"/>
        <w:numPr>
          <w:ilvl w:val="0"/>
          <w:numId w:val="1004"/>
        </w:numPr>
      </w:pPr>
      <w:r>
        <w:rPr>
          <w:b/>
          <w:bCs/>
        </w:rPr>
        <w:t xml:space="preserve">Depot processing and shipping:</w:t>
      </w:r>
      <w:r>
        <w:t xml:space="preserve"> </w:t>
      </w:r>
      <w:r>
        <w:t xml:space="preserve">Depots process eligible orders and send available kits through the network.</w:t>
      </w:r>
    </w:p>
    <w:p>
      <w:pPr>
        <w:pStyle w:val="Compact"/>
        <w:numPr>
          <w:ilvl w:val="0"/>
          <w:numId w:val="1004"/>
        </w:numPr>
      </w:pPr>
      <w:r>
        <w:rPr>
          <w:b/>
          <w:bCs/>
        </w:rPr>
        <w:t xml:space="preserve">Manufacturing arrivals:</w:t>
      </w:r>
      <w:r>
        <w:t xml:space="preserve"> </w:t>
      </w:r>
      <w:r>
        <w:t xml:space="preserve">New manufacturing batches enter the EU central depot on their planned arrival dates.</w:t>
      </w:r>
    </w:p>
    <w:p>
      <w:pPr>
        <w:pStyle w:val="Compact"/>
        <w:numPr>
          <w:ilvl w:val="0"/>
          <w:numId w:val="1004"/>
        </w:numPr>
      </w:pPr>
      <w:r>
        <w:rPr>
          <w:b/>
          <w:bCs/>
        </w:rPr>
        <w:t xml:space="preserve">Expiry sweep:</w:t>
      </w:r>
      <w:r>
        <w:t xml:space="preserve"> </w:t>
      </w:r>
      <w:r>
        <w:t xml:space="preserve">The model identifies expired stock at all locations and records it as waste.</w:t>
      </w:r>
    </w:p>
    <w:p>
      <w:pPr>
        <w:pStyle w:val="FirstParagraph"/>
      </w:pPr>
      <w:r>
        <w:t xml:space="preserve">The model tracks inventory at the individual kit level. Each kit has four core attributes: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Kit attribute</w:t>
            </w:r>
          </w:p>
        </w:tc>
        <w:tc>
          <w:tcPr/>
          <w:p>
            <w:pPr>
              <w:pStyle w:val="Compact"/>
            </w:pPr>
            <w:r>
              <w:t xml:space="preserve">Why it matters</w:t>
            </w:r>
          </w:p>
        </w:tc>
      </w:tr>
      <w:tr>
        <w:tc>
          <w:tcPr/>
          <w:p>
            <w:pPr>
              <w:pStyle w:val="Compact"/>
            </w:pPr>
            <w:r>
              <w:rPr>
                <w:b/>
                <w:bCs/>
              </w:rPr>
              <w:t xml:space="preserve">Kit type</w:t>
            </w:r>
          </w:p>
        </w:tc>
        <w:tc>
          <w:tcPr/>
          <w:p>
            <w:pPr>
              <w:pStyle w:val="Compact"/>
            </w:pPr>
            <w:r>
              <w:t xml:space="preserve">Identifies the 5 ml, 2.5 ml, or 7.5 ml presentation needed for weight-based dosing.</w:t>
            </w:r>
          </w:p>
        </w:tc>
      </w:tr>
      <w:tr>
        <w:tc>
          <w:tcPr/>
          <w:p>
            <w:pPr>
              <w:pStyle w:val="Compact"/>
            </w:pPr>
            <w:r>
              <w:rPr>
                <w:b/>
                <w:bCs/>
              </w:rPr>
              <w:t xml:space="preserve">Treatment arm</w:t>
            </w:r>
          </w:p>
        </w:tc>
        <w:tc>
          <w:tcPr/>
          <w:p>
            <w:pPr>
              <w:pStyle w:val="Compact"/>
            </w:pPr>
            <w:r>
              <w:t xml:space="preserve">Ensures that Arm A stock cannot satisfy Arm B demand, and vice versa.</w:t>
            </w:r>
          </w:p>
        </w:tc>
      </w:tr>
      <w:tr>
        <w:tc>
          <w:tcPr/>
          <w:p>
            <w:pPr>
              <w:pStyle w:val="Compact"/>
            </w:pPr>
            <w:r>
              <w:rPr>
                <w:b/>
                <w:bCs/>
              </w:rPr>
              <w:t xml:space="preserve">Expiry date</w:t>
            </w:r>
          </w:p>
        </w:tc>
        <w:tc>
          <w:tcPr/>
          <w:p>
            <w:pPr>
              <w:pStyle w:val="Compact"/>
            </w:pPr>
            <w:r>
              <w:t xml:space="preserve">Determines dispensing order and whether the kit remains usable.</w:t>
            </w:r>
          </w:p>
        </w:tc>
      </w:tr>
      <w:tr>
        <w:tc>
          <w:tcPr/>
          <w:p>
            <w:pPr>
              <w:pStyle w:val="Compact"/>
            </w:pPr>
            <w:r>
              <w:rPr>
                <w:b/>
                <w:bCs/>
              </w:rPr>
              <w:t xml:space="preserve">Location</w:t>
            </w:r>
          </w:p>
        </w:tc>
        <w:tc>
          <w:tcPr/>
          <w:p>
            <w:pPr>
              <w:pStyle w:val="Compact"/>
            </w:pPr>
            <w:r>
              <w:t xml:space="preserve">Shows whether the kit is at the EU depot, a regional depot, a site, or in transit.</w:t>
            </w:r>
          </w:p>
        </w:tc>
      </w:tr>
    </w:tbl>
    <w:p>
      <w:pPr>
        <w:pStyle w:val="BodyText"/>
      </w:pPr>
      <w:r>
        <w:t xml:space="preserve">Kit-level tracking prevents total inventory from masking shortages. A site may hold ten kits but still have a stock-out if none matches the patient’s treatment arm or dosing need.</w:t>
      </w:r>
    </w:p>
    <w:p>
      <w:pPr>
        <w:pStyle w:val="BodyText"/>
      </w:pPr>
      <w:r>
        <w:t xml:space="preserve">Sites review stock once each week rather than every day. When a site places an order, it orders up to a defined target level. The calculation includes stock already in transit. This prevents repeated orders for the same need. Without this rule, a daily trigger could generate several orders before the first shipment arrives.</w:t>
      </w:r>
    </w:p>
    <w:bookmarkEnd w:id="17"/>
    <w:bookmarkStart w:id="18" w:name="manufacturing-and-replenishment-policy"/>
    <w:p>
      <w:pPr>
        <w:pStyle w:val="Heading3"/>
      </w:pPr>
      <w:r>
        <w:t xml:space="preserve">3.3 Manufacturing and replenishment policy</w:t>
      </w:r>
    </w:p>
    <w:p>
      <w:pPr>
        <w:pStyle w:val="FirstParagraph"/>
      </w:pPr>
      <w:r>
        <w:t xml:space="preserve">The hypothetical manufacturing plan makes eight batches available to the EU central depot at 60-day intervals. These dates represent planned batch arrivals, not necessarily the dates when production begins. Each batch is sized to cover about 210 days of expected demand. This consists of approximately 150 days of planned coverage plus 60 days of safety stock. Safety stock is extra inventory held to protect against uncertainty.</w:t>
      </w:r>
    </w:p>
    <w:p>
      <w:pPr>
        <w:pStyle w:val="BodyText"/>
      </w:pPr>
      <w:r>
        <w:t xml:space="preserve">The simulation also applies a policy called</w:t>
      </w:r>
      <w:r>
        <w:t xml:space="preserve"> </w:t>
      </w:r>
      <w:r>
        <w:rPr>
          <w:b/>
          <w:bCs/>
        </w:rPr>
        <w:t xml:space="preserve">EU_PROTECT</w:t>
      </w:r>
      <w:r>
        <w:t xml:space="preserve">. Under this rule, the EU central depot reserves 90 days of expected EU demand before it transfers stock to China. The policy protects patients served by the EU network from excessive inventory transfers.</w:t>
      </w:r>
    </w:p>
    <w:p>
      <w:pPr>
        <w:pStyle w:val="BodyText"/>
      </w:pPr>
      <w:r>
        <w:t xml:space="preserve">China has an additional daily top-up trigger. If available supply falls below seven days of expected demand, the model evaluates whether stock can be transferred from the EU depot. Any transfer must still satisfy the EU_PROTECT reserve and the relevant shelf-life rules.</w:t>
      </w:r>
    </w:p>
    <w:p>
      <w:pPr>
        <w:pStyle w:val="BodyText"/>
      </w:pPr>
      <w:r>
        <w:t xml:space="preserve">These policies illustrate an important trade-off. Holding more stock in Europe protects EU demand but may increase the risk of a shortage in China. Transferring stock earlier may improve service in China but leave less protection against faster-than-expected EU enrollment.</w:t>
      </w:r>
    </w:p>
    <w:bookmarkEnd w:id="18"/>
    <w:bookmarkStart w:id="19" w:name="what-the-simulation-produces"/>
    <w:p>
      <w:pPr>
        <w:pStyle w:val="Heading3"/>
      </w:pPr>
      <w:r>
        <w:t xml:space="preserve">3.4 What the simulation produces</w:t>
      </w:r>
    </w:p>
    <w:p>
      <w:pPr>
        <w:pStyle w:val="FirstParagraph"/>
      </w:pPr>
      <w:r>
        <w:t xml:space="preserve">The analysis runs 100 independent replications. A replication is one complete simulated version of the trial. Each replication uses different random draws for enrollment, visit timing, and treatment discontinuation. In plain terms, each run represents a different plausible way in which the same trial could unfold. The reported results are means across the 100 replications.</w:t>
      </w:r>
    </w:p>
    <w:p>
      <w:pPr>
        <w:pStyle w:val="BodyText"/>
      </w:pPr>
      <w:r>
        <w:t xml:space="preserve">The stock-out rate is the percentage of scheduled patient visits at which the dispensing site has no usable kit for the correct treatment arm on the visit day. A kit that is physically present but expired or within the DND window does not count as usable.</w:t>
      </w:r>
    </w:p>
    <w:p>
      <w:pPr>
        <w:pStyle w:val="BodyText"/>
      </w:pPr>
      <w:r>
        <w:t xml:space="preserve">All waste results use the full-chain definition from Section 2. The measure includes expired and damaged kits at the central depot, regional depots, and clinical sites. It reports these losses as a percentage of all drug produced.</w:t>
      </w:r>
    </w:p>
    <w:p>
      <w:pPr>
        <w:pStyle w:val="BodyText"/>
      </w:pPr>
      <w:r>
        <w:t xml:space="preserve">The baseline scenario includes 250 patients, 23 sites, and two treatment arms.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Baseline measure</w:t>
            </w:r>
          </w:p>
        </w:tc>
        <w:tc>
          <w:tcPr/>
          <w:p>
            <w:pPr>
              <w:pStyle w:val="Compact"/>
              <w:jc w:val="right"/>
            </w:pPr>
            <w:r>
              <w:t xml:space="preserve">Mean result</w:t>
            </w:r>
          </w:p>
        </w:tc>
      </w:tr>
      <w:tr>
        <w:tc>
          <w:tcPr/>
          <w:p>
            <w:pPr>
              <w:pStyle w:val="Compact"/>
            </w:pPr>
            <w:r>
              <w:t xml:space="preserve">Stock-out rate</w:t>
            </w:r>
          </w:p>
        </w:tc>
        <w:tc>
          <w:tcPr/>
          <w:p>
            <w:pPr>
              <w:pStyle w:val="Compact"/>
              <w:jc w:val="right"/>
            </w:pPr>
            <w:r>
              <w:t xml:space="preserve">0.68%</w:t>
            </w:r>
          </w:p>
        </w:tc>
      </w:tr>
      <w:tr>
        <w:tc>
          <w:tcPr/>
          <w:p>
            <w:pPr>
              <w:pStyle w:val="Compact"/>
            </w:pPr>
            <w:r>
              <w:t xml:space="preserve">Full-chain waste rate</w:t>
            </w:r>
          </w:p>
        </w:tc>
        <w:tc>
          <w:tcPr/>
          <w:p>
            <w:pPr>
              <w:pStyle w:val="Compact"/>
              <w:jc w:val="right"/>
            </w:pPr>
            <w:r>
              <w:t xml:space="preserve">43.5%</w:t>
            </w:r>
          </w:p>
        </w:tc>
      </w:tr>
    </w:tbl>
    <w:p>
      <w:pPr>
        <w:pStyle w:val="BodyText"/>
      </w:pPr>
      <w:r>
        <w:t xml:space="preserve">For this demonstration, 100 replications serve as a computationally feasible lower bound. Analysts in simulation-intensive fields often use 1,000 or more replications, especially when estimating rare events. More replications would reduce uncertainty in the reported means.</w:t>
      </w:r>
    </w:p>
    <w:p>
      <w:pPr>
        <w:pStyle w:val="BodyText"/>
      </w:pPr>
      <w:r>
        <w:t xml:space="preserve">Across the 100 baseline runs, stock-out rates ranged from about 0% to 2%, while full-chain waste rates ranged from about 38% to 49%. These observed ranges suggest that the means are reasonably stable for this trial design and adequate for demonstrating the framework. However, the ranges do not provide a formal assessment of statistical precision. Future analyses should use 1,000 or more replications when additional computing capacity is available, particularly when small differences between supply policies could change a decision.</w:t>
      </w:r>
    </w:p>
    <w:p>
      <w:r>
        <w:pict>
          <v:rect style="width:0;height:1.5pt" o:hralign="center" o:hrstd="t" o:hr="t"/>
        </w:pict>
      </w:r>
    </w:p>
    <w:bookmarkEnd w:id="19"/>
    <w:bookmarkEnd w:id="20"/>
    <w:bookmarkStart w:id="30" w:name="X98f6c0a068880ca28ae19688570b8773e5d4a76"/>
    <w:p>
      <w:pPr>
        <w:pStyle w:val="Heading2"/>
      </w:pPr>
      <w:r>
        <w:t xml:space="preserve">4. Sensitivity Analysis and Parameter Optimization</w:t>
      </w:r>
    </w:p>
    <w:bookmarkStart w:id="21" w:name="what-sensitivity-analysis-means-here"/>
    <w:p>
      <w:pPr>
        <w:pStyle w:val="Heading3"/>
      </w:pPr>
      <w:r>
        <w:t xml:space="preserve">4.1 What sensitivity analysis means here</w:t>
      </w:r>
    </w:p>
    <w:p>
      <w:pPr>
        <w:pStyle w:val="FirstParagraph"/>
      </w:pPr>
      <w:r>
        <w:t xml:space="preserve">Sensitivity analysis tests how results change when one model input changes. It helps teams identify which operating decisions have the greatest effect on supply performance.</w:t>
      </w:r>
    </w:p>
    <w:p>
      <w:pPr>
        <w:pStyle w:val="BodyText"/>
      </w:pPr>
      <w:r>
        <w:t xml:space="preserve">This analysis changes one parameter at a time. All other assumptions remain at their baseline values. Each setting uses 100 independent replications. The analysis then compares the mean stock-out and waste results with the baseline.</w:t>
      </w:r>
    </w:p>
    <w:p>
      <w:pPr>
        <w:pStyle w:val="BodyText"/>
      </w:pPr>
      <w:r>
        <w:t xml:space="preserve">The modeled trial includes:</w:t>
      </w:r>
    </w:p>
    <w:p>
      <w:pPr>
        <w:pStyle w:val="Compact"/>
        <w:numPr>
          <w:ilvl w:val="0"/>
          <w:numId w:val="1005"/>
        </w:numPr>
      </w:pPr>
      <w:r>
        <w:t xml:space="preserve">250 patients.</w:t>
      </w:r>
    </w:p>
    <w:p>
      <w:pPr>
        <w:pStyle w:val="Compact"/>
        <w:numPr>
          <w:ilvl w:val="0"/>
          <w:numId w:val="1005"/>
        </w:numPr>
      </w:pPr>
      <w:r>
        <w:t xml:space="preserve">23 sites: 13 in the EU and 10 in China.</w:t>
      </w:r>
    </w:p>
    <w:p>
      <w:pPr>
        <w:pStyle w:val="Compact"/>
        <w:numPr>
          <w:ilvl w:val="0"/>
          <w:numId w:val="1005"/>
        </w:numPr>
      </w:pPr>
      <w:r>
        <w:t xml:space="preserve">Two treatment arms in a double-blind design.</w:t>
      </w:r>
    </w:p>
    <w:p>
      <w:pPr>
        <w:pStyle w:val="Compact"/>
        <w:numPr>
          <w:ilvl w:val="0"/>
          <w:numId w:val="1005"/>
        </w:numPr>
      </w:pPr>
      <w:r>
        <w:t xml:space="preserve">About 27 months of trial operations within an 850-day simulation period.</w:t>
      </w:r>
    </w:p>
    <w:p>
      <w:pPr>
        <w:pStyle w:val="FirstParagraph"/>
      </w:pPr>
      <w:r>
        <w:t xml:space="preserve">The baseline stock-out rate is 0.68%. The baseline full-chain waste rate is 43.5%.</w:t>
      </w:r>
    </w:p>
    <w:p>
      <w:pPr>
        <w:pStyle w:val="BodyText"/>
      </w:pPr>
      <w:r>
        <w:t xml:space="preserve">All primary waste results use the full-chain definition from Section 2. This measure includes expired and damaged kits at the EU central depot, regional depots, and clinical sites. It divides those losses by total drug produced.</w:t>
      </w:r>
    </w:p>
    <w:p>
      <w:pPr>
        <w:pStyle w:val="BodyText"/>
      </w:pPr>
      <w:r>
        <w:t xml:space="preserve">Where available, the analysis also reports the operational waste ratio. This ratio equals kits shipped minus kits used, divided by kits used. It supports comparison with the 30–50% industry planning range introduced in Section 2. However, operational waste ratios were not available for the parameter results presented below. The two waste measures cover different locations and use different denominators. They should not be treated as equivalent.</w:t>
      </w:r>
    </w:p>
    <w:p>
      <w:pPr>
        <w:pStyle w:val="BodyText"/>
      </w:pPr>
      <w:r>
        <w:t xml:space="preserve">Changing one parameter at a time makes the results easy to interpret. It does not show how parameters interact. For example, a lower site target might perform differently if shipment lead times also increase. Testing such combinations is a useful next step after the main operating levers have been identified.</w:t>
      </w:r>
    </w:p>
    <w:bookmarkEnd w:id="21"/>
    <w:bookmarkStart w:id="26" w:name="the-four-parameters-that-matter-most"/>
    <w:p>
      <w:pPr>
        <w:pStyle w:val="Heading3"/>
      </w:pPr>
      <w:r>
        <w:t xml:space="preserve">4.2 The four parameters that matter most</w:t>
      </w:r>
    </w:p>
    <w:bookmarkStart w:id="22" w:name="site-reorder-target"/>
    <w:p>
      <w:pPr>
        <w:pStyle w:val="Heading4"/>
      </w:pPr>
      <w:r>
        <w:t xml:space="preserve">Site reorder target</w:t>
      </w:r>
    </w:p>
    <w:p>
      <w:pPr>
        <w:pStyle w:val="FirstParagraph"/>
      </w:pPr>
      <w:r>
        <w:t xml:space="preserve">The site reorder target, labeled</w:t>
      </w:r>
      <w:r>
        <w:t xml:space="preserve"> </w:t>
      </w:r>
      <w:r>
        <w:rPr>
          <w:b/>
          <w:bCs/>
        </w:rPr>
        <w:t xml:space="preserve">THRESH top</w:t>
      </w:r>
      <w:r>
        <w:t xml:space="preserve"> </w:t>
      </w:r>
      <w:r>
        <w:t xml:space="preserve">in the model, is the inventory level that a resupply order aims to restore. The default target is 105 kits.</w:t>
      </w:r>
    </w:p>
    <w:p>
      <w:pPr>
        <w:pStyle w:val="BodyText"/>
      </w:pPr>
      <w:r>
        <w:t xml:space="preserve">Reducing the EU site target to 70 kits lowers full-chain waste from 43.5% to about 40%. The stock-out rate increases to about 1.4%, which remains well below the 5% planning target.</w:t>
      </w:r>
    </w:p>
    <w:p>
      <w:pPr>
        <w:pStyle w:val="BodyText"/>
      </w:pPr>
      <w:r>
        <w:t xml:space="preserve">The lower target reduces the amount of drug held at sites. This matters because stock at a slow-enrolling site may not be transferable to another site before expiry. A smaller target reduces this stranded inventory while retaining enough supply to cover routine demand and delivery time.</w:t>
      </w:r>
    </w:p>
    <w:p>
      <w:pPr>
        <w:pStyle w:val="BodyText"/>
      </w:pPr>
      <w:r>
        <w:t xml:space="preserve">This was the strongest single waste-reduction lever identified.</w:t>
      </w:r>
    </w:p>
    <w:p>
      <w:pPr>
        <w:pStyle w:val="BodyText"/>
      </w:pPr>
      <w:r>
        <w:rPr>
          <w:b/>
          <w:bCs/>
        </w:rPr>
        <w:t xml:space="preserve">Recommendation:</w:t>
      </w:r>
      <w:r>
        <w:t xml:space="preserve"> </w:t>
      </w:r>
      <w:r>
        <w:t xml:space="preserve">Reduce the EU site reorder target from 105 to 70 kits. Monitor actual enrollment, stock-outs, and delivery performance after implementation.</w:t>
      </w:r>
    </w:p>
    <w:bookmarkEnd w:id="22"/>
    <w:bookmarkStart w:id="23" w:name="minimum-shelf-life-at-site-receipt"/>
    <w:p>
      <w:pPr>
        <w:pStyle w:val="Heading4"/>
      </w:pPr>
      <w:r>
        <w:t xml:space="preserve">Minimum shelf life at site receipt</w:t>
      </w:r>
    </w:p>
    <w:p>
      <w:pPr>
        <w:pStyle w:val="FirstParagraph"/>
      </w:pPr>
      <w:r>
        <w:t xml:space="preserve">The</w:t>
      </w:r>
      <w:r>
        <w:t xml:space="preserve"> </w:t>
      </w:r>
      <w:r>
        <w:rPr>
          <w:b/>
          <w:bCs/>
        </w:rPr>
        <w:t xml:space="preserve">MIN_SHELF</w:t>
      </w:r>
      <w:r>
        <w:t xml:space="preserve"> </w:t>
      </w:r>
      <w:r>
        <w:t xml:space="preserve">parameter defines the minimum remaining shelf life that a site will accept when a shipment arrives. The default is 30 days.</w:t>
      </w:r>
    </w:p>
    <w:p>
      <w:pPr>
        <w:pStyle w:val="BodyText"/>
      </w:pPr>
      <w:r>
        <w:t xml:space="preserve">Tightening this rule does not materially reduce full-chain waste. Instead, it changes where expiry occurs. Kits that cannot be sent to sites because they are too close to expiry remain at the regional depot. They then expire there rather than at the site.</w:t>
      </w:r>
    </w:p>
    <w:p>
      <w:pPr>
        <w:pStyle w:val="BodyText"/>
      </w:pPr>
      <w:r>
        <w:t xml:space="preserve">A site-only report may make this change look successful because site expiry falls. The full-chain result shows that total waste barely changes.</w:t>
      </w:r>
    </w:p>
    <w:p>
      <w:pPr>
        <w:pStyle w:val="BodyText"/>
      </w:pPr>
      <w:r>
        <w:t xml:space="preserve">MIN_SHELF remains important for quality control. It prevents sites from receiving stock with too little usable life. However, it is not an effective waste-reduction lever by itself.</w:t>
      </w:r>
    </w:p>
    <w:p>
      <w:pPr>
        <w:pStyle w:val="BodyText"/>
      </w:pPr>
      <w:r>
        <w:rPr>
          <w:b/>
          <w:bCs/>
        </w:rPr>
        <w:t xml:space="preserve">Recommendation:</w:t>
      </w:r>
      <w:r>
        <w:t xml:space="preserve"> </w:t>
      </w:r>
      <w:r>
        <w:t xml:space="preserve">Keep the 30-day default. Manage it as a quality requirement rather than as a waste-optimization parameter.</w:t>
      </w:r>
    </w:p>
    <w:bookmarkEnd w:id="23"/>
    <w:bookmarkStart w:id="24" w:name="eu-inventory-protection"/>
    <w:p>
      <w:pPr>
        <w:pStyle w:val="Heading4"/>
      </w:pPr>
      <w:r>
        <w:t xml:space="preserve">EU inventory protection</w:t>
      </w:r>
    </w:p>
    <w:p>
      <w:pPr>
        <w:pStyle w:val="FirstParagraph"/>
      </w:pPr>
      <w:r>
        <w:rPr>
          <w:b/>
          <w:bCs/>
        </w:rPr>
        <w:t xml:space="preserve">EU_PROTECT</w:t>
      </w:r>
      <w:r>
        <w:t xml:space="preserve"> </w:t>
      </w:r>
      <w:r>
        <w:t xml:space="preserve">is the number of days of expected EU demand that the EU central depot reserves when deciding whether it can transfer stock to China. The default is 90 days.</w:t>
      </w:r>
    </w:p>
    <w:p>
      <w:pPr>
        <w:pStyle w:val="BodyText"/>
      </w:pPr>
      <w:r>
        <w:t xml:space="preserve">At the 90-day setting, the China stock-out rate is 0.08%. Reducing the setting to 30 days increases the China stock-out rate to 3.0%. This is a 37.5-fold increase. Full-chain waste barely changes.</w:t>
      </w:r>
    </w:p>
    <w:p>
      <w:pPr>
        <w:pStyle w:val="BodyText"/>
      </w:pPr>
      <w:r>
        <w:t xml:space="preserve">A lower reserve permits more stock to leave the EU pool earlier. These early transfers can deplete the stock available for later China needs. International shipments to China can take weeks or months because of transport and customs clearance. Once the remaining buffer becomes too small, the network cannot move replacement stock quickly enough to prevent site stock-outs.</w:t>
      </w:r>
    </w:p>
    <w:p>
      <w:pPr>
        <w:pStyle w:val="BodyText"/>
      </w:pPr>
      <w:r>
        <w:t xml:space="preserve">The 3.0% China result remains below the paper’s general 5% planning target. However, it applies only to China and represents a sharp deterioration from the baseline China result. It also shows that performance is fragile. An additional shipment delay or unexpected increase in enrollment could create a worse outcome.</w:t>
      </w:r>
    </w:p>
    <w:p>
      <w:pPr>
        <w:pStyle w:val="BodyText"/>
      </w:pPr>
      <w:r>
        <w:rPr>
          <w:b/>
          <w:bCs/>
        </w:rPr>
        <w:t xml:space="preserve">Recommendation:</w:t>
      </w:r>
      <w:r>
        <w:t xml:space="preserve"> </w:t>
      </w:r>
      <w:r>
        <w:t xml:space="preserve">Never reduce EU_PROTECT below 60 days. Keep the 90-day default unless stronger study-specific evidence supports a change.</w:t>
      </w:r>
    </w:p>
    <w:bookmarkEnd w:id="24"/>
    <w:bookmarkStart w:id="25" w:name="manufacturing-batch-frequency"/>
    <w:p>
      <w:pPr>
        <w:pStyle w:val="Heading4"/>
      </w:pPr>
      <w:r>
        <w:t xml:space="preserve">Manufacturing batch frequency</w:t>
      </w:r>
    </w:p>
    <w:p>
      <w:pPr>
        <w:pStyle w:val="FirstParagraph"/>
      </w:pPr>
      <w:r>
        <w:t xml:space="preserve">The manufacturing analysis holds total production volume constant. It changes how that volume is divided across scheduled batches.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Manufacturing schedule</w:t>
            </w:r>
          </w:p>
        </w:tc>
        <w:tc>
          <w:tcPr/>
          <w:p>
            <w:pPr>
              <w:pStyle w:val="Compact"/>
              <w:jc w:val="right"/>
            </w:pPr>
            <w:r>
              <w:t xml:space="preserve">Mean stock-out rate</w:t>
            </w:r>
          </w:p>
        </w:tc>
        <w:tc>
          <w:tcPr/>
          <w:p>
            <w:pPr>
              <w:pStyle w:val="Compact"/>
              <w:jc w:val="right"/>
            </w:pPr>
            <w:r>
              <w:t xml:space="preserve">Full-chain waste rate</w:t>
            </w:r>
          </w:p>
        </w:tc>
        <w:tc>
          <w:tcPr/>
          <w:p>
            <w:pPr>
              <w:pStyle w:val="Compact"/>
            </w:pPr>
            <w:r>
              <w:t xml:space="preserve">Interpretation</w:t>
            </w:r>
          </w:p>
        </w:tc>
      </w:tr>
      <w:tr>
        <w:tc>
          <w:tcPr/>
          <w:p>
            <w:pPr>
              <w:pStyle w:val="Compact"/>
            </w:pPr>
            <w:r>
              <w:t xml:space="preserve">4 large batches</w:t>
            </w:r>
          </w:p>
        </w:tc>
        <w:tc>
          <w:tcPr/>
          <w:p>
            <w:pPr>
              <w:pStyle w:val="Compact"/>
              <w:jc w:val="right"/>
            </w:pPr>
            <w:r>
              <w:t xml:space="preserve">0.08%</w:t>
            </w:r>
          </w:p>
        </w:tc>
        <w:tc>
          <w:tcPr/>
          <w:p>
            <w:pPr>
              <w:pStyle w:val="Compact"/>
              <w:jc w:val="right"/>
            </w:pPr>
            <w:r>
              <w:t xml:space="preserve">56%</w:t>
            </w:r>
          </w:p>
        </w:tc>
        <w:tc>
          <w:tcPr/>
          <w:p>
            <w:pPr>
              <w:pStyle w:val="Compact"/>
            </w:pPr>
            <w:r>
              <w:t xml:space="preserve">Very strong supply protection, but substantial expiry</w:t>
            </w:r>
          </w:p>
        </w:tc>
      </w:tr>
      <w:tr>
        <w:tc>
          <w:tcPr/>
          <w:p>
            <w:pPr>
              <w:pStyle w:val="Compact"/>
            </w:pPr>
            <w:r>
              <w:t xml:space="preserve">8 batches at 60-day intervals</w:t>
            </w:r>
          </w:p>
        </w:tc>
        <w:tc>
          <w:tcPr/>
          <w:p>
            <w:pPr>
              <w:pStyle w:val="Compact"/>
              <w:jc w:val="right"/>
            </w:pPr>
            <w:r>
              <w:t xml:space="preserve">0.68%</w:t>
            </w:r>
          </w:p>
        </w:tc>
        <w:tc>
          <w:tcPr/>
          <w:p>
            <w:pPr>
              <w:pStyle w:val="Compact"/>
              <w:jc w:val="right"/>
            </w:pPr>
            <w:r>
              <w:t xml:space="preserve">43.5%</w:t>
            </w:r>
          </w:p>
        </w:tc>
        <w:tc>
          <w:tcPr/>
          <w:p>
            <w:pPr>
              <w:pStyle w:val="Compact"/>
            </w:pPr>
            <w:r>
              <w:t xml:space="preserve">Best observed balance between service and waste</w:t>
            </w:r>
          </w:p>
        </w:tc>
      </w:tr>
      <w:tr>
        <w:tc>
          <w:tcPr/>
          <w:p>
            <w:pPr>
              <w:pStyle w:val="Compact"/>
            </w:pPr>
            <w:r>
              <w:t xml:space="preserve">15 small batches</w:t>
            </w:r>
          </w:p>
        </w:tc>
        <w:tc>
          <w:tcPr/>
          <w:p>
            <w:pPr>
              <w:pStyle w:val="Compact"/>
              <w:jc w:val="right"/>
            </w:pPr>
            <w:r>
              <w:t xml:space="preserve">3.8%</w:t>
            </w:r>
          </w:p>
        </w:tc>
        <w:tc>
          <w:tcPr/>
          <w:p>
            <w:pPr>
              <w:pStyle w:val="Compact"/>
              <w:jc w:val="right"/>
            </w:pPr>
            <w:r>
              <w:t xml:space="preserve">About 43%</w:t>
            </w:r>
          </w:p>
        </w:tc>
        <w:tc>
          <w:tcPr/>
          <w:p>
            <w:pPr>
              <w:pStyle w:val="Compact"/>
            </w:pPr>
            <w:r>
              <w:t xml:space="preserve">Similar waste, but materially higher stock-out risk</w:t>
            </w:r>
          </w:p>
        </w:tc>
      </w:tr>
    </w:tbl>
    <w:p>
      <w:pPr>
        <w:pStyle w:val="BodyText"/>
      </w:pPr>
      <w:r>
        <w:t xml:space="preserve">Four large batches place more drug into the network early. This creates a large buffer that protects against peak demand and gaps between batch arrivals. It also causes drug to sit at depots for longer periods. Much of that inventory expires before patients need it. The very low stock-out rate therefore comes at the cost of much higher waste.</w:t>
      </w:r>
    </w:p>
    <w:p>
      <w:pPr>
        <w:pStyle w:val="BodyText"/>
      </w:pPr>
      <w:r>
        <w:t xml:space="preserve">Fifteen small batches provide less protection between arrivals. Although deliveries occur more often, each delivery contributes a smaller buffer. A delay or temporary increase in demand can consume that buffer before the next batch arrives. Waste remains close to the baseline, while the stock-out rate rises to 3.8%.</w:t>
      </w:r>
    </w:p>
    <w:p>
      <w:pPr>
        <w:pStyle w:val="BodyText"/>
      </w:pPr>
      <w:r>
        <w:rPr>
          <w:b/>
          <w:bCs/>
        </w:rPr>
        <w:t xml:space="preserve">Recommendation:</w:t>
      </w:r>
      <w:r>
        <w:t xml:space="preserve"> </w:t>
      </w:r>
      <w:r>
        <w:t xml:space="preserve">Keep the eight-batch schedule with 60-day intervals.</w:t>
      </w:r>
    </w:p>
    <w:bookmarkEnd w:id="25"/>
    <w:bookmarkEnd w:id="26"/>
    <w:bookmarkStart w:id="27" w:name="why-the-right-waste-metric-matters"/>
    <w:p>
      <w:pPr>
        <w:pStyle w:val="Heading3"/>
      </w:pPr>
      <w:r>
        <w:t xml:space="preserve">4.3 Why the right waste metric matters</w:t>
      </w:r>
    </w:p>
    <w:p>
      <w:pPr>
        <w:pStyle w:val="FirstParagraph"/>
      </w:pPr>
      <w:r>
        <w:t xml:space="preserve">A narrow waste measure can lead to the wrong decision.</w:t>
      </w:r>
    </w:p>
    <w:p>
      <w:pPr>
        <w:pStyle w:val="BodyText"/>
      </w:pPr>
      <w:r>
        <w:t xml:space="preserve">Site-only waste counts expiry at clinical sites. It does not capture stock that expires at the EU central depot or regional depots. For example, a stricter site shelf-life rule can reduce site expiry because near-expiry kits remain at the regional depot. Depot expiry then rises by a similar amount. The waste has moved, not disappeared.</w:t>
      </w:r>
    </w:p>
    <w:p>
      <w:pPr>
        <w:pStyle w:val="BodyText"/>
      </w:pPr>
      <w:r>
        <w:t xml:space="preserve">Full-chain waste captures this effect. It includes expiry and damage at all modeled locations and divides the loss by total drug produced. It should therefore remain the primary optimization measure.</w:t>
      </w:r>
    </w:p>
    <w:p>
      <w:pPr>
        <w:pStyle w:val="BodyText"/>
      </w:pPr>
      <w:r>
        <w:t xml:space="preserve">The operational waste ratio still has value as a secondary measure. It supports comparison with industry planning practices. However, the cited 30–50% range uses kits shipped minus kits used, divided by kits used. The full-chain measure uses total drug produced as its denominator and includes losses before site shipment. The percentages are not directly comparable.</w:t>
      </w:r>
    </w:p>
    <w:p>
      <w:pPr>
        <w:pStyle w:val="BodyText"/>
      </w:pPr>
      <w:r>
        <w:t xml:space="preserve">Reports should always state:</w:t>
      </w:r>
    </w:p>
    <w:p>
      <w:pPr>
        <w:pStyle w:val="Compact"/>
        <w:numPr>
          <w:ilvl w:val="0"/>
          <w:numId w:val="1006"/>
        </w:numPr>
      </w:pPr>
      <w:r>
        <w:t xml:space="preserve">Which supply chain locations are included.</w:t>
      </w:r>
    </w:p>
    <w:p>
      <w:pPr>
        <w:pStyle w:val="Compact"/>
        <w:numPr>
          <w:ilvl w:val="0"/>
          <w:numId w:val="1006"/>
        </w:numPr>
      </w:pPr>
      <w:r>
        <w:t xml:space="preserve">Whether damage as well as expiry is included.</w:t>
      </w:r>
    </w:p>
    <w:p>
      <w:pPr>
        <w:pStyle w:val="Compact"/>
        <w:numPr>
          <w:ilvl w:val="0"/>
          <w:numId w:val="1006"/>
        </w:numPr>
      </w:pPr>
      <w:r>
        <w:t xml:space="preserve">Whether the denominator is kits used, kits shipped, or kits produced.</w:t>
      </w:r>
    </w:p>
    <w:bookmarkEnd w:id="27"/>
    <w:bookmarkStart w:id="28" w:name="recommended-operating-configuration"/>
    <w:p>
      <w:pPr>
        <w:pStyle w:val="Heading3"/>
      </w:pPr>
      <w:r>
        <w:t xml:space="preserve">4.4 Recommended operating configuration</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Parameter</w:t>
            </w:r>
          </w:p>
        </w:tc>
        <w:tc>
          <w:tcPr/>
          <w:p>
            <w:pPr>
              <w:pStyle w:val="Compact"/>
              <w:jc w:val="right"/>
            </w:pPr>
            <w:r>
              <w:t xml:space="preserve">Baseline</w:t>
            </w:r>
          </w:p>
        </w:tc>
        <w:tc>
          <w:tcPr/>
          <w:p>
            <w:pPr>
              <w:pStyle w:val="Compact"/>
              <w:jc w:val="right"/>
            </w:pPr>
            <w:r>
              <w:t xml:space="preserve">Recommended setting</w:t>
            </w:r>
          </w:p>
        </w:tc>
        <w:tc>
          <w:tcPr/>
          <w:p>
            <w:pPr>
              <w:pStyle w:val="Compact"/>
            </w:pPr>
            <w:r>
              <w:t xml:space="preserve">Reason</w:t>
            </w:r>
          </w:p>
        </w:tc>
      </w:tr>
      <w:tr>
        <w:tc>
          <w:tcPr/>
          <w:p>
            <w:pPr>
              <w:pStyle w:val="Compact"/>
            </w:pPr>
            <w:r>
              <w:t xml:space="preserve">EU site reorder target</w:t>
            </w:r>
          </w:p>
        </w:tc>
        <w:tc>
          <w:tcPr/>
          <w:p>
            <w:pPr>
              <w:pStyle w:val="Compact"/>
              <w:jc w:val="right"/>
            </w:pPr>
            <w:r>
              <w:t xml:space="preserve">105 kits</w:t>
            </w:r>
          </w:p>
        </w:tc>
        <w:tc>
          <w:tcPr/>
          <w:p>
            <w:pPr>
              <w:pStyle w:val="Compact"/>
              <w:jc w:val="right"/>
            </w:pPr>
            <w:r>
              <w:t xml:space="preserve">70 kits</w:t>
            </w:r>
          </w:p>
        </w:tc>
        <w:tc>
          <w:tcPr/>
          <w:p>
            <w:pPr>
              <w:pStyle w:val="Compact"/>
            </w:pPr>
            <w:r>
              <w:t xml:space="preserve">Reduces full-chain waste to about 40% while keeping stock-out near 1.4%</w:t>
            </w:r>
          </w:p>
        </w:tc>
      </w:tr>
      <w:tr>
        <w:tc>
          <w:tcPr/>
          <w:p>
            <w:pPr>
              <w:pStyle w:val="Compact"/>
            </w:pPr>
            <w:r>
              <w:t xml:space="preserve">Minimum shelf life at site receipt</w:t>
            </w:r>
          </w:p>
        </w:tc>
        <w:tc>
          <w:tcPr/>
          <w:p>
            <w:pPr>
              <w:pStyle w:val="Compact"/>
              <w:jc w:val="right"/>
            </w:pPr>
            <w:r>
              <w:t xml:space="preserve">30 days</w:t>
            </w:r>
          </w:p>
        </w:tc>
        <w:tc>
          <w:tcPr/>
          <w:p>
            <w:pPr>
              <w:pStyle w:val="Compact"/>
              <w:jc w:val="right"/>
            </w:pPr>
            <w:r>
              <w:t xml:space="preserve">30 days</w:t>
            </w:r>
          </w:p>
        </w:tc>
        <w:tc>
          <w:tcPr/>
          <w:p>
            <w:pPr>
              <w:pStyle w:val="Compact"/>
            </w:pPr>
            <w:r>
              <w:t xml:space="preserve">Tighter rules shift expiry to depots without reducing total waste</w:t>
            </w:r>
          </w:p>
        </w:tc>
      </w:tr>
      <w:tr>
        <w:tc>
          <w:tcPr/>
          <w:p>
            <w:pPr>
              <w:pStyle w:val="Compact"/>
            </w:pPr>
            <w:r>
              <w:t xml:space="preserve">EU demand protection</w:t>
            </w:r>
          </w:p>
        </w:tc>
        <w:tc>
          <w:tcPr/>
          <w:p>
            <w:pPr>
              <w:pStyle w:val="Compact"/>
              <w:jc w:val="right"/>
            </w:pPr>
            <w:r>
              <w:t xml:space="preserve">90 days</w:t>
            </w:r>
          </w:p>
        </w:tc>
        <w:tc>
          <w:tcPr/>
          <w:p>
            <w:pPr>
              <w:pStyle w:val="Compact"/>
              <w:jc w:val="right"/>
            </w:pPr>
            <w:r>
              <w:t xml:space="preserve">90 days; never below 60 days</w:t>
            </w:r>
          </w:p>
        </w:tc>
        <w:tc>
          <w:tcPr/>
          <w:p>
            <w:pPr>
              <w:pStyle w:val="Compact"/>
            </w:pPr>
            <w:r>
              <w:t xml:space="preserve">Protects China from shortages caused by depleted transfer stock and long lead times</w:t>
            </w:r>
          </w:p>
        </w:tc>
      </w:tr>
      <w:tr>
        <w:tc>
          <w:tcPr/>
          <w:p>
            <w:pPr>
              <w:pStyle w:val="Compact"/>
            </w:pPr>
            <w:r>
              <w:t xml:space="preserve">Manufacturing schedule</w:t>
            </w:r>
          </w:p>
        </w:tc>
        <w:tc>
          <w:tcPr/>
          <w:p>
            <w:pPr>
              <w:pStyle w:val="Compact"/>
              <w:jc w:val="right"/>
            </w:pPr>
            <w:r>
              <w:t xml:space="preserve">8 batches</w:t>
            </w:r>
          </w:p>
        </w:tc>
        <w:tc>
          <w:tcPr/>
          <w:p>
            <w:pPr>
              <w:pStyle w:val="Compact"/>
              <w:jc w:val="right"/>
            </w:pPr>
            <w:r>
              <w:t xml:space="preserve">8 batches at 60-day intervals</w:t>
            </w:r>
          </w:p>
        </w:tc>
        <w:tc>
          <w:tcPr/>
          <w:p>
            <w:pPr>
              <w:pStyle w:val="Compact"/>
            </w:pPr>
            <w:r>
              <w:t xml:space="preserve">Provides the best observed balance between waste and stock-out risk</w:t>
            </w:r>
          </w:p>
        </w:tc>
      </w:tr>
    </w:tbl>
    <w:p>
      <w:pPr>
        <w:pStyle w:val="BodyText"/>
      </w:pPr>
      <w:r>
        <w:t xml:space="preserve">Initial site stock was not varied in this analysis. It may be an important source of waste, especially at the 15% of sites that never enroll a patient. It should be included in future sensitivity work.</w:t>
      </w:r>
    </w:p>
    <w:bookmarkEnd w:id="28"/>
    <w:bookmarkStart w:id="29" w:name="connection-to-the-academic-literature"/>
    <w:p>
      <w:pPr>
        <w:pStyle w:val="Heading3"/>
      </w:pPr>
      <w:r>
        <w:t xml:space="preserve">4.5 Connection to the academic literature</w:t>
      </w:r>
    </w:p>
    <w:p>
      <w:pPr>
        <w:pStyle w:val="FirstParagraph"/>
      </w:pPr>
      <w:r>
        <w:t xml:space="preserve">The findings are consistent with Anisimov (2010). That work shows that required</w:t>
      </w:r>
      <w:r>
        <w:t xml:space="preserve"> </w:t>
      </w:r>
      <w:r>
        <w:rPr>
          <w:b/>
          <w:bCs/>
        </w:rPr>
        <w:t xml:space="preserve">overage</w:t>
      </w:r>
      <w:r>
        <w:t xml:space="preserve">—drug supplied beyond expected patient use—rises steeply as the target stock-out rate approaches zero. The four-batch scenario demonstrates this trade-off. It reduces stock-out to 0.08%, but full-chain waste rises to 56%.</w:t>
      </w:r>
    </w:p>
    <w:p>
      <w:pPr>
        <w:pStyle w:val="BodyText"/>
      </w:pPr>
      <w:r>
        <w:t xml:space="preserve">The literature also shows that center-stratified randomization can require less overage than unstratified randomization. Center-stratified randomization balances treatment assignments within each site or center. This reduces the risk that one site receives an unusually large share of patients in one treatment arm.</w:t>
      </w:r>
    </w:p>
    <w:p>
      <w:pPr>
        <w:pStyle w:val="BodyText"/>
      </w:pPr>
      <w:r>
        <w:t xml:space="preserve">The literature further indicates that more depots and treatment arms generally increase required overage. Each additional location and arm divides inventory into smaller, less interchangeable pools. A network may have enough drug overall but still lack the correct kit at the location where a patient needs it.</w:t>
      </w:r>
    </w:p>
    <w:p>
      <w:pPr>
        <w:pStyle w:val="BodyText"/>
      </w:pPr>
      <w:r>
        <w:t xml:space="preserve">This sensitivity analysis did not vary the randomization method, number of depots, or number of treatment arms. These literature findings therefore provide context rather than direct results from the current model. They reinforce the need to optimize supply at the kit, treatment-arm, and location levels instead of relying only on total inventory.</w:t>
      </w:r>
    </w:p>
    <w:p>
      <w:r>
        <w:pict>
          <v:rect style="width:0;height:1.5pt" o:hralign="center" o:hrstd="t" o:hr="t"/>
        </w:pict>
      </w:r>
    </w:p>
    <w:bookmarkEnd w:id="29"/>
    <w:bookmarkEnd w:id="30"/>
    <w:bookmarkStart w:id="42" w:name="X752d5a664b2fe3773a45c6a59c16754c3fb2663"/>
    <w:p>
      <w:pPr>
        <w:pStyle w:val="Heading2"/>
      </w:pPr>
      <w:r>
        <w:t xml:space="preserve">5. AI-Assisted Implementation: The SKILL Approach</w:t>
      </w:r>
    </w:p>
    <w:bookmarkStart w:id="31" w:name="X6147b74d040e6471da01c8dbb6a95976f86899f"/>
    <w:p>
      <w:pPr>
        <w:pStyle w:val="Heading3"/>
      </w:pPr>
      <w:r>
        <w:t xml:space="preserve">5.1 The challenge of building a simulation from scratch</w:t>
      </w:r>
    </w:p>
    <w:p>
      <w:pPr>
        <w:pStyle w:val="FirstParagraph"/>
      </w:pPr>
      <w:r>
        <w:t xml:space="preserve">A faithful investigational medicinal product, or IMP, supply simulation is not a simple forecast. It must connect patient enrollment, treatment assignment, visits, kit demand, expiry, inventory reviews, resupply, shipment delays, and manufacturing arrivals.</w:t>
      </w:r>
    </w:p>
    <w:p>
      <w:pPr>
        <w:pStyle w:val="BodyText"/>
      </w:pPr>
      <w:r>
        <w:t xml:space="preserve">A working model often requires 500 to 1,000 lines of code. Writing the first version manually can take several weeks. Testing unusual situations and correcting errors can take even longer.</w:t>
      </w:r>
    </w:p>
    <w:p>
      <w:pPr>
        <w:pStyle w:val="BodyText"/>
      </w:pPr>
      <w:r>
        <w:t xml:space="preserve">The main difficulty is not the amount of code. It is translating real operating rules into precise model logic.</w:t>
      </w:r>
    </w:p>
    <w:p>
      <w:pPr>
        <w:pStyle w:val="BodyText"/>
      </w:pPr>
      <w:r>
        <w:t xml:space="preserve">The required knowledge is usually spread across several sources:</w:t>
      </w:r>
    </w:p>
    <w:p>
      <w:pPr>
        <w:pStyle w:val="Compact"/>
        <w:numPr>
          <w:ilvl w:val="0"/>
          <w:numId w:val="1007"/>
        </w:numPr>
      </w:pPr>
      <w:r>
        <w:t xml:space="preserve">The clinical protocol.</w:t>
      </w:r>
    </w:p>
    <w:p>
      <w:pPr>
        <w:pStyle w:val="Compact"/>
        <w:numPr>
          <w:ilvl w:val="0"/>
          <w:numId w:val="1007"/>
        </w:numPr>
      </w:pPr>
      <w:r>
        <w:t xml:space="preserve">The supply strategy and specification.</w:t>
      </w:r>
    </w:p>
    <w:p>
      <w:pPr>
        <w:pStyle w:val="Compact"/>
        <w:numPr>
          <w:ilvl w:val="0"/>
          <w:numId w:val="1007"/>
        </w:numPr>
      </w:pPr>
      <w:r>
        <w:t xml:space="preserve">IRT or RTSM design documents.</w:t>
      </w:r>
    </w:p>
    <w:p>
      <w:pPr>
        <w:pStyle w:val="Compact"/>
        <w:numPr>
          <w:ilvl w:val="0"/>
          <w:numId w:val="1007"/>
        </w:numPr>
      </w:pPr>
      <w:r>
        <w:t xml:space="preserve">Pharmacy and dispensing instructions.</w:t>
      </w:r>
    </w:p>
    <w:p>
      <w:pPr>
        <w:pStyle w:val="Compact"/>
        <w:numPr>
          <w:ilvl w:val="0"/>
          <w:numId w:val="1007"/>
        </w:numPr>
      </w:pPr>
      <w:r>
        <w:t xml:space="preserve">Shipment and depot procedures.</w:t>
      </w:r>
    </w:p>
    <w:p>
      <w:pPr>
        <w:pStyle w:val="Compact"/>
        <w:numPr>
          <w:ilvl w:val="0"/>
          <w:numId w:val="1007"/>
        </w:numPr>
      </w:pPr>
      <w:r>
        <w:t xml:space="preserve">Emails, meeting notes, and decision logs.</w:t>
      </w:r>
    </w:p>
    <w:p>
      <w:pPr>
        <w:pStyle w:val="Compact"/>
        <w:numPr>
          <w:ilvl w:val="0"/>
          <w:numId w:val="1007"/>
        </w:numPr>
      </w:pPr>
      <w:r>
        <w:t xml:space="preserve">Informal knowledge held by study team members.</w:t>
      </w:r>
    </w:p>
    <w:p>
      <w:pPr>
        <w:pStyle w:val="FirstParagraph"/>
      </w:pPr>
      <w:r>
        <w:t xml:space="preserve">These sources may use different terms or describe the same process at different levels of detail. They may also conflict. For example, the supply specification may say that sites order up to a target level. A later email may clarify that stock already in transit counts toward that target. If the model ignores this clarification, it may place duplicate orders while the first shipment is still moving.</w:t>
      </w:r>
    </w:p>
    <w:p>
      <w:pPr>
        <w:pStyle w:val="BodyText"/>
      </w:pPr>
      <w:r>
        <w:t xml:space="preserve">The output can still look reasonable. Inventory may rise and fall. Shipments may arrive. Stock-out and waste percentages may fall within an expected range. Yet the model may not represent the live supply process.</w:t>
      </w:r>
    </w:p>
    <w:p>
      <w:pPr>
        <w:pStyle w:val="BodyText"/>
      </w:pPr>
      <w:r>
        <w:t xml:space="preserve">This is a serious risk because plausible results are often harder to challenge than obvious errors. A simulation that stops with an error message cannot support a decision. A simulation that runs successfully but applies the wrong operating rule can support the wrong decision.</w:t>
      </w:r>
    </w:p>
    <w:bookmarkEnd w:id="31"/>
    <w:bookmarkStart w:id="32" w:name="X2e4f3571e5a45fb7105c4694bd213a8ccccd6ab"/>
    <w:p>
      <w:pPr>
        <w:pStyle w:val="Heading3"/>
      </w:pPr>
      <w:r>
        <w:t xml:space="preserve">5.2 What the SKILL approach is and what makes it different</w:t>
      </w:r>
    </w:p>
    <w:p>
      <w:pPr>
        <w:pStyle w:val="FirstParagraph"/>
      </w:pPr>
      <w:r>
        <w:t xml:space="preserve">A</w:t>
      </w:r>
      <w:r>
        <w:t xml:space="preserve"> </w:t>
      </w:r>
      <w:r>
        <w:rPr>
          <w:b/>
          <w:bCs/>
        </w:rPr>
        <w:t xml:space="preserve">skill</w:t>
      </w:r>
      <w:r>
        <w:t xml:space="preserve"> </w:t>
      </w:r>
      <w:r>
        <w:t xml:space="preserve">is a structured set of instructions given to Amazon Kiro, an AI coding assistant. It captures domain knowledge as a reusable workflow. In this paper, the SKILL tells the AI both how to develop the simulation and which supply rules it must apply.</w:t>
      </w:r>
    </w:p>
    <w:p>
      <w:pPr>
        <w:pStyle w:val="BodyText"/>
      </w:pPr>
      <w:r>
        <w:t xml:space="preserve">A common approach to AI-assisted modeling is to provide a prompt such as, “Build a clinical trial supply simulation for 250 patients.” The AI then fills gaps using general patterns from its training. This may produce code quickly, but it also allows the AI to make hidden assumptions.</w:t>
      </w:r>
    </w:p>
    <w:p>
      <w:pPr>
        <w:pStyle w:val="BodyText"/>
      </w:pPr>
      <w:r>
        <w:t xml:space="preserve">The SKILL approach differs in two important ways.</w:t>
      </w:r>
    </w:p>
    <w:p>
      <w:pPr>
        <w:pStyle w:val="BodyText"/>
      </w:pPr>
      <w:r>
        <w:t xml:space="preserve">First, it requires a sequence of human confirmation steps before the AI writes any code. The analyst must obtain agreement on the trial assumptions, inventory rules, dispensing scenarios, and performance measures. The simulation is therefore based on documented decisions rather than AI guesses.</w:t>
      </w:r>
    </w:p>
    <w:p>
      <w:pPr>
        <w:pStyle w:val="BodyText"/>
      </w:pPr>
      <w:r>
        <w:t xml:space="preserve">Second, the SKILL treats key domain rules as non-negotiable coding requirements. These include:</w:t>
      </w:r>
    </w:p>
    <w:p>
      <w:pPr>
        <w:pStyle w:val="Compact"/>
        <w:numPr>
          <w:ilvl w:val="0"/>
          <w:numId w:val="1008"/>
        </w:numPr>
      </w:pPr>
      <w:r>
        <w:t xml:space="preserve">First Expired, First Out, or FEFO, dispensing.</w:t>
      </w:r>
    </w:p>
    <w:p>
      <w:pPr>
        <w:pStyle w:val="Compact"/>
        <w:numPr>
          <w:ilvl w:val="0"/>
          <w:numId w:val="1008"/>
        </w:numPr>
      </w:pPr>
      <w:r>
        <w:t xml:space="preserve">Exclusion of kits inside the Do Not Dispense, or DND, window.</w:t>
      </w:r>
    </w:p>
    <w:p>
      <w:pPr>
        <w:pStyle w:val="Compact"/>
        <w:numPr>
          <w:ilvl w:val="0"/>
          <w:numId w:val="1008"/>
        </w:numPr>
      </w:pPr>
      <w:r>
        <w:t xml:space="preserve">Weekly site inventory reviews.</w:t>
      </w:r>
    </w:p>
    <w:p>
      <w:pPr>
        <w:pStyle w:val="Compact"/>
        <w:numPr>
          <w:ilvl w:val="0"/>
          <w:numId w:val="1008"/>
        </w:numPr>
      </w:pPr>
      <w:r>
        <w:t xml:space="preserve">Inclusion of eligible in-transit stock in reorder calculations.</w:t>
      </w:r>
    </w:p>
    <w:p>
      <w:pPr>
        <w:pStyle w:val="Compact"/>
        <w:numPr>
          <w:ilvl w:val="0"/>
          <w:numId w:val="1008"/>
        </w:numPr>
      </w:pPr>
      <w:r>
        <w:t xml:space="preserve">Depot-pull logic, meaning every shipped kit must come from existing depot inventory.</w:t>
      </w:r>
    </w:p>
    <w:p>
      <w:pPr>
        <w:pStyle w:val="Compact"/>
        <w:numPr>
          <w:ilvl w:val="0"/>
          <w:numId w:val="1008"/>
        </w:numPr>
      </w:pPr>
      <w:r>
        <w:t xml:space="preserve">Enrollment checks against the planned sample size.</w:t>
      </w:r>
    </w:p>
    <w:p>
      <w:pPr>
        <w:pStyle w:val="Compact"/>
        <w:numPr>
          <w:ilvl w:val="0"/>
          <w:numId w:val="1008"/>
        </w:numPr>
      </w:pPr>
      <w:r>
        <w:t xml:space="preserve">Full-chain waste reporting across central depots, regional depots, and sites.</w:t>
      </w:r>
    </w:p>
    <w:p>
      <w:pPr>
        <w:pStyle w:val="FirstParagraph"/>
      </w:pPr>
      <w:r>
        <w:t xml:space="preserve">These controls make the SKILL more than a faster way to draft code. They create a repeatable method for translating operational knowledge into simulation logic.</w:t>
      </w:r>
    </w:p>
    <w:p>
      <w:pPr>
        <w:pStyle w:val="BodyText"/>
      </w:pPr>
      <w:r>
        <w:t xml:space="preserve">The AI can produce an initial code draft quickly. That draft is not a validated simulation. A validated simulation has been tested and shown to represent its intended process with sufficient accuracy for its planned use.</w:t>
      </w:r>
    </w:p>
    <w:p>
      <w:pPr>
        <w:pStyle w:val="BodyText"/>
      </w:pPr>
      <w:r>
        <w:t xml:space="preserve">Human experts must still review and test the model. They must verify that it follows the approved specification and validate that it provides a suitable representation of trial operations. The sponsor must also complete all required review, approval, and documentation steps under its own procedures before using results to make supply decisions (International Council for Harmonisation, 2023).</w:t>
      </w:r>
    </w:p>
    <w:bookmarkEnd w:id="32"/>
    <w:bookmarkStart w:id="39" w:name="the-six-step-workflow-in-practice"/>
    <w:p>
      <w:pPr>
        <w:pStyle w:val="Heading3"/>
      </w:pPr>
      <w:r>
        <w:t xml:space="preserve">5.3 The six-step workflow in practice</w:t>
      </w:r>
    </w:p>
    <w:bookmarkStart w:id="33" w:name="read-the-study"/>
    <w:p>
      <w:pPr>
        <w:pStyle w:val="Heading4"/>
      </w:pPr>
      <w:r>
        <w:t xml:space="preserve">1. Read the study</w:t>
      </w:r>
    </w:p>
    <w:p>
      <w:pPr>
        <w:pStyle w:val="FirstParagraph"/>
      </w:pPr>
      <w:r>
        <w:t xml:space="preserve">The AI first reads the full protocol and supply specification. It does this before writing any code.</w:t>
      </w:r>
    </w:p>
    <w:p>
      <w:pPr>
        <w:pStyle w:val="BodyText"/>
      </w:pPr>
      <w:r>
        <w:t xml:space="preserve">The review covers the trial design, countries, sites, treatment arms, visit schedule, dosing rules, patient discontinuation, kit types, shelf life, depot structure, and shipment routes. The AI also checks the persistent context file. This file records approved definitions, decisions, and open questions retained from earlier working sessions.</w:t>
      </w:r>
    </w:p>
    <w:p>
      <w:pPr>
        <w:pStyle w:val="BodyText"/>
      </w:pPr>
      <w:r>
        <w:t xml:space="preserve">The persistent context file supports continuity, but it does not replace approved source documents. The team must keep it current and manage it under the sponsor’s document and information-control procedures.</w:t>
      </w:r>
    </w:p>
    <w:p>
      <w:pPr>
        <w:pStyle w:val="BodyText"/>
      </w:pPr>
      <w:r>
        <w:t xml:space="preserve">This step reduces the risk that the AI treats one document or one conversation as the complete source of truth.</w:t>
      </w:r>
    </w:p>
    <w:bookmarkEnd w:id="33"/>
    <w:bookmarkStart w:id="34" w:name="confirm-every-assumption"/>
    <w:p>
      <w:pPr>
        <w:pStyle w:val="Heading4"/>
      </w:pPr>
      <w:r>
        <w:t xml:space="preserve">2. Confirm every assumption</w:t>
      </w:r>
    </w:p>
    <w:p>
      <w:pPr>
        <w:pStyle w:val="FirstParagraph"/>
      </w:pPr>
      <w:r>
        <w:t xml:space="preserve">The AI prepares a table of major modeling decisions. The analyst reviews each item and obtains explicit approval or correction from the appropriate subject matter expert.</w:t>
      </w:r>
    </w:p>
    <w:p>
      <w:pPr>
        <w:pStyle w:val="BodyText"/>
      </w:pPr>
      <w:r>
        <w:t xml:space="preserve">A typical table includes: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 area</w:t>
            </w:r>
          </w:p>
        </w:tc>
        <w:tc>
          <w:tcPr/>
          <w:p>
            <w:pPr>
              <w:pStyle w:val="Compact"/>
            </w:pPr>
            <w:r>
              <w:t xml:space="preserve">Question requiring confirmation</w:t>
            </w:r>
          </w:p>
        </w:tc>
      </w:tr>
      <w:tr>
        <w:tc>
          <w:tcPr/>
          <w:p>
            <w:pPr>
              <w:pStyle w:val="Compact"/>
            </w:pPr>
            <w:r>
              <w:t xml:space="preserve">Enrollment</w:t>
            </w:r>
          </w:p>
        </w:tc>
        <w:tc>
          <w:tcPr/>
          <w:p>
            <w:pPr>
              <w:pStyle w:val="Compact"/>
            </w:pPr>
            <w:r>
              <w:t xml:space="preserve">Do site rates represent screened patients or successful enrollments?</w:t>
            </w:r>
          </w:p>
        </w:tc>
      </w:tr>
      <w:tr>
        <w:tc>
          <w:tcPr/>
          <w:p>
            <w:pPr>
              <w:pStyle w:val="Compact"/>
            </w:pPr>
            <w:r>
              <w:t xml:space="preserve">Randomization</w:t>
            </w:r>
          </w:p>
        </w:tc>
        <w:tc>
          <w:tcPr/>
          <w:p>
            <w:pPr>
              <w:pStyle w:val="Compact"/>
            </w:pPr>
            <w:r>
              <w:t xml:space="preserve">Is treatment assignment balanced across the full trial or within each site?</w:t>
            </w:r>
          </w:p>
        </w:tc>
      </w:tr>
      <w:tr>
        <w:tc>
          <w:tcPr/>
          <w:p>
            <w:pPr>
              <w:pStyle w:val="Compact"/>
            </w:pPr>
            <w:r>
              <w:t xml:space="preserve">Visits</w:t>
            </w:r>
          </w:p>
        </w:tc>
        <w:tc>
          <w:tcPr/>
          <w:p>
            <w:pPr>
              <w:pStyle w:val="Compact"/>
            </w:pPr>
            <w:r>
              <w:t xml:space="preserve">Can visits occur early, late, or be missed?</w:t>
            </w:r>
          </w:p>
        </w:tc>
      </w:tr>
      <w:tr>
        <w:tc>
          <w:tcPr/>
          <w:p>
            <w:pPr>
              <w:pStyle w:val="Compact"/>
            </w:pPr>
            <w:r>
              <w:t xml:space="preserve">Discontinuation</w:t>
            </w:r>
          </w:p>
        </w:tc>
        <w:tc>
          <w:tcPr/>
          <w:p>
            <w:pPr>
              <w:pStyle w:val="Compact"/>
            </w:pPr>
            <w:r>
              <w:t xml:space="preserve">Does drug demand stop immediately after a patient discontinues?</w:t>
            </w:r>
          </w:p>
        </w:tc>
      </w:tr>
      <w:tr>
        <w:tc>
          <w:tcPr/>
          <w:p>
            <w:pPr>
              <w:pStyle w:val="Compact"/>
            </w:pPr>
            <w:r>
              <w:t xml:space="preserve">Reordering</w:t>
            </w:r>
          </w:p>
        </w:tc>
        <w:tc>
          <w:tcPr/>
          <w:p>
            <w:pPr>
              <w:pStyle w:val="Compact"/>
            </w:pPr>
            <w:r>
              <w:t xml:space="preserve">Does stock in transit count toward the target?</w:t>
            </w:r>
          </w:p>
        </w:tc>
      </w:tr>
      <w:tr>
        <w:tc>
          <w:tcPr/>
          <w:p>
            <w:pPr>
              <w:pStyle w:val="Compact"/>
            </w:pPr>
            <w:r>
              <w:t xml:space="preserve">Shelf life</w:t>
            </w:r>
          </w:p>
        </w:tc>
        <w:tc>
          <w:tcPr/>
          <w:p>
            <w:pPr>
              <w:pStyle w:val="Compact"/>
            </w:pPr>
            <w:r>
              <w:t xml:space="preserve">At what point does DND apply: visit day, order day, or arrival day?</w:t>
            </w:r>
          </w:p>
        </w:tc>
      </w:tr>
      <w:tr>
        <w:tc>
          <w:tcPr/>
          <w:p>
            <w:pPr>
              <w:pStyle w:val="Compact"/>
            </w:pPr>
            <w:r>
              <w:t xml:space="preserve">Shipments</w:t>
            </w:r>
          </w:p>
        </w:tc>
        <w:tc>
          <w:tcPr/>
          <w:p>
            <w:pPr>
              <w:pStyle w:val="Compact"/>
            </w:pPr>
            <w:r>
              <w:t xml:space="preserve">Can an order be partially filled when full stock is unavailable?</w:t>
            </w:r>
          </w:p>
        </w:tc>
      </w:tr>
      <w:tr>
        <w:tc>
          <w:tcPr/>
          <w:p>
            <w:pPr>
              <w:pStyle w:val="Compact"/>
            </w:pPr>
            <w:r>
              <w:t xml:space="preserve">Waste</w:t>
            </w:r>
          </w:p>
        </w:tc>
        <w:tc>
          <w:tcPr/>
          <w:p>
            <w:pPr>
              <w:pStyle w:val="Compact"/>
            </w:pPr>
            <w:r>
              <w:t xml:space="preserve">Which locations and loss types are included?</w:t>
            </w:r>
          </w:p>
        </w:tc>
      </w:tr>
    </w:tbl>
    <w:p>
      <w:pPr>
        <w:pStyle w:val="BodyText"/>
      </w:pPr>
      <w:r>
        <w:t xml:space="preserve">The AI does not silently fill missing information. If a rule remains unclear, it records an open question and waits for a human decision.</w:t>
      </w:r>
    </w:p>
    <w:bookmarkEnd w:id="34"/>
    <w:bookmarkStart w:id="35" w:name="verify-dispensing-scenarios"/>
    <w:p>
      <w:pPr>
        <w:pStyle w:val="Heading4"/>
      </w:pPr>
      <w:r>
        <w:t xml:space="preserve">3. Verify dispensing scenarios</w:t>
      </w:r>
    </w:p>
    <w:p>
      <w:pPr>
        <w:pStyle w:val="FirstParagraph"/>
      </w:pPr>
      <w:r>
        <w:t xml:space="preserve">Dispensing is one of the highest-risk parts of the model. The SKILL therefore uses a dedicated checklist with more than ten scenarios.</w:t>
      </w:r>
    </w:p>
    <w:p>
      <w:pPr>
        <w:pStyle w:val="BodyText"/>
      </w:pPr>
      <w:r>
        <w:t xml:space="preserve">The checklist covers situations such as:</w:t>
      </w:r>
    </w:p>
    <w:p>
      <w:pPr>
        <w:pStyle w:val="Compact"/>
        <w:numPr>
          <w:ilvl w:val="0"/>
          <w:numId w:val="1009"/>
        </w:numPr>
      </w:pPr>
      <w:r>
        <w:t xml:space="preserve">A patient attends as planned.</w:t>
      </w:r>
    </w:p>
    <w:p>
      <w:pPr>
        <w:pStyle w:val="Compact"/>
        <w:numPr>
          <w:ilvl w:val="0"/>
          <w:numId w:val="1009"/>
        </w:numPr>
      </w:pPr>
      <w:r>
        <w:t xml:space="preserve">A patient misses a visit.</w:t>
      </w:r>
    </w:p>
    <w:p>
      <w:pPr>
        <w:pStyle w:val="Compact"/>
        <w:numPr>
          <w:ilvl w:val="0"/>
          <w:numId w:val="1009"/>
        </w:numPr>
      </w:pPr>
      <w:r>
        <w:t xml:space="preserve">A patient attends later than planned.</w:t>
      </w:r>
    </w:p>
    <w:p>
      <w:pPr>
        <w:pStyle w:val="Compact"/>
        <w:numPr>
          <w:ilvl w:val="0"/>
          <w:numId w:val="1009"/>
        </w:numPr>
      </w:pPr>
      <w:r>
        <w:t xml:space="preserve">The site has some required kits but not enough to complete the dose.</w:t>
      </w:r>
    </w:p>
    <w:p>
      <w:pPr>
        <w:pStyle w:val="Compact"/>
        <w:numPr>
          <w:ilvl w:val="0"/>
          <w:numId w:val="1009"/>
        </w:numPr>
      </w:pPr>
      <w:r>
        <w:t xml:space="preserve">The site has the wrong kit type.</w:t>
      </w:r>
    </w:p>
    <w:p>
      <w:pPr>
        <w:pStyle w:val="Compact"/>
        <w:numPr>
          <w:ilvl w:val="0"/>
          <w:numId w:val="1009"/>
        </w:numPr>
      </w:pPr>
      <w:r>
        <w:t xml:space="preserve">The site has stock for the wrong treatment arm.</w:t>
      </w:r>
    </w:p>
    <w:p>
      <w:pPr>
        <w:pStyle w:val="Compact"/>
        <w:numPr>
          <w:ilvl w:val="0"/>
          <w:numId w:val="1009"/>
        </w:numPr>
      </w:pPr>
      <w:r>
        <w:t xml:space="preserve">Some kits fall inside the DND window.</w:t>
      </w:r>
    </w:p>
    <w:p>
      <w:pPr>
        <w:pStyle w:val="Compact"/>
        <w:numPr>
          <w:ilvl w:val="0"/>
          <w:numId w:val="1009"/>
        </w:numPr>
      </w:pPr>
      <w:r>
        <w:t xml:space="preserve">A partial fill is possible.</w:t>
      </w:r>
    </w:p>
    <w:p>
      <w:pPr>
        <w:pStyle w:val="Compact"/>
        <w:numPr>
          <w:ilvl w:val="0"/>
          <w:numId w:val="1009"/>
        </w:numPr>
      </w:pPr>
      <w:r>
        <w:t xml:space="preserve">A partial fill is not allowed.</w:t>
      </w:r>
    </w:p>
    <w:p>
      <w:pPr>
        <w:pStyle w:val="Compact"/>
        <w:numPr>
          <w:ilvl w:val="0"/>
          <w:numId w:val="1009"/>
        </w:numPr>
      </w:pPr>
      <w:r>
        <w:t xml:space="preserve">A patient discontinues before the next visit.</w:t>
      </w:r>
    </w:p>
    <w:p>
      <w:pPr>
        <w:pStyle w:val="Compact"/>
        <w:numPr>
          <w:ilvl w:val="0"/>
          <w:numId w:val="1009"/>
        </w:numPr>
      </w:pPr>
      <w:r>
        <w:t xml:space="preserve">Several batches are available with different expiry dates.</w:t>
      </w:r>
    </w:p>
    <w:p>
      <w:pPr>
        <w:pStyle w:val="Compact"/>
        <w:numPr>
          <w:ilvl w:val="0"/>
          <w:numId w:val="1009"/>
        </w:numPr>
      </w:pPr>
      <w:r>
        <w:t xml:space="preserve">A replacement or unscheduled visit occurs.</w:t>
      </w:r>
    </w:p>
    <w:p>
      <w:pPr>
        <w:pStyle w:val="FirstParagraph"/>
      </w:pPr>
      <w:r>
        <w:t xml:space="preserve">The appropriate clinical, supply, statistical, and quality owners confirm the expected result for every scenario relevant to the study. Coding begins only after the dispensing rules are clear and documented.</w:t>
      </w:r>
    </w:p>
    <w:bookmarkEnd w:id="35"/>
    <w:bookmarkStart w:id="36" w:name="generate-the-model"/>
    <w:p>
      <w:pPr>
        <w:pStyle w:val="Heading4"/>
      </w:pPr>
      <w:r>
        <w:t xml:space="preserve">4. Generate the model</w:t>
      </w:r>
    </w:p>
    <w:p>
      <w:pPr>
        <w:pStyle w:val="FirstParagraph"/>
      </w:pPr>
      <w:r>
        <w:t xml:space="preserve">The AI then writes the model in R, a programming language widely used for statistical analysis and simulation.</w:t>
      </w:r>
    </w:p>
    <w:p>
      <w:pPr>
        <w:pStyle w:val="BodyText"/>
      </w:pPr>
      <w:r>
        <w:t xml:space="preserve">The generated model must follow the approved assumptions and mandatory supply rules. For example, it must:</w:t>
      </w:r>
    </w:p>
    <w:p>
      <w:pPr>
        <w:pStyle w:val="Compact"/>
        <w:numPr>
          <w:ilvl w:val="0"/>
          <w:numId w:val="1010"/>
        </w:numPr>
      </w:pPr>
      <w:r>
        <w:t xml:space="preserve">Select eligible kits using FEFO.</w:t>
      </w:r>
    </w:p>
    <w:p>
      <w:pPr>
        <w:pStyle w:val="Compact"/>
        <w:numPr>
          <w:ilvl w:val="0"/>
          <w:numId w:val="1010"/>
        </w:numPr>
      </w:pPr>
      <w:r>
        <w:t xml:space="preserve">Exclude expired kits and kits inside the DND window.</w:t>
      </w:r>
    </w:p>
    <w:p>
      <w:pPr>
        <w:pStyle w:val="Compact"/>
        <w:numPr>
          <w:ilvl w:val="0"/>
          <w:numId w:val="1010"/>
        </w:numPr>
      </w:pPr>
      <w:r>
        <w:t xml:space="preserve">Review site inventory on the approved weekly schedule.</w:t>
      </w:r>
    </w:p>
    <w:p>
      <w:pPr>
        <w:pStyle w:val="Compact"/>
        <w:numPr>
          <w:ilvl w:val="0"/>
          <w:numId w:val="1010"/>
        </w:numPr>
      </w:pPr>
      <w:r>
        <w:t xml:space="preserve">Count eligible stock in transit when calculating orders.</w:t>
      </w:r>
    </w:p>
    <w:p>
      <w:pPr>
        <w:pStyle w:val="Compact"/>
        <w:numPr>
          <w:ilvl w:val="0"/>
          <w:numId w:val="1010"/>
        </w:numPr>
      </w:pPr>
      <w:r>
        <w:t xml:space="preserve">Pull transferred kits from actual depot stock.</w:t>
      </w:r>
    </w:p>
    <w:p>
      <w:pPr>
        <w:pStyle w:val="Compact"/>
        <w:numPr>
          <w:ilvl w:val="0"/>
          <w:numId w:val="1010"/>
        </w:numPr>
      </w:pPr>
      <w:r>
        <w:t xml:space="preserve">Stop enrollment when the planned sample size is reached.</w:t>
      </w:r>
    </w:p>
    <w:p>
      <w:pPr>
        <w:pStyle w:val="Compact"/>
        <w:numPr>
          <w:ilvl w:val="0"/>
          <w:numId w:val="1010"/>
        </w:numPr>
      </w:pPr>
      <w:r>
        <w:t xml:space="preserve">Report expiry and damage across the full supply chain.</w:t>
      </w:r>
    </w:p>
    <w:p>
      <w:pPr>
        <w:pStyle w:val="FirstParagraph"/>
      </w:pPr>
      <w:r>
        <w:t xml:space="preserve">The AI also creates checks that support later testing. These checks may compare enrolled patients with the trial target. They may also confirm that kits shipped from a depot reduce that depot’s inventory by the same amount.</w:t>
      </w:r>
    </w:p>
    <w:bookmarkEnd w:id="36"/>
    <w:bookmarkStart w:id="37" w:name="run-and-interpret"/>
    <w:p>
      <w:pPr>
        <w:pStyle w:val="Heading4"/>
      </w:pPr>
      <w:r>
        <w:t xml:space="preserve">5. Run and interpret</w:t>
      </w:r>
    </w:p>
    <w:p>
      <w:pPr>
        <w:pStyle w:val="FirstParagraph"/>
      </w:pPr>
      <w:r>
        <w:t xml:space="preserve">The analyst runs the model in an approved computing environment. This protects study information and ensures that the team follows required software and access controls.</w:t>
      </w:r>
    </w:p>
    <w:p>
      <w:pPr>
        <w:pStyle w:val="BodyText"/>
      </w:pPr>
      <w:r>
        <w:t xml:space="preserve">The analyst may then share permitted output with the AI for interpretation. Any sharing must follow the sponsor’s security, confidentiality, and data-handling requirements. Patient-level or other sensitive information should not be shared unless the environment and intended use have been approved.</w:t>
      </w:r>
    </w:p>
    <w:p>
      <w:pPr>
        <w:pStyle w:val="BodyText"/>
      </w:pPr>
      <w:r>
        <w:t xml:space="preserve">The AI summarizes the results in plain English and flags possible anomalies. Examples include:</w:t>
      </w:r>
    </w:p>
    <w:p>
      <w:pPr>
        <w:pStyle w:val="Compact"/>
        <w:numPr>
          <w:ilvl w:val="0"/>
          <w:numId w:val="1011"/>
        </w:numPr>
      </w:pPr>
      <w:r>
        <w:t xml:space="preserve">Enrollment exceeds the planned sample size.</w:t>
      </w:r>
    </w:p>
    <w:p>
      <w:pPr>
        <w:pStyle w:val="Compact"/>
        <w:numPr>
          <w:ilvl w:val="0"/>
          <w:numId w:val="1011"/>
        </w:numPr>
      </w:pPr>
      <w:r>
        <w:t xml:space="preserve">Depot inventory does not fall after shipments.</w:t>
      </w:r>
    </w:p>
    <w:p>
      <w:pPr>
        <w:pStyle w:val="Compact"/>
        <w:numPr>
          <w:ilvl w:val="0"/>
          <w:numId w:val="1011"/>
        </w:numPr>
      </w:pPr>
      <w:r>
        <w:t xml:space="preserve">Kit use is inconsistent with the number of patient visits.</w:t>
      </w:r>
    </w:p>
    <w:p>
      <w:pPr>
        <w:pStyle w:val="Compact"/>
        <w:numPr>
          <w:ilvl w:val="0"/>
          <w:numId w:val="1011"/>
        </w:numPr>
      </w:pPr>
      <w:r>
        <w:t xml:space="preserve">Waste appears unusually low despite substantial expiry.</w:t>
      </w:r>
    </w:p>
    <w:p>
      <w:pPr>
        <w:pStyle w:val="Compact"/>
        <w:numPr>
          <w:ilvl w:val="0"/>
          <w:numId w:val="1011"/>
        </w:numPr>
      </w:pPr>
      <w:r>
        <w:t xml:space="preserve">One treatment arm has an unexplained stock-out pattern.</w:t>
      </w:r>
    </w:p>
    <w:p>
      <w:pPr>
        <w:pStyle w:val="Compact"/>
        <w:numPr>
          <w:ilvl w:val="0"/>
          <w:numId w:val="1011"/>
        </w:numPr>
      </w:pPr>
      <w:r>
        <w:t xml:space="preserve">Results change sharply between similar parameter settings.</w:t>
      </w:r>
    </w:p>
    <w:p>
      <w:pPr>
        <w:pStyle w:val="FirstParagraph"/>
      </w:pPr>
      <w:r>
        <w:t xml:space="preserve">The AI can help investigate these patterns. The analyst decides whether they reflect real behavior, a specification issue, or a coding error.</w:t>
      </w:r>
    </w:p>
    <w:bookmarkEnd w:id="37"/>
    <w:bookmarkStart w:id="38" w:name="produce-a-structured-report"/>
    <w:p>
      <w:pPr>
        <w:pStyle w:val="Heading4"/>
      </w:pPr>
      <w:r>
        <w:t xml:space="preserve">6. Produce a structured report</w:t>
      </w:r>
    </w:p>
    <w:p>
      <w:pPr>
        <w:pStyle w:val="FirstParagraph"/>
      </w:pPr>
      <w:r>
        <w:t xml:space="preserve">The final step converts model output into a decision-focused report. The report includes:</w:t>
      </w:r>
    </w:p>
    <w:p>
      <w:pPr>
        <w:pStyle w:val="Compact"/>
        <w:numPr>
          <w:ilvl w:val="0"/>
          <w:numId w:val="1012"/>
        </w:numPr>
      </w:pPr>
      <w:r>
        <w:t xml:space="preserve">A summary of stock-out and waste measures.</w:t>
      </w:r>
    </w:p>
    <w:p>
      <w:pPr>
        <w:pStyle w:val="Compact"/>
        <w:numPr>
          <w:ilvl w:val="0"/>
          <w:numId w:val="1012"/>
        </w:numPr>
      </w:pPr>
      <w:r>
        <w:t xml:space="preserve">Comparisons with the baseline configuration.</w:t>
      </w:r>
    </w:p>
    <w:p>
      <w:pPr>
        <w:pStyle w:val="Compact"/>
        <w:numPr>
          <w:ilvl w:val="0"/>
          <w:numId w:val="1012"/>
        </w:numPr>
      </w:pPr>
      <w:r>
        <w:t xml:space="preserve">Results by region, depot, treatment arm, or kit type where relevant.</w:t>
      </w:r>
    </w:p>
    <w:p>
      <w:pPr>
        <w:pStyle w:val="Compact"/>
        <w:numPr>
          <w:ilvl w:val="0"/>
          <w:numId w:val="1012"/>
        </w:numPr>
      </w:pPr>
      <w:r>
        <w:t xml:space="preserve">Prioritized recommendations.</w:t>
      </w:r>
    </w:p>
    <w:p>
      <w:pPr>
        <w:pStyle w:val="Compact"/>
        <w:numPr>
          <w:ilvl w:val="0"/>
          <w:numId w:val="1012"/>
        </w:numPr>
      </w:pPr>
      <w:r>
        <w:t xml:space="preserve">Important limitations.</w:t>
      </w:r>
    </w:p>
    <w:p>
      <w:pPr>
        <w:pStyle w:val="Compact"/>
        <w:numPr>
          <w:ilvl w:val="0"/>
          <w:numId w:val="1012"/>
        </w:numPr>
      </w:pPr>
      <w:r>
        <w:t xml:space="preserve">Open questions requiring human decisions.</w:t>
      </w:r>
    </w:p>
    <w:p>
      <w:pPr>
        <w:pStyle w:val="FirstParagraph"/>
      </w:pPr>
      <w:r>
        <w:t xml:space="preserve">This structure helps different functions review the same evidence. Supply teams can assess inventory implications. Clinical operations teams can assess effects on sites and patients. Statisticians can assess uncertainty and the stability of the results.</w:t>
      </w:r>
    </w:p>
    <w:bookmarkEnd w:id="38"/>
    <w:bookmarkEnd w:id="39"/>
    <w:bookmarkStart w:id="40" w:name="Xb78699ef39aaea2513b9ef4db52fd118930df98"/>
    <w:p>
      <w:pPr>
        <w:pStyle w:val="Heading3"/>
      </w:pPr>
      <w:r>
        <w:t xml:space="preserve">5.4 What the AI handles well—and where humans must stay involved</w:t>
      </w:r>
    </w:p>
    <w:p>
      <w:pPr>
        <w:pStyle w:val="FirstParagraph"/>
      </w:pPr>
      <w:r>
        <w:t xml:space="preserve">AI is most useful for structured, repeatable work. Human experts remain responsible for judgment, patient safety, model acceptance, and approval.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AI handles well</w:t>
            </w:r>
          </w:p>
        </w:tc>
        <w:tc>
          <w:tcPr/>
          <w:p>
            <w:pPr>
              <w:pStyle w:val="Compact"/>
            </w:pPr>
            <w:r>
              <w:t xml:space="preserve">Humans must remain responsible for</w:t>
            </w:r>
          </w:p>
        </w:tc>
      </w:tr>
      <w:tr>
        <w:tc>
          <w:tcPr/>
          <w:p>
            <w:pPr>
              <w:pStyle w:val="Compact"/>
            </w:pPr>
            <w:r>
              <w:t xml:space="preserve">Producing an initial code draft from a detailed specification</w:t>
            </w:r>
          </w:p>
        </w:tc>
        <w:tc>
          <w:tcPr/>
          <w:p>
            <w:pPr>
              <w:pStyle w:val="Compact"/>
            </w:pPr>
            <w:r>
              <w:t xml:space="preserve">Deciding the clinically acceptable stock-out tolerance</w:t>
            </w:r>
          </w:p>
        </w:tc>
      </w:tr>
      <w:tr>
        <w:tc>
          <w:tcPr/>
          <w:p>
            <w:pPr>
              <w:pStyle w:val="Compact"/>
            </w:pPr>
            <w:r>
              <w:t xml:space="preserve">Preparing parameter sweeps, meaning repeated tests across many input settings</w:t>
            </w:r>
          </w:p>
        </w:tc>
        <w:tc>
          <w:tcPr/>
          <w:p>
            <w:pPr>
              <w:pStyle w:val="Compact"/>
            </w:pPr>
            <w:r>
              <w:t xml:space="preserve">Running the model in the approved environment and reviewing the results</w:t>
            </w:r>
          </w:p>
        </w:tc>
      </w:tr>
      <w:tr>
        <w:tc>
          <w:tcPr/>
          <w:p>
            <w:pPr>
              <w:pStyle w:val="Compact"/>
            </w:pPr>
            <w:r>
              <w:t xml:space="preserve">Checking logical consistency across model sections</w:t>
            </w:r>
          </w:p>
        </w:tc>
        <w:tc>
          <w:tcPr/>
          <w:p>
            <w:pPr>
              <w:pStyle w:val="Compact"/>
            </w:pPr>
            <w:r>
              <w:t xml:space="preserve">Interpreting ambiguous or conflicting protocol language</w:t>
            </w:r>
          </w:p>
        </w:tc>
      </w:tr>
      <w:tr>
        <w:tc>
          <w:tcPr/>
          <w:p>
            <w:pPr>
              <w:pStyle w:val="Compact"/>
            </w:pPr>
            <w:r>
              <w:t xml:space="preserve">Identifying unusual output patterns</w:t>
            </w:r>
          </w:p>
        </w:tc>
        <w:tc>
          <w:tcPr/>
          <w:p>
            <w:pPr>
              <w:pStyle w:val="Compact"/>
            </w:pPr>
            <w:r>
              <w:t xml:space="preserve">Approving changes that could affect patient safety</w:t>
            </w:r>
          </w:p>
        </w:tc>
      </w:tr>
      <w:tr>
        <w:tc>
          <w:tcPr/>
          <w:p>
            <w:pPr>
              <w:pStyle w:val="Compact"/>
            </w:pPr>
            <w:r>
              <w:t xml:space="preserve">Retaining decisions through a persistent context file</w:t>
            </w:r>
          </w:p>
        </w:tc>
        <w:tc>
          <w:tcPr/>
          <w:p>
            <w:pPr>
              <w:pStyle w:val="Compact"/>
            </w:pPr>
            <w:r>
              <w:t xml:space="preserve">Confirming that operating rules match the live IRT or RTSM configuration</w:t>
            </w:r>
          </w:p>
        </w:tc>
      </w:tr>
      <w:tr>
        <w:tc>
          <w:tcPr/>
          <w:p>
            <w:pPr>
              <w:pStyle w:val="Compact"/>
            </w:pPr>
            <w:r>
              <w:t xml:space="preserve">Drafting clear result summaries</w:t>
            </w:r>
          </w:p>
        </w:tc>
        <w:tc>
          <w:tcPr/>
          <w:p>
            <w:pPr>
              <w:pStyle w:val="Compact"/>
            </w:pPr>
            <w:r>
              <w:t xml:space="preserve">Verification, validation, formal review, sign-off, and final supply decisions</w:t>
            </w:r>
          </w:p>
        </w:tc>
      </w:tr>
    </w:tbl>
    <w:p>
      <w:pPr>
        <w:pStyle w:val="BodyText"/>
      </w:pPr>
      <w:r>
        <w:t xml:space="preserve">The persistent context file can provide useful institutional memory. It records approved definitions, assumptions, and unresolved questions across sessions. However, it must remain controlled and current. An outdated decision can be repeated consistently and still be wrong.</w:t>
      </w:r>
    </w:p>
    <w:bookmarkEnd w:id="40"/>
    <w:bookmarkStart w:id="41" w:name="hard-lessonsand-how-the-skill-fixed-them"/>
    <w:p>
      <w:pPr>
        <w:pStyle w:val="Heading3"/>
      </w:pPr>
      <w:r>
        <w:t xml:space="preserve">5.5 Hard lessons—and how the SKILL fixed them</w:t>
      </w:r>
    </w:p>
    <w:p>
      <w:pPr>
        <w:pStyle w:val="FirstParagraph"/>
      </w:pPr>
      <w:r>
        <w:t xml:space="preserve">Early model development produced three practical lessons.</w:t>
      </w:r>
    </w:p>
    <w:p>
      <w:pPr>
        <w:pStyle w:val="BodyText"/>
      </w:pPr>
      <w:r>
        <w:rPr>
          <w:b/>
          <w:bCs/>
        </w:rPr>
        <w:t xml:space="preserve">Lesson 1: Validate enrollment before interpreting any result.</w:t>
      </w:r>
    </w:p>
    <w:p>
      <w:pPr>
        <w:pStyle w:val="BodyText"/>
      </w:pPr>
      <w:r>
        <w:t xml:space="preserve">An early version enrolled three to four times the planned number of patients. The model still produced credible-looking shipment, stock-out, and waste patterns. All of them were meaningless because demand was based on the wrong trial size.</w:t>
      </w:r>
    </w:p>
    <w:p>
      <w:pPr>
        <w:pStyle w:val="BodyText"/>
      </w:pPr>
      <w:r>
        <w:t xml:space="preserve">The SKILL now requires an enrollment check before any result is interpreted. The model must reconcile planned enrollment, total simulated enrollment, country totals, and site totals.</w:t>
      </w:r>
    </w:p>
    <w:p>
      <w:pPr>
        <w:pStyle w:val="BodyText"/>
      </w:pPr>
      <w:r>
        <w:rPr>
          <w:b/>
          <w:bCs/>
        </w:rPr>
        <w:t xml:space="preserve">Lesson 2: Every shipment must reduce inventory at its source.</w:t>
      </w:r>
    </w:p>
    <w:p>
      <w:pPr>
        <w:pStyle w:val="BodyText"/>
      </w:pPr>
      <w:r>
        <w:t xml:space="preserve">One early version created new kit records when a depot shipped an order. It did not pull the kits from existing depot stock. This created “phantom drug.” Sites received supply, but depot inventory never fell.</w:t>
      </w:r>
    </w:p>
    <w:p>
      <w:pPr>
        <w:pStyle w:val="BodyText"/>
      </w:pPr>
      <w:r>
        <w:t xml:space="preserve">The SKILL now requires explicit depot-pull logic. Every shipped kit must have a valid source record. The source depot balance must decline when the kit enters transit.</w:t>
      </w:r>
    </w:p>
    <w:p>
      <w:pPr>
        <w:pStyle w:val="BodyText"/>
      </w:pPr>
      <w:r>
        <w:rPr>
          <w:b/>
          <w:bCs/>
        </w:rPr>
        <w:t xml:space="preserve">Lesson 3: Waste must cover the full chain.</w:t>
      </w:r>
    </w:p>
    <w:p>
      <w:pPr>
        <w:pStyle w:val="BodyText"/>
      </w:pPr>
      <w:r>
        <w:t xml:space="preserve">Early reports counted only expiry at sites. They missed expiry at the EU central depot and regional depots. Reported waste therefore appeared artificially low.</w:t>
      </w:r>
    </w:p>
    <w:p>
      <w:pPr>
        <w:pStyle w:val="BodyText"/>
      </w:pPr>
      <w:r>
        <w:t xml:space="preserve">The SKILL now requires full-chain waste as the primary measure. Site-only waste may still be shown for operational diagnosis, but it cannot replace the full-chain result.</w:t>
      </w:r>
    </w:p>
    <w:p>
      <w:pPr>
        <w:pStyle w:val="BodyText"/>
      </w:pPr>
      <w:r>
        <w:t xml:space="preserve">The broader lesson is simple: AI-generated code can be wrong even when it runs without errors. A successful run shows only that the software completed its instructions. It does not show that those instructions correctly represent the trial.</w:t>
      </w:r>
    </w:p>
    <w:p>
      <w:pPr>
        <w:pStyle w:val="BodyText"/>
      </w:pPr>
      <w:r>
        <w:t xml:space="preserve">Human testing against known examples and expected benchmarks is always required. AI can accelerate development, but it cannot replace accountable clinical, supply, statistical, and quality review.</w:t>
      </w:r>
    </w:p>
    <w:p>
      <w:r>
        <w:pict>
          <v:rect style="width:0;height:1.5pt" o:hralign="center" o:hrstd="t" o:hr="t"/>
        </w:pict>
      </w:r>
    </w:p>
    <w:bookmarkEnd w:id="41"/>
    <w:bookmarkEnd w:id="42"/>
    <w:bookmarkStart w:id="43" w:name="discussion"/>
    <w:p>
      <w:pPr>
        <w:pStyle w:val="Heading2"/>
      </w:pPr>
      <w:r>
        <w:t xml:space="preserve">6. Discussion</w:t>
      </w:r>
    </w:p>
    <w:p>
      <w:pPr>
        <w:pStyle w:val="FirstParagraph"/>
      </w:pPr>
      <w:r>
        <w:t xml:space="preserve">Clinical trial supply optimization is a strategic capability, not a back-office logistics task. The right configuration protects patients, supports uninterrupted treatment, and helps avoid trial delays. Faster trial completion can preserve more of the drug’s patent-protected commercial life. Lower waste can also reduce cost per treated patient. The wrong configuration can cause missed dosing visits, delay the trial, increase per-patient costs, and leave large amounts of drug to expire.</w:t>
      </w:r>
    </w:p>
    <w:p>
      <w:pPr>
        <w:pStyle w:val="BodyText"/>
      </w:pPr>
      <w:r>
        <w:t xml:space="preserve">The results show the size of these trade-offs. Reducing the EU site reorder target from 105 to 70 kits lowered full-chain waste from 43.5% to about 40%. The stock-out rate increased from 0.68% to about 1.4%. In contrast, four large manufacturing batches reduced the stock-out rate to 0.08%, but waste rose to 56%. These findings show why teams should evaluate patient service and waste together. Optimizing only one measure can produce a poor overall decision.</w:t>
      </w:r>
    </w:p>
    <w:p>
      <w:pPr>
        <w:pStyle w:val="BodyText"/>
      </w:pPr>
      <w:r>
        <w:t xml:space="preserve">Formula-based methods and simulation serve complementary roles. Simulation has been recognized as a valuable tool for supporting decisions in drug development under uncertainty (Shafer and Derendorf, 2010). Methods such as those described by Anisimov allow teams to compare supply needs quickly during trial design. They can help estimate how much extra stock is needed under different design assumptions.</w:t>
      </w:r>
    </w:p>
    <w:p>
      <w:pPr>
        <w:pStyle w:val="BodyText"/>
      </w:pPr>
      <w:r>
        <w:t xml:space="preserve">Simulation provides greater operational detail during planning and execution. It can represent First Expired, First Out, or FEFO, which means using the kits that will expire soonest. It can also represent sites that enroll no patients, weekly inventory reviews, replenishment triggers that change as demand changes, and expiry dates for individual kits. These details help teams see how protocol and operating decisions affect inventory across depots and sites.</w:t>
      </w:r>
    </w:p>
    <w:p>
      <w:pPr>
        <w:pStyle w:val="BodyText"/>
      </w:pPr>
      <w:r>
        <w:t xml:space="preserve">The framework also has important limitations:</w:t>
      </w:r>
    </w:p>
    <w:p>
      <w:pPr>
        <w:pStyle w:val="Compact"/>
        <w:numPr>
          <w:ilvl w:val="0"/>
          <w:numId w:val="1013"/>
        </w:numPr>
      </w:pPr>
      <w:r>
        <w:t xml:space="preserve">The model represents one trial design. Every new study needs parameters matched to its protocol, countries, sites, patient population, and supply network.</w:t>
      </w:r>
    </w:p>
    <w:p>
      <w:pPr>
        <w:pStyle w:val="Compact"/>
        <w:numPr>
          <w:ilvl w:val="0"/>
          <w:numId w:val="1013"/>
        </w:numPr>
      </w:pPr>
      <w:r>
        <w:t xml:space="preserve">The SKILL approach requires access to AI tools and an analyst who is willing to test, review, and revise the model. AI can accelerate the work, but it does not replace expert review.</w:t>
      </w:r>
    </w:p>
    <w:p>
      <w:pPr>
        <w:pStyle w:val="Compact"/>
        <w:numPr>
          <w:ilvl w:val="0"/>
          <w:numId w:val="1013"/>
        </w:numPr>
      </w:pPr>
      <w:r>
        <w:t xml:space="preserve">Results depend on input quality. Incorrect enrollment, visit, lead-time, or discontinuation assumptions will produce incorrect supply plans.</w:t>
      </w:r>
    </w:p>
    <w:p>
      <w:pPr>
        <w:pStyle w:val="Compact"/>
        <w:numPr>
          <w:ilvl w:val="0"/>
          <w:numId w:val="1013"/>
        </w:numPr>
      </w:pPr>
      <w:r>
        <w:t xml:space="preserve">The model has not been validated against historical trial data. Retrospective validation would compare simulated results with actual supply records from a completed trial. This step would strengthen confidence in the framework. Suitable records were not available for this hypothetical design. Teams applying the framework to real trials should include a validation step in their plans.</w:t>
      </w:r>
    </w:p>
    <w:p>
      <w:pPr>
        <w:pStyle w:val="Compact"/>
        <w:numPr>
          <w:ilvl w:val="0"/>
          <w:numId w:val="1013"/>
        </w:numPr>
      </w:pPr>
      <w:r>
        <w:t xml:space="preserve">One hundred replications produced reasonably stable mean estimates, but they do not capture every rare or extreme outcome. In the baseline analysis, stock-out rates ranged from about 0% to 2%, and full-chain waste ranged from about 38% to 49%. Teams should review these ranges, not only the mean results. More replications may be needed when rare events or small differences between policies could affect a decision.</w:t>
      </w:r>
    </w:p>
    <w:p>
      <w:pPr>
        <w:pStyle w:val="Compact"/>
        <w:numPr>
          <w:ilvl w:val="0"/>
          <w:numId w:val="1013"/>
        </w:numPr>
      </w:pPr>
      <w:r>
        <w:t xml:space="preserve">The logistics cost analysis covers shipping, packaging, and handling only. It excludes investigational medicinal product, or IMP, manufacturing cost. IMP manufacturing is often the largest cost component. Estimating it requires a study-specific bill of materials, meaning a detailed list of ingredients and packaging components, as well as production cost data. Those data were not available for this hypothetical design.</w:t>
      </w:r>
    </w:p>
    <w:p>
      <w:pPr>
        <w:pStyle w:val="FirstParagraph"/>
      </w:pPr>
      <w:r>
        <w:t xml:space="preserve">The SKILL workflow can support other complex clinical simulation tasks. Examples include recruitment forecasting, testing scenarios for adaptive trials that change in response to accumulating data, and biomarker-driven randomization, where a biological test result affects treatment assignment.</w:t>
      </w:r>
    </w:p>
    <w:p>
      <w:pPr>
        <w:pStyle w:val="BodyText"/>
      </w:pPr>
      <w:r>
        <w:t xml:space="preserve">A natural next step is to extend the quantified logistics cost analysis by adding IMP manufacturing costs. This would allow teams to compare service, waste, logistics expense, and production expense within the same decision framework.</w:t>
      </w:r>
    </w:p>
    <w:p>
      <w:r>
        <w:pict>
          <v:rect style="width:0;height:1.5pt" o:hralign="center" o:hrstd="t" o:hr="t"/>
        </w:pict>
      </w:r>
    </w:p>
    <w:bookmarkEnd w:id="43"/>
    <w:bookmarkStart w:id="44" w:name="conclusion"/>
    <w:p>
      <w:pPr>
        <w:pStyle w:val="Heading2"/>
      </w:pPr>
      <w:r>
        <w:t xml:space="preserve">7. Conclusion</w:t>
      </w:r>
    </w:p>
    <w:p>
      <w:pPr>
        <w:pStyle w:val="FirstParagraph"/>
      </w:pPr>
      <w:r>
        <w:t xml:space="preserve">Clinical trial supply planning must balance three competing goals: limiting waste, controlling cost, and preventing stock-outs that could disrupt patient treatment. Simulation makes these trade-offs visible before teams change live operations. In this analysis, reducing the EU site reorder target from 105 to 70 kits lowered full-chain waste from 43.5% to about 40%. The stock-out rate increased to about 1.4% but remained well below the 5% planning target. Among the parameters tested, the EU_PROTECT reserve was the most critical for China supply continuity. Reducing it from 90 to 30 days increased the China stock-out rate more than 37-fold, from 0.08% to 3.0%, with almost no waste benefit.</w:t>
      </w:r>
    </w:p>
    <w:p>
      <w:pPr>
        <w:pStyle w:val="BodyText"/>
      </w:pPr>
      <w:r>
        <w:t xml:space="preserve">The SKILL approach compressed the initial protocol-to-simulation process from weeks to days. It combined structured AI assistance with human confirmation at every stage. Three early failures became permanent guardrails. The model must prevent enrollment above the planned sample size. Every shipment must reduce inventory at its source to prevent phantom drug, meaning inventory that appears without being removed from a depot. Waste reporting must cover central depots, regional depots, and sites. These controls can make future simulations safer and faster. However, AI-generated models still require human testing, validation, interpretation, and approval.</w:t>
      </w:r>
    </w:p>
    <w:p>
      <w:pPr>
        <w:pStyle w:val="BodyText"/>
      </w:pPr>
      <w:r>
        <w:t xml:space="preserve">Supply teams should treat simulation-based planning as a standard operational tool rather than a one-time technical exercise. Teams can use it during study design, supply planning, and trial execution to test decisions before patients or sites feel their effects. Rigorous modeling, structured AI assistance, and accountable human oversight are ready for operational use today when applied within approved procedures.</w:t>
      </w:r>
    </w:p>
    <w:p>
      <w:r>
        <w:pict>
          <v:rect style="width:0;height:1.5pt" o:hralign="center" o:hrstd="t" o:hr="t"/>
        </w:pict>
      </w:r>
    </w:p>
    <w:bookmarkEnd w:id="44"/>
    <w:bookmarkEnd w:id="45"/>
    <w:bookmarkStart w:id="47" w:name="glossary"/>
    <w:p>
      <w:pPr>
        <w:pStyle w:val="Heading1"/>
      </w:pP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DNC (Do Not Count)</w:t>
            </w:r>
          </w:p>
        </w:tc>
        <w:tc>
          <w:tcPr/>
          <w:p>
            <w:pPr>
              <w:pStyle w:val="Compact"/>
            </w:pPr>
            <w:r>
              <w:t xml:space="preserve">A sponsor- and system-specific status for inventory that physically exists but is excluded from usable stock counts. It may include kits inside the DND window or kits quarantined pending quality review; terminology and exact rules vary by IRT or RTSM system.</w:t>
            </w:r>
          </w:p>
        </w:tc>
      </w:tr>
      <w:tr>
        <w:tc>
          <w:tcPr/>
          <w:p>
            <w:pPr>
              <w:pStyle w:val="Compact"/>
            </w:pPr>
            <w:r>
              <w:rPr>
                <w:b/>
                <w:bCs/>
              </w:rPr>
              <w:t xml:space="preserve">DND (Do Not Dispense)</w:t>
            </w:r>
          </w:p>
        </w:tc>
        <w:tc>
          <w:tcPr/>
          <w:p>
            <w:pPr>
              <w:pStyle w:val="Compact"/>
            </w:pPr>
            <w:r>
              <w:t xml:space="preserve">A sponsor-configured rule that prevents staff from giving a kit to a patient when it is close to expiry. This paper uses a 13-day window; affected kits remain physically at the site but cannot be dispensed, and some systems also apply DND until RTSM receipt confirmation is complete.</w:t>
            </w:r>
          </w:p>
        </w:tc>
      </w:tr>
      <w:tr>
        <w:tc>
          <w:tcPr/>
          <w:p>
            <w:pPr>
              <w:pStyle w:val="Compact"/>
            </w:pPr>
            <w:r>
              <w:rPr>
                <w:b/>
                <w:bCs/>
              </w:rPr>
              <w:t xml:space="preserve">DNS (Do Not Ship)</w:t>
            </w:r>
          </w:p>
        </w:tc>
        <w:tc>
          <w:tcPr/>
          <w:p>
            <w:pPr>
              <w:pStyle w:val="Compact"/>
            </w:pPr>
            <w:r>
              <w:t xml:space="preserve">A sponsor- and system-specific rule that prevents shipment when a kit’s remaining shelf life at expected arrival would be below a minimum threshold. Thresholds are trial-specific; this paper’s example uses 180 days for sites and 270 days for regional depots.</w:t>
            </w:r>
          </w:p>
        </w:tc>
      </w:tr>
      <w:tr>
        <w:tc>
          <w:tcPr/>
          <w:p>
            <w:pPr>
              <w:pStyle w:val="Compact"/>
            </w:pPr>
            <w:r>
              <w:rPr>
                <w:b/>
                <w:bCs/>
              </w:rPr>
              <w:t xml:space="preserve">EU_PROTECT</w:t>
            </w:r>
          </w:p>
        </w:tc>
        <w:tc>
          <w:tcPr/>
          <w:p>
            <w:pPr>
              <w:pStyle w:val="Compact"/>
            </w:pPr>
            <w:r>
              <w:t xml:space="preserve">The number of days of expected EU demand that the EU central depot reserves before transferring stock to the China regional depot. The baseline is 90 days, and this was the most sensitive tested parameter for China supply continuity.</w:t>
            </w:r>
          </w:p>
        </w:tc>
      </w:tr>
      <w:tr>
        <w:tc>
          <w:tcPr/>
          <w:p>
            <w:pPr>
              <w:pStyle w:val="Compact"/>
            </w:pPr>
            <w:r>
              <w:rPr>
                <w:b/>
                <w:bCs/>
              </w:rPr>
              <w:t xml:space="preserve">FEFO (First Expired, First Out)</w:t>
            </w:r>
          </w:p>
        </w:tc>
        <w:tc>
          <w:tcPr/>
          <w:p>
            <w:pPr>
              <w:pStyle w:val="Compact"/>
            </w:pPr>
            <w:r>
              <w:t xml:space="preserve">A rule requiring staff to use the kit with the earliest expiry date first. This reduces avoidable expiry.</w:t>
            </w:r>
          </w:p>
        </w:tc>
      </w:tr>
      <w:tr>
        <w:tc>
          <w:tcPr/>
          <w:p>
            <w:pPr>
              <w:pStyle w:val="Compact"/>
            </w:pPr>
            <w:r>
              <w:rPr>
                <w:b/>
                <w:bCs/>
              </w:rPr>
              <w:t xml:space="preserve">Full-chain waste rate</w:t>
            </w:r>
          </w:p>
        </w:tc>
        <w:tc>
          <w:tcPr/>
          <w:p>
            <w:pPr>
              <w:pStyle w:val="Compact"/>
            </w:pPr>
            <w:r>
              <w:t xml:space="preserve">Drug that expires or is damaged at the central depot, regional depots, or clinical sites, expressed as a percentage of all drug produced.</w:t>
            </w:r>
          </w:p>
        </w:tc>
      </w:tr>
      <w:tr>
        <w:tc>
          <w:tcPr/>
          <w:p>
            <w:pPr>
              <w:pStyle w:val="Compact"/>
            </w:pPr>
            <w:r>
              <w:rPr>
                <w:b/>
                <w:bCs/>
              </w:rPr>
              <w:t xml:space="preserve">IMP (Investigational Medicinal Product)</w:t>
            </w:r>
          </w:p>
        </w:tc>
        <w:tc>
          <w:tcPr/>
          <w:p>
            <w:pPr>
              <w:pStyle w:val="Compact"/>
            </w:pPr>
            <w:r>
              <w:t xml:space="preserve">The drug being studied in a clinical trial.</w:t>
            </w:r>
          </w:p>
        </w:tc>
      </w:tr>
      <w:tr>
        <w:tc>
          <w:tcPr/>
          <w:p>
            <w:pPr>
              <w:pStyle w:val="Compact"/>
            </w:pPr>
            <w:r>
              <w:rPr>
                <w:b/>
                <w:bCs/>
              </w:rPr>
              <w:t xml:space="preserve">IRT / RTSM (Interactive Response Technology / Randomization and Trial Supply Management)</w:t>
            </w:r>
          </w:p>
        </w:tc>
        <w:tc>
          <w:tcPr/>
          <w:p>
            <w:pPr>
              <w:pStyle w:val="Compact"/>
            </w:pPr>
            <w:r>
              <w:t xml:space="preserve">The electronic system that manages patient randomization, kit assignment, inventory tracking, and clinical trial drug resupply. The terms are sometimes used interchangeably.</w:t>
            </w:r>
          </w:p>
        </w:tc>
      </w:tr>
      <w:tr>
        <w:tc>
          <w:tcPr/>
          <w:p>
            <w:pPr>
              <w:pStyle w:val="Compact"/>
            </w:pPr>
            <w:r>
              <w:rPr>
                <w:b/>
                <w:bCs/>
              </w:rPr>
              <w:t xml:space="preserve">Long window</w:t>
            </w:r>
          </w:p>
        </w:tc>
        <w:tc>
          <w:tcPr/>
          <w:p>
            <w:pPr>
              <w:pStyle w:val="Compact"/>
            </w:pPr>
            <w:r>
              <w:t xml:space="preserve">An extended look-ahead period used to forecast demand for resupply planning. It is configurable and typically covers 60–90 days in this paper.</w:t>
            </w:r>
          </w:p>
        </w:tc>
      </w:tr>
      <w:tr>
        <w:tc>
          <w:tcPr/>
          <w:p>
            <w:pPr>
              <w:pStyle w:val="Compact"/>
            </w:pPr>
            <w:r>
              <w:rPr>
                <w:b/>
                <w:bCs/>
              </w:rPr>
              <w:t xml:space="preserve">Operational waste ratio</w:t>
            </w:r>
          </w:p>
        </w:tc>
        <w:tc>
          <w:tcPr/>
          <w:p>
            <w:pPr>
              <w:pStyle w:val="Compact"/>
            </w:pPr>
            <w:r>
              <w:t xml:space="preserve">Kits shipped minus kits used, divided by kits used. Published planning ranges of 30–50% commonly use this shipped-based measure.</w:t>
            </w:r>
          </w:p>
        </w:tc>
      </w:tr>
      <w:tr>
        <w:tc>
          <w:tcPr/>
          <w:p>
            <w:pPr>
              <w:pStyle w:val="Compact"/>
            </w:pPr>
            <w:r>
              <w:rPr>
                <w:b/>
                <w:bCs/>
              </w:rPr>
              <w:t xml:space="preserve">Replication</w:t>
            </w:r>
          </w:p>
        </w:tc>
        <w:tc>
          <w:tcPr/>
          <w:p>
            <w:pPr>
              <w:pStyle w:val="Compact"/>
            </w:pPr>
            <w:r>
              <w:t xml:space="preserve">One complete simulated version of a trial using a new random draw for enrollment, visit timing, and discontinuation. Running many replications produces a range of outcomes; this paper uses 100, which is acknowledged as a lower bound.</w:t>
            </w:r>
          </w:p>
        </w:tc>
      </w:tr>
      <w:tr>
        <w:tc>
          <w:tcPr/>
          <w:p>
            <w:pPr>
              <w:pStyle w:val="Compact"/>
            </w:pPr>
            <w:r>
              <w:rPr>
                <w:b/>
                <w:bCs/>
              </w:rPr>
              <w:t xml:space="preserve">Short window</w:t>
            </w:r>
          </w:p>
        </w:tc>
        <w:tc>
          <w:tcPr/>
          <w:p>
            <w:pPr>
              <w:pStyle w:val="Compact"/>
            </w:pPr>
            <w:r>
              <w:t xml:space="preserve">A near-term look-ahead period used to identify urgent resupply needs. It is configurable and typically covers 7–37 days in this paper.</w:t>
            </w:r>
          </w:p>
        </w:tc>
      </w:tr>
      <w:tr>
        <w:tc>
          <w:tcPr/>
          <w:p>
            <w:pPr>
              <w:pStyle w:val="Compact"/>
            </w:pPr>
            <w:r>
              <w:rPr>
                <w:b/>
                <w:bCs/>
              </w:rPr>
              <w:t xml:space="preserve">SKILL</w:t>
            </w:r>
          </w:p>
        </w:tc>
        <w:tc>
          <w:tcPr/>
          <w:p>
            <w:pPr>
              <w:pStyle w:val="Compact"/>
            </w:pPr>
            <w:r>
              <w:t xml:space="preserve">The structured six-step AI-assisted workflow described in Section 5. It uses reusable instructions to translate protocol and supply documents into a working simulation, with mandatory human confirmation at each step.</w:t>
            </w:r>
          </w:p>
        </w:tc>
      </w:tr>
      <w:tr>
        <w:tc>
          <w:tcPr/>
          <w:p>
            <w:pPr>
              <w:pStyle w:val="Compact"/>
            </w:pPr>
            <w:r>
              <w:rPr>
                <w:b/>
                <w:bCs/>
              </w:rPr>
              <w:t xml:space="preserve">Stochastic simulation</w:t>
            </w:r>
          </w:p>
        </w:tc>
        <w:tc>
          <w:tcPr/>
          <w:p>
            <w:pPr>
              <w:pStyle w:val="Compact"/>
            </w:pPr>
            <w:r>
              <w:t xml:space="preserve">A model that includes random variation and runs many independent replications. It produces a range of plausible outcomes instead of one fixed forecast.</w:t>
            </w:r>
          </w:p>
        </w:tc>
      </w:tr>
      <w:tr>
        <w:tc>
          <w:tcPr/>
          <w:p>
            <w:pPr>
              <w:pStyle w:val="Compact"/>
            </w:pPr>
            <w:r>
              <w:rPr>
                <w:b/>
                <w:bCs/>
              </w:rPr>
              <w:t xml:space="preserve">Stock-out</w:t>
            </w:r>
          </w:p>
        </w:tc>
        <w:tc>
          <w:tcPr/>
          <w:p>
            <w:pPr>
              <w:pStyle w:val="Compact"/>
            </w:pPr>
            <w:r>
              <w:t xml:space="preserve">A situation in which a clinical site has no usable kit for the correct treatment arm when a patient visit is scheduled.</w:t>
            </w:r>
          </w:p>
        </w:tc>
      </w:tr>
      <w:tr>
        <w:tc>
          <w:tcPr/>
          <w:p>
            <w:pPr>
              <w:pStyle w:val="Compact"/>
            </w:pPr>
            <w:r>
              <w:rPr>
                <w:b/>
                <w:bCs/>
              </w:rPr>
              <w:t xml:space="preserve">THRESH (Reorder target)</w:t>
            </w:r>
          </w:p>
        </w:tc>
        <w:tc>
          <w:tcPr/>
          <w:p>
            <w:pPr>
              <w:pStyle w:val="Compact"/>
            </w:pPr>
            <w:r>
              <w:t xml:space="preserve">The stock level that a site aims to restore after a resupply order. The baseline is 105 kits per kit type and treatment arm, tested at 70 kits; this is the replenishment target, not the order trigger.</w:t>
            </w:r>
          </w:p>
        </w:tc>
      </w:tr>
    </w:tbl>
    <w:p>
      <w:r>
        <w:pict>
          <v:rect style="width:0;height:1.5pt" o:hralign="center" o:hrstd="t" o:hr="t"/>
        </w:pict>
      </w:r>
    </w:p>
    <w:bookmarkStart w:id="46" w:name="references"/>
    <w:p>
      <w:pPr>
        <w:pStyle w:val="Heading2"/>
      </w:pPr>
      <w:r>
        <w:t xml:space="preserve">References</w:t>
      </w:r>
    </w:p>
    <w:p>
      <w:pPr>
        <w:numPr>
          <w:ilvl w:val="0"/>
          <w:numId w:val="1014"/>
        </w:numPr>
      </w:pPr>
      <w:r>
        <w:t xml:space="preserve">Anisimov VV. Drug supply modelling in clinical trials (statistical methodology).</w:t>
      </w:r>
      <w:r>
        <w:t xml:space="preserve"> </w:t>
      </w:r>
      <w:r>
        <w:rPr>
          <w:i/>
          <w:iCs/>
        </w:rPr>
        <w:t xml:space="preserve">Pharmaceutical Outsourcing</w:t>
      </w:r>
      <w:r>
        <w:t xml:space="preserve">. May/Jun 2010:17–20.</w:t>
      </w:r>
    </w:p>
    <w:p>
      <w:pPr>
        <w:numPr>
          <w:ilvl w:val="0"/>
          <w:numId w:val="1014"/>
        </w:numPr>
      </w:pPr>
      <w:r>
        <w:t xml:space="preserve">Lefew M, Ninh A, Anisimov V. End-to-end drug supply management in multicenter trials.</w:t>
      </w:r>
      <w:r>
        <w:t xml:space="preserve"> </w:t>
      </w:r>
      <w:r>
        <w:rPr>
          <w:i/>
          <w:iCs/>
        </w:rPr>
        <w:t xml:space="preserve">Methodology and Computing in Applied Probability</w:t>
      </w:r>
      <w:r>
        <w:t xml:space="preserve">. 2021;23:695–709. https://doi.org/10.1007/s11009-020-09776-z</w:t>
      </w:r>
    </w:p>
    <w:p>
      <w:pPr>
        <w:numPr>
          <w:ilvl w:val="0"/>
          <w:numId w:val="1014"/>
        </w:numPr>
      </w:pPr>
      <w:r>
        <w:t xml:space="preserve">Anisimov VV, Fedorov VV. Modelling, prediction and adaptive adjustment of recruitment in multicentre trials.</w:t>
      </w:r>
      <w:r>
        <w:t xml:space="preserve"> </w:t>
      </w:r>
      <w:r>
        <w:rPr>
          <w:i/>
          <w:iCs/>
        </w:rPr>
        <w:t xml:space="preserve">Statistics in Medicine</w:t>
      </w:r>
      <w:r>
        <w:t xml:space="preserve">. 2007;26(27):4958–4975.</w:t>
      </w:r>
    </w:p>
    <w:p>
      <w:pPr>
        <w:numPr>
          <w:ilvl w:val="0"/>
          <w:numId w:val="1014"/>
        </w:numPr>
      </w:pPr>
      <w:r>
        <w:t xml:space="preserve">Anisimov VV, Fedorov VV, Heiberger R, Saha S, Kothapalli M. Drug Supply Modeling Software: User Manual. GSK DDS Technical Report 2010-01. GlaxoSmithKline Pharmaceuticals; 2010.</w:t>
      </w:r>
    </w:p>
    <w:p>
      <w:pPr>
        <w:numPr>
          <w:ilvl w:val="0"/>
          <w:numId w:val="1014"/>
        </w:numPr>
      </w:pPr>
      <w:r>
        <w:t xml:space="preserve">Peterson M, Byrom B, Dowlman N, McEntegart D. Optimizing clinical trial supply requirements: simulation of computer-controlled supply chain management.</w:t>
      </w:r>
      <w:r>
        <w:t xml:space="preserve"> </w:t>
      </w:r>
      <w:r>
        <w:rPr>
          <w:i/>
          <w:iCs/>
        </w:rPr>
        <w:t xml:space="preserve">Clinical Trials</w:t>
      </w:r>
      <w:r>
        <w:t xml:space="preserve">. 2004;1(4):399–412.</w:t>
      </w:r>
    </w:p>
    <w:p>
      <w:pPr>
        <w:numPr>
          <w:ilvl w:val="0"/>
          <w:numId w:val="1014"/>
        </w:numPr>
      </w:pPr>
      <w:r>
        <w:t xml:space="preserve">International Council for Harmonisation. ICH E6(R3): Guideline for Good Clinical Practice. ICH; 2023.</w:t>
      </w:r>
    </w:p>
    <w:p>
      <w:pPr>
        <w:numPr>
          <w:ilvl w:val="0"/>
          <w:numId w:val="1014"/>
        </w:numPr>
      </w:pPr>
      <w:r>
        <w:t xml:space="preserve">Shafer SL, Derendorf H. Predicting the future: the challenge of simulation in drug development.</w:t>
      </w:r>
      <w:r>
        <w:t xml:space="preserve"> </w:t>
      </w:r>
      <w:r>
        <w:rPr>
          <w:i/>
          <w:iCs/>
        </w:rPr>
        <w:t xml:space="preserve">Clinical Pharmacology &amp; Therapeutics</w:t>
      </w:r>
      <w:r>
        <w:t xml:space="preserve">. 2010;88(1):89–92.</w:t>
      </w:r>
    </w:p>
    <w:p>
      <w:pPr>
        <w:numPr>
          <w:ilvl w:val="0"/>
          <w:numId w:val="1014"/>
        </w:numPr>
      </w:pPr>
      <w:r>
        <w:t xml:space="preserve">European Medicines Agency. Guideline on the requirements for quality documentation concerning biological investigational medicinal products in clinical trials. EMA/CHMP/BWP/534898/2008; 2012.</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Simulation-Based Optimization of Clinical Trial Drug Supply Chains: A Practical Framework with AI-Assisted Implementation</dc:title>
  <dc:creator>Efficiency+ Trials — Clinical Supply Chain Subteam</dc:creator>
  <cp:keywords/>
  <dcterms:created xsi:type="dcterms:W3CDTF">2026-10-12T14:51:18Z</dcterms:created>
  <dcterms:modified xsi:type="dcterms:W3CDTF">2026-10-12T14:51:18Z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