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BADA7"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5791AB92" w14:textId="77777777" w:rsidR="00CE6AB2" w:rsidRDefault="00CE6AB2">
      <w:pPr>
        <w:widowControl w:val="0"/>
        <w:autoSpaceDE w:val="0"/>
        <w:autoSpaceDN w:val="0"/>
        <w:adjustRightInd w:val="0"/>
        <w:spacing w:after="0" w:line="240" w:lineRule="auto"/>
        <w:rPr>
          <w:rFonts w:ascii="Arial" w:hAnsi="Arial" w:cs="Arial"/>
          <w:kern w:val="0"/>
        </w:rPr>
        <w:sectPr w:rsidR="00CE6AB2">
          <w:headerReference w:type="default" r:id="rId7"/>
          <w:footerReference w:type="default" r:id="rId8"/>
          <w:pgSz w:w="12240" w:h="15840"/>
          <w:pgMar w:top="1080" w:right="1080" w:bottom="1080" w:left="1080" w:header="720" w:footer="720" w:gutter="0"/>
          <w:cols w:space="720"/>
          <w:noEndnote/>
        </w:sectPr>
      </w:pPr>
    </w:p>
    <w:p w14:paraId="0A6FD9F5" w14:textId="79BCD350" w:rsidR="00CE6AB2" w:rsidRDefault="00B0755C">
      <w:pPr>
        <w:widowControl w:val="0"/>
        <w:autoSpaceDE w:val="0"/>
        <w:autoSpaceDN w:val="0"/>
        <w:adjustRightInd w:val="0"/>
        <w:spacing w:after="0" w:line="240" w:lineRule="auto"/>
        <w:rPr>
          <w:rFonts w:ascii="Times New Roman" w:hAnsi="Times New Roman"/>
          <w:b/>
          <w:bCs/>
          <w:color w:val="3D3D3D"/>
          <w:kern w:val="0"/>
          <w:sz w:val="36"/>
          <w:szCs w:val="36"/>
        </w:rPr>
      </w:pPr>
      <w:r>
        <w:rPr>
          <w:rFonts w:ascii="Times New Roman" w:hAnsi="Times New Roman"/>
          <w:b/>
          <w:bCs/>
          <w:color w:val="3D3D3D"/>
          <w:kern w:val="0"/>
          <w:sz w:val="36"/>
          <w:szCs w:val="36"/>
        </w:rPr>
        <w:t>DRAFTING NOTES FOR</w:t>
      </w:r>
      <w:r>
        <w:rPr>
          <w:rFonts w:ascii="Times New Roman" w:hAnsi="Times New Roman"/>
          <w:b/>
          <w:bCs/>
          <w:color w:val="3D3D3D"/>
          <w:kern w:val="0"/>
          <w:sz w:val="36"/>
          <w:szCs w:val="36"/>
        </w:rPr>
        <w:t xml:space="preserve"> </w:t>
      </w:r>
      <w:bookmarkStart w:id="0" w:name="OpenAt"/>
      <w:bookmarkEnd w:id="0"/>
      <w:r w:rsidR="00000000">
        <w:rPr>
          <w:rFonts w:ascii="Times New Roman" w:hAnsi="Times New Roman"/>
          <w:b/>
          <w:bCs/>
          <w:color w:val="3D3D3D"/>
          <w:kern w:val="0"/>
          <w:sz w:val="36"/>
          <w:szCs w:val="36"/>
        </w:rPr>
        <w:t>Hardware maintenance agreement</w:t>
      </w:r>
    </w:p>
    <w:p w14:paraId="00093E49" w14:textId="77777777" w:rsidR="00CE6AB2" w:rsidRDefault="00000000">
      <w:pPr>
        <w:widowControl w:val="0"/>
        <w:pBdr>
          <w:bottom w:val="single" w:sz="8" w:space="0" w:color="CCCCCC"/>
        </w:pBdr>
        <w:autoSpaceDE w:val="0"/>
        <w:autoSpaceDN w:val="0"/>
        <w:adjustRightInd w:val="0"/>
        <w:spacing w:before="160" w:after="0" w:line="240" w:lineRule="auto"/>
        <w:rPr>
          <w:rFonts w:ascii="Times New Roman" w:hAnsi="Times New Roman"/>
          <w:b/>
          <w:bCs/>
          <w:color w:val="505050"/>
          <w:kern w:val="0"/>
          <w:sz w:val="20"/>
          <w:szCs w:val="20"/>
        </w:rPr>
      </w:pPr>
      <w:r>
        <w:rPr>
          <w:rFonts w:ascii="Times New Roman" w:hAnsi="Times New Roman"/>
          <w:b/>
          <w:bCs/>
          <w:color w:val="505050"/>
          <w:kern w:val="0"/>
          <w:sz w:val="20"/>
          <w:szCs w:val="20"/>
        </w:rPr>
        <w:t>by </w:t>
      </w:r>
      <w:hyperlink r:id="rId9" w:history="1">
        <w:r>
          <w:rPr>
            <w:rFonts w:ascii="Times New Roman" w:hAnsi="Times New Roman"/>
            <w:b/>
            <w:bCs/>
            <w:i/>
            <w:iCs/>
            <w:color w:val="006FC4"/>
            <w:kern w:val="0"/>
            <w:sz w:val="20"/>
            <w:szCs w:val="20"/>
          </w:rPr>
          <w:t>Edwin Baker</w:t>
        </w:r>
      </w:hyperlink>
      <w:r>
        <w:rPr>
          <w:rFonts w:ascii="Times New Roman" w:hAnsi="Times New Roman"/>
          <w:b/>
          <w:bCs/>
          <w:color w:val="505050"/>
          <w:kern w:val="0"/>
          <w:sz w:val="20"/>
          <w:szCs w:val="20"/>
        </w:rPr>
        <w:t xml:space="preserve"> and Stephen Reeves, Pinsent Masons</w:t>
      </w:r>
    </w:p>
    <w:p w14:paraId="7DA7256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539534" w14:textId="77777777" w:rsidR="00CE6AB2" w:rsidRDefault="00000000">
      <w:pPr>
        <w:widowControl w:val="0"/>
        <w:autoSpaceDE w:val="0"/>
        <w:autoSpaceDN w:val="0"/>
        <w:adjustRightInd w:val="0"/>
        <w:spacing w:after="200" w:line="240" w:lineRule="auto"/>
        <w:jc w:val="both"/>
        <w:rPr>
          <w:rFonts w:ascii="Times New Roman" w:hAnsi="Times New Roman"/>
          <w:color w:val="1F1F1F"/>
          <w:kern w:val="0"/>
          <w:sz w:val="18"/>
          <w:szCs w:val="18"/>
        </w:rPr>
      </w:pPr>
      <w:r>
        <w:rPr>
          <w:rFonts w:ascii="Times New Roman" w:hAnsi="Times New Roman"/>
          <w:color w:val="1F1F1F"/>
          <w:kern w:val="0"/>
          <w:sz w:val="18"/>
          <w:szCs w:val="18"/>
        </w:rPr>
        <w:t xml:space="preserve">Standard documents | </w:t>
      </w:r>
      <w:r>
        <w:rPr>
          <w:rFonts w:ascii="Times New Roman" w:hAnsi="Times New Roman"/>
          <w:b/>
          <w:bCs/>
          <w:color w:val="387C2B"/>
          <w:kern w:val="0"/>
          <w:sz w:val="18"/>
          <w:szCs w:val="18"/>
        </w:rPr>
        <w:t>Maintained</w:t>
      </w:r>
      <w:r>
        <w:rPr>
          <w:rFonts w:ascii="Times New Roman" w:hAnsi="Times New Roman"/>
          <w:color w:val="1F1F1F"/>
          <w:kern w:val="0"/>
          <w:sz w:val="18"/>
          <w:szCs w:val="18"/>
        </w:rPr>
        <w:t xml:space="preserve"> | United Kingdom</w:t>
      </w:r>
    </w:p>
    <w:p w14:paraId="718F9B78" w14:textId="77777777" w:rsidR="00CE6AB2"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2D4C318C" w14:textId="77777777" w:rsidR="00CE6AB2" w:rsidRDefault="00000000">
      <w:pPr>
        <w:widowControl w:val="0"/>
        <w:pBdr>
          <w:top w:val="single" w:sz="8" w:space="0" w:color="CCCCCC"/>
          <w:bottom w:val="single" w:sz="8" w:space="0" w:color="CCCCCC"/>
        </w:pBdr>
        <w:autoSpaceDE w:val="0"/>
        <w:autoSpaceDN w:val="0"/>
        <w:adjustRightInd w:val="0"/>
        <w:spacing w:after="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An agreement drafted from the supplier’s point of view, in which the supplier agrees to provide support and maintenance for certain hardware supplied by the supplier.</w:t>
      </w:r>
    </w:p>
    <w:p w14:paraId="5F159183" w14:textId="77777777" w:rsidR="00CE6AB2" w:rsidRDefault="00000000">
      <w:pPr>
        <w:widowControl w:val="0"/>
        <w:pBdr>
          <w:top w:val="single" w:sz="8" w:space="0" w:color="CCCCCC"/>
          <w:bottom w:val="single" w:sz="8" w:space="0" w:color="CCCCCC"/>
        </w:pBdr>
        <w:autoSpaceDE w:val="0"/>
        <w:autoSpaceDN w:val="0"/>
        <w:adjustRightInd w:val="0"/>
        <w:spacing w:after="220" w:line="240" w:lineRule="auto"/>
        <w:jc w:val="both"/>
        <w:rPr>
          <w:rFonts w:ascii="Times New Roman" w:hAnsi="Times New Roman"/>
          <w:color w:val="1F1F1F"/>
          <w:kern w:val="0"/>
          <w:sz w:val="22"/>
          <w:szCs w:val="22"/>
        </w:rPr>
      </w:pPr>
      <w:r>
        <w:rPr>
          <w:rFonts w:ascii="Times New Roman" w:hAnsi="Times New Roman"/>
          <w:color w:val="1F1F1F"/>
          <w:kern w:val="0"/>
          <w:sz w:val="22"/>
          <w:szCs w:val="22"/>
        </w:rPr>
        <w:t>  </w:t>
      </w:r>
    </w:p>
    <w:p w14:paraId="597C3DA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31E42D9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E555109"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About this document</w:t>
            </w:r>
          </w:p>
          <w:p w14:paraId="7A12904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5369F2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An agreement drafted from the Supplier’s point of view, in which the Supplier agrees to provide support and maintenance for certain hardware supplied by the Supplier. Although primarily a hardware maintenance agreement, the agreement also covers updates to software where these are provided with the hardware, see </w:t>
            </w:r>
            <w:hyperlink w:anchor="co_anchor_a772513_1" w:history="1">
              <w:r>
                <w:rPr>
                  <w:rFonts w:ascii="Times New Roman" w:hAnsi="Times New Roman"/>
                  <w:i/>
                  <w:iCs/>
                  <w:color w:val="006FC4"/>
                  <w:kern w:val="0"/>
                  <w:sz w:val="20"/>
                  <w:szCs w:val="20"/>
                </w:rPr>
                <w:t>Drafting note, Software maintenance services (optional)</w:t>
              </w:r>
            </w:hyperlink>
            <w:r>
              <w:rPr>
                <w:rFonts w:ascii="Times New Roman" w:hAnsi="Times New Roman"/>
                <w:color w:val="1F1F1F"/>
                <w:kern w:val="0"/>
                <w:sz w:val="20"/>
                <w:szCs w:val="20"/>
              </w:rPr>
              <w:t>.</w:t>
            </w:r>
          </w:p>
          <w:p w14:paraId="0B83A80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4D1013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1" w:name="co_anchor_a848370_1"/>
            <w:bookmarkEnd w:id="1"/>
          </w:p>
          <w:p w14:paraId="71293096" w14:textId="77777777" w:rsidR="00CE6AB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Assumptions</w:t>
            </w:r>
          </w:p>
          <w:p w14:paraId="5439E9D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CCDE1C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assumed for the purpose of this standard document that:</w:t>
            </w:r>
          </w:p>
          <w:p w14:paraId="115AAFD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186ED8" w14:textId="77777777" w:rsidR="00CE6AB2" w:rsidRDefault="00000000">
            <w:pPr>
              <w:widowControl w:val="0"/>
              <w:numPr>
                <w:ilvl w:val="0"/>
                <w:numId w:val="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supplier and the customer are UK limited companies, and the customer is a business user.</w:t>
            </w:r>
          </w:p>
          <w:p w14:paraId="476146F6" w14:textId="77777777" w:rsidR="00CE6AB2" w:rsidRDefault="00000000">
            <w:pPr>
              <w:widowControl w:val="0"/>
              <w:numPr>
                <w:ilvl w:val="0"/>
                <w:numId w:val="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agreement has been drafted in consideration of, and is subject to, English law.</w:t>
            </w:r>
          </w:p>
          <w:p w14:paraId="79EC13D2" w14:textId="77777777" w:rsidR="00CE6AB2" w:rsidRDefault="00000000">
            <w:pPr>
              <w:widowControl w:val="0"/>
              <w:numPr>
                <w:ilvl w:val="0"/>
                <w:numId w:val="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goods or services to be provided under the agreement, are to be provided in the UK exclusively. (If goods or services are to be provided in jurisdictions outside the UK, the laws of those jurisdictions will need to be considered, separately, by each party).</w:t>
            </w:r>
          </w:p>
          <w:p w14:paraId="70C151ED" w14:textId="77777777" w:rsidR="00CE6AB2" w:rsidRDefault="00000000">
            <w:pPr>
              <w:widowControl w:val="0"/>
              <w:numPr>
                <w:ilvl w:val="0"/>
                <w:numId w:val="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No specific cybersecurity standards apply to the parties, or to any goods or services that are to be provided under this agreement, under English law (or the law of any other jurisdiction). For more information, see </w:t>
            </w:r>
            <w:hyperlink w:anchor="co_anchor_a779169_1" w:history="1">
              <w:r>
                <w:rPr>
                  <w:rFonts w:ascii="Times New Roman" w:hAnsi="Times New Roman"/>
                  <w:i/>
                  <w:iCs/>
                  <w:color w:val="006FC4"/>
                  <w:kern w:val="0"/>
                  <w:sz w:val="20"/>
                  <w:szCs w:val="20"/>
                </w:rPr>
                <w:t>Drafting note, Cybersecurity</w:t>
              </w:r>
            </w:hyperlink>
            <w:r>
              <w:rPr>
                <w:rFonts w:ascii="Times New Roman" w:hAnsi="Times New Roman"/>
                <w:color w:val="1F1F1F"/>
                <w:kern w:val="0"/>
                <w:sz w:val="20"/>
                <w:szCs w:val="20"/>
              </w:rPr>
              <w:t>.</w:t>
            </w:r>
          </w:p>
          <w:p w14:paraId="4370EE0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2" w:name="co_anchor_a779169_1"/>
            <w:bookmarkEnd w:id="2"/>
          </w:p>
          <w:p w14:paraId="5E676E69" w14:textId="77777777" w:rsidR="00CE6AB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Cybersecurity</w:t>
            </w:r>
          </w:p>
          <w:p w14:paraId="4103880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85BB1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Cybersecurity obligations are becoming more prominent in IT agreements, including as statutory controls and obligations in relation to network and information system, and data, security are increasing, see:</w:t>
            </w:r>
          </w:p>
          <w:p w14:paraId="0866958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833CC6" w14:textId="77777777" w:rsidR="00CE6AB2" w:rsidRDefault="00000000">
            <w:pPr>
              <w:widowControl w:val="0"/>
              <w:numPr>
                <w:ilvl w:val="0"/>
                <w:numId w:val="5"/>
              </w:numPr>
              <w:autoSpaceDE w:val="0"/>
              <w:autoSpaceDN w:val="0"/>
              <w:adjustRightInd w:val="0"/>
              <w:spacing w:after="0" w:line="240" w:lineRule="auto"/>
              <w:ind w:left="480" w:hanging="360"/>
              <w:jc w:val="both"/>
              <w:rPr>
                <w:rFonts w:ascii="Times New Roman" w:hAnsi="Times New Roman"/>
                <w:i/>
                <w:iCs/>
                <w:color w:val="1F1F1F"/>
                <w:kern w:val="0"/>
                <w:sz w:val="20"/>
                <w:szCs w:val="20"/>
              </w:rPr>
            </w:pPr>
            <w:hyperlink r:id="rId10" w:history="1">
              <w:r>
                <w:rPr>
                  <w:rFonts w:ascii="Times New Roman" w:hAnsi="Times New Roman"/>
                  <w:i/>
                  <w:iCs/>
                  <w:color w:val="006FC4"/>
                  <w:kern w:val="0"/>
                  <w:sz w:val="20"/>
                  <w:szCs w:val="20"/>
                </w:rPr>
                <w:t>Practice note, Cybersecurity: overview (UK)</w:t>
              </w:r>
            </w:hyperlink>
            <w:r>
              <w:rPr>
                <w:rFonts w:ascii="Times New Roman" w:hAnsi="Times New Roman"/>
                <w:i/>
                <w:iCs/>
                <w:color w:val="1F1F1F"/>
                <w:kern w:val="0"/>
                <w:sz w:val="20"/>
                <w:szCs w:val="20"/>
              </w:rPr>
              <w:t>.</w:t>
            </w:r>
          </w:p>
          <w:p w14:paraId="5FBF64E0" w14:textId="77777777" w:rsidR="00CE6AB2" w:rsidRDefault="00000000">
            <w:pPr>
              <w:widowControl w:val="0"/>
              <w:numPr>
                <w:ilvl w:val="0"/>
                <w:numId w:val="6"/>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1" w:history="1">
              <w:r>
                <w:rPr>
                  <w:rFonts w:ascii="Times New Roman" w:hAnsi="Times New Roman"/>
                  <w:i/>
                  <w:iCs/>
                  <w:color w:val="006FC4"/>
                  <w:kern w:val="0"/>
                  <w:sz w:val="20"/>
                  <w:szCs w:val="20"/>
                </w:rPr>
                <w:t>Practice note, UK cybersecurity law</w:t>
              </w:r>
            </w:hyperlink>
            <w:r>
              <w:rPr>
                <w:rFonts w:ascii="Times New Roman" w:hAnsi="Times New Roman"/>
                <w:color w:val="1F1F1F"/>
                <w:kern w:val="0"/>
                <w:sz w:val="20"/>
                <w:szCs w:val="20"/>
              </w:rPr>
              <w:t>:</w:t>
            </w:r>
          </w:p>
          <w:p w14:paraId="4C8DC342"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Specific UK cybersecurity legal standards may apply in particular circumstances, including in relation to:</w:t>
            </w:r>
          </w:p>
          <w:p w14:paraId="7588ABA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72EA028" w14:textId="77777777" w:rsidR="00CE6AB2" w:rsidRDefault="00000000">
            <w:pPr>
              <w:widowControl w:val="0"/>
              <w:numPr>
                <w:ilvl w:val="0"/>
                <w:numId w:val="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Certain regulated activities and sectors, see </w:t>
            </w:r>
            <w:hyperlink r:id="rId12" w:history="1">
              <w:r>
                <w:rPr>
                  <w:rFonts w:ascii="Times New Roman" w:hAnsi="Times New Roman"/>
                  <w:i/>
                  <w:iCs/>
                  <w:color w:val="006FC4"/>
                  <w:kern w:val="0"/>
                  <w:sz w:val="20"/>
                  <w:szCs w:val="20"/>
                </w:rPr>
                <w:t>Practice note, Cybersecurity in regulated sectors, cybersecurity guidance and standards</w:t>
              </w:r>
            </w:hyperlink>
            <w:r>
              <w:rPr>
                <w:rFonts w:ascii="Times New Roman" w:hAnsi="Times New Roman"/>
                <w:color w:val="1F1F1F"/>
                <w:kern w:val="0"/>
                <w:sz w:val="20"/>
                <w:szCs w:val="20"/>
              </w:rPr>
              <w:t>.</w:t>
            </w:r>
          </w:p>
          <w:p w14:paraId="72C2DAB2" w14:textId="77777777" w:rsidR="00CE6AB2" w:rsidRDefault="00000000">
            <w:pPr>
              <w:widowControl w:val="0"/>
              <w:numPr>
                <w:ilvl w:val="0"/>
                <w:numId w:val="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Certain operators of essential services and relevant digital service providers, see </w:t>
            </w:r>
            <w:hyperlink w:anchor="co_anchor_a480584_1" w:history="1">
              <w:r>
                <w:rPr>
                  <w:rFonts w:ascii="Times New Roman" w:hAnsi="Times New Roman"/>
                  <w:i/>
                  <w:iCs/>
                  <w:color w:val="006FC4"/>
                  <w:kern w:val="0"/>
                  <w:sz w:val="20"/>
                  <w:szCs w:val="20"/>
                </w:rPr>
                <w:t>Drafting note, Operators of essential services and relevant digital service providers</w:t>
              </w:r>
            </w:hyperlink>
            <w:r>
              <w:rPr>
                <w:rFonts w:ascii="Times New Roman" w:hAnsi="Times New Roman"/>
                <w:color w:val="1F1F1F"/>
                <w:kern w:val="0"/>
                <w:sz w:val="20"/>
                <w:szCs w:val="20"/>
              </w:rPr>
              <w:t>.</w:t>
            </w:r>
          </w:p>
          <w:p w14:paraId="384CD966" w14:textId="77777777" w:rsidR="00CE6AB2" w:rsidRDefault="00000000">
            <w:pPr>
              <w:widowControl w:val="0"/>
              <w:numPr>
                <w:ilvl w:val="0"/>
                <w:numId w:val="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Certain consumer connectable products, see </w:t>
            </w:r>
            <w:hyperlink w:anchor="co_anchor_a356861_1" w:history="1">
              <w:r>
                <w:rPr>
                  <w:rFonts w:ascii="Times New Roman" w:hAnsi="Times New Roman"/>
                  <w:i/>
                  <w:iCs/>
                  <w:color w:val="006FC4"/>
                  <w:kern w:val="0"/>
                  <w:sz w:val="20"/>
                  <w:szCs w:val="20"/>
                </w:rPr>
                <w:t>Drafting note, Consumer connectable products</w:t>
              </w:r>
            </w:hyperlink>
            <w:r>
              <w:rPr>
                <w:rFonts w:ascii="Times New Roman" w:hAnsi="Times New Roman"/>
                <w:color w:val="1F1F1F"/>
                <w:kern w:val="0"/>
                <w:sz w:val="20"/>
                <w:szCs w:val="20"/>
              </w:rPr>
              <w:t>.</w:t>
            </w:r>
          </w:p>
          <w:p w14:paraId="773CE5E8" w14:textId="77777777" w:rsidR="00CE6AB2" w:rsidRDefault="00000000">
            <w:pPr>
              <w:widowControl w:val="0"/>
              <w:numPr>
                <w:ilvl w:val="0"/>
                <w:numId w:val="1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Personal data, see </w:t>
            </w:r>
            <w:hyperlink w:anchor="co_anchor_a549452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w:t>
            </w:r>
          </w:p>
          <w:p w14:paraId="764CFCE6"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xml:space="preserve">Cyber laws in other jurisdictions may also apply extraterritorially to organisations in the UK, depending on where goods and services are being provided. By way of example, see </w:t>
            </w:r>
            <w:hyperlink r:id="rId13" w:history="1">
              <w:r>
                <w:rPr>
                  <w:rFonts w:ascii="Times New Roman" w:hAnsi="Times New Roman"/>
                  <w:i/>
                  <w:iCs/>
                  <w:color w:val="006FC4"/>
                  <w:kern w:val="0"/>
                  <w:sz w:val="20"/>
                  <w:szCs w:val="20"/>
                </w:rPr>
                <w:t>Practice note, EU cybersecurity framework</w:t>
              </w:r>
            </w:hyperlink>
            <w:r>
              <w:rPr>
                <w:rFonts w:ascii="Times New Roman" w:hAnsi="Times New Roman"/>
                <w:color w:val="1F1F1F"/>
                <w:kern w:val="0"/>
                <w:sz w:val="20"/>
                <w:szCs w:val="20"/>
              </w:rPr>
              <w:t>.</w:t>
            </w:r>
          </w:p>
          <w:p w14:paraId="028EFB1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2428A3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agreement is drafted on the assumption that no specific cybersecurity laws or legal standards apply to the parties, or to the goods or services which are the subject matter of this agreement, in the UK or elsewhere, see </w:t>
            </w:r>
            <w:hyperlink w:anchor="co_anchor_a848370_1" w:history="1">
              <w:r>
                <w:rPr>
                  <w:rFonts w:ascii="Times New Roman" w:hAnsi="Times New Roman"/>
                  <w:i/>
                  <w:iCs/>
                  <w:color w:val="006FC4"/>
                  <w:kern w:val="0"/>
                  <w:sz w:val="20"/>
                  <w:szCs w:val="20"/>
                </w:rPr>
                <w:t>Drafting note, Assumptions</w:t>
              </w:r>
            </w:hyperlink>
            <w:r>
              <w:rPr>
                <w:rFonts w:ascii="Times New Roman" w:hAnsi="Times New Roman"/>
                <w:color w:val="1F1F1F"/>
                <w:kern w:val="0"/>
                <w:sz w:val="20"/>
                <w:szCs w:val="20"/>
              </w:rPr>
              <w:t>. If they do, then this may necessitate the inclusion of certain provisions into the agreement, or the party subject to the requirements may wish to flow them down to their counterparty.</w:t>
            </w:r>
          </w:p>
          <w:p w14:paraId="0DBD9EC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E8007C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To determine whether a legal requirement applies, a cybersecurity risk assessment may be necessary or helpful. For more information on conducting cybersecurity risk assessments, see </w:t>
            </w:r>
            <w:hyperlink r:id="rId14" w:history="1">
              <w:r>
                <w:rPr>
                  <w:rFonts w:ascii="Times New Roman" w:hAnsi="Times New Roman"/>
                  <w:i/>
                  <w:iCs/>
                  <w:color w:val="006FC4"/>
                  <w:kern w:val="0"/>
                  <w:sz w:val="20"/>
                  <w:szCs w:val="20"/>
                </w:rPr>
                <w:t>Practice note, Cybersecurity risk assessments and reporting (UK)</w:t>
              </w:r>
            </w:hyperlink>
            <w:r>
              <w:rPr>
                <w:rFonts w:ascii="Times New Roman" w:hAnsi="Times New Roman"/>
                <w:i/>
                <w:iCs/>
                <w:color w:val="1F1F1F"/>
                <w:kern w:val="0"/>
                <w:sz w:val="20"/>
                <w:szCs w:val="20"/>
              </w:rPr>
              <w:t xml:space="preserve">. </w:t>
            </w:r>
            <w:r>
              <w:rPr>
                <w:rFonts w:ascii="Times New Roman" w:hAnsi="Times New Roman"/>
                <w:color w:val="1F1F1F"/>
                <w:kern w:val="0"/>
                <w:sz w:val="20"/>
                <w:szCs w:val="20"/>
              </w:rPr>
              <w:t xml:space="preserve">For more information about managing cyber risk in an organisation’s supply chain, see </w:t>
            </w:r>
            <w:hyperlink r:id="rId15" w:history="1">
              <w:r>
                <w:rPr>
                  <w:rFonts w:ascii="Times New Roman" w:hAnsi="Times New Roman"/>
                  <w:i/>
                  <w:iCs/>
                  <w:color w:val="006FC4"/>
                  <w:kern w:val="0"/>
                  <w:sz w:val="20"/>
                  <w:szCs w:val="20"/>
                </w:rPr>
                <w:t>Practice note, Managing cybersecurity risk in supplier relationships (UK)</w:t>
              </w:r>
            </w:hyperlink>
            <w:r>
              <w:rPr>
                <w:rFonts w:ascii="Times New Roman" w:hAnsi="Times New Roman"/>
                <w:color w:val="1F1F1F"/>
                <w:kern w:val="0"/>
                <w:sz w:val="20"/>
                <w:szCs w:val="20"/>
              </w:rPr>
              <w:t>.</w:t>
            </w:r>
          </w:p>
          <w:p w14:paraId="50B69FC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1C6A4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3" w:name="co_anchor_a480584_1"/>
            <w:bookmarkEnd w:id="3"/>
          </w:p>
          <w:p w14:paraId="2225656F" w14:textId="77777777" w:rsidR="00CE6AB2" w:rsidRDefault="00000000">
            <w:pPr>
              <w:widowControl w:val="0"/>
              <w:autoSpaceDE w:val="0"/>
              <w:autoSpaceDN w:val="0"/>
              <w:adjustRightInd w:val="0"/>
              <w:spacing w:before="200" w:after="20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Operators of essential services and relevant digital service providers</w:t>
            </w:r>
          </w:p>
          <w:p w14:paraId="0FB105A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16" w:history="1">
              <w:r>
                <w:rPr>
                  <w:rFonts w:ascii="Times New Roman" w:hAnsi="Times New Roman"/>
                  <w:i/>
                  <w:iCs/>
                  <w:color w:val="006FC4"/>
                  <w:kern w:val="0"/>
                  <w:sz w:val="20"/>
                  <w:szCs w:val="20"/>
                </w:rPr>
                <w:t>Network and Information Systems Regulations 2018 (SI 2018/506)</w:t>
              </w:r>
            </w:hyperlink>
            <w:r>
              <w:rPr>
                <w:rFonts w:ascii="Times New Roman" w:hAnsi="Times New Roman"/>
                <w:color w:val="1F1F1F"/>
                <w:kern w:val="0"/>
                <w:sz w:val="20"/>
                <w:szCs w:val="20"/>
              </w:rPr>
              <w:t xml:space="preserve"> (NIS Regulations) which came into effect on 10 May 2018 pursuant to the </w:t>
            </w:r>
            <w:hyperlink r:id="rId17" w:history="1">
              <w:r>
                <w:rPr>
                  <w:rFonts w:ascii="Times New Roman" w:hAnsi="Times New Roman"/>
                  <w:i/>
                  <w:iCs/>
                  <w:color w:val="006FC4"/>
                  <w:kern w:val="0"/>
                  <w:sz w:val="20"/>
                  <w:szCs w:val="20"/>
                </w:rPr>
                <w:t>Cybersecurity Directive ((EU) 2016/1148)</w:t>
              </w:r>
            </w:hyperlink>
            <w:r>
              <w:rPr>
                <w:rFonts w:ascii="Times New Roman" w:hAnsi="Times New Roman"/>
                <w:color w:val="1F1F1F"/>
                <w:kern w:val="0"/>
                <w:sz w:val="20"/>
                <w:szCs w:val="20"/>
              </w:rPr>
              <w:t xml:space="preserve"> (also known as the NIS Directive). They have potential impact on:</w:t>
            </w:r>
          </w:p>
          <w:p w14:paraId="15339A1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7AB0878" w14:textId="77777777" w:rsidR="00CE6AB2" w:rsidRDefault="00000000">
            <w:pPr>
              <w:widowControl w:val="0"/>
              <w:numPr>
                <w:ilvl w:val="0"/>
                <w:numId w:val="1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operator of essential services (OES) that relies on IT systems in the following sectors: energy, transport, health, drinking water supply and distribution, digital infrastructure.</w:t>
            </w:r>
          </w:p>
          <w:p w14:paraId="7770D28F" w14:textId="77777777" w:rsidR="00CE6AB2" w:rsidRDefault="00000000">
            <w:pPr>
              <w:widowControl w:val="0"/>
              <w:numPr>
                <w:ilvl w:val="0"/>
                <w:numId w:val="1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Relevant providers of online marketplaces, online search engines and cloud computing services (Relevant Digital Service Providers (RDSPs)).</w:t>
            </w:r>
          </w:p>
          <w:p w14:paraId="3E4AB89A"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Like the </w:t>
            </w:r>
            <w:hyperlink r:id="rId18" w:history="1">
              <w:r>
                <w:rPr>
                  <w:rFonts w:ascii="Times New Roman" w:hAnsi="Times New Roman"/>
                  <w:i/>
                  <w:iCs/>
                  <w:color w:val="006FC4"/>
                  <w:kern w:val="0"/>
                  <w:sz w:val="20"/>
                  <w:szCs w:val="20"/>
                </w:rPr>
                <w:t>General Data Protection Regulation ((EU) 2016/679) (GDPR)</w:t>
              </w:r>
            </w:hyperlink>
            <w:r>
              <w:rPr>
                <w:rFonts w:ascii="Times New Roman" w:hAnsi="Times New Roman"/>
                <w:color w:val="1F1F1F"/>
                <w:kern w:val="0"/>
                <w:sz w:val="20"/>
                <w:szCs w:val="20"/>
              </w:rPr>
              <w:t>, the NIS Regulations impose security and incident reporting requirements and provide for high penalties (up to £17 million in the case of the NIS Regulations), but their focus is on security of IT systems, rather than security of the personal data processed by those systems; in practice the two regimes are inextricably linked.</w:t>
            </w:r>
          </w:p>
          <w:p w14:paraId="5398C12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63649B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banking and financial market infrastructures sectors were omitted from the NIS Regulations although they fall within the Cybersecurity Directive. The UK government stated in its consultation on implementation of the Directive that competent authorities for these sectors would not be identified. Firms and financial market infrastructure within these sectors must continue to adhere to requirements and standards as set by the Bank of England and/or the Financial Conduct Authority.</w:t>
            </w:r>
          </w:p>
          <w:p w14:paraId="0BB6977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DDB3F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definition of an OES see </w:t>
            </w:r>
            <w:hyperlink r:id="rId19" w:anchor="co_anchor_a873370" w:history="1">
              <w:r>
                <w:rPr>
                  <w:rFonts w:ascii="Times New Roman" w:hAnsi="Times New Roman"/>
                  <w:i/>
                  <w:iCs/>
                  <w:color w:val="006FC4"/>
                  <w:kern w:val="0"/>
                  <w:sz w:val="20"/>
                  <w:szCs w:val="20"/>
                </w:rPr>
                <w:t>Practice note, Cybersecurity Directive: UK implementation: Identification or Designation as an OES</w:t>
              </w:r>
            </w:hyperlink>
            <w:r>
              <w:rPr>
                <w:rFonts w:ascii="Times New Roman" w:hAnsi="Times New Roman"/>
                <w:color w:val="1F1F1F"/>
                <w:kern w:val="0"/>
                <w:sz w:val="20"/>
                <w:szCs w:val="20"/>
              </w:rPr>
              <w:t xml:space="preserve">, and for a definition of an RDSP see </w:t>
            </w:r>
            <w:hyperlink r:id="rId20" w:anchor="co_anchor_a375008" w:history="1">
              <w:r>
                <w:rPr>
                  <w:rFonts w:ascii="Times New Roman" w:hAnsi="Times New Roman"/>
                  <w:i/>
                  <w:iCs/>
                  <w:color w:val="006FC4"/>
                  <w:kern w:val="0"/>
                  <w:sz w:val="20"/>
                  <w:szCs w:val="20"/>
                </w:rPr>
                <w:t>Practice note, Cybersecurity Directive: UK implementation: Identification as an RDSP</w:t>
              </w:r>
            </w:hyperlink>
            <w:r>
              <w:rPr>
                <w:rFonts w:ascii="Times New Roman" w:hAnsi="Times New Roman"/>
                <w:color w:val="1F1F1F"/>
                <w:kern w:val="0"/>
                <w:sz w:val="20"/>
                <w:szCs w:val="20"/>
              </w:rPr>
              <w:t>.</w:t>
            </w:r>
          </w:p>
          <w:p w14:paraId="324D7DE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1E477F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OESs and RDSPs have obligations to maintain the security of the systems on which their services rely and to report security incidents to their respective regulators (the Information Commissioner’s Office (ICO) is the regulator for RDSPs and Schedule 1 of the NIS Regulations lists the regulators for OESs).</w:t>
            </w:r>
          </w:p>
          <w:p w14:paraId="14DAFF2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7BF68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agreement is drafted on the assumption that the NIS Regulations do not apply (either directly or indirectly). Where the NIS Regulations apply to the Customer, it will need to consider whether the obligations placed on the Supplier with regard to maintenance of the Customer’s hardware (and associated software) are sufficient to meet any enhanced cybersecurity requirements under the NIS Regulations. The National Cyber Security Centre has published </w:t>
            </w:r>
            <w:hyperlink r:id="rId21" w:history="1">
              <w:r>
                <w:rPr>
                  <w:rFonts w:ascii="Times New Roman" w:hAnsi="Times New Roman"/>
                  <w:i/>
                  <w:iCs/>
                  <w:color w:val="006FC4"/>
                  <w:kern w:val="0"/>
                  <w:sz w:val="20"/>
                  <w:szCs w:val="20"/>
                </w:rPr>
                <w:t>guidance</w:t>
              </w:r>
            </w:hyperlink>
            <w:r>
              <w:rPr>
                <w:rFonts w:ascii="Times New Roman" w:hAnsi="Times New Roman"/>
                <w:color w:val="1F1F1F"/>
                <w:kern w:val="0"/>
                <w:sz w:val="20"/>
                <w:szCs w:val="20"/>
              </w:rPr>
              <w:t xml:space="preserve"> for OESs which includes advice on how to pass obligations up the supply chain and what considerations should be made in different circumstances.</w:t>
            </w:r>
          </w:p>
          <w:p w14:paraId="1EAE689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23EE91B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should also refer to any specific guidance issued by the regulator for their specific OES sector (or by the ICO for RDSPs) and any applicable guidance for the banking and financial market infrastructures sectors, see </w:t>
            </w:r>
            <w:hyperlink r:id="rId22" w:history="1">
              <w:r>
                <w:rPr>
                  <w:rFonts w:ascii="Times New Roman" w:hAnsi="Times New Roman"/>
                  <w:i/>
                  <w:iCs/>
                  <w:color w:val="006FC4"/>
                  <w:kern w:val="0"/>
                  <w:sz w:val="20"/>
                  <w:szCs w:val="20"/>
                </w:rPr>
                <w:t>Practice note, Cybersecurity in regulated sectors, cybersecurity guidance and standards</w:t>
              </w:r>
            </w:hyperlink>
            <w:r>
              <w:rPr>
                <w:rFonts w:ascii="Times New Roman" w:hAnsi="Times New Roman"/>
                <w:color w:val="1F1F1F"/>
                <w:kern w:val="0"/>
                <w:sz w:val="20"/>
                <w:szCs w:val="20"/>
              </w:rPr>
              <w:t>.</w:t>
            </w:r>
          </w:p>
          <w:p w14:paraId="1258E9C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0E52E2" w14:textId="77777777" w:rsidR="00CE6AB2" w:rsidRDefault="00000000">
            <w:pPr>
              <w:widowControl w:val="0"/>
              <w:autoSpaceDE w:val="0"/>
              <w:autoSpaceDN w:val="0"/>
              <w:adjustRightInd w:val="0"/>
              <w:spacing w:after="0" w:line="240" w:lineRule="auto"/>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Hardware maintenance can be a key way of protecting the Customer’s system from cybersecurity threats, and so (whether the NIS Regulations apply or not) the Customer may wish to place the Supplier under a specific obligation to maintain the security of any software which runs on the hardware, as well as its functional operation, see </w:t>
            </w:r>
            <w:hyperlink w:anchor="co_anchor_a772513_1" w:history="1">
              <w:r>
                <w:rPr>
                  <w:rFonts w:ascii="Times New Roman" w:hAnsi="Times New Roman"/>
                  <w:i/>
                  <w:iCs/>
                  <w:color w:val="006FC4"/>
                  <w:kern w:val="0"/>
                  <w:sz w:val="20"/>
                  <w:szCs w:val="20"/>
                </w:rPr>
                <w:t>Drafting note, Software maintenance services (optional)</w:t>
              </w:r>
            </w:hyperlink>
            <w:r>
              <w:rPr>
                <w:rFonts w:ascii="Times New Roman" w:hAnsi="Times New Roman"/>
                <w:i/>
                <w:iCs/>
                <w:color w:val="1F1F1F"/>
                <w:kern w:val="0"/>
                <w:sz w:val="20"/>
                <w:szCs w:val="20"/>
              </w:rPr>
              <w:t>.</w:t>
            </w:r>
          </w:p>
          <w:p w14:paraId="588E9A2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1BC429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addition, during hardware maintenance the Customer and Supplier systems may interface with each other, and so the Customer may want to impose an additional obligation on the Supplier not to introduce vulnerabilities into the Customer’s network and information systems. As drafted, </w:t>
            </w:r>
            <w:hyperlink w:anchor="co_anchor_a894269_1" w:history="1">
              <w:r>
                <w:rPr>
                  <w:rFonts w:ascii="Times New Roman" w:hAnsi="Times New Roman"/>
                  <w:i/>
                  <w:iCs/>
                  <w:color w:val="006FC4"/>
                  <w:kern w:val="0"/>
                  <w:sz w:val="20"/>
                  <w:szCs w:val="20"/>
                </w:rPr>
                <w:t>Clause 8.1(d)</w:t>
              </w:r>
            </w:hyperlink>
            <w:r>
              <w:rPr>
                <w:rFonts w:ascii="Times New Roman" w:hAnsi="Times New Roman"/>
                <w:color w:val="1F1F1F"/>
                <w:kern w:val="0"/>
                <w:sz w:val="20"/>
                <w:szCs w:val="20"/>
              </w:rPr>
              <w:t>currently only covers viruses.</w:t>
            </w:r>
          </w:p>
          <w:p w14:paraId="5E53DA8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F312B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an example of additional cybersecurity requirements that could be included here (albeit in the context of software, rather than hardware, maintenance) see </w:t>
            </w:r>
            <w:hyperlink r:id="rId23" w:anchor="co_anchor_a669850" w:history="1">
              <w:r>
                <w:rPr>
                  <w:rFonts w:ascii="Times New Roman" w:hAnsi="Times New Roman"/>
                  <w:i/>
                  <w:iCs/>
                  <w:color w:val="006FC4"/>
                  <w:kern w:val="0"/>
                  <w:sz w:val="20"/>
                  <w:szCs w:val="20"/>
                </w:rPr>
                <w:t>Standard document, Software maintenance agreement (pro-customer): Security of network and information systems</w:t>
              </w:r>
            </w:hyperlink>
            <w:r>
              <w:rPr>
                <w:rFonts w:ascii="Times New Roman" w:hAnsi="Times New Roman"/>
                <w:color w:val="1F1F1F"/>
                <w:kern w:val="0"/>
                <w:sz w:val="20"/>
                <w:szCs w:val="20"/>
              </w:rPr>
              <w:t>. Please note these requirements are general in nature and not aligned to any sectoral requirements, so if the NIS Regulations do apply, you should always consult the specific guidance that applies for your sector.</w:t>
            </w:r>
          </w:p>
          <w:p w14:paraId="752277C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4" w:name="co_anchor_a356861_1"/>
            <w:bookmarkEnd w:id="4"/>
          </w:p>
          <w:p w14:paraId="465A2A6B" w14:textId="77777777" w:rsidR="00CE6AB2" w:rsidRDefault="00000000">
            <w:pPr>
              <w:widowControl w:val="0"/>
              <w:autoSpaceDE w:val="0"/>
              <w:autoSpaceDN w:val="0"/>
              <w:adjustRightInd w:val="0"/>
              <w:spacing w:before="200" w:after="20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Consumer connectable products</w:t>
            </w:r>
          </w:p>
          <w:p w14:paraId="0C1A20F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Manufacturers, distributors and importers of certain consumer connectable in the UK (such as certain, qualifying smart products, like smart TVs, smart speakers, connected baby monitors and connected alarm systems) are subject to minimum cybersecurity requirements under Part 1 of the </w:t>
            </w:r>
            <w:hyperlink r:id="rId24" w:history="1">
              <w:r>
                <w:rPr>
                  <w:rFonts w:ascii="Times New Roman" w:hAnsi="Times New Roman"/>
                  <w:i/>
                  <w:iCs/>
                  <w:color w:val="006FC4"/>
                  <w:kern w:val="0"/>
                  <w:sz w:val="20"/>
                  <w:szCs w:val="20"/>
                </w:rPr>
                <w:t>Product Security and Telecommunications Infrastructure Act 2022</w:t>
              </w:r>
            </w:hyperlink>
            <w:r>
              <w:rPr>
                <w:rFonts w:ascii="Times New Roman" w:hAnsi="Times New Roman"/>
                <w:color w:val="1F1F1F"/>
                <w:kern w:val="0"/>
                <w:sz w:val="20"/>
                <w:szCs w:val="20"/>
              </w:rPr>
              <w:t xml:space="preserve"> (PSTIA). A party who is subject to these requirements might seek to include specific clauses in its maintenance arrangements with third parties to ensure that the cybersecurity of such products are preserved.</w:t>
            </w:r>
          </w:p>
          <w:p w14:paraId="616F724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B7F0F3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the requirements of the PSTIA, see </w:t>
            </w:r>
            <w:hyperlink r:id="rId25" w:history="1">
              <w:r>
                <w:rPr>
                  <w:rFonts w:ascii="Times New Roman" w:hAnsi="Times New Roman"/>
                  <w:i/>
                  <w:iCs/>
                  <w:color w:val="006FC4"/>
                  <w:kern w:val="0"/>
                  <w:sz w:val="20"/>
                  <w:szCs w:val="20"/>
                </w:rPr>
                <w:t>Practice note, Cybersecurity requirements for consumer connectable products under Part 1 of Product Security and Telecommunications Infrastructure Act 2022 (UK)</w:t>
              </w:r>
            </w:hyperlink>
            <w:r>
              <w:rPr>
                <w:rFonts w:ascii="Times New Roman" w:hAnsi="Times New Roman"/>
                <w:color w:val="1F1F1F"/>
                <w:kern w:val="0"/>
                <w:sz w:val="20"/>
                <w:szCs w:val="20"/>
              </w:rPr>
              <w:t>.</w:t>
            </w:r>
          </w:p>
          <w:p w14:paraId="2478790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5" w:name="co_anchor_a549452_1"/>
            <w:bookmarkEnd w:id="5"/>
          </w:p>
          <w:p w14:paraId="3CC770D6" w14:textId="77777777" w:rsidR="00CE6AB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Data protection</w:t>
            </w:r>
          </w:p>
          <w:p w14:paraId="4A40882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8B4F64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Where </w:t>
            </w:r>
            <w:hyperlink r:id="rId26" w:history="1">
              <w:r>
                <w:rPr>
                  <w:rFonts w:ascii="Times New Roman" w:hAnsi="Times New Roman"/>
                  <w:i/>
                  <w:iCs/>
                  <w:color w:val="006FC4"/>
                  <w:kern w:val="0"/>
                  <w:sz w:val="20"/>
                  <w:szCs w:val="20"/>
                </w:rPr>
                <w:t>personal data</w:t>
              </w:r>
            </w:hyperlink>
            <w:r>
              <w:rPr>
                <w:rFonts w:ascii="Times New Roman" w:hAnsi="Times New Roman"/>
                <w:color w:val="1F1F1F"/>
                <w:kern w:val="0"/>
                <w:sz w:val="20"/>
                <w:szCs w:val="20"/>
              </w:rPr>
              <w:t xml:space="preserve"> will be processed under this agreement, the parties will need to consider the impact of any applicable data protection legislation and, where appropriate, suitable data protection clauses will need to be inserted at </w:t>
            </w:r>
            <w:hyperlink w:anchor="co_anchor_a74840_1" w:history="1">
              <w:r>
                <w:rPr>
                  <w:rFonts w:ascii="Times New Roman" w:hAnsi="Times New Roman"/>
                  <w:i/>
                  <w:iCs/>
                  <w:color w:val="006FC4"/>
                  <w:kern w:val="0"/>
                  <w:sz w:val="20"/>
                  <w:szCs w:val="20"/>
                </w:rPr>
                <w:t>Clause 12</w:t>
              </w:r>
            </w:hyperlink>
            <w:r>
              <w:rPr>
                <w:rFonts w:ascii="Times New Roman" w:hAnsi="Times New Roman"/>
                <w:color w:val="1F1F1F"/>
                <w:kern w:val="0"/>
                <w:sz w:val="20"/>
                <w:szCs w:val="20"/>
              </w:rPr>
              <w:t>, or, alternatively, a data protection schedule will need to be annexed to this agreement.</w:t>
            </w:r>
          </w:p>
          <w:p w14:paraId="4159942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9688F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clauses which are appropriate to include, in each case, will depend upon the relationship of the parties, the context of the processing, and the capacity in which each party processes the personal data.</w:t>
            </w:r>
          </w:p>
          <w:p w14:paraId="3E1261C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3DB92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some specimen personal data processing clauses designed for use in an IT agreement, see:</w:t>
            </w:r>
          </w:p>
          <w:p w14:paraId="74F5E1C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7E3F88C" w14:textId="77777777" w:rsidR="00CE6AB2" w:rsidRDefault="00000000">
            <w:pPr>
              <w:widowControl w:val="0"/>
              <w:numPr>
                <w:ilvl w:val="0"/>
                <w:numId w:val="13"/>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27" w:history="1">
              <w:r>
                <w:rPr>
                  <w:rFonts w:ascii="Times New Roman" w:hAnsi="Times New Roman"/>
                  <w:i/>
                  <w:iCs/>
                  <w:color w:val="006FC4"/>
                  <w:kern w:val="0"/>
                  <w:sz w:val="20"/>
                  <w:szCs w:val="20"/>
                </w:rPr>
                <w:t>Standard clause, Personal data processing clauses for IT agreements (UK) (pro-customer version)</w:t>
              </w:r>
            </w:hyperlink>
            <w:r>
              <w:rPr>
                <w:rFonts w:ascii="Times New Roman" w:hAnsi="Times New Roman"/>
                <w:color w:val="1F1F1F"/>
                <w:kern w:val="0"/>
                <w:sz w:val="20"/>
                <w:szCs w:val="20"/>
              </w:rPr>
              <w:t>.</w:t>
            </w:r>
          </w:p>
          <w:p w14:paraId="1FC2D792" w14:textId="77777777" w:rsidR="00CE6AB2" w:rsidRDefault="00000000">
            <w:pPr>
              <w:widowControl w:val="0"/>
              <w:numPr>
                <w:ilvl w:val="0"/>
                <w:numId w:val="1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28" w:history="1">
              <w:r>
                <w:rPr>
                  <w:rFonts w:ascii="Times New Roman" w:hAnsi="Times New Roman"/>
                  <w:i/>
                  <w:iCs/>
                  <w:color w:val="006FC4"/>
                  <w:kern w:val="0"/>
                  <w:sz w:val="20"/>
                  <w:szCs w:val="20"/>
                </w:rPr>
                <w:t>Standard clause, Personal data processing clauses for IT agreements (UK) (pro-supplier version)</w:t>
              </w:r>
            </w:hyperlink>
            <w:r>
              <w:rPr>
                <w:rFonts w:ascii="Times New Roman" w:hAnsi="Times New Roman"/>
                <w:color w:val="1F1F1F"/>
                <w:kern w:val="0"/>
                <w:sz w:val="20"/>
                <w:szCs w:val="20"/>
              </w:rPr>
              <w:t>.</w:t>
            </w:r>
          </w:p>
          <w:p w14:paraId="10D4C52C"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Each set of clauses provide alternative options to cater for different processing scenarios.</w:t>
            </w:r>
          </w:p>
          <w:p w14:paraId="4D9CE74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76059E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note setting out the key issues to address when considering the impact of the UK and EU data protection legislation on rights and obligations commonly found in IT contracts, see </w:t>
            </w:r>
            <w:hyperlink r:id="rId29" w:history="1">
              <w:r>
                <w:rPr>
                  <w:rFonts w:ascii="Times New Roman" w:hAnsi="Times New Roman"/>
                  <w:i/>
                  <w:iCs/>
                  <w:color w:val="006FC4"/>
                  <w:kern w:val="0"/>
                  <w:sz w:val="20"/>
                  <w:szCs w:val="20"/>
                </w:rPr>
                <w:t>Practice note, Data protection issues in IT contracts</w:t>
              </w:r>
            </w:hyperlink>
            <w:r>
              <w:rPr>
                <w:rFonts w:ascii="Times New Roman" w:hAnsi="Times New Roman"/>
                <w:color w:val="1F1F1F"/>
                <w:kern w:val="0"/>
                <w:sz w:val="20"/>
                <w:szCs w:val="20"/>
              </w:rPr>
              <w:t>.</w:t>
            </w:r>
          </w:p>
          <w:p w14:paraId="666653C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bookmarkStart w:id="6" w:name="co_anchor_a443853_1"/>
            <w:bookmarkEnd w:id="6"/>
          </w:p>
          <w:p w14:paraId="7EA8D71A" w14:textId="77777777" w:rsidR="00CE6AB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lastRenderedPageBreak/>
              <w:t>Supply chain issues: slavery and human trafficking</w:t>
            </w:r>
          </w:p>
          <w:p w14:paraId="2E50EA2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13458D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w:t>
            </w:r>
            <w:hyperlink r:id="rId30" w:history="1">
              <w:r>
                <w:rPr>
                  <w:rFonts w:ascii="Times New Roman" w:hAnsi="Times New Roman"/>
                  <w:i/>
                  <w:iCs/>
                  <w:color w:val="006FC4"/>
                  <w:kern w:val="0"/>
                  <w:sz w:val="20"/>
                  <w:szCs w:val="20"/>
                </w:rPr>
                <w:t>Modern Slavery Act 2015</w:t>
              </w:r>
            </w:hyperlink>
            <w:r>
              <w:rPr>
                <w:rFonts w:ascii="Times New Roman" w:hAnsi="Times New Roman"/>
                <w:color w:val="1F1F1F"/>
                <w:kern w:val="0"/>
                <w:sz w:val="20"/>
                <w:szCs w:val="20"/>
              </w:rPr>
              <w:t xml:space="preserve"> (MSA) is aimed at combating crimes of slavery and human trafficking. </w:t>
            </w:r>
            <w:hyperlink r:id="rId31" w:history="1">
              <w:r>
                <w:rPr>
                  <w:rFonts w:ascii="Times New Roman" w:hAnsi="Times New Roman"/>
                  <w:i/>
                  <w:iCs/>
                  <w:color w:val="006FC4"/>
                  <w:kern w:val="0"/>
                  <w:sz w:val="20"/>
                  <w:szCs w:val="20"/>
                </w:rPr>
                <w:t>Section 54</w:t>
              </w:r>
            </w:hyperlink>
            <w:r>
              <w:rPr>
                <w:rFonts w:ascii="Times New Roman" w:hAnsi="Times New Roman"/>
                <w:color w:val="1F1F1F"/>
                <w:kern w:val="0"/>
                <w:sz w:val="20"/>
                <w:szCs w:val="20"/>
              </w:rPr>
              <w:t xml:space="preserve">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w:t>
            </w:r>
          </w:p>
          <w:p w14:paraId="004165E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7EE5C0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w:t>
            </w:r>
          </w:p>
          <w:p w14:paraId="3E4E4D7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CFEC84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information on the MSA including links to example clauses, see </w:t>
            </w:r>
            <w:hyperlink r:id="rId32" w:history="1">
              <w:r>
                <w:rPr>
                  <w:rFonts w:ascii="Times New Roman" w:hAnsi="Times New Roman"/>
                  <w:i/>
                  <w:iCs/>
                  <w:color w:val="006FC4"/>
                  <w:kern w:val="0"/>
                  <w:sz w:val="20"/>
                  <w:szCs w:val="20"/>
                </w:rPr>
                <w:t>Modern Slavery Act 2015 toolkit</w:t>
              </w:r>
            </w:hyperlink>
            <w:r>
              <w:rPr>
                <w:rFonts w:ascii="Times New Roman" w:hAnsi="Times New Roman"/>
                <w:color w:val="1F1F1F"/>
                <w:kern w:val="0"/>
                <w:sz w:val="20"/>
                <w:szCs w:val="20"/>
              </w:rPr>
              <w:t>.</w:t>
            </w:r>
          </w:p>
          <w:p w14:paraId="3556949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58FA9FE" w14:textId="77777777" w:rsidR="00CE6AB2" w:rsidRDefault="00000000">
            <w:pPr>
              <w:widowControl w:val="0"/>
              <w:autoSpaceDE w:val="0"/>
              <w:autoSpaceDN w:val="0"/>
              <w:adjustRightInd w:val="0"/>
              <w:spacing w:after="0" w:line="240" w:lineRule="auto"/>
              <w:jc w:val="both"/>
              <w:rPr>
                <w:rFonts w:ascii="Times New Roman" w:hAnsi="Times New Roman"/>
                <w:color w:val="505050"/>
                <w:kern w:val="0"/>
              </w:rPr>
            </w:pPr>
            <w:r>
              <w:rPr>
                <w:rFonts w:ascii="Times New Roman" w:hAnsi="Times New Roman"/>
                <w:color w:val="505050"/>
                <w:kern w:val="0"/>
              </w:rPr>
              <w:t>Drafting for Brexit</w:t>
            </w:r>
          </w:p>
          <w:p w14:paraId="03794B2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F44840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On 31 January 2020 (</w:t>
            </w:r>
            <w:hyperlink r:id="rId33" w:history="1">
              <w:r>
                <w:rPr>
                  <w:rFonts w:ascii="Times New Roman" w:hAnsi="Times New Roman"/>
                  <w:i/>
                  <w:iCs/>
                  <w:color w:val="006FC4"/>
                  <w:kern w:val="0"/>
                  <w:sz w:val="20"/>
                  <w:szCs w:val="20"/>
                </w:rPr>
                <w:t>exit day</w:t>
              </w:r>
            </w:hyperlink>
            <w:r>
              <w:rPr>
                <w:rFonts w:ascii="Times New Roman" w:hAnsi="Times New Roman"/>
                <w:color w:val="1F1F1F"/>
                <w:kern w:val="0"/>
                <w:sz w:val="20"/>
                <w:szCs w:val="20"/>
              </w:rPr>
              <w:t xml:space="preserve">), the UK left the EU and the UK-EU withdrawal agreement entered into force. Following the end of the </w:t>
            </w:r>
            <w:hyperlink r:id="rId34" w:history="1">
              <w:r>
                <w:rPr>
                  <w:rFonts w:ascii="Times New Roman" w:hAnsi="Times New Roman"/>
                  <w:i/>
                  <w:iCs/>
                  <w:color w:val="006FC4"/>
                  <w:kern w:val="0"/>
                  <w:sz w:val="20"/>
                  <w:szCs w:val="20"/>
                </w:rPr>
                <w:t>UK-EU transition period</w:t>
              </w:r>
            </w:hyperlink>
            <w:r>
              <w:rPr>
                <w:rFonts w:ascii="Times New Roman" w:hAnsi="Times New Roman"/>
                <w:color w:val="1F1F1F"/>
                <w:kern w:val="0"/>
                <w:sz w:val="20"/>
                <w:szCs w:val="20"/>
              </w:rPr>
              <w:t xml:space="preserve"> at 11.00 pm UK time on 31 December 2020, </w:t>
            </w:r>
            <w:hyperlink r:id="rId35" w:history="1">
              <w:r>
                <w:rPr>
                  <w:rFonts w:ascii="Times New Roman" w:hAnsi="Times New Roman"/>
                  <w:i/>
                  <w:iCs/>
                  <w:color w:val="006FC4"/>
                  <w:kern w:val="0"/>
                  <w:sz w:val="20"/>
                  <w:szCs w:val="20"/>
                </w:rPr>
                <w:t>retained EU law</w:t>
              </w:r>
            </w:hyperlink>
            <w:r>
              <w:rPr>
                <w:rFonts w:ascii="Times New Roman" w:hAnsi="Times New Roman"/>
                <w:color w:val="1F1F1F"/>
                <w:kern w:val="0"/>
                <w:sz w:val="20"/>
                <w:szCs w:val="20"/>
              </w:rPr>
              <w:t xml:space="preserve"> was created, the remaining withdrawal agreement provisions came into operation, and the </w:t>
            </w:r>
            <w:hyperlink r:id="rId36" w:history="1">
              <w:r>
                <w:rPr>
                  <w:rFonts w:ascii="Times New Roman" w:hAnsi="Times New Roman"/>
                  <w:i/>
                  <w:iCs/>
                  <w:color w:val="006FC4"/>
                  <w:kern w:val="0"/>
                  <w:sz w:val="20"/>
                  <w:szCs w:val="20"/>
                </w:rPr>
                <w:t>future relationship agreements</w:t>
              </w:r>
            </w:hyperlink>
            <w:r>
              <w:rPr>
                <w:rFonts w:ascii="Times New Roman" w:hAnsi="Times New Roman"/>
                <w:color w:val="1F1F1F"/>
                <w:kern w:val="0"/>
                <w:sz w:val="20"/>
                <w:szCs w:val="20"/>
              </w:rPr>
              <w:t xml:space="preserve"> (including the UK-EU trade and co-operation agreement) started to apply on a provisional basis, eventually entering into force at 11.00 pm (UK time) on 30 April 2021. This resource has been reviewed and reflects the position from the end of the transition period.</w:t>
            </w:r>
          </w:p>
          <w:p w14:paraId="628B277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74D46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general information on the withdrawal agreement, future relationship agreements, and the operation of UK law following the end of the transition period, see </w:t>
            </w:r>
            <w:hyperlink r:id="rId37" w:history="1">
              <w:r>
                <w:rPr>
                  <w:rFonts w:ascii="Times New Roman" w:hAnsi="Times New Roman"/>
                  <w:i/>
                  <w:iCs/>
                  <w:color w:val="006FC4"/>
                  <w:kern w:val="0"/>
                  <w:sz w:val="20"/>
                  <w:szCs w:val="20"/>
                </w:rPr>
                <w:t>UK legal change post-transition and UK-EU agreements toolkit</w:t>
              </w:r>
            </w:hyperlink>
            <w:r>
              <w:rPr>
                <w:rFonts w:ascii="Times New Roman" w:hAnsi="Times New Roman"/>
                <w:color w:val="1F1F1F"/>
                <w:kern w:val="0"/>
                <w:sz w:val="20"/>
                <w:szCs w:val="20"/>
              </w:rPr>
              <w:t xml:space="preserve"> and Practical Law’s </w:t>
            </w:r>
            <w:hyperlink r:id="rId38" w:history="1">
              <w:r>
                <w:rPr>
                  <w:rFonts w:ascii="Times New Roman" w:hAnsi="Times New Roman"/>
                  <w:i/>
                  <w:iCs/>
                  <w:color w:val="006FC4"/>
                  <w:kern w:val="0"/>
                  <w:sz w:val="20"/>
                  <w:szCs w:val="20"/>
                </w:rPr>
                <w:t>Brexit page</w:t>
              </w:r>
            </w:hyperlink>
            <w:r>
              <w:rPr>
                <w:rFonts w:ascii="Times New Roman" w:hAnsi="Times New Roman"/>
                <w:color w:val="1F1F1F"/>
                <w:kern w:val="0"/>
                <w:sz w:val="20"/>
                <w:szCs w:val="20"/>
              </w:rPr>
              <w:t>.</w:t>
            </w:r>
          </w:p>
          <w:p w14:paraId="1005F9D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04DA4C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the impact of Brexit on the specific practice areas covered by this resource, see:</w:t>
            </w:r>
          </w:p>
          <w:p w14:paraId="4DB889E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8ED0DC" w14:textId="77777777" w:rsidR="00CE6AB2" w:rsidRDefault="00000000">
            <w:pPr>
              <w:widowControl w:val="0"/>
              <w:numPr>
                <w:ilvl w:val="0"/>
                <w:numId w:val="15"/>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39" w:history="1">
              <w:r>
                <w:rPr>
                  <w:rFonts w:ascii="Times New Roman" w:hAnsi="Times New Roman"/>
                  <w:i/>
                  <w:iCs/>
                  <w:color w:val="006FC4"/>
                  <w:kern w:val="0"/>
                  <w:sz w:val="20"/>
                  <w:szCs w:val="20"/>
                </w:rPr>
                <w:t>Practice note, Brexit: implications for intellectual property rights</w:t>
              </w:r>
            </w:hyperlink>
            <w:r>
              <w:rPr>
                <w:rFonts w:ascii="Times New Roman" w:hAnsi="Times New Roman"/>
                <w:color w:val="1F1F1F"/>
                <w:kern w:val="0"/>
                <w:sz w:val="20"/>
                <w:szCs w:val="20"/>
              </w:rPr>
              <w:t>.</w:t>
            </w:r>
          </w:p>
          <w:p w14:paraId="70EF6A60" w14:textId="77777777" w:rsidR="00CE6AB2" w:rsidRDefault="00000000">
            <w:pPr>
              <w:widowControl w:val="0"/>
              <w:numPr>
                <w:ilvl w:val="0"/>
                <w:numId w:val="16"/>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40" w:anchor="co_anchor_a871801" w:history="1">
              <w:r>
                <w:rPr>
                  <w:rFonts w:ascii="Times New Roman" w:hAnsi="Times New Roman"/>
                  <w:i/>
                  <w:iCs/>
                  <w:color w:val="006FC4"/>
                  <w:kern w:val="0"/>
                  <w:sz w:val="20"/>
                  <w:szCs w:val="20"/>
                </w:rPr>
                <w:t>Practice note, Overview: UK competition law: Brexit and competition law</w:t>
              </w:r>
            </w:hyperlink>
            <w:r>
              <w:rPr>
                <w:rFonts w:ascii="Times New Roman" w:hAnsi="Times New Roman"/>
                <w:color w:val="1F1F1F"/>
                <w:kern w:val="0"/>
                <w:sz w:val="20"/>
                <w:szCs w:val="20"/>
              </w:rPr>
              <w:t>.</w:t>
            </w:r>
          </w:p>
          <w:p w14:paraId="2BD0D8A4" w14:textId="77777777" w:rsidR="00CE6AB2" w:rsidRDefault="00000000">
            <w:pPr>
              <w:widowControl w:val="0"/>
              <w:numPr>
                <w:ilvl w:val="0"/>
                <w:numId w:val="17"/>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41" w:history="1">
              <w:r>
                <w:rPr>
                  <w:rFonts w:ascii="Times New Roman" w:hAnsi="Times New Roman"/>
                  <w:i/>
                  <w:iCs/>
                  <w:color w:val="006FC4"/>
                  <w:kern w:val="0"/>
                  <w:sz w:val="20"/>
                  <w:szCs w:val="20"/>
                </w:rPr>
                <w:t>Practice note, Brexit: implications for data protection</w:t>
              </w:r>
            </w:hyperlink>
            <w:r>
              <w:rPr>
                <w:rFonts w:ascii="Times New Roman" w:hAnsi="Times New Roman"/>
                <w:color w:val="1F1F1F"/>
                <w:kern w:val="0"/>
                <w:sz w:val="20"/>
                <w:szCs w:val="20"/>
              </w:rPr>
              <w:t>.</w:t>
            </w:r>
          </w:p>
          <w:p w14:paraId="0613D77C"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also </w:t>
            </w:r>
            <w:hyperlink r:id="rId42" w:anchor="co_anchor_a470016" w:history="1">
              <w:r>
                <w:rPr>
                  <w:rFonts w:ascii="Times New Roman" w:hAnsi="Times New Roman"/>
                  <w:i/>
                  <w:iCs/>
                  <w:color w:val="006FC4"/>
                  <w:kern w:val="0"/>
                  <w:sz w:val="20"/>
                  <w:szCs w:val="20"/>
                </w:rPr>
                <w:t>Practice note, Impact of the General Data Protection Regulation on intellectual property licence-related obligations: General points</w:t>
              </w:r>
            </w:hyperlink>
            <w:r>
              <w:rPr>
                <w:rFonts w:ascii="Times New Roman" w:hAnsi="Times New Roman"/>
                <w:color w:val="1F1F1F"/>
                <w:kern w:val="0"/>
                <w:sz w:val="20"/>
                <w:szCs w:val="20"/>
              </w:rPr>
              <w:t>.</w:t>
            </w:r>
          </w:p>
          <w:p w14:paraId="423E639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E7FBD3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guidance on the issues to consider when assessing the possible impact of Brexit when drafting an agreement, see </w:t>
            </w:r>
            <w:hyperlink r:id="rId43" w:history="1">
              <w:r>
                <w:rPr>
                  <w:rFonts w:ascii="Times New Roman" w:hAnsi="Times New Roman"/>
                  <w:i/>
                  <w:iCs/>
                  <w:color w:val="006FC4"/>
                  <w:kern w:val="0"/>
                  <w:sz w:val="20"/>
                  <w:szCs w:val="20"/>
                </w:rPr>
                <w:t>Practice note, Drafting for Brexit: Brexit clauses</w:t>
              </w:r>
            </w:hyperlink>
            <w:r>
              <w:rPr>
                <w:rFonts w:ascii="Times New Roman" w:hAnsi="Times New Roman"/>
                <w:color w:val="1F1F1F"/>
                <w:kern w:val="0"/>
                <w:sz w:val="20"/>
                <w:szCs w:val="20"/>
              </w:rPr>
              <w:t>, which includes specimen Brexit clauses.</w:t>
            </w:r>
          </w:p>
          <w:p w14:paraId="358B08FA"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9B51036"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523B96B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is dated [DATE]</w:t>
      </w:r>
    </w:p>
    <w:p w14:paraId="531300E4"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PARTIES</w:t>
      </w:r>
    </w:p>
    <w:p w14:paraId="1B160D10"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(1)[FULL COMPANY NAME] incorporated and registered in England and Wales with company number [NUMBER] whose registered office is at [REGISTERED OFFICE ADDRESS] (Supplier)</w:t>
      </w:r>
    </w:p>
    <w:p w14:paraId="37FFD74F"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(2)[FULL COMPANY NAME] incorporated and registered in England and Wales with company number [NUMBER] whose registered office is at [REGISTERED OFFICE ADDRESS] (Customer)</w:t>
      </w:r>
    </w:p>
    <w:p w14:paraId="6CF3C9E3" w14:textId="77777777" w:rsidR="00CE6AB2" w:rsidRDefault="00000000">
      <w:pPr>
        <w:widowControl w:val="0"/>
        <w:autoSpaceDE w:val="0"/>
        <w:autoSpaceDN w:val="0"/>
        <w:adjustRightInd w:val="0"/>
        <w:spacing w:before="200" w:after="0" w:line="240" w:lineRule="auto"/>
        <w:rPr>
          <w:rFonts w:ascii="Times New Roman" w:hAnsi="Times New Roman"/>
          <w:color w:val="3D3D3D"/>
          <w:kern w:val="0"/>
          <w:sz w:val="20"/>
          <w:szCs w:val="20"/>
        </w:rPr>
      </w:pPr>
      <w:r>
        <w:rPr>
          <w:rFonts w:ascii="Times New Roman" w:hAnsi="Times New Roman"/>
          <w:color w:val="3D3D3D"/>
          <w:kern w:val="0"/>
          <w:sz w:val="20"/>
          <w:szCs w:val="20"/>
        </w:rPr>
        <w:t>BACKGROUND</w:t>
      </w:r>
    </w:p>
    <w:p w14:paraId="5F9501A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26D24A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2320D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(A)The Supplier has supplied certain hardware products to the Customer and has agreed to provide support and maintenance for this hardware on the terms set out in this agreement.</w:t>
      </w:r>
    </w:p>
    <w:p w14:paraId="3EAF7E65"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AGREED TERMS</w:t>
      </w:r>
    </w:p>
    <w:p w14:paraId="6D90BB8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  INTERPRETATION  </w:t>
      </w:r>
    </w:p>
    <w:p w14:paraId="6478591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The definitions and rules of interpretation in this clause apply in this agreement.</w:t>
      </w:r>
    </w:p>
    <w:p w14:paraId="77FF39E5"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Additional Services:  any Emergency Maintenance or Excluded Maintenance performed by the Supplier under this agreement.</w:t>
      </w:r>
    </w:p>
    <w:p w14:paraId="155D0546"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Additional Services Fees:  the fees payable in consideration of the provision of any Additional Services, which shall be calculated at the Additional Services Rates.</w:t>
      </w:r>
    </w:p>
    <w:p w14:paraId="2CA0044E"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Additional Services Rates:  the rates set out in </w:t>
      </w:r>
      <w:hyperlink w:anchor="co_anchor_a439776_1" w:history="1">
        <w:r>
          <w:rPr>
            <w:rFonts w:ascii="Times New Roman" w:hAnsi="Times New Roman"/>
            <w:i/>
            <w:iCs/>
            <w:color w:val="006FC4"/>
            <w:kern w:val="0"/>
            <w:sz w:val="20"/>
            <w:szCs w:val="20"/>
          </w:rPr>
          <w:t>Part 5</w:t>
        </w:r>
      </w:hyperlink>
      <w:r>
        <w:rPr>
          <w:rFonts w:ascii="Times New Roman" w:hAnsi="Times New Roman"/>
          <w:color w:val="1F1F1F"/>
          <w:kern w:val="0"/>
          <w:sz w:val="20"/>
          <w:szCs w:val="20"/>
        </w:rPr>
        <w:t xml:space="preserve"> of </w:t>
      </w:r>
      <w:hyperlink w:anchor="co_anchor_a143290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as those rates are amended from time to time in accordance with the terms of this agreement.</w:t>
      </w:r>
    </w:p>
    <w:p w14:paraId="11D1EED1"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Business Day:  a day other than a Saturday, Sunday or public holiday in England when banks in [London] are open for business.</w:t>
      </w:r>
    </w:p>
    <w:p w14:paraId="3DC39088"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Charges:  the Maintenance Fees and the Additional Services Fees together.</w:t>
      </w:r>
    </w:p>
    <w:p w14:paraId="128C8B9F"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Commencement Date:  the date specified in </w:t>
      </w:r>
      <w:hyperlink w:anchor="co_anchor_a602587_1" w:history="1">
        <w:r>
          <w:rPr>
            <w:rFonts w:ascii="Times New Roman" w:hAnsi="Times New Roman"/>
            <w:i/>
            <w:iCs/>
            <w:color w:val="006FC4"/>
            <w:kern w:val="0"/>
            <w:sz w:val="20"/>
            <w:szCs w:val="20"/>
          </w:rPr>
          <w:t>Part 1</w:t>
        </w:r>
      </w:hyperlink>
      <w:r>
        <w:rPr>
          <w:rFonts w:ascii="Times New Roman" w:hAnsi="Times New Roman"/>
          <w:color w:val="1F1F1F"/>
          <w:kern w:val="0"/>
          <w:sz w:val="20"/>
          <w:szCs w:val="20"/>
        </w:rPr>
        <w:t xml:space="preserve"> of </w:t>
      </w:r>
      <w:hyperlink w:anchor="co_anchor_a143290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w:t>
      </w:r>
    </w:p>
    <w:p w14:paraId="34D520EA"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Confidential Information:  has the meaning given in </w:t>
      </w:r>
      <w:hyperlink w:anchor="co_anchor_a959936_1" w:history="1">
        <w:r>
          <w:rPr>
            <w:rFonts w:ascii="Times New Roman" w:hAnsi="Times New Roman"/>
            <w:i/>
            <w:iCs/>
            <w:color w:val="006FC4"/>
            <w:kern w:val="0"/>
            <w:sz w:val="20"/>
            <w:szCs w:val="20"/>
          </w:rPr>
          <w:t>Clause 10.1</w:t>
        </w:r>
      </w:hyperlink>
      <w:r>
        <w:rPr>
          <w:rFonts w:ascii="Times New Roman" w:hAnsi="Times New Roman"/>
          <w:color w:val="1F1F1F"/>
          <w:kern w:val="0"/>
          <w:sz w:val="20"/>
          <w:szCs w:val="20"/>
        </w:rPr>
        <w:t xml:space="preserve"> (Confidentiality).</w:t>
      </w:r>
    </w:p>
    <w:p w14:paraId="6F5C75C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Corrective Maintenance:  in accordance with </w:t>
      </w:r>
      <w:hyperlink w:anchor="co_anchor_a672503_1" w:history="1">
        <w:r>
          <w:rPr>
            <w:rFonts w:ascii="Times New Roman" w:hAnsi="Times New Roman"/>
            <w:i/>
            <w:iCs/>
            <w:color w:val="006FC4"/>
            <w:kern w:val="0"/>
            <w:sz w:val="20"/>
            <w:szCs w:val="20"/>
          </w:rPr>
          <w:t>Clause 2.3</w:t>
        </w:r>
      </w:hyperlink>
      <w:r>
        <w:rPr>
          <w:rFonts w:ascii="Times New Roman" w:hAnsi="Times New Roman"/>
          <w:color w:val="1F1F1F"/>
          <w:kern w:val="0"/>
          <w:sz w:val="20"/>
          <w:szCs w:val="20"/>
        </w:rPr>
        <w:t>:</w:t>
      </w:r>
    </w:p>
    <w:p w14:paraId="491FBCD8" w14:textId="77777777" w:rsidR="00CE6AB2" w:rsidRDefault="00000000">
      <w:pPr>
        <w:widowControl w:val="0"/>
        <w:numPr>
          <w:ilvl w:val="0"/>
          <w:numId w:val="18"/>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making any adjustments to the Maintained Equipment; and</w:t>
      </w:r>
    </w:p>
    <w:p w14:paraId="619C8B0D" w14:textId="77777777" w:rsidR="00CE6AB2" w:rsidRDefault="00000000">
      <w:pPr>
        <w:widowControl w:val="0"/>
        <w:numPr>
          <w:ilvl w:val="0"/>
          <w:numId w:val="19"/>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replacing any parts or components of the Maintained Equipment,</w:t>
      </w:r>
    </w:p>
    <w:p w14:paraId="4D8F50BB"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each case, which are required to restore the Maintained Equipment to Good Working Order.</w:t>
      </w:r>
    </w:p>
    <w:p w14:paraId="0E18FC10"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[EULA:  the end user licence agreement[s] set out in </w:t>
      </w:r>
      <w:hyperlink w:anchor="co_anchor_a251354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w:t>
      </w:r>
    </w:p>
    <w:p w14:paraId="6F8ABB6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7" w:name="co_anchor_a959570_1"/>
      <w:bookmarkEnd w:id="7"/>
      <w:r>
        <w:rPr>
          <w:rFonts w:ascii="Times New Roman" w:hAnsi="Times New Roman"/>
          <w:color w:val="1F1F1F"/>
          <w:kern w:val="0"/>
          <w:sz w:val="20"/>
          <w:szCs w:val="20"/>
        </w:rPr>
        <w:t>Excluded Causes:  </w:t>
      </w:r>
    </w:p>
    <w:p w14:paraId="3843D368" w14:textId="77777777" w:rsidR="00CE6AB2" w:rsidRDefault="00000000">
      <w:pPr>
        <w:widowControl w:val="0"/>
        <w:numPr>
          <w:ilvl w:val="0"/>
          <w:numId w:val="20"/>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defect in the manufacturer’s design of the Maintained Equipment;</w:t>
      </w:r>
    </w:p>
    <w:p w14:paraId="1D11FBCC" w14:textId="77777777" w:rsidR="00CE6AB2" w:rsidRDefault="00000000">
      <w:pPr>
        <w:widowControl w:val="0"/>
        <w:numPr>
          <w:ilvl w:val="0"/>
          <w:numId w:val="21"/>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faulty materials or workmanship in the manufacture of the Maintained Equipment;]</w:t>
      </w:r>
    </w:p>
    <w:p w14:paraId="55F591BB" w14:textId="77777777" w:rsidR="00CE6AB2" w:rsidRDefault="00000000">
      <w:pPr>
        <w:widowControl w:val="0"/>
        <w:numPr>
          <w:ilvl w:val="0"/>
          <w:numId w:val="22"/>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use of the Maintained Equipment with computer equipment or materials not supplied or approved in writing by the Supplier;</w:t>
      </w:r>
    </w:p>
    <w:p w14:paraId="48E49DDB" w14:textId="77777777" w:rsidR="00CE6AB2" w:rsidRDefault="00000000">
      <w:pPr>
        <w:widowControl w:val="0"/>
        <w:numPr>
          <w:ilvl w:val="0"/>
          <w:numId w:val="23"/>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any maintenance, alteration, modification or adjustment performed by persons other than the Supplier or its employees or agents [unless approved by the Supplier in accordance with </w:t>
      </w:r>
      <w:hyperlink w:anchor="co_anchor_a252658_1" w:history="1">
        <w:r>
          <w:rPr>
            <w:rFonts w:ascii="Times New Roman" w:hAnsi="Times New Roman"/>
            <w:i/>
            <w:iCs/>
            <w:color w:val="006FC4"/>
            <w:kern w:val="0"/>
            <w:sz w:val="20"/>
            <w:szCs w:val="20"/>
          </w:rPr>
          <w:t>Clause 5(f)</w:t>
        </w:r>
      </w:hyperlink>
      <w:r>
        <w:rPr>
          <w:rFonts w:ascii="Times New Roman" w:hAnsi="Times New Roman"/>
          <w:color w:val="1F1F1F"/>
          <w:kern w:val="0"/>
          <w:sz w:val="20"/>
          <w:szCs w:val="20"/>
        </w:rPr>
        <w:t>];</w:t>
      </w:r>
    </w:p>
    <w:p w14:paraId="0588BC1E" w14:textId="77777777" w:rsidR="00CE6AB2" w:rsidRDefault="00000000">
      <w:pPr>
        <w:widowControl w:val="0"/>
        <w:numPr>
          <w:ilvl w:val="0"/>
          <w:numId w:val="24"/>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Customer or a third party moving the Maintained Equipment;</w:t>
      </w:r>
    </w:p>
    <w:p w14:paraId="69A59167" w14:textId="77777777" w:rsidR="00CE6AB2" w:rsidRDefault="00000000">
      <w:pPr>
        <w:widowControl w:val="0"/>
        <w:numPr>
          <w:ilvl w:val="0"/>
          <w:numId w:val="25"/>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use of the Maintained Equipment in breach of any of the provisions of the agreement under which the Maintained Equipment was supplied;</w:t>
      </w:r>
    </w:p>
    <w:p w14:paraId="0FC819B4" w14:textId="77777777" w:rsidR="00CE6AB2" w:rsidRDefault="00000000">
      <w:pPr>
        <w:widowControl w:val="0"/>
        <w:numPr>
          <w:ilvl w:val="0"/>
          <w:numId w:val="26"/>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 failure, interruption or surge in the electrical power or its related infrastructure connected to the Maintained Equipment;</w:t>
      </w:r>
    </w:p>
    <w:p w14:paraId="0A8EB67B" w14:textId="77777777" w:rsidR="00CE6AB2" w:rsidRDefault="00000000">
      <w:pPr>
        <w:widowControl w:val="0"/>
        <w:numPr>
          <w:ilvl w:val="0"/>
          <w:numId w:val="27"/>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lastRenderedPageBreak/>
        <w:t>a failure or malfunction in the air conditioning or other environmental controls required for the normal operation of the Maintained Equipment, or an error or omission in the correct use of that air conditioning or other environmental controls by the Customer;</w:t>
      </w:r>
    </w:p>
    <w:p w14:paraId="1FFB46FB" w14:textId="77777777" w:rsidR="00CE6AB2" w:rsidRDefault="00000000">
      <w:pPr>
        <w:widowControl w:val="0"/>
        <w:numPr>
          <w:ilvl w:val="0"/>
          <w:numId w:val="28"/>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neglect or misuse of the Maintained Equipment; or</w:t>
      </w:r>
    </w:p>
    <w:p w14:paraId="05DECACD" w14:textId="77777777" w:rsidR="00CE6AB2" w:rsidRDefault="00000000">
      <w:pPr>
        <w:widowControl w:val="0"/>
        <w:numPr>
          <w:ilvl w:val="0"/>
          <w:numId w:val="29"/>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use of Unsupported Software.</w:t>
      </w:r>
    </w:p>
    <w:p w14:paraId="4F16D61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566B8FC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A2106DA"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Design defects in the Maintained Equipment (optional)</w:t>
            </w:r>
          </w:p>
          <w:p w14:paraId="2010BDC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D4C3F7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It should be considered whether parts (a) and (b) are appropriate in the circumstances, particularly where the Supplier is also the manufacturer of the Maintained Equipment, or where the Customer simply wants the hardware fixed, as part of the standard maintenance fees, notwithstanding that the error may be a result of an original design defect. The Customer may want the Supplier to address any defect that is detected, subject to it being compensated for the price of any spare parts in accordance with </w:t>
            </w:r>
            <w:hyperlink w:anchor="co_anchor_a628498_1" w:history="1">
              <w:r>
                <w:rPr>
                  <w:rFonts w:ascii="Times New Roman" w:hAnsi="Times New Roman"/>
                  <w:i/>
                  <w:iCs/>
                  <w:color w:val="006FC4"/>
                  <w:kern w:val="0"/>
                  <w:sz w:val="20"/>
                  <w:szCs w:val="20"/>
                </w:rPr>
                <w:t>Clause 4.1</w:t>
              </w:r>
            </w:hyperlink>
            <w:r>
              <w:rPr>
                <w:rFonts w:ascii="Times New Roman" w:hAnsi="Times New Roman"/>
                <w:color w:val="1F1F1F"/>
                <w:kern w:val="0"/>
                <w:sz w:val="20"/>
                <w:szCs w:val="20"/>
              </w:rPr>
              <w:t>. The Supplier may very well resist this, however.</w:t>
            </w:r>
          </w:p>
          <w:p w14:paraId="312AEA4E"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77765CF"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3A89AFF5"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Excluded Maintenance:  any maintenance services required to restore any malfunctioning or failed Maintained Equipment [or Supported Software] to Good Working Order where the malfunction or failure results from or is caused by any of the Excluded Causes.</w:t>
      </w:r>
    </w:p>
    <w:p w14:paraId="4F302A4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Emergency Maintenance:  </w:t>
      </w:r>
    </w:p>
    <w:p w14:paraId="05D31C06" w14:textId="77777777" w:rsidR="00CE6AB2" w:rsidRDefault="00000000">
      <w:pPr>
        <w:widowControl w:val="0"/>
        <w:numPr>
          <w:ilvl w:val="0"/>
          <w:numId w:val="30"/>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making any adjustments to the Maintained Equipment; and</w:t>
      </w:r>
    </w:p>
    <w:p w14:paraId="0EE6BC11" w14:textId="77777777" w:rsidR="00CE6AB2" w:rsidRDefault="00000000">
      <w:pPr>
        <w:widowControl w:val="0"/>
        <w:numPr>
          <w:ilvl w:val="0"/>
          <w:numId w:val="31"/>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replacing any parts or components of the Maintained Equipment, in each case, which are required to restore the Maintained Equipment to Good Working Order.</w:t>
      </w:r>
    </w:p>
    <w:p w14:paraId="44C9A042" w14:textId="77777777" w:rsidR="00CE6AB2" w:rsidRDefault="00000000">
      <w:pPr>
        <w:widowControl w:val="0"/>
        <w:autoSpaceDE w:val="0"/>
        <w:autoSpaceDN w:val="0"/>
        <w:adjustRightInd w:val="0"/>
        <w:spacing w:before="4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Fix Time:  the applicable fix times as set out in </w:t>
      </w:r>
      <w:hyperlink w:anchor="co_anchor_a1015113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w:t>
      </w:r>
      <w:hyperlink w:anchor="co_anchor_a741444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w:t>
      </w:r>
    </w:p>
    <w:p w14:paraId="0615D3C7"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Good Industry Practice:  in relation to any undertaking and any circumstances, the exercise of skill, diligence, prudence, foresight and judgement and the making of any expenditure that would reasonably be expected from a skilled person engaged in the same type of undertaking under the same or similar circumstances.</w:t>
      </w:r>
    </w:p>
    <w:p w14:paraId="0E6A3DEE"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Good Working Order:  the Maintained Equipment operates in accordance with the Operating Manuals.</w:t>
      </w:r>
    </w:p>
    <w:p w14:paraId="1CD695A0"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Initial Period:  a period of [12] months commencing on the Commencement Date.</w:t>
      </w:r>
    </w:p>
    <w:p w14:paraId="6F36DD8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Location:  the location of the Maintained Equipment as specified in </w:t>
      </w:r>
      <w:hyperlink w:anchor="co_anchor_a239422_1" w:history="1">
        <w:r>
          <w:rPr>
            <w:rFonts w:ascii="Times New Roman" w:hAnsi="Times New Roman"/>
            <w:i/>
            <w:iCs/>
            <w:color w:val="006FC4"/>
            <w:kern w:val="0"/>
            <w:sz w:val="20"/>
            <w:szCs w:val="20"/>
          </w:rPr>
          <w:t>Part 3</w:t>
        </w:r>
      </w:hyperlink>
      <w:r>
        <w:rPr>
          <w:rFonts w:ascii="Times New Roman" w:hAnsi="Times New Roman"/>
          <w:color w:val="1F1F1F"/>
          <w:kern w:val="0"/>
          <w:sz w:val="20"/>
          <w:szCs w:val="20"/>
        </w:rPr>
        <w:t xml:space="preserve"> of </w:t>
      </w:r>
      <w:hyperlink w:anchor="co_anchor_a143290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or any other location as may be agreed by the parties in writing from time to time.</w:t>
      </w:r>
    </w:p>
    <w:p w14:paraId="26DCC1E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51CE8B6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E06C61A"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Location</w:t>
            </w:r>
          </w:p>
          <w:p w14:paraId="64EACCD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EC0C4B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key concept within any hardware maintenance contract, is the location where the Supplier needs to attend to perform the Maintenance Services. This may be as simple as a certain specified address. However in more complex arrangements, such as Edge Computing deployments (see </w:t>
            </w:r>
            <w:hyperlink r:id="rId44" w:anchor="co_anchor_a850791" w:history="1">
              <w:r>
                <w:rPr>
                  <w:rFonts w:ascii="Times New Roman" w:hAnsi="Times New Roman"/>
                  <w:i/>
                  <w:iCs/>
                  <w:color w:val="006FC4"/>
                  <w:kern w:val="0"/>
                  <w:sz w:val="20"/>
                  <w:szCs w:val="20"/>
                </w:rPr>
                <w:t>Practice note, Demystifying IT for lawyers: The cloud</w:t>
              </w:r>
            </w:hyperlink>
            <w:r>
              <w:rPr>
                <w:rFonts w:ascii="Times New Roman" w:hAnsi="Times New Roman"/>
                <w:color w:val="1F1F1F"/>
                <w:kern w:val="0"/>
                <w:sz w:val="20"/>
                <w:szCs w:val="20"/>
              </w:rPr>
              <w:t>), the Maintained Equipment may be spread across a number of locations, and potentially some difficult to access locations. Consideration should be given to whether the provisions referencing Location and associated response times are appropriate for these Locations.</w:t>
            </w:r>
          </w:p>
          <w:p w14:paraId="6448A428"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BC654A4"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02AA0534"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Maintained Equipment:  the equipment specified </w:t>
      </w:r>
      <w:hyperlink w:anchor="co_anchor_a784170_1" w:history="1">
        <w:r>
          <w:rPr>
            <w:rFonts w:ascii="Times New Roman" w:hAnsi="Times New Roman"/>
            <w:i/>
            <w:iCs/>
            <w:color w:val="006FC4"/>
            <w:kern w:val="0"/>
            <w:sz w:val="20"/>
            <w:szCs w:val="20"/>
          </w:rPr>
          <w:t>Part 2</w:t>
        </w:r>
      </w:hyperlink>
      <w:r>
        <w:rPr>
          <w:rFonts w:ascii="Times New Roman" w:hAnsi="Times New Roman"/>
          <w:color w:val="1F1F1F"/>
          <w:kern w:val="0"/>
          <w:sz w:val="20"/>
          <w:szCs w:val="20"/>
        </w:rPr>
        <w:t xml:space="preserve"> of </w:t>
      </w:r>
      <w:hyperlink w:anchor="co_anchor_a143290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w:t>
      </w:r>
    </w:p>
    <w:p w14:paraId="4F96457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Maintenance Services:  Preventative Maintenance, Corrective Maintenance and Emergency Maintenance of the Maintained Equipment [together with the Software Maintenance Services].</w:t>
      </w:r>
    </w:p>
    <w:p w14:paraId="52F42BE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204BA41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C44C11C"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Maintenance services</w:t>
            </w:r>
          </w:p>
          <w:p w14:paraId="74B155F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23BDC3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the scope of the maintenance services will also cover supporting any software that is installed on the maintained equipment than the optional wording should also be included, see </w:t>
            </w:r>
            <w:hyperlink w:anchor="co_anchor_a772513_1" w:history="1">
              <w:r>
                <w:rPr>
                  <w:rFonts w:ascii="Times New Roman" w:hAnsi="Times New Roman"/>
                  <w:i/>
                  <w:iCs/>
                  <w:color w:val="006FC4"/>
                  <w:kern w:val="0"/>
                  <w:sz w:val="20"/>
                  <w:szCs w:val="20"/>
                </w:rPr>
                <w:t>Drafting note, Software maintenance services (optional)</w:t>
              </w:r>
            </w:hyperlink>
            <w:r>
              <w:rPr>
                <w:rFonts w:ascii="Times New Roman" w:hAnsi="Times New Roman"/>
                <w:color w:val="1F1F1F"/>
                <w:kern w:val="0"/>
                <w:sz w:val="20"/>
                <w:szCs w:val="20"/>
              </w:rPr>
              <w:t>.</w:t>
            </w:r>
          </w:p>
          <w:p w14:paraId="5D7D0592"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0E27EA4"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5C21183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[Mandatory Policies:  the [Customer’s OR Supplier’s] business policies [and codes] [attached OR listed] in </w:t>
      </w:r>
      <w:hyperlink w:anchor="co_anchor_a985480_1" w:history="1">
        <w:r>
          <w:rPr>
            <w:rFonts w:ascii="Times New Roman" w:hAnsi="Times New Roman"/>
            <w:i/>
            <w:iCs/>
            <w:color w:val="006FC4"/>
            <w:kern w:val="0"/>
            <w:sz w:val="20"/>
            <w:szCs w:val="20"/>
          </w:rPr>
          <w:t>Schedule 3</w:t>
        </w:r>
      </w:hyperlink>
      <w:r>
        <w:rPr>
          <w:rFonts w:ascii="Times New Roman" w:hAnsi="Times New Roman"/>
          <w:color w:val="1F1F1F"/>
          <w:kern w:val="0"/>
          <w:sz w:val="20"/>
          <w:szCs w:val="20"/>
        </w:rPr>
        <w:t>, as amended by notification to the [Supplier OR Customer] from time to time.]</w:t>
      </w:r>
    </w:p>
    <w:p w14:paraId="7CAAF07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2ADA79D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4D8C493"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Mandatory Policies (optional)</w:t>
            </w:r>
          </w:p>
          <w:p w14:paraId="4AFA1B3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7F3B2D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definition relates to the optional compliance requirement at </w:t>
            </w:r>
            <w:hyperlink w:anchor="co_anchor_a305119_1" w:history="1">
              <w:r>
                <w:rPr>
                  <w:rFonts w:ascii="Times New Roman" w:hAnsi="Times New Roman"/>
                  <w:i/>
                  <w:iCs/>
                  <w:color w:val="006FC4"/>
                  <w:kern w:val="0"/>
                  <w:sz w:val="20"/>
                  <w:szCs w:val="20"/>
                </w:rPr>
                <w:t>Clause 10.10</w:t>
              </w:r>
            </w:hyperlink>
            <w:r>
              <w:rPr>
                <w:rFonts w:ascii="Times New Roman" w:hAnsi="Times New Roman"/>
                <w:color w:val="1F1F1F"/>
                <w:kern w:val="0"/>
                <w:sz w:val="20"/>
                <w:szCs w:val="20"/>
              </w:rPr>
              <w:t xml:space="preserve">.which offers two drafting options. The first is a requirement on the Customer to comply with the Supplier’s policies, and the second is a requirement on the Supplier to comply with the Customer’s policies. Ensure that this definition is consistent with the approach taken in </w:t>
            </w:r>
            <w:hyperlink w:anchor="co_anchor_a305119_1" w:history="1">
              <w:r>
                <w:rPr>
                  <w:rFonts w:ascii="Times New Roman" w:hAnsi="Times New Roman"/>
                  <w:i/>
                  <w:iCs/>
                  <w:color w:val="006FC4"/>
                  <w:kern w:val="0"/>
                  <w:sz w:val="20"/>
                  <w:szCs w:val="20"/>
                </w:rPr>
                <w:t>Clause 10.10</w:t>
              </w:r>
            </w:hyperlink>
            <w:r>
              <w:rPr>
                <w:rFonts w:ascii="Times New Roman" w:hAnsi="Times New Roman"/>
                <w:color w:val="1F1F1F"/>
                <w:kern w:val="0"/>
                <w:sz w:val="20"/>
                <w:szCs w:val="20"/>
              </w:rPr>
              <w:t>.</w:t>
            </w:r>
          </w:p>
          <w:p w14:paraId="5B2117C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9B261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See further the integrated drafting notes at </w:t>
            </w:r>
            <w:hyperlink w:anchor="co_anchor_a927892_1" w:history="1">
              <w:r>
                <w:rPr>
                  <w:rFonts w:ascii="Times New Roman" w:hAnsi="Times New Roman"/>
                  <w:i/>
                  <w:iCs/>
                  <w:color w:val="006FC4"/>
                  <w:kern w:val="0"/>
                  <w:sz w:val="20"/>
                  <w:szCs w:val="20"/>
                </w:rPr>
                <w:t>Clause 10</w:t>
              </w:r>
            </w:hyperlink>
            <w:r>
              <w:rPr>
                <w:rFonts w:ascii="Times New Roman" w:hAnsi="Times New Roman"/>
                <w:color w:val="1F1F1F"/>
                <w:kern w:val="0"/>
                <w:sz w:val="20"/>
                <w:szCs w:val="20"/>
              </w:rPr>
              <w:t xml:space="preserve"> and also </w:t>
            </w:r>
            <w:hyperlink r:id="rId45" w:history="1">
              <w:r>
                <w:rPr>
                  <w:rFonts w:ascii="Times New Roman" w:hAnsi="Times New Roman"/>
                  <w:i/>
                  <w:iCs/>
                  <w:color w:val="006FC4"/>
                  <w:kern w:val="0"/>
                  <w:sz w:val="20"/>
                  <w:szCs w:val="20"/>
                </w:rPr>
                <w:t>Drafting note, Supply chain issues: slavery and human trafficking</w:t>
              </w:r>
            </w:hyperlink>
            <w:r>
              <w:rPr>
                <w:rFonts w:ascii="Times New Roman" w:hAnsi="Times New Roman"/>
                <w:color w:val="1F1F1F"/>
                <w:kern w:val="0"/>
                <w:sz w:val="20"/>
                <w:szCs w:val="20"/>
              </w:rPr>
              <w:t xml:space="preserve"> above.</w:t>
            </w:r>
          </w:p>
          <w:p w14:paraId="1E11C5B5"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A7FD7DD"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3588EEB6"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Normal Business Hours:  [8.30] am to [6.00] pm GMT on a Business Day.</w:t>
      </w:r>
    </w:p>
    <w:p w14:paraId="613A8326"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Operating Manuals:  all operating manuals and specifications relating to the Maintained Equipment which are provided to the Customer by the Supplier.</w:t>
      </w:r>
    </w:p>
    <w:p w14:paraId="1CC62A2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Preventative Maintenance:  means:</w:t>
      </w:r>
    </w:p>
    <w:p w14:paraId="794B58AD" w14:textId="77777777" w:rsidR="00CE6AB2" w:rsidRDefault="00000000">
      <w:pPr>
        <w:widowControl w:val="0"/>
        <w:numPr>
          <w:ilvl w:val="0"/>
          <w:numId w:val="32"/>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testing that the Maintained Equipment is functional; and</w:t>
      </w:r>
    </w:p>
    <w:p w14:paraId="5A95EE7D" w14:textId="77777777" w:rsidR="00CE6AB2" w:rsidRDefault="00000000">
      <w:pPr>
        <w:widowControl w:val="0"/>
        <w:numPr>
          <w:ilvl w:val="0"/>
          <w:numId w:val="33"/>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making any adjustments as may be required to ensure the Maintained Equipment remains in Good Working Order,</w:t>
      </w:r>
    </w:p>
    <w:p w14:paraId="44EB252D"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accordance with </w:t>
      </w:r>
      <w:hyperlink w:anchor="co_anchor_a473603_1" w:history="1">
        <w:r>
          <w:rPr>
            <w:rFonts w:ascii="Times New Roman" w:hAnsi="Times New Roman"/>
            <w:i/>
            <w:iCs/>
            <w:color w:val="006FC4"/>
            <w:kern w:val="0"/>
            <w:sz w:val="20"/>
            <w:szCs w:val="20"/>
          </w:rPr>
          <w:t>Clause 2.2</w:t>
        </w:r>
      </w:hyperlink>
      <w:r>
        <w:rPr>
          <w:rFonts w:ascii="Times New Roman" w:hAnsi="Times New Roman"/>
          <w:color w:val="1F1F1F"/>
          <w:kern w:val="0"/>
          <w:sz w:val="20"/>
          <w:szCs w:val="20"/>
        </w:rPr>
        <w:t>.</w:t>
      </w:r>
    </w:p>
    <w:p w14:paraId="0BFDFB2E"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Renewal Period:  each successive 12-month period after the Initial Period for which this agreement is renewed.</w:t>
      </w:r>
    </w:p>
    <w:p w14:paraId="2999C04C"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Representatives:  has the meaning given to it in </w:t>
      </w:r>
      <w:hyperlink w:anchor="co_anchor_a959936_1" w:history="1">
        <w:r>
          <w:rPr>
            <w:rFonts w:ascii="Times New Roman" w:hAnsi="Times New Roman"/>
            <w:i/>
            <w:iCs/>
            <w:color w:val="006FC4"/>
            <w:kern w:val="0"/>
            <w:sz w:val="20"/>
            <w:szCs w:val="20"/>
          </w:rPr>
          <w:t>Clause 10.1</w:t>
        </w:r>
      </w:hyperlink>
      <w:r>
        <w:rPr>
          <w:rFonts w:ascii="Times New Roman" w:hAnsi="Times New Roman"/>
          <w:color w:val="1F1F1F"/>
          <w:kern w:val="0"/>
          <w:sz w:val="20"/>
          <w:szCs w:val="20"/>
        </w:rPr>
        <w:t>.</w:t>
      </w:r>
    </w:p>
    <w:p w14:paraId="0A72DA03"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Response Time:  the applicable response times as set out in </w:t>
      </w:r>
      <w:hyperlink w:anchor="co_anchor_a858939_1" w:history="1">
        <w:r>
          <w:rPr>
            <w:rFonts w:ascii="Times New Roman" w:hAnsi="Times New Roman"/>
            <w:i/>
            <w:iCs/>
            <w:color w:val="006FC4"/>
            <w:kern w:val="0"/>
            <w:sz w:val="20"/>
            <w:szCs w:val="20"/>
          </w:rPr>
          <w:t>Part 1</w:t>
        </w:r>
      </w:hyperlink>
      <w:r>
        <w:rPr>
          <w:rFonts w:ascii="Times New Roman" w:hAnsi="Times New Roman"/>
          <w:color w:val="1F1F1F"/>
          <w:kern w:val="0"/>
          <w:sz w:val="20"/>
          <w:szCs w:val="20"/>
        </w:rPr>
        <w:t xml:space="preserve"> of </w:t>
      </w:r>
      <w:hyperlink w:anchor="co_anchor_a741444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w:t>
      </w:r>
    </w:p>
    <w:p w14:paraId="7322539E"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 Credits:  the service credits specified in </w:t>
      </w:r>
      <w:hyperlink w:anchor="co_anchor_a421005_1" w:history="1">
        <w:r>
          <w:rPr>
            <w:rFonts w:ascii="Times New Roman" w:hAnsi="Times New Roman"/>
            <w:i/>
            <w:iCs/>
            <w:color w:val="006FC4"/>
            <w:kern w:val="0"/>
            <w:sz w:val="20"/>
            <w:szCs w:val="20"/>
          </w:rPr>
          <w:t>Part 4</w:t>
        </w:r>
      </w:hyperlink>
      <w:r>
        <w:rPr>
          <w:rFonts w:ascii="Times New Roman" w:hAnsi="Times New Roman"/>
          <w:color w:val="1F1F1F"/>
          <w:kern w:val="0"/>
          <w:sz w:val="20"/>
          <w:szCs w:val="20"/>
        </w:rPr>
        <w:t xml:space="preserve"> of </w:t>
      </w:r>
      <w:hyperlink w:anchor="co_anchor_a741444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w:t>
      </w:r>
    </w:p>
    <w:p w14:paraId="06EECCE3"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[Service Levels:  the levels to which the Supplier must perform the Maintenance Services, as set out in </w:t>
      </w:r>
      <w:hyperlink w:anchor="co_anchor_a812168_1" w:history="1">
        <w:r>
          <w:rPr>
            <w:rFonts w:ascii="Times New Roman" w:hAnsi="Times New Roman"/>
            <w:i/>
            <w:iCs/>
            <w:color w:val="006FC4"/>
            <w:kern w:val="0"/>
            <w:sz w:val="20"/>
            <w:szCs w:val="20"/>
          </w:rPr>
          <w:t>Part 3</w:t>
        </w:r>
      </w:hyperlink>
      <w:r>
        <w:rPr>
          <w:rFonts w:ascii="Times New Roman" w:hAnsi="Times New Roman"/>
          <w:color w:val="1F1F1F"/>
          <w:kern w:val="0"/>
          <w:sz w:val="20"/>
          <w:szCs w:val="20"/>
        </w:rPr>
        <w:t xml:space="preserve"> of </w:t>
      </w:r>
      <w:hyperlink w:anchor="co_anchor_a741444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w:t>
      </w:r>
    </w:p>
    <w:p w14:paraId="1236D6F1"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[Software:  any software which is made available by Supplier to Customer, including the firmware installed on the Hardware, </w:t>
      </w:r>
      <w:r>
        <w:rPr>
          <w:rFonts w:ascii="Times New Roman" w:hAnsi="Times New Roman"/>
          <w:color w:val="1F1F1F"/>
          <w:kern w:val="0"/>
          <w:sz w:val="20"/>
          <w:szCs w:val="20"/>
        </w:rPr>
        <w:lastRenderedPageBreak/>
        <w:t>]and any updates to such software provided from time to time.]</w:t>
      </w:r>
    </w:p>
    <w:p w14:paraId="5CE0910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[Software Maintenance Services:  the software maintenance services to be provided by the Supplier in respect of the Supported Software as set out in </w:t>
      </w:r>
      <w:hyperlink w:anchor="co_anchor_a462774_1" w:history="1">
        <w:r>
          <w:rPr>
            <w:rFonts w:ascii="Times New Roman" w:hAnsi="Times New Roman"/>
            <w:i/>
            <w:iCs/>
            <w:color w:val="006FC4"/>
            <w:kern w:val="0"/>
            <w:sz w:val="20"/>
            <w:szCs w:val="20"/>
          </w:rPr>
          <w:t>Part 6</w:t>
        </w:r>
      </w:hyperlink>
      <w:r>
        <w:rPr>
          <w:rFonts w:ascii="Times New Roman" w:hAnsi="Times New Roman"/>
          <w:color w:val="1F1F1F"/>
          <w:kern w:val="0"/>
          <w:sz w:val="20"/>
          <w:szCs w:val="20"/>
        </w:rPr>
        <w:t xml:space="preserve"> of </w:t>
      </w:r>
      <w:hyperlink w:anchor="co_anchor_a143290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w:t>
      </w:r>
    </w:p>
    <w:p w14:paraId="2E296DB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7A623B8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6632F6C"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Software maintenance services (optional)</w:t>
            </w:r>
          </w:p>
          <w:p w14:paraId="261EF43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C8B9B6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is becoming increasing likely that hardware will come with some form of software (including certain pre-installed software (often referred to as firmware)).</w:t>
            </w:r>
          </w:p>
          <w:p w14:paraId="62D490F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FC9F41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support offered for software will depend on the hardware being maintained, whether the Supplier is the manufacturer of the hardware, and the other support obligations.</w:t>
            </w:r>
          </w:p>
          <w:p w14:paraId="51A64EE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2DDC5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Manufacturers will generally provide patches (minor updates to fix bugs) for free and may provider other major updates for free or for a fee. There may also be urgent security patches where a critical vulnerability is identified.</w:t>
            </w:r>
          </w:p>
          <w:p w14:paraId="1E6BE3E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13FCF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Software within hardware will often not be supported forever, but will come with an advertised shelf life, or will be maintained subject to an “end of life” notice being provided by the manufacturer.</w:t>
            </w:r>
          </w:p>
          <w:p w14:paraId="15DBC7C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B8CCEE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availability of patches or updates without charge does not mean the Supplier will install them for free. So, in the context of this agreement, the parties should consider who is responsible for all activities to do with the maintenance and support of the software and the commercial impact of those being provided, including the following:</w:t>
            </w:r>
          </w:p>
          <w:p w14:paraId="53EB309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0B2F5AF" w14:textId="77777777" w:rsidR="00CE6AB2" w:rsidRDefault="00000000">
            <w:pPr>
              <w:widowControl w:val="0"/>
              <w:numPr>
                <w:ilvl w:val="0"/>
                <w:numId w:val="3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Support services (support desk, response and resolution).</w:t>
            </w:r>
          </w:p>
          <w:p w14:paraId="6C87E73B" w14:textId="77777777" w:rsidR="00CE6AB2" w:rsidRDefault="00000000">
            <w:pPr>
              <w:widowControl w:val="0"/>
              <w:numPr>
                <w:ilvl w:val="0"/>
                <w:numId w:val="3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Monitoring the availability of patches, updates and security issues;</w:t>
            </w:r>
          </w:p>
          <w:p w14:paraId="34BEA62A" w14:textId="77777777" w:rsidR="00CE6AB2" w:rsidRDefault="00000000">
            <w:pPr>
              <w:widowControl w:val="0"/>
              <w:numPr>
                <w:ilvl w:val="0"/>
                <w:numId w:val="3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Notifying the other party of the availability of patches, updates and security issues;</w:t>
            </w:r>
          </w:p>
          <w:p w14:paraId="10F975A6" w14:textId="77777777" w:rsidR="00CE6AB2" w:rsidRDefault="00000000">
            <w:pPr>
              <w:widowControl w:val="0"/>
              <w:numPr>
                <w:ilvl w:val="0"/>
                <w:numId w:val="3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Applying and installing patches and updates from time to time; and</w:t>
            </w:r>
          </w:p>
          <w:p w14:paraId="4D23135B" w14:textId="77777777" w:rsidR="00CE6AB2" w:rsidRDefault="00000000">
            <w:pPr>
              <w:widowControl w:val="0"/>
              <w:numPr>
                <w:ilvl w:val="0"/>
                <w:numId w:val="3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Applying and installing urgent security patches from time to time.</w:t>
            </w:r>
          </w:p>
          <w:p w14:paraId="55AA70C9"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the Supplier is to take on any of these tasks, then the definition of “software maintenance services” should be retained, and the scope, and detail, of the services should be set out in </w:t>
            </w:r>
            <w:hyperlink w:anchor="co_anchor_a462774_1" w:history="1">
              <w:r>
                <w:rPr>
                  <w:rFonts w:ascii="Times New Roman" w:hAnsi="Times New Roman"/>
                  <w:i/>
                  <w:iCs/>
                  <w:color w:val="006FC4"/>
                  <w:kern w:val="0"/>
                  <w:sz w:val="20"/>
                  <w:szCs w:val="20"/>
                </w:rPr>
                <w:t>Part 6</w:t>
              </w:r>
            </w:hyperlink>
            <w:r>
              <w:rPr>
                <w:rFonts w:ascii="Times New Roman" w:hAnsi="Times New Roman"/>
                <w:color w:val="1F1F1F"/>
                <w:kern w:val="0"/>
                <w:sz w:val="20"/>
                <w:szCs w:val="20"/>
              </w:rPr>
              <w:t xml:space="preserve"> of </w:t>
            </w:r>
            <w:hyperlink w:anchor="co_anchor_a143290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w:t>
            </w:r>
          </w:p>
          <w:p w14:paraId="06B5A9F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246EFA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the Customer retains any of these responsibilities but fails, then consider if that should be an excluded cause (see </w:t>
            </w:r>
            <w:hyperlink w:anchor="co_anchor_a959570_1" w:history="1">
              <w:r>
                <w:rPr>
                  <w:rFonts w:ascii="Times New Roman" w:hAnsi="Times New Roman"/>
                  <w:i/>
                  <w:iCs/>
                  <w:color w:val="006FC4"/>
                  <w:kern w:val="0"/>
                  <w:sz w:val="20"/>
                  <w:szCs w:val="20"/>
                </w:rPr>
                <w:t>Excluded Causes</w:t>
              </w:r>
            </w:hyperlink>
            <w:r>
              <w:rPr>
                <w:rFonts w:ascii="Times New Roman" w:hAnsi="Times New Roman"/>
                <w:color w:val="1F1F1F"/>
                <w:kern w:val="0"/>
                <w:sz w:val="20"/>
                <w:szCs w:val="20"/>
              </w:rPr>
              <w:t>) or otherwise limit Supplier’s liability (for example if any form of hardware warranty is provided, would that be subject to damage caused by a failure to patch (for example due to overheating).</w:t>
            </w:r>
          </w:p>
          <w:p w14:paraId="7664C1F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721AF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hardware does not contain any software then all references to software, and software maintenance services, in this agreement can be removed.</w:t>
            </w:r>
          </w:p>
          <w:p w14:paraId="3E8063D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E833C9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example software maintenance agreements, see </w:t>
            </w:r>
            <w:hyperlink r:id="rId46" w:history="1">
              <w:r>
                <w:rPr>
                  <w:rFonts w:ascii="Times New Roman" w:hAnsi="Times New Roman"/>
                  <w:i/>
                  <w:iCs/>
                  <w:color w:val="006FC4"/>
                  <w:kern w:val="0"/>
                  <w:sz w:val="20"/>
                  <w:szCs w:val="20"/>
                </w:rPr>
                <w:t>Standard document, Software maintenance agreement (pro-customer)</w:t>
              </w:r>
            </w:hyperlink>
            <w:r>
              <w:rPr>
                <w:rFonts w:ascii="Times New Roman" w:hAnsi="Times New Roman"/>
                <w:color w:val="1F1F1F"/>
                <w:kern w:val="0"/>
                <w:sz w:val="20"/>
                <w:szCs w:val="20"/>
              </w:rPr>
              <w:t xml:space="preserve"> and </w:t>
            </w:r>
            <w:hyperlink r:id="rId47" w:history="1">
              <w:r>
                <w:rPr>
                  <w:rFonts w:ascii="Times New Roman" w:hAnsi="Times New Roman"/>
                  <w:i/>
                  <w:iCs/>
                  <w:color w:val="006FC4"/>
                  <w:kern w:val="0"/>
                  <w:sz w:val="20"/>
                  <w:szCs w:val="20"/>
                </w:rPr>
                <w:t>Standard document, Software maintenance agreement (pro-supplier)</w:t>
              </w:r>
            </w:hyperlink>
            <w:r>
              <w:rPr>
                <w:rFonts w:ascii="Times New Roman" w:hAnsi="Times New Roman"/>
                <w:color w:val="1F1F1F"/>
                <w:kern w:val="0"/>
                <w:sz w:val="20"/>
                <w:szCs w:val="20"/>
              </w:rPr>
              <w:t>.</w:t>
            </w:r>
          </w:p>
          <w:p w14:paraId="6BB7847A"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593542F"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20115F53"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Standard Maintenance Fees:  the fees set out in </w:t>
      </w:r>
      <w:hyperlink w:anchor="co_anchor_a873665_1" w:history="1">
        <w:r>
          <w:rPr>
            <w:rFonts w:ascii="Times New Roman" w:hAnsi="Times New Roman"/>
            <w:i/>
            <w:iCs/>
            <w:color w:val="006FC4"/>
            <w:kern w:val="0"/>
            <w:sz w:val="20"/>
            <w:szCs w:val="20"/>
          </w:rPr>
          <w:t>Part 4</w:t>
        </w:r>
      </w:hyperlink>
      <w:r>
        <w:rPr>
          <w:rFonts w:ascii="Times New Roman" w:hAnsi="Times New Roman"/>
          <w:color w:val="1F1F1F"/>
          <w:kern w:val="0"/>
          <w:sz w:val="20"/>
          <w:szCs w:val="20"/>
        </w:rPr>
        <w:t xml:space="preserve"> of </w:t>
      </w:r>
      <w:hyperlink w:anchor="co_anchor_a143290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as these fees are varied from time to time in accordance with the terms of this agreement.</w:t>
      </w:r>
    </w:p>
    <w:p w14:paraId="5582BB3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[Supported Software:  Software that is both:]</w:t>
      </w:r>
    </w:p>
    <w:p w14:paraId="1355BC99" w14:textId="77777777" w:rsidR="00CE6AB2" w:rsidRDefault="00000000">
      <w:pPr>
        <w:widowControl w:val="0"/>
        <w:numPr>
          <w:ilvl w:val="0"/>
          <w:numId w:val="39"/>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Specified in </w:t>
      </w:r>
      <w:hyperlink w:anchor="co_anchor_a462774_1" w:history="1">
        <w:r>
          <w:rPr>
            <w:rFonts w:ascii="Times New Roman" w:hAnsi="Times New Roman"/>
            <w:i/>
            <w:iCs/>
            <w:color w:val="006FC4"/>
            <w:kern w:val="0"/>
            <w:sz w:val="20"/>
            <w:szCs w:val="20"/>
          </w:rPr>
          <w:t>Part 6</w:t>
        </w:r>
      </w:hyperlink>
      <w:r>
        <w:rPr>
          <w:rFonts w:ascii="Times New Roman" w:hAnsi="Times New Roman"/>
          <w:color w:val="1F1F1F"/>
          <w:kern w:val="0"/>
          <w:sz w:val="20"/>
          <w:szCs w:val="20"/>
        </w:rPr>
        <w:t xml:space="preserve"> of </w:t>
      </w:r>
      <w:hyperlink w:anchor="co_anchor_a143290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xml:space="preserve"> as Supported Software.</w:t>
      </w:r>
    </w:p>
    <w:p w14:paraId="5B30FE37" w14:textId="77777777" w:rsidR="00CE6AB2" w:rsidRDefault="00000000">
      <w:pPr>
        <w:widowControl w:val="0"/>
        <w:numPr>
          <w:ilvl w:val="0"/>
          <w:numId w:val="40"/>
        </w:numPr>
        <w:autoSpaceDE w:val="0"/>
        <w:autoSpaceDN w:val="0"/>
        <w:adjustRightInd w:val="0"/>
        <w:spacing w:after="18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Currently supported by [Supplier OR the manufacture of the Maintained Equipment] [as detailed in </w:t>
      </w:r>
      <w:hyperlink w:anchor="co_anchor_a462774_1" w:history="1">
        <w:r>
          <w:rPr>
            <w:rFonts w:ascii="Times New Roman" w:hAnsi="Times New Roman"/>
            <w:i/>
            <w:iCs/>
            <w:color w:val="006FC4"/>
            <w:kern w:val="0"/>
            <w:sz w:val="20"/>
            <w:szCs w:val="20"/>
          </w:rPr>
          <w:t>Part 6</w:t>
        </w:r>
      </w:hyperlink>
      <w:r>
        <w:rPr>
          <w:rFonts w:ascii="Times New Roman" w:hAnsi="Times New Roman"/>
          <w:color w:val="1F1F1F"/>
          <w:kern w:val="0"/>
          <w:sz w:val="20"/>
          <w:szCs w:val="20"/>
        </w:rPr>
        <w:t xml:space="preserve"> of </w:t>
      </w:r>
      <w:hyperlink w:anchor="co_anchor_a143290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w:t>
      </w:r>
    </w:p>
    <w:p w14:paraId="01956C82" w14:textId="77777777" w:rsidR="00CE6AB2" w:rsidRDefault="00000000">
      <w:pPr>
        <w:widowControl w:val="0"/>
        <w:autoSpaceDE w:val="0"/>
        <w:autoSpaceDN w:val="0"/>
        <w:adjustRightInd w:val="0"/>
        <w:spacing w:before="4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Term:  the Initial Period together with all Renewal Periods.</w:t>
      </w:r>
    </w:p>
    <w:p w14:paraId="5C70799D"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[Unsupported Software:  Software that is not Supported Software.]</w:t>
      </w:r>
    </w:p>
    <w:p w14:paraId="61F6535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VAT:  value added tax imposed by the Value Added Tax Act 1994 [or any similar tax] chargeable in the UK [or elsewhere].</w:t>
      </w:r>
    </w:p>
    <w:p w14:paraId="41E793E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5AAD2C6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C2215AD"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VAT</w:t>
            </w:r>
          </w:p>
          <w:p w14:paraId="72A68B5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A3CDF1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Unless the parties are confident there will be no UK VAT or equivalent sales tax, it is recommended they retain the wording “or elsewhere” in the document.</w:t>
            </w:r>
          </w:p>
          <w:p w14:paraId="0C48A9F7"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08CD2FE"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75872BDE"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Virus:  any program which contains malicious code or infiltrates or damages a computer system without the owner’s informed consent or is designed to do so or which is hostile, intrusive or annoying to the owner or user and has no legitimate purpose.</w:t>
      </w:r>
    </w:p>
    <w:p w14:paraId="5DAADC6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Clause, Schedule and paragraph headings shall not affect the interpretation of this agreement.</w:t>
      </w:r>
    </w:p>
    <w:p w14:paraId="7ED760A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  A person includes a natural person, corporate or unincorporated body (whether or not having separate legal personality).</w:t>
      </w:r>
    </w:p>
    <w:p w14:paraId="27A471D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  The Schedules form part of this agreement and shall have effect as if set out in full in the body of this agreement. Any reference to this agreement includes the Schedules.</w:t>
      </w:r>
    </w:p>
    <w:p w14:paraId="6AB0FAE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  A reference to a company shall include any company, corporation or other body corporate, wherever and however incorporated or established.</w:t>
      </w:r>
    </w:p>
    <w:p w14:paraId="22977FE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  Unless the context otherwise requires, words in the singular shall include the plural and in the plural shall include the singular.</w:t>
      </w:r>
    </w:p>
    <w:p w14:paraId="2911F1D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  Unless the context otherwise requires, a reference to one gender shall include a reference to the other genders.</w:t>
      </w:r>
    </w:p>
    <w:p w14:paraId="3078B9A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  A reference to a statute or statutory provision is a reference to it as amended, extended or re-enacted from time to time.</w:t>
      </w:r>
    </w:p>
    <w:p w14:paraId="2276F3A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  A reference to a statute or statutory provision shall include all subordinate legislation made from time to time under that statute or statutory provision.</w:t>
      </w:r>
    </w:p>
    <w:p w14:paraId="486DA85A"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8" w:name="co_anchor_a543047_1"/>
      <w:bookmarkEnd w:id="8"/>
    </w:p>
    <w:p w14:paraId="31E0735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1.10  A reference to writing or written excludes faxes [and email OR but not e-mail].</w:t>
      </w:r>
    </w:p>
    <w:p w14:paraId="0AB69B7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A77E90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6709FE5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53434A6"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Reference to writing</w:t>
            </w:r>
          </w:p>
          <w:p w14:paraId="3ED47C2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AABDD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Care should be taken to ensure the approach in this </w:t>
            </w:r>
            <w:hyperlink w:anchor="co_anchor_a543047_1" w:history="1">
              <w:r>
                <w:rPr>
                  <w:rFonts w:ascii="Times New Roman" w:hAnsi="Times New Roman"/>
                  <w:i/>
                  <w:iCs/>
                  <w:color w:val="006FC4"/>
                  <w:kern w:val="0"/>
                  <w:sz w:val="20"/>
                  <w:szCs w:val="20"/>
                </w:rPr>
                <w:t>Clause 1.10</w:t>
              </w:r>
            </w:hyperlink>
            <w:r>
              <w:rPr>
                <w:rFonts w:ascii="Times New Roman" w:hAnsi="Times New Roman"/>
                <w:color w:val="1F1F1F"/>
                <w:kern w:val="0"/>
                <w:sz w:val="20"/>
                <w:szCs w:val="20"/>
              </w:rPr>
              <w:t xml:space="preserve"> aligns with the approach taken in </w:t>
            </w:r>
            <w:hyperlink w:anchor="co_anchor_a606956_1" w:history="1">
              <w:r>
                <w:rPr>
                  <w:rFonts w:ascii="Times New Roman" w:hAnsi="Times New Roman"/>
                  <w:i/>
                  <w:iCs/>
                  <w:color w:val="006FC4"/>
                  <w:kern w:val="0"/>
                  <w:sz w:val="20"/>
                  <w:szCs w:val="20"/>
                </w:rPr>
                <w:t>Clause 16</w:t>
              </w:r>
            </w:hyperlink>
            <w:r>
              <w:rPr>
                <w:rFonts w:ascii="Times New Roman" w:hAnsi="Times New Roman"/>
                <w:color w:val="1F1F1F"/>
                <w:kern w:val="0"/>
                <w:sz w:val="20"/>
                <w:szCs w:val="20"/>
              </w:rPr>
              <w:t>.</w:t>
            </w:r>
          </w:p>
          <w:p w14:paraId="49413E90"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56F3C41"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17674BA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1.11  References to clauses and Schedules are to the clauses and Schedules of this agreement and references to paragraphs are to paragraphs of the relevant Schedule.</w:t>
      </w:r>
    </w:p>
    <w:p w14:paraId="70CD13E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1.12  Any words following the terms including, include, in particular, for example or any similar expression shall be interpreted as illustrative and shall not limit the sense of the words, description, definition, phrase or term preceding those terms.</w:t>
      </w:r>
    </w:p>
    <w:p w14:paraId="0682BDB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1.13  If there is an inconsistency between any of the provisions in the main body of this agreement and the Schedules, the provisions in the main body of this agreement shall prevail.</w:t>
      </w:r>
    </w:p>
    <w:p w14:paraId="60B52C7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  MAINTENANCE SERVICES  </w:t>
      </w:r>
    </w:p>
    <w:p w14:paraId="217784E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77C078A9"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133850B"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Maintenance Services</w:t>
            </w:r>
          </w:p>
          <w:p w14:paraId="30839DA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442BB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This clause sets out the three main types of Maintenance Services being provided by the Supplier under this agreement. These are:</w:t>
            </w:r>
          </w:p>
          <w:p w14:paraId="064F0B1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68C167" w14:textId="77777777" w:rsidR="00CE6AB2" w:rsidRDefault="00000000">
            <w:pPr>
              <w:widowControl w:val="0"/>
              <w:numPr>
                <w:ilvl w:val="0"/>
                <w:numId w:val="4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Preventative Maintenance. This is where the Supplier attends the Customer’s premises to assess the Maintained Equipment with the objective of pre-empting any potential problems with it, and also repairing any Maintained Equipment which has failed and gone unnoticed or which is not operating as it should. Consider how frequently the Supplier will be required to carry out these pre-emptive visits.</w:t>
            </w:r>
          </w:p>
          <w:p w14:paraId="4AD05CAA" w14:textId="77777777" w:rsidR="00CE6AB2" w:rsidRDefault="00000000">
            <w:pPr>
              <w:widowControl w:val="0"/>
              <w:numPr>
                <w:ilvl w:val="0"/>
                <w:numId w:val="4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Corrective Maintenance. This is where the Supplier attends the Customer’s premises to repair the Maintained Equipment in response to a Customer’s request. The key distinction between Corrective Maintenance and Emergency Maintenance is that Corrective Maintenance is performed during Normal Business Hours and (subject to </w:t>
            </w:r>
            <w:hyperlink w:anchor="co_anchor_a628498_1" w:history="1">
              <w:r>
                <w:rPr>
                  <w:rFonts w:ascii="Times New Roman" w:hAnsi="Times New Roman"/>
                  <w:i/>
                  <w:iCs/>
                  <w:color w:val="006FC4"/>
                  <w:kern w:val="0"/>
                  <w:sz w:val="20"/>
                  <w:szCs w:val="20"/>
                </w:rPr>
                <w:t>Clause 4.1</w:t>
              </w:r>
            </w:hyperlink>
            <w:r>
              <w:rPr>
                <w:rFonts w:ascii="Times New Roman" w:hAnsi="Times New Roman"/>
                <w:color w:val="1F1F1F"/>
                <w:kern w:val="0"/>
                <w:sz w:val="20"/>
                <w:szCs w:val="20"/>
              </w:rPr>
              <w:t xml:space="preserve"> and </w:t>
            </w:r>
            <w:hyperlink w:anchor="co_anchor_a795354_1" w:history="1">
              <w:r>
                <w:rPr>
                  <w:rFonts w:ascii="Times New Roman" w:hAnsi="Times New Roman"/>
                  <w:i/>
                  <w:iCs/>
                  <w:color w:val="006FC4"/>
                  <w:kern w:val="0"/>
                  <w:sz w:val="20"/>
                  <w:szCs w:val="20"/>
                </w:rPr>
                <w:t>Clause 6</w:t>
              </w:r>
            </w:hyperlink>
            <w:r>
              <w:rPr>
                <w:rFonts w:ascii="Times New Roman" w:hAnsi="Times New Roman"/>
                <w:color w:val="1F1F1F"/>
                <w:kern w:val="0"/>
                <w:sz w:val="20"/>
                <w:szCs w:val="20"/>
              </w:rPr>
              <w:t>) is included in the fixed Standard Maintenance Fee. The parties will need to consider and agree the level of commitment that the Supplier will give in relation to any Response Time and Fix Time Service Levels. Will these be firm commitments, or will they be given on a reasonable endeavours basis only?</w:t>
            </w:r>
          </w:p>
          <w:p w14:paraId="367FD434" w14:textId="77777777" w:rsidR="00CE6AB2" w:rsidRDefault="00000000">
            <w:pPr>
              <w:widowControl w:val="0"/>
              <w:numPr>
                <w:ilvl w:val="0"/>
                <w:numId w:val="4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Emergency Maintenance. This is where the Supplier attends the Customer’s premises outside Normal Business Hours and, as such, is charged at the Additional Services Rates.</w:t>
            </w:r>
          </w:p>
          <w:p w14:paraId="60FC9EB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60B0EF" w14:textId="77777777" w:rsidR="00CE6AB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Software support</w:t>
            </w:r>
          </w:p>
          <w:p w14:paraId="5670A95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1DA41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the Supplier is providing any software support services then consider what will be done as part of the above elements of the maintenance services (such as who is responsible for regular patching and installing updates and whether this forms part of the Supplier’s services or should be a Customer responsibility and therefore an Excluded Cause), see </w:t>
            </w:r>
            <w:hyperlink w:anchor="co_anchor_a772513_1" w:history="1">
              <w:r>
                <w:rPr>
                  <w:rFonts w:ascii="Times New Roman" w:hAnsi="Times New Roman"/>
                  <w:i/>
                  <w:iCs/>
                  <w:color w:val="006FC4"/>
                  <w:kern w:val="0"/>
                  <w:sz w:val="20"/>
                  <w:szCs w:val="20"/>
                </w:rPr>
                <w:t>Drafting note, Software maintenance services (optional)</w:t>
              </w:r>
            </w:hyperlink>
            <w:r>
              <w:rPr>
                <w:rFonts w:ascii="Times New Roman" w:hAnsi="Times New Roman"/>
                <w:color w:val="1F1F1F"/>
                <w:kern w:val="0"/>
                <w:sz w:val="20"/>
                <w:szCs w:val="20"/>
              </w:rPr>
              <w:t>.</w:t>
            </w:r>
          </w:p>
          <w:p w14:paraId="7B2C90EB"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DE1DDD0"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4D07362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  During the Term, the Supplier shall provide the Customer with the Maintenance Services.</w:t>
      </w:r>
    </w:p>
    <w:p w14:paraId="28B440FE"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9" w:name="co_anchor_a473603_1"/>
      <w:bookmarkEnd w:id="9"/>
    </w:p>
    <w:p w14:paraId="262E222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  The Supplier shall [every [NUMBER] weeks OR at a frequency as is reasonably determined by the Supplier] perform Preventative Maintenance of the Maintained Equipment. Where the Supplier wishes to attend the Location in order to perform Preventative Maintenance, it shall do so during Normal Business Hours.</w:t>
      </w:r>
    </w:p>
    <w:p w14:paraId="52E1B9EA"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0" w:name="co_anchor_a672503_1"/>
      <w:bookmarkEnd w:id="10"/>
    </w:p>
    <w:p w14:paraId="38A62E3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  On the Customer informing the Supplier that the Maintained Equipment is malfunctioning or has failed or is otherwise not in Good Working Order, the Supplier shall:</w:t>
      </w:r>
    </w:p>
    <w:p w14:paraId="5A4880A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A7D2E4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[use all reasonable endeavours to] perform Corrective Maintenance of the Maintained Equipment within the relevant Fix Time; and</w:t>
      </w:r>
    </w:p>
    <w:p w14:paraId="1F6489C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where, in the Supplier’s opinion, it cannot reasonably perform Corrective Maintenance remotely, [use all reasonable endeavours to] attend at the Location during Normal Business Hours within the relevant Response Time.</w:t>
      </w:r>
    </w:p>
    <w:p w14:paraId="6F0624B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  On the Customer informing the Supplier outside of Normal Business Hours that the Maintained Equipment is malfunctioning, has failed or is not in Good Working Order, the Supplier shall:</w:t>
      </w:r>
    </w:p>
    <w:p w14:paraId="59BAFAE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39923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[use all reasonable endeavours to] perform Emergency Maintenance of the Maintained Equipment within the relevant Fix Time; and</w:t>
      </w:r>
    </w:p>
    <w:p w14:paraId="3CAC322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where, in the Supplier’s opinion, it cannot reasonably perform Emergency Maintenance remotely, [use all reasonable endeavours to] attend at the Location within the relevant Response Time.</w:t>
      </w:r>
    </w:p>
    <w:p w14:paraId="350E110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2.5  Emergency Maintenance shall be charged at the Additional Services Rates for each of the Supplier’s personnel involved in the performance of Emergency Maintenance. Any additional charges shall be calculated, in the case of Emergency Maintenance that is performed remotely, from the time at which the relevant Supplier personnel commence performance of Emergency Maintenance, and in the case of Emergency Maintenance that is performed at the Location, from when the personnel arrive at the Location until they leave the Location.</w:t>
      </w:r>
    </w:p>
    <w:p w14:paraId="77AF750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2.6  In performing any Maintenance Services, the Supplier shall [use all reasonable endeavours to] restore any </w:t>
      </w:r>
      <w:r>
        <w:rPr>
          <w:rFonts w:ascii="Times New Roman" w:hAnsi="Times New Roman"/>
          <w:color w:val="1F1F1F"/>
          <w:kern w:val="0"/>
          <w:sz w:val="20"/>
          <w:szCs w:val="20"/>
        </w:rPr>
        <w:lastRenderedPageBreak/>
        <w:t>malfunctioning or failed Maintained Equipment to Good Working Order either remotely or while in attendance at the Location. Where this is not reasonably practicable, or not reasonably practicable within Normal Business Hours (in the case of Preventative Maintenance and Corrective Maintenance), the Supplier shall either arrange for a further visit to the Location within Normal Business Hours to complete the repair, or remove the Maintained Equipment or part of the Maintained Equipment for repair off-site.</w:t>
      </w:r>
    </w:p>
    <w:p w14:paraId="212A998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2.7  The Supplier shall procure that its personnel shall, while on site at the Location, comply with the Customer’s reasonable health and safety and security policies provided that these policies have been brought to the attention of its personnel [in writing in advance].</w:t>
      </w:r>
    </w:p>
    <w:p w14:paraId="7A511BE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2.8  [The Supplier shall not be required to perform any maintenance or support in relation to either:</w:t>
      </w:r>
    </w:p>
    <w:p w14:paraId="14A90FF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Unsupported Software.</w:t>
      </w:r>
    </w:p>
    <w:p w14:paraId="34D556E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Supported Software where Customer is in breach of [this agreement or ]the relevant EULA.]</w:t>
      </w:r>
    </w:p>
    <w:p w14:paraId="7773F19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  [SERVICE LEVELS  </w:t>
      </w:r>
    </w:p>
    <w:p w14:paraId="36095DD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2B903DB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060FAE9"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Levels</w:t>
            </w:r>
          </w:p>
          <w:p w14:paraId="43868A4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B7359C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parties may wish to include a Service Level regime to measure the Supplier’s performance under the agreement. In a hardware maintenance agreement, the Service Level measurements most commonly used are the Response Times and the Fix Times. The target response and resolution times will typically vary, depending on the severity of the problem. Severity categories, together with the applicable Response Times and Fix Times, should be documented in </w:t>
            </w:r>
            <w:hyperlink w:anchor="co_anchor_a741444_1" w:history="1">
              <w:r>
                <w:rPr>
                  <w:rFonts w:ascii="Times New Roman" w:hAnsi="Times New Roman"/>
                  <w:i/>
                  <w:iCs/>
                  <w:color w:val="006FC4"/>
                  <w:kern w:val="0"/>
                  <w:sz w:val="20"/>
                  <w:szCs w:val="20"/>
                </w:rPr>
                <w:t>Schedule 2</w:t>
              </w:r>
            </w:hyperlink>
            <w:r>
              <w:rPr>
                <w:rFonts w:ascii="Times New Roman" w:hAnsi="Times New Roman"/>
                <w:color w:val="1F1F1F"/>
                <w:kern w:val="0"/>
                <w:sz w:val="20"/>
                <w:szCs w:val="20"/>
              </w:rPr>
              <w:t>.</w:t>
            </w:r>
          </w:p>
          <w:p w14:paraId="3348D40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BFBFAF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Where Service Levels apply, the Customer will normally expect these to be backed by some form of Service Credit regime, under which the Customer is entitled to a partial refund of maintenance charges if the Supplier fails to meet the Service Levels in any given measurement period (normally monthly or quarterly).</w:t>
            </w:r>
          </w:p>
          <w:p w14:paraId="5CD7ECC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2A3BC0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Take care to ensure that any Service Credits are not set at a punitive level to avoid the risk of unenforceability. For more information, see </w:t>
            </w:r>
            <w:hyperlink r:id="rId48" w:anchor="co_anchor_a574254" w:history="1">
              <w:r>
                <w:rPr>
                  <w:rFonts w:ascii="Times New Roman" w:hAnsi="Times New Roman"/>
                  <w:i/>
                  <w:iCs/>
                  <w:color w:val="006FC4"/>
                  <w:kern w:val="0"/>
                  <w:sz w:val="20"/>
                  <w:szCs w:val="20"/>
                </w:rPr>
                <w:t>Practice note, Contracts: agreed remedies: The rule against penalties</w:t>
              </w:r>
            </w:hyperlink>
            <w:r>
              <w:rPr>
                <w:rFonts w:ascii="Times New Roman" w:hAnsi="Times New Roman"/>
                <w:color w:val="1F1F1F"/>
                <w:kern w:val="0"/>
                <w:sz w:val="20"/>
                <w:szCs w:val="20"/>
              </w:rPr>
              <w:t>.</w:t>
            </w:r>
          </w:p>
          <w:p w14:paraId="3E72212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B6FAF1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Consider if and to the extent software should be covered in, or excluded from, the service level regime, see </w:t>
            </w:r>
            <w:hyperlink w:anchor="co_anchor_a772513_1" w:history="1">
              <w:r>
                <w:rPr>
                  <w:rFonts w:ascii="Times New Roman" w:hAnsi="Times New Roman"/>
                  <w:i/>
                  <w:iCs/>
                  <w:color w:val="006FC4"/>
                  <w:kern w:val="0"/>
                  <w:sz w:val="20"/>
                  <w:szCs w:val="20"/>
                </w:rPr>
                <w:t>Drafting note, Software maintenance services (optional)</w:t>
              </w:r>
            </w:hyperlink>
            <w:r>
              <w:rPr>
                <w:rFonts w:ascii="Times New Roman" w:hAnsi="Times New Roman"/>
                <w:color w:val="1F1F1F"/>
                <w:kern w:val="0"/>
                <w:sz w:val="20"/>
                <w:szCs w:val="20"/>
              </w:rPr>
              <w:t>.</w:t>
            </w:r>
          </w:p>
          <w:p w14:paraId="469DB75D"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79D0BB2"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3ED6808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3.1  The Supplier shall [use reasonable endeavours to] perform the Maintenance Services in accordance with the Service Levels.</w:t>
      </w:r>
    </w:p>
    <w:p w14:paraId="460EC01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3.2  The Supplier shall provide the Customer with a report, on a monthly basis [and in a form to be agreed with the Customer], setting out the Supplier’s performance against the Service Levels in the immediately preceding month.</w:t>
      </w:r>
    </w:p>
    <w:p w14:paraId="3EEB4F6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3.3  If the Supplier fails to perform the Maintenance Services in accordance with the Service Levels, the Supplier shall, without prejudice to the Customer’s other rights and remedies:</w:t>
      </w:r>
    </w:p>
    <w:p w14:paraId="6450F1B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56ADA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arrange all additional resources necessary to perform the Maintenance Services in accordance with the Service Levels as soon as possible and at no additional charge to the Customer; and</w:t>
      </w:r>
    </w:p>
    <w:p w14:paraId="6851099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credit the Customer with the Service Credits, which shall take effect as an adjustment to the Standard Maintenance Fee.</w:t>
      </w:r>
    </w:p>
    <w:p w14:paraId="07EA57A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3.4  The parties agree that the value of the Service Credits is proportionate when considering the Customer’s legitimate interest to avoid any delay or deficiency in the maintenance of the Maintained Equipment.]</w:t>
      </w:r>
    </w:p>
    <w:p w14:paraId="44315B1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  REPLACEMENTS AND SPARE PARTS  </w:t>
      </w:r>
    </w:p>
    <w:p w14:paraId="347F53E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0A7072B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3C2654A"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Replacements and spare parts</w:t>
            </w:r>
          </w:p>
          <w:p w14:paraId="23B48D5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9F2B0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It may not always be possible or economically viable for the Supplier to repair hardware that has failed. The </w:t>
            </w:r>
            <w:r>
              <w:rPr>
                <w:rFonts w:ascii="Times New Roman" w:hAnsi="Times New Roman"/>
                <w:color w:val="1F1F1F"/>
                <w:kern w:val="0"/>
                <w:sz w:val="20"/>
                <w:szCs w:val="20"/>
              </w:rPr>
              <w:lastRenderedPageBreak/>
              <w:t>agreement therefore needs to address the financial consequences of hardware failures which require spare or replacement parts. For example, are the costs of replacement/spare parts included within the Standard Maintenance Fees or are they subject to an additional charge?</w:t>
            </w:r>
          </w:p>
          <w:p w14:paraId="554399D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D72B51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Some Customers will prefer to include these costs in the Standard Maintenance Fees on the basis that this will give greater budgetary certainty as to overall hardware maintenance costs, although this will be reflected in a higher maintenance charge. Fixing the fees in this way may also encourage the Supplier to maintain the Maintained Equipment to a higher standard than might otherwise be the case (as they cannot levy an additional charge for replacement hardware).</w:t>
            </w:r>
          </w:p>
          <w:p w14:paraId="5498F15D"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6EDF94D"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4281CD7F"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1" w:name="co_anchor_a628498_1"/>
      <w:bookmarkEnd w:id="11"/>
    </w:p>
    <w:p w14:paraId="08B568C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4.1  In performing the Preventative Maintenance, Corrective Maintenance and the Additional Services, the Supplier shall [use all reasonable endeavours to] source spare parts required to restore the Maintained Equipment to Good Working Order. Where the Supplier can reasonably source individual spare parts for less than £[AMOUNT] excluding VAT, the Supplier shall not charge the Customer for the spare parts. Where the Supplier is unable to source individual spare parts for less than this amount, the Supplier shall have the right to charge the Customer for the spare parts.</w:t>
      </w:r>
    </w:p>
    <w:p w14:paraId="3280E2B3"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2" w:name="co_anchor_a673814_1"/>
      <w:bookmarkEnd w:id="12"/>
    </w:p>
    <w:p w14:paraId="1585A90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4.2  All spare parts and/or replacements provided by the Supplier to the Customer shall become part of the Maintained Equipment [and the property of the Customer. The Supplier will assign to the Customer, with full title guarantee and free from all third-party rights, all spare parts and/or replacements provided by the Supplier]. All parts and components removed from the Maintained Equipment by the Supplier in the course of performing the Preventative Maintenance, Corrective Maintenance and/or the Additional Services shall no longer constitute part of the Maintained Equipment [and will be the property of the Supplier. The Customer will assign to the Supplier, with full title guarantee and free from all third-party rights, all parts and components removed from the Maintained Equipment by the Supplier in accordance with this </w:t>
      </w:r>
      <w:hyperlink w:anchor="co_anchor_a673814_1" w:history="1">
        <w:r>
          <w:rPr>
            <w:rFonts w:ascii="Times New Roman" w:hAnsi="Times New Roman"/>
            <w:i/>
            <w:iCs/>
            <w:color w:val="006FC4"/>
            <w:kern w:val="0"/>
            <w:sz w:val="20"/>
            <w:szCs w:val="20"/>
          </w:rPr>
          <w:t>Clause 4.2</w:t>
        </w:r>
      </w:hyperlink>
      <w:r>
        <w:rPr>
          <w:rFonts w:ascii="Times New Roman" w:hAnsi="Times New Roman"/>
          <w:color w:val="1F1F1F"/>
          <w:kern w:val="0"/>
          <w:sz w:val="20"/>
          <w:szCs w:val="20"/>
        </w:rPr>
        <w:t>]. [For the purposes of this sub-clause, ‘assign’ includes ‘transfer ownership of’.]</w:t>
      </w:r>
    </w:p>
    <w:p w14:paraId="43B2F7C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5.  CUSTOMER’S OBLIGATIONS  </w:t>
      </w:r>
    </w:p>
    <w:p w14:paraId="43D8F6B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7CDD3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071974C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2402714"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Customer’s obligations</w:t>
            </w:r>
          </w:p>
          <w:p w14:paraId="022813D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68DF65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contains a number of obligations on the Customer which, from the Supplier’s standpoint, are intended to reduce the amount of Corrective Maintenance or Emergency Maintenance required. Many of these are relatively standard Customer obligations. However, the implications of each will need to be carefully considered.</w:t>
            </w:r>
          </w:p>
          <w:p w14:paraId="1F2F921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0549B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particular, </w:t>
            </w:r>
            <w:hyperlink w:anchor="co_anchor_a252658_1" w:history="1">
              <w:r>
                <w:rPr>
                  <w:rFonts w:ascii="Times New Roman" w:hAnsi="Times New Roman"/>
                  <w:i/>
                  <w:iCs/>
                  <w:color w:val="006FC4"/>
                  <w:kern w:val="0"/>
                  <w:sz w:val="20"/>
                  <w:szCs w:val="20"/>
                </w:rPr>
                <w:t>Clause 5(f)</w:t>
              </w:r>
            </w:hyperlink>
            <w:r>
              <w:rPr>
                <w:rFonts w:ascii="Times New Roman" w:hAnsi="Times New Roman"/>
                <w:color w:val="1F1F1F"/>
                <w:kern w:val="0"/>
                <w:sz w:val="20"/>
                <w:szCs w:val="20"/>
              </w:rPr>
              <w:t xml:space="preserve"> (which prevents anyone other than the Supplier maintaining or making changes to the Maintained Equipment), </w:t>
            </w:r>
            <w:hyperlink w:anchor="co_anchor_a451558_1" w:history="1">
              <w:r>
                <w:rPr>
                  <w:rFonts w:ascii="Times New Roman" w:hAnsi="Times New Roman"/>
                  <w:i/>
                  <w:iCs/>
                  <w:color w:val="006FC4"/>
                  <w:kern w:val="0"/>
                  <w:sz w:val="20"/>
                  <w:szCs w:val="20"/>
                </w:rPr>
                <w:t>Clause 5(g)</w:t>
              </w:r>
            </w:hyperlink>
            <w:r>
              <w:rPr>
                <w:rFonts w:ascii="Times New Roman" w:hAnsi="Times New Roman"/>
                <w:color w:val="1F1F1F"/>
                <w:kern w:val="0"/>
                <w:sz w:val="20"/>
                <w:szCs w:val="20"/>
              </w:rPr>
              <w:t xml:space="preserve"> (which prevents the Customer from moving the equipment without the Supplier’s prior written consent), and </w:t>
            </w:r>
            <w:hyperlink w:anchor="co_anchor_a113801_1" w:history="1">
              <w:r>
                <w:rPr>
                  <w:rFonts w:ascii="Times New Roman" w:hAnsi="Times New Roman"/>
                  <w:i/>
                  <w:iCs/>
                  <w:color w:val="006FC4"/>
                  <w:kern w:val="0"/>
                  <w:sz w:val="20"/>
                  <w:szCs w:val="20"/>
                </w:rPr>
                <w:t>Clause 5(i)</w:t>
              </w:r>
            </w:hyperlink>
            <w:r>
              <w:rPr>
                <w:rFonts w:ascii="Times New Roman" w:hAnsi="Times New Roman"/>
                <w:color w:val="1F1F1F"/>
                <w:kern w:val="0"/>
                <w:sz w:val="20"/>
                <w:szCs w:val="20"/>
              </w:rPr>
              <w:t xml:space="preserve"> (which requires the Customer to use only materials that have been supplied or approved by the Supplier) each require careful consideration, particularly in the context of any outsourcing arrangements that the Customer has entered into (or is planning to enter into). They will not be appropriate in many cases.</w:t>
            </w:r>
          </w:p>
          <w:p w14:paraId="08E9A988"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6A22D91"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46BAF8C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The Customer shall:</w:t>
      </w:r>
    </w:p>
    <w:p w14:paraId="0DE5DF4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B468F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ensure that the Maintained Equipment is installed and kept at the Location, under suitable conditions, as specified in [the agreement under which the Maintained Equipment was supplied OR the Operating Manuals], and permit only trained and competent personnel to use it and follow any operating instructions as the Supplier may give from time to time;</w:t>
      </w:r>
    </w:p>
    <w:p w14:paraId="122C677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notify the Supplier promptly if the Maintained Equipment is discovered to be operating incorrectly.</w:t>
      </w:r>
    </w:p>
    <w:p w14:paraId="4C8AD50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(c)  at all reasonable times permit full and free access to the Location and to the Maintained Equipment to the Supplier, its employees, contractors and agents, and provide them with adequate and safe working space, and any telecommunications facilities as are reasonably required to enable the Supplier to perform the Maintenance Services and the Additional Services while at the Location;</w:t>
      </w:r>
    </w:p>
    <w:p w14:paraId="051AD38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provide the Supplier with any information that is reasonably requested in the performance of the Maintenance Services and the Additional Services;</w:t>
      </w:r>
    </w:p>
    <w:p w14:paraId="7132543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take any steps reasonably necessary to ensure the safety of the Supplier’s personnel when attending the Location;</w:t>
      </w:r>
    </w:p>
    <w:p w14:paraId="32D577DB"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3" w:name="co_anchor_a252658_1"/>
      <w:bookmarkEnd w:id="13"/>
    </w:p>
    <w:p w14:paraId="4263D71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  not allow any person other than the Supplier to maintain, alter, modify or adjust the Maintained Equipment without the prior written approval of the Supplier;</w:t>
      </w:r>
    </w:p>
    <w:p w14:paraId="0B40431D"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4" w:name="co_anchor_a451558_1"/>
      <w:bookmarkEnd w:id="14"/>
    </w:p>
    <w:p w14:paraId="3B5B5F4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  not move the Maintained Equipment from the Location without the prior written approval of the Supplier (such approval not to be unreasonably withheld or delayed);</w:t>
      </w:r>
    </w:p>
    <w:p w14:paraId="3B62823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  store any reserve equipment only in conditions approved by the Supplier, and make this equipment available for periodic maintenance, as with all other Maintained Equipment; [and]</w:t>
      </w:r>
    </w:p>
    <w:p w14:paraId="4D2AD2B2"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5" w:name="co_anchor_a113801_1"/>
      <w:bookmarkEnd w:id="15"/>
    </w:p>
    <w:p w14:paraId="7EE1D88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only use supplies or materials supplied or approved by the Supplier (such approval not to be unreasonably withheld or delayed)[; and]</w:t>
      </w:r>
    </w:p>
    <w:p w14:paraId="393C48B3" w14:textId="77777777" w:rsidR="00CE6AB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(j)  [only use the Software in accordance with the terms and conditions set out in the EULA.]</w:t>
      </w:r>
    </w:p>
    <w:p w14:paraId="58BDC189"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6" w:name="co_anchor_a795354_1"/>
      <w:bookmarkEnd w:id="16"/>
    </w:p>
    <w:p w14:paraId="02B67BB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  EXCLUDED MAINTENANCE  </w:t>
      </w:r>
    </w:p>
    <w:p w14:paraId="2DB3DD6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72B7954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840FF9F"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Excluded Maintenance</w:t>
            </w:r>
          </w:p>
          <w:p w14:paraId="209B73B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6B418F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needs careful review by both parties as it effectively defines the scope of the hardware Maintenance Services (and the circumstances in which those Maintenance Services will be provided) as part of the Standard Maintenance Fees.</w:t>
            </w:r>
          </w:p>
          <w:p w14:paraId="462E868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EB0DB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From the Supplier’s point of view, it protects them from having to provide Maintenance Services in relation to failures or malfunctions which are the fault of the Customer (for example, damage caused by moving equipment or a failure to use required environmental controls). From the Customer’s point of view, careful attention needs to be paid to ensure that the exclusions are not too broad, in turn significantly reducing the circumstances in which maintenance will be provided as part of the Standard Maintenance Fees.</w:t>
            </w:r>
          </w:p>
          <w:p w14:paraId="3179A27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5B3EB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As drafted, where maintenance is required for any of the reasons set out in the definition of</w:t>
            </w:r>
            <w:r>
              <w:rPr>
                <w:rFonts w:ascii="Times New Roman" w:hAnsi="Times New Roman"/>
                <w:i/>
                <w:iCs/>
                <w:color w:val="1F1F1F"/>
                <w:kern w:val="0"/>
                <w:sz w:val="20"/>
                <w:szCs w:val="20"/>
              </w:rPr>
              <w:t xml:space="preserve"> </w:t>
            </w:r>
            <w:hyperlink w:anchor="co_anchor_a959570_1" w:history="1">
              <w:r>
                <w:rPr>
                  <w:rFonts w:ascii="Times New Roman" w:hAnsi="Times New Roman"/>
                  <w:i/>
                  <w:iCs/>
                  <w:color w:val="006FC4"/>
                  <w:kern w:val="0"/>
                  <w:sz w:val="20"/>
                  <w:szCs w:val="20"/>
                </w:rPr>
                <w:t>Excluded Causes</w:t>
              </w:r>
            </w:hyperlink>
            <w:r>
              <w:rPr>
                <w:rFonts w:ascii="Times New Roman" w:hAnsi="Times New Roman"/>
                <w:color w:val="1F1F1F"/>
                <w:kern w:val="0"/>
                <w:sz w:val="20"/>
                <w:szCs w:val="20"/>
              </w:rPr>
              <w:t>, additional charges will be applied.</w:t>
            </w:r>
          </w:p>
          <w:p w14:paraId="218126BB"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7E660E5"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2C1FE92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6.1  The Supplier is not obliged to perform any Excluded Maintenance.</w:t>
      </w:r>
    </w:p>
    <w:p w14:paraId="5F40BE0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6.2  Where the Supplier is performing or has performed the Maintenance Services in circumstances where it is established that the Maintained Equipment was not in Good Working Order due to any of the Excluded Causes, the Supplier may charge, and the Customer shall pay, the Additional Services Fees in respect of that work.</w:t>
      </w:r>
    </w:p>
    <w:p w14:paraId="51C7279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  CHARGES  </w:t>
      </w:r>
    </w:p>
    <w:p w14:paraId="6046171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58CFB32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BF14571"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Charges</w:t>
            </w:r>
          </w:p>
          <w:p w14:paraId="7201E9B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E6F565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There are three types of fees payable under this agreement:</w:t>
            </w:r>
          </w:p>
          <w:p w14:paraId="2050FBA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DD26B7D" w14:textId="77777777" w:rsidR="00CE6AB2" w:rsidRDefault="00000000">
            <w:pPr>
              <w:widowControl w:val="0"/>
              <w:numPr>
                <w:ilvl w:val="0"/>
                <w:numId w:val="4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xml:space="preserve">Standard Maintenance Fees. These are payable in respect of Preventative Maintenance and Corrective Maintenance (and, where applicable, the Software Maintenance Services) performed during Normal Business Hours. The applicable payment terms (that is, when the fees will be payable and at what intervals) need to be agreed and documented in </w:t>
            </w:r>
            <w:hyperlink w:anchor="co_anchor_a94432_1" w:history="1">
              <w:r>
                <w:rPr>
                  <w:rFonts w:ascii="Times New Roman" w:hAnsi="Times New Roman"/>
                  <w:i/>
                  <w:iCs/>
                  <w:color w:val="006FC4"/>
                  <w:kern w:val="0"/>
                  <w:sz w:val="20"/>
                  <w:szCs w:val="20"/>
                </w:rPr>
                <w:t>Clause 7.4</w:t>
              </w:r>
            </w:hyperlink>
            <w:r>
              <w:rPr>
                <w:rFonts w:ascii="Times New Roman" w:hAnsi="Times New Roman"/>
                <w:color w:val="1F1F1F"/>
                <w:kern w:val="0"/>
                <w:sz w:val="20"/>
                <w:szCs w:val="20"/>
              </w:rPr>
              <w:t>.</w:t>
            </w:r>
          </w:p>
          <w:p w14:paraId="6C727AFE" w14:textId="77777777" w:rsidR="00CE6AB2" w:rsidRDefault="00000000">
            <w:pPr>
              <w:widowControl w:val="0"/>
              <w:numPr>
                <w:ilvl w:val="0"/>
                <w:numId w:val="4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Additional Services Fees. These are payable in respect of any Emergency Maintenance and any Excluded Maintenance. Additional Services Fees are calculated in accordance with the rates set out in </w:t>
            </w:r>
            <w:hyperlink w:anchor="co_anchor_a143290_1" w:history="1">
              <w:r>
                <w:rPr>
                  <w:rFonts w:ascii="Times New Roman" w:hAnsi="Times New Roman"/>
                  <w:i/>
                  <w:iCs/>
                  <w:color w:val="006FC4"/>
                  <w:kern w:val="0"/>
                  <w:sz w:val="20"/>
                  <w:szCs w:val="20"/>
                </w:rPr>
                <w:t>Schedule 1</w:t>
              </w:r>
            </w:hyperlink>
            <w:r>
              <w:rPr>
                <w:rFonts w:ascii="Times New Roman" w:hAnsi="Times New Roman"/>
                <w:color w:val="1F1F1F"/>
                <w:kern w:val="0"/>
                <w:sz w:val="20"/>
                <w:szCs w:val="20"/>
              </w:rPr>
              <w:t xml:space="preserve"> and, as currently drafted, are payable in arrear on a monthly basis.</w:t>
            </w:r>
          </w:p>
          <w:p w14:paraId="7EE54147" w14:textId="77777777" w:rsidR="00CE6AB2" w:rsidRDefault="00000000">
            <w:pPr>
              <w:widowControl w:val="0"/>
              <w:numPr>
                <w:ilvl w:val="0"/>
                <w:numId w:val="4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Fees for spare parts. These charges are payable where the threshold set out in </w:t>
            </w:r>
            <w:hyperlink w:anchor="co_anchor_a628498_1" w:history="1">
              <w:r>
                <w:rPr>
                  <w:rFonts w:ascii="Times New Roman" w:hAnsi="Times New Roman"/>
                  <w:i/>
                  <w:iCs/>
                  <w:color w:val="006FC4"/>
                  <w:kern w:val="0"/>
                  <w:sz w:val="20"/>
                  <w:szCs w:val="20"/>
                </w:rPr>
                <w:t>Clause 4.1</w:t>
              </w:r>
            </w:hyperlink>
            <w:r>
              <w:rPr>
                <w:rFonts w:ascii="Times New Roman" w:hAnsi="Times New Roman"/>
                <w:color w:val="1F1F1F"/>
                <w:kern w:val="0"/>
                <w:sz w:val="20"/>
                <w:szCs w:val="20"/>
              </w:rPr>
              <w:t xml:space="preserve"> is exceeded.</w:t>
            </w:r>
          </w:p>
          <w:p w14:paraId="3C064D49" w14:textId="77777777" w:rsidR="00CE6AB2" w:rsidRDefault="00CE6AB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33198E07"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766A83B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7.1  For the performance of Corrective Maintenance and Preventative Maintenance [and Software Maintenance Services], the Customer shall pay to the Supplier the Standard Maintenance Fees.</w:t>
      </w:r>
    </w:p>
    <w:p w14:paraId="6F4C409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7.2  For the performance of any Additional Services, the Customer shall pay to the Supplier the Additional Services Fees.</w:t>
      </w:r>
    </w:p>
    <w:p w14:paraId="5B57191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7.3  The Standard Maintenance Fees and the Additional Services Fees shall be inclusive of all expenses, other than those recoverable in accordance with </w:t>
      </w:r>
      <w:hyperlink w:anchor="co_anchor_a628498_1" w:history="1">
        <w:r>
          <w:rPr>
            <w:rFonts w:ascii="Times New Roman" w:hAnsi="Times New Roman"/>
            <w:i/>
            <w:iCs/>
            <w:color w:val="006FC4"/>
            <w:kern w:val="0"/>
            <w:sz w:val="20"/>
            <w:szCs w:val="20"/>
          </w:rPr>
          <w:t>Clause 4.1</w:t>
        </w:r>
      </w:hyperlink>
      <w:r>
        <w:rPr>
          <w:rFonts w:ascii="Times New Roman" w:hAnsi="Times New Roman"/>
          <w:color w:val="1F1F1F"/>
          <w:kern w:val="0"/>
          <w:sz w:val="20"/>
          <w:szCs w:val="20"/>
        </w:rPr>
        <w:t xml:space="preserve">, and the Supplier shall be responsible for all costs and expenses incurred in providing the Maintenance Services (other than those recoverable in accordance with </w:t>
      </w:r>
      <w:hyperlink w:anchor="co_anchor_a628498_1" w:history="1">
        <w:r>
          <w:rPr>
            <w:rFonts w:ascii="Times New Roman" w:hAnsi="Times New Roman"/>
            <w:i/>
            <w:iCs/>
            <w:color w:val="006FC4"/>
            <w:kern w:val="0"/>
            <w:sz w:val="20"/>
            <w:szCs w:val="20"/>
          </w:rPr>
          <w:t>Clause 4.1</w:t>
        </w:r>
      </w:hyperlink>
      <w:r>
        <w:rPr>
          <w:rFonts w:ascii="Times New Roman" w:hAnsi="Times New Roman"/>
          <w:color w:val="1F1F1F"/>
          <w:kern w:val="0"/>
          <w:sz w:val="20"/>
          <w:szCs w:val="20"/>
        </w:rPr>
        <w:t>).</w:t>
      </w:r>
    </w:p>
    <w:p w14:paraId="376AED76"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7" w:name="co_anchor_a94432_1"/>
      <w:bookmarkEnd w:id="17"/>
    </w:p>
    <w:p w14:paraId="1C249AB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7.4  The Standard Maintenance Fees shall be due and payable in full to the Supplier [annually in advance], within [30] days of receipt of a valid invoice from the Supplier. Any Additional Services Fees shall be due and payable monthly, within [30] days of receipt of a valid invoice from the Supplier. Any charges for spare parts recoverable in accordance with </w:t>
      </w:r>
      <w:hyperlink w:anchor="co_anchor_a628498_1" w:history="1">
        <w:r>
          <w:rPr>
            <w:rFonts w:ascii="Times New Roman" w:hAnsi="Times New Roman"/>
            <w:i/>
            <w:iCs/>
            <w:color w:val="006FC4"/>
            <w:kern w:val="0"/>
            <w:sz w:val="20"/>
            <w:szCs w:val="20"/>
          </w:rPr>
          <w:t>Clause 4.1</w:t>
        </w:r>
      </w:hyperlink>
      <w:r>
        <w:rPr>
          <w:rFonts w:ascii="Times New Roman" w:hAnsi="Times New Roman"/>
          <w:color w:val="1F1F1F"/>
          <w:kern w:val="0"/>
          <w:sz w:val="20"/>
          <w:szCs w:val="20"/>
        </w:rPr>
        <w:t xml:space="preserve"> shall be due within [30] days of receipt of a valid invoice from the Supplier.</w:t>
      </w:r>
    </w:p>
    <w:p w14:paraId="43511A7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7.5  If the Customer fails to make any payment due to the Supplier under this agreement by the due date for payment, then[, without limiting the Supplier’s remedies under </w:t>
      </w:r>
      <w:hyperlink w:anchor="co_anchor_a839850_1" w:history="1">
        <w:r>
          <w:rPr>
            <w:rFonts w:ascii="Times New Roman" w:hAnsi="Times New Roman"/>
            <w:i/>
            <w:iCs/>
            <w:color w:val="006FC4"/>
            <w:kern w:val="0"/>
            <w:sz w:val="20"/>
            <w:szCs w:val="20"/>
          </w:rPr>
          <w:t>Clause 11</w:t>
        </w:r>
      </w:hyperlink>
      <w:r>
        <w:rPr>
          <w:rFonts w:ascii="Times New Roman" w:hAnsi="Times New Roman"/>
          <w:color w:val="1F1F1F"/>
          <w:kern w:val="0"/>
          <w:sz w:val="20"/>
          <w:szCs w:val="20"/>
        </w:rPr>
        <w:t>, the Customer shall pay interest on the overdue amount at the rate of [4]% per annum above [FULL NAME OF BANK]’s base rate from time to time. Such interest shall accrue on a daily basis from the due date until actual payment of the overdue amount, whether before or after judgment. The Customer shall pay the interest together with the overdue amount.</w:t>
      </w:r>
    </w:p>
    <w:p w14:paraId="1970AD28"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18" w:name="co_anchor_a731266_1"/>
      <w:bookmarkEnd w:id="18"/>
    </w:p>
    <w:p w14:paraId="12AFA94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7.6  All payments made by the Customer under this agreement are exclusive of VAT, which shall be paid by the Customer at the rate and in the manner for the time being prescribed by law. The Supplier shall provide the Customer with a valid VAT invoice.</w:t>
      </w:r>
    </w:p>
    <w:p w14:paraId="77FDE92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19" w:name="co_anchor_a110853_1"/>
      <w:bookmarkEnd w:id="19"/>
      <w:r>
        <w:rPr>
          <w:rFonts w:ascii="Times New Roman" w:hAnsi="Times New Roman"/>
          <w:color w:val="1F1F1F"/>
          <w:kern w:val="0"/>
          <w:sz w:val="20"/>
          <w:szCs w:val="20"/>
        </w:rPr>
        <w:t>    7.7  [The Customer shall pay any stamp duties or similar transfer taxes imposed on the supplies made under this agreement and shall reimburse the Supplier for any such stamp duties or similar transfer taxes paid by the Supplier. If the Customer is required to make any deduction for or on account of tax from any payment due under this agreement (Tax Deduction):</w:t>
      </w:r>
    </w:p>
    <w:p w14:paraId="62E6474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Customer shall account to the relevant tax authority for such Tax Deduction and shall provide evidence to the Supplier that it has so accounted.</w:t>
      </w:r>
    </w:p>
    <w:p w14:paraId="374914A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amount of the payment due under this Agreement shall be increased so that the Supplier receives an amount equal to the amount that would have been received by it, had the Customer not been required to make any Tax Deduction.</w:t>
      </w:r>
    </w:p>
    <w:p w14:paraId="09A95A4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 and the Supplier shall co-operate to minimise the amount of any Tax Deduction. If following the making of a Tax Deduction, the Supplier determines [in its sole discretion OR acting in good faith] that it (or any member of the Supplier’s group) has received and retained any credit, relief or other benefit as a result of the Tax Deduction, the Supplier shall pay such amount to the Customer as the Supplier determines [in its sole discretion OR acting in good faith] would leave the Supplier in the same position as if the Customer had not been required to make any Tax Deduction.]</w:t>
      </w:r>
    </w:p>
    <w:p w14:paraId="40F91DF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46DE581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FFECA0C"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Tax deductions and withholding (optional)</w:t>
            </w:r>
          </w:p>
          <w:p w14:paraId="5C99EED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86DC9E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In international supply agreements, for example where the customer and supplier are located in different countries, consideration should be given as to whether the short provision in </w:t>
            </w:r>
            <w:hyperlink w:anchor="co_anchor_a731266_1" w:history="1">
              <w:r>
                <w:rPr>
                  <w:rFonts w:ascii="Times New Roman" w:hAnsi="Times New Roman"/>
                  <w:i/>
                  <w:iCs/>
                  <w:color w:val="006FC4"/>
                  <w:kern w:val="0"/>
                  <w:sz w:val="20"/>
                  <w:szCs w:val="20"/>
                </w:rPr>
                <w:t>Clause 7.6</w:t>
              </w:r>
            </w:hyperlink>
            <w:r>
              <w:rPr>
                <w:rFonts w:ascii="Times New Roman" w:hAnsi="Times New Roman"/>
                <w:color w:val="1F1F1F"/>
                <w:kern w:val="0"/>
                <w:sz w:val="20"/>
                <w:szCs w:val="20"/>
              </w:rPr>
              <w:t xml:space="preserve"> is sufficient by itself, or whether it may be necessary to have additional wording to deal with taxation issues that only arise in international contexts, (such as transfer taxes and tax withholding). </w:t>
            </w:r>
            <w:hyperlink w:anchor="co_anchor_a110853_1" w:history="1">
              <w:r>
                <w:rPr>
                  <w:rFonts w:ascii="Times New Roman" w:hAnsi="Times New Roman"/>
                  <w:i/>
                  <w:iCs/>
                  <w:color w:val="006FC4"/>
                  <w:kern w:val="0"/>
                  <w:sz w:val="20"/>
                  <w:szCs w:val="20"/>
                </w:rPr>
                <w:t>Clause 7.7</w:t>
              </w:r>
            </w:hyperlink>
            <w:r>
              <w:rPr>
                <w:rFonts w:ascii="Times New Roman" w:hAnsi="Times New Roman"/>
                <w:color w:val="1F1F1F"/>
                <w:kern w:val="0"/>
                <w:sz w:val="20"/>
                <w:szCs w:val="20"/>
              </w:rPr>
              <w:t xml:space="preserve"> is an optional clause that can be used for tax withholding where </w:t>
            </w:r>
            <w:r>
              <w:rPr>
                <w:rFonts w:ascii="Times New Roman" w:hAnsi="Times New Roman"/>
                <w:color w:val="1F1F1F"/>
                <w:kern w:val="0"/>
                <w:sz w:val="20"/>
                <w:szCs w:val="20"/>
              </w:rPr>
              <w:lastRenderedPageBreak/>
              <w:t xml:space="preserve">required. It is always advisable to obtain expert tax advice on the structuring of payments before any agreement is entered into. For further guidance on tax deductions and withholding, see </w:t>
            </w:r>
            <w:hyperlink r:id="rId49" w:history="1">
              <w:r>
                <w:rPr>
                  <w:rFonts w:ascii="Times New Roman" w:hAnsi="Times New Roman"/>
                  <w:i/>
                  <w:iCs/>
                  <w:color w:val="006FC4"/>
                  <w:kern w:val="0"/>
                  <w:sz w:val="20"/>
                  <w:szCs w:val="20"/>
                </w:rPr>
                <w:t>Practice note, Withholding tax</w:t>
              </w:r>
            </w:hyperlink>
            <w:r>
              <w:rPr>
                <w:rFonts w:ascii="Times New Roman" w:hAnsi="Times New Roman"/>
                <w:color w:val="1F1F1F"/>
                <w:kern w:val="0"/>
                <w:sz w:val="20"/>
                <w:szCs w:val="20"/>
              </w:rPr>
              <w:t>.</w:t>
            </w:r>
          </w:p>
          <w:p w14:paraId="46E7D4DF"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AE52A9D"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24A0A9D8"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0" w:name="co_anchor_a631089_1"/>
      <w:bookmarkEnd w:id="20"/>
    </w:p>
    <w:p w14:paraId="42A0910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7.8  The Supplier may, at any time after the [first] anniversary of the Commencement Date, increase the Standard Maintenance Fees and the Additional Services Rates by giving to the Customer not less than [three] months written notice, provided that:</w:t>
      </w:r>
    </w:p>
    <w:p w14:paraId="24E8469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DE88CD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increase shall not exceed a percentage equal to the percentage increase in [the Consumer Prices Index (All Items) OR SPECIFY INDEX] published by the Office for National Statistics (or its successor from time to time) for the period from the Commencement Date (in the case of the first increase) or the date on which the immediately preceding increase came into effect pursuant to this clause (in the case of the second or any subsequent increase) up to the date of this notice; and</w:t>
      </w:r>
    </w:p>
    <w:p w14:paraId="5D6FA4E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increases shall be no more frequent than once in any 12-month period.</w:t>
      </w:r>
    </w:p>
    <w:p w14:paraId="1F158CA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8C2BE7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24A0E86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2127BA2"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Increasing the standard maintenance fees</w:t>
            </w:r>
          </w:p>
          <w:p w14:paraId="1A1DAE8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BC244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631089_1" w:history="1">
              <w:r>
                <w:rPr>
                  <w:rFonts w:ascii="Times New Roman" w:hAnsi="Times New Roman"/>
                  <w:i/>
                  <w:iCs/>
                  <w:color w:val="006FC4"/>
                  <w:kern w:val="0"/>
                  <w:sz w:val="20"/>
                  <w:szCs w:val="20"/>
                </w:rPr>
                <w:t>Clause 7.8</w:t>
              </w:r>
            </w:hyperlink>
            <w:r>
              <w:rPr>
                <w:rFonts w:ascii="Times New Roman" w:hAnsi="Times New Roman"/>
                <w:color w:val="1F1F1F"/>
                <w:kern w:val="0"/>
                <w:sz w:val="20"/>
                <w:szCs w:val="20"/>
              </w:rPr>
              <w:t xml:space="preserve"> sets out a mechanism under which the Supplier can increase the Standard Maintenance Fees and the Additional Services Rates during the Term of the Agreement. The clause envisages that there will be an Initial Period following the Commencement Date in which those charges may not be increased. Thereafter, the Supplier is entitled to increase the Charges once in any 12-month period in line with any increases to the consumer price indexes in the preceding 12-month period.</w:t>
            </w:r>
          </w:p>
          <w:p w14:paraId="6FC8254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4B409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other indices you might use for annual increases, see </w:t>
            </w:r>
            <w:hyperlink r:id="rId50" w:history="1">
              <w:r>
                <w:rPr>
                  <w:rFonts w:ascii="Times New Roman" w:hAnsi="Times New Roman"/>
                  <w:i/>
                  <w:iCs/>
                  <w:color w:val="006FC4"/>
                  <w:kern w:val="0"/>
                  <w:sz w:val="20"/>
                  <w:szCs w:val="20"/>
                </w:rPr>
                <w:t>Practice note, Choosing a price index for a price variation clause</w:t>
              </w:r>
            </w:hyperlink>
            <w:r>
              <w:rPr>
                <w:rFonts w:ascii="Times New Roman" w:hAnsi="Times New Roman"/>
                <w:color w:val="1F1F1F"/>
                <w:kern w:val="0"/>
                <w:sz w:val="20"/>
                <w:szCs w:val="20"/>
              </w:rPr>
              <w:t>.</w:t>
            </w:r>
          </w:p>
          <w:p w14:paraId="1DFA411E"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C007C5A"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49AF66BB"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1" w:name="co_anchor_a859442_1"/>
      <w:bookmarkEnd w:id="21"/>
    </w:p>
    <w:p w14:paraId="6904EC3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  SUPPLIER WARRANTIES  </w:t>
      </w:r>
    </w:p>
    <w:p w14:paraId="7CE6395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0C26441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731BBA2"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Supplier warranties</w:t>
            </w:r>
          </w:p>
          <w:p w14:paraId="39F7FC3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9936C9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clause sets out fairly standard supplier warranties, exclusions and obligations. Specifically, the Supplier undertakes that:</w:t>
            </w:r>
          </w:p>
          <w:p w14:paraId="27BA004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A95D6A" w14:textId="77777777" w:rsidR="00CE6AB2" w:rsidRDefault="00000000">
            <w:pPr>
              <w:widowControl w:val="0"/>
              <w:numPr>
                <w:ilvl w:val="0"/>
                <w:numId w:val="4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services will be performed substantially in accordance with reasonable skill and care and/or in accordance with Good Industry Practice.</w:t>
            </w:r>
          </w:p>
          <w:p w14:paraId="6D717922" w14:textId="77777777" w:rsidR="00CE6AB2" w:rsidRDefault="00000000">
            <w:pPr>
              <w:widowControl w:val="0"/>
              <w:numPr>
                <w:ilvl w:val="0"/>
                <w:numId w:val="4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Appropriate skilled and qualified personnel of sufficient number will perform the services in accordance with applicable laws.</w:t>
            </w:r>
          </w:p>
          <w:p w14:paraId="3540EE16" w14:textId="77777777" w:rsidR="00CE6AB2" w:rsidRDefault="00000000">
            <w:pPr>
              <w:widowControl w:val="0"/>
              <w:numPr>
                <w:ilvl w:val="0"/>
                <w:numId w:val="4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Any equipment supplied will operate in accordance with their technical specifications.</w:t>
            </w:r>
          </w:p>
          <w:p w14:paraId="16FA88A7"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hyperlink w:anchor="co_anchor_a607135_1" w:history="1">
              <w:r>
                <w:rPr>
                  <w:rFonts w:ascii="Times New Roman" w:hAnsi="Times New Roman"/>
                  <w:i/>
                  <w:iCs/>
                  <w:color w:val="006FC4"/>
                  <w:kern w:val="0"/>
                  <w:sz w:val="20"/>
                  <w:szCs w:val="20"/>
                </w:rPr>
                <w:t>Clause 8.2</w:t>
              </w:r>
            </w:hyperlink>
            <w:r>
              <w:rPr>
                <w:rFonts w:ascii="Times New Roman" w:hAnsi="Times New Roman"/>
                <w:color w:val="1F1F1F"/>
                <w:kern w:val="0"/>
                <w:sz w:val="20"/>
                <w:szCs w:val="20"/>
              </w:rPr>
              <w:t xml:space="preserve"> is included to negate all other terms which may otherwise be implied by law (such as those implied terms set out in the </w:t>
            </w:r>
            <w:hyperlink r:id="rId51" w:history="1">
              <w:r>
                <w:rPr>
                  <w:rFonts w:ascii="Times New Roman" w:hAnsi="Times New Roman"/>
                  <w:i/>
                  <w:iCs/>
                  <w:color w:val="006FC4"/>
                  <w:kern w:val="0"/>
                  <w:sz w:val="20"/>
                  <w:szCs w:val="20"/>
                </w:rPr>
                <w:t>Sale of Goods Act 1979</w:t>
              </w:r>
            </w:hyperlink>
            <w:r>
              <w:rPr>
                <w:rFonts w:ascii="Times New Roman" w:hAnsi="Times New Roman"/>
                <w:color w:val="1F1F1F"/>
                <w:kern w:val="0"/>
                <w:sz w:val="20"/>
                <w:szCs w:val="20"/>
              </w:rPr>
              <w:t xml:space="preserve"> and the </w:t>
            </w:r>
            <w:hyperlink r:id="rId52" w:history="1">
              <w:r>
                <w:rPr>
                  <w:rFonts w:ascii="Times New Roman" w:hAnsi="Times New Roman"/>
                  <w:i/>
                  <w:iCs/>
                  <w:color w:val="006FC4"/>
                  <w:kern w:val="0"/>
                  <w:sz w:val="20"/>
                  <w:szCs w:val="20"/>
                </w:rPr>
                <w:t>Supply of Goods and Services Act 1982</w:t>
              </w:r>
            </w:hyperlink>
            <w:r>
              <w:rPr>
                <w:rFonts w:ascii="Times New Roman" w:hAnsi="Times New Roman"/>
                <w:color w:val="1F1F1F"/>
                <w:kern w:val="0"/>
                <w:sz w:val="20"/>
                <w:szCs w:val="20"/>
              </w:rPr>
              <w:t xml:space="preserve">) so as to limit the extent and scope of the Supplier’s warranties to those set out in this </w:t>
            </w:r>
            <w:hyperlink w:anchor="co_anchor_a859442_1" w:history="1">
              <w:r>
                <w:rPr>
                  <w:rFonts w:ascii="Times New Roman" w:hAnsi="Times New Roman"/>
                  <w:i/>
                  <w:iCs/>
                  <w:color w:val="006FC4"/>
                  <w:kern w:val="0"/>
                  <w:sz w:val="20"/>
                  <w:szCs w:val="20"/>
                </w:rPr>
                <w:t>Clause 8</w:t>
              </w:r>
            </w:hyperlink>
            <w:r>
              <w:rPr>
                <w:rFonts w:ascii="Times New Roman" w:hAnsi="Times New Roman"/>
                <w:color w:val="1F1F1F"/>
                <w:kern w:val="0"/>
                <w:sz w:val="20"/>
                <w:szCs w:val="20"/>
              </w:rPr>
              <w:t xml:space="preserve"> and elsewhere in the agreement.</w:t>
            </w:r>
          </w:p>
          <w:p w14:paraId="24592D29" w14:textId="77777777" w:rsidR="00CE6AB2" w:rsidRDefault="00CE6AB2">
            <w:pPr>
              <w:widowControl w:val="0"/>
              <w:autoSpaceDE w:val="0"/>
              <w:autoSpaceDN w:val="0"/>
              <w:adjustRightInd w:val="0"/>
              <w:spacing w:before="200" w:after="0" w:line="240" w:lineRule="auto"/>
              <w:jc w:val="both"/>
              <w:rPr>
                <w:rFonts w:ascii="Times New Roman" w:hAnsi="Times New Roman"/>
                <w:color w:val="1F1F1F"/>
                <w:kern w:val="0"/>
                <w:sz w:val="20"/>
                <w:szCs w:val="20"/>
              </w:rPr>
            </w:pPr>
          </w:p>
        </w:tc>
      </w:tr>
    </w:tbl>
    <w:p w14:paraId="330F7ADA"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73E8DC2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8.1  The Supplier represents and warrants to the Customer that:</w:t>
      </w:r>
    </w:p>
    <w:p w14:paraId="4751BD2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Maintenance Services and the Additional Services shall be performed:</w:t>
      </w:r>
    </w:p>
    <w:p w14:paraId="25D228A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6E844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by an appropriate number of suitably qualified and experienced personnel;</w:t>
      </w:r>
    </w:p>
    <w:p w14:paraId="4CD684E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using all reasonable skill and care [and in accordance with Good Industry Practice]; and</w:t>
      </w:r>
    </w:p>
    <w:p w14:paraId="5CB60A6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(iii)  in accordance with all laws and regulations in force from time to time which are applicable to the Supplier.</w:t>
      </w:r>
    </w:p>
    <w:p w14:paraId="4EB9115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CDC0CB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4DBEACF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0E123A6"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Compliance with applicable laws</w:t>
            </w:r>
          </w:p>
          <w:p w14:paraId="2821563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1F6788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When acting for the Supplier, you should be careful to ensure that any obligation to comply with applicable laws, is limited to those laws that are applicable to the Supplier and not the Customer.</w:t>
            </w:r>
          </w:p>
          <w:p w14:paraId="077B352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CB3E08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This will be particularly important where the Customer is subject to the NIS Regulations, and is required to maintain a higher standard of cybersecurity, and business continuity, than would otherwise apply to other business sectors, see </w:t>
            </w:r>
            <w:hyperlink w:anchor="co_anchor_a480584_1" w:history="1">
              <w:r>
                <w:rPr>
                  <w:rFonts w:ascii="Times New Roman" w:hAnsi="Times New Roman"/>
                  <w:i/>
                  <w:iCs/>
                  <w:color w:val="006FC4"/>
                  <w:kern w:val="0"/>
                  <w:sz w:val="20"/>
                  <w:szCs w:val="20"/>
                </w:rPr>
                <w:t>Drafting note, Operators of essential services and relevant digital service providers</w:t>
              </w:r>
            </w:hyperlink>
            <w:r>
              <w:rPr>
                <w:rFonts w:ascii="Times New Roman" w:hAnsi="Times New Roman"/>
                <w:color w:val="1F1F1F"/>
                <w:kern w:val="0"/>
                <w:sz w:val="20"/>
                <w:szCs w:val="20"/>
              </w:rPr>
              <w:t>.</w:t>
            </w:r>
          </w:p>
          <w:p w14:paraId="3BB98B7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270CD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A supplier may want to make it clear that any such heightened cybersecurity requirements do not apply to it (for an example of such a disclaimer, in the context of a software licence, see </w:t>
            </w:r>
            <w:hyperlink r:id="rId53" w:anchor="co_anchor_a540626" w:history="1">
              <w:r>
                <w:rPr>
                  <w:rFonts w:ascii="Times New Roman" w:hAnsi="Times New Roman"/>
                  <w:i/>
                  <w:iCs/>
                  <w:color w:val="006FC4"/>
                  <w:kern w:val="0"/>
                  <w:sz w:val="20"/>
                  <w:szCs w:val="20"/>
                </w:rPr>
                <w:t>Standard document, Software licence agreement (pro-supplier): Drafting note: Exclusion of cybersecurity warranties</w:t>
              </w:r>
            </w:hyperlink>
            <w:r>
              <w:rPr>
                <w:rFonts w:ascii="Times New Roman" w:hAnsi="Times New Roman"/>
                <w:color w:val="1F1F1F"/>
                <w:kern w:val="0"/>
                <w:sz w:val="20"/>
                <w:szCs w:val="20"/>
              </w:rPr>
              <w:t>.</w:t>
            </w:r>
          </w:p>
          <w:p w14:paraId="6D24AD6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31D610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On the other hand, the Customer may well want to flow down any such heightened cybersecurity requirements to its supplier who is responsible for maintaining its hardware (a failure of which may have serious security consequences for the Customer). In such case, the Supplier is likely to require clear and precise obligations to be set out in this agreement rather than to be forced to interpret what these standards might be by virtue of agreeing to a broad compliance with law clause.</w:t>
            </w:r>
          </w:p>
          <w:p w14:paraId="0920E35A"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6FD6AB3"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62F32400" w14:textId="77777777" w:rsidR="00CE6AB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[all components and equipment supplied or used in the course of the provision of the Maintenance Services and the Additional Services shall operate materially in accordance with their technical specifications;]</w:t>
      </w:r>
    </w:p>
    <w:p w14:paraId="24B8FF1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Supplier has the full capacity and authority and all necessary permissions, licences and consents necessary to enter into, and perform its obligations under, this agreement;</w:t>
      </w:r>
    </w:p>
    <w:p w14:paraId="681E4508"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2" w:name="co_anchor_a894269_1"/>
      <w:bookmarkEnd w:id="22"/>
    </w:p>
    <w:p w14:paraId="6C4B288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Supplier shall [take reasonable steps to] not introduce any Viruses into the Maintained Equipment, or the Customer’s network and information systems, by way of the Maintenance Services or the Additional Services or otherwise.</w:t>
      </w:r>
    </w:p>
    <w:p w14:paraId="1A5EE770"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3" w:name="co_anchor_a607135_1"/>
      <w:bookmarkEnd w:id="23"/>
    </w:p>
    <w:p w14:paraId="45E17B3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8.2  Except as expressly stated in this agreement, all warranties, conditions and terms, whether express or implied by statute, common law or otherwise (including satisfactory quality, fitness for purpose and suitability) are hereby excluded to the fullest extent permitted by law.</w:t>
      </w:r>
    </w:p>
    <w:p w14:paraId="7641E54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  LIABILITY  </w:t>
      </w:r>
    </w:p>
    <w:p w14:paraId="5905698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421CC06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FAF05D6"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Liability</w:t>
            </w:r>
          </w:p>
          <w:p w14:paraId="387FC4C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8ABC3B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discussion on negotiating limits of liability in maintenance agreements (although focused on software maintenance), see </w:t>
            </w:r>
            <w:hyperlink r:id="rId54" w:anchor="co_anchor_a241821" w:history="1">
              <w:r>
                <w:rPr>
                  <w:rFonts w:ascii="Times New Roman" w:hAnsi="Times New Roman"/>
                  <w:i/>
                  <w:iCs/>
                  <w:color w:val="006FC4"/>
                  <w:kern w:val="0"/>
                  <w:sz w:val="20"/>
                  <w:szCs w:val="20"/>
                </w:rPr>
                <w:t>Practice note: overview, Main issues in software licensing and maintenance contracts: Limitation of liability</w:t>
              </w:r>
            </w:hyperlink>
            <w:r>
              <w:rPr>
                <w:rFonts w:ascii="Times New Roman" w:hAnsi="Times New Roman"/>
                <w:color w:val="1F1F1F"/>
                <w:kern w:val="0"/>
                <w:sz w:val="20"/>
                <w:szCs w:val="20"/>
              </w:rPr>
              <w:t>.</w:t>
            </w:r>
          </w:p>
          <w:p w14:paraId="107FB4F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E4D789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For more general information, see the following practice notes relating to limiting liability in B2B contracts:</w:t>
            </w:r>
          </w:p>
          <w:p w14:paraId="4D18EA9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FEB73B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r:id="rId55" w:anchor="co_anchor_a668968" w:history="1">
              <w:r>
                <w:rPr>
                  <w:rFonts w:ascii="Times New Roman" w:hAnsi="Times New Roman"/>
                  <w:i/>
                  <w:iCs/>
                  <w:color w:val="006FC4"/>
                  <w:kern w:val="0"/>
                  <w:sz w:val="20"/>
                  <w:szCs w:val="20"/>
                </w:rPr>
                <w:t>Main issues in systems integration contracts: Exclusions and limitation of liability</w:t>
              </w:r>
            </w:hyperlink>
            <w:r>
              <w:rPr>
                <w:rFonts w:ascii="Times New Roman" w:hAnsi="Times New Roman"/>
                <w:color w:val="1F1F1F"/>
                <w:kern w:val="0"/>
                <w:sz w:val="20"/>
                <w:szCs w:val="20"/>
              </w:rPr>
              <w:t>.</w:t>
            </w:r>
          </w:p>
          <w:p w14:paraId="16C453A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4C9414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r:id="rId56" w:history="1">
              <w:r>
                <w:rPr>
                  <w:rFonts w:ascii="Times New Roman" w:hAnsi="Times New Roman"/>
                  <w:i/>
                  <w:iCs/>
                  <w:color w:val="006FC4"/>
                  <w:kern w:val="0"/>
                  <w:sz w:val="20"/>
                  <w:szCs w:val="20"/>
                </w:rPr>
                <w:t>Limiting liability: drafting and negotiating</w:t>
              </w:r>
            </w:hyperlink>
            <w:r>
              <w:rPr>
                <w:rFonts w:ascii="Times New Roman" w:hAnsi="Times New Roman"/>
                <w:color w:val="1F1F1F"/>
                <w:kern w:val="0"/>
                <w:sz w:val="20"/>
                <w:szCs w:val="20"/>
              </w:rPr>
              <w:t>.</w:t>
            </w:r>
          </w:p>
          <w:p w14:paraId="37D8EE1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832F14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r:id="rId57" w:history="1">
              <w:r>
                <w:rPr>
                  <w:rFonts w:ascii="Times New Roman" w:hAnsi="Times New Roman"/>
                  <w:i/>
                  <w:iCs/>
                  <w:color w:val="006FC4"/>
                  <w:kern w:val="0"/>
                  <w:sz w:val="20"/>
                  <w:szCs w:val="20"/>
                </w:rPr>
                <w:t>Limiting liability: statutory and common law controls on limitation clauses</w:t>
              </w:r>
            </w:hyperlink>
            <w:r>
              <w:rPr>
                <w:rFonts w:ascii="Times New Roman" w:hAnsi="Times New Roman"/>
                <w:color w:val="1F1F1F"/>
                <w:kern w:val="0"/>
                <w:sz w:val="20"/>
                <w:szCs w:val="20"/>
              </w:rPr>
              <w:t>.</w:t>
            </w:r>
          </w:p>
          <w:p w14:paraId="755DF89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17B37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r:id="rId58" w:history="1">
              <w:r>
                <w:rPr>
                  <w:rFonts w:ascii="Times New Roman" w:hAnsi="Times New Roman"/>
                  <w:i/>
                  <w:iCs/>
                  <w:color w:val="006FC4"/>
                  <w:kern w:val="0"/>
                  <w:sz w:val="20"/>
                  <w:szCs w:val="20"/>
                </w:rPr>
                <w:t>Limiting liability: interpretation</w:t>
              </w:r>
            </w:hyperlink>
            <w:r>
              <w:rPr>
                <w:rFonts w:ascii="Times New Roman" w:hAnsi="Times New Roman"/>
                <w:color w:val="1F1F1F"/>
                <w:kern w:val="0"/>
                <w:sz w:val="20"/>
                <w:szCs w:val="20"/>
              </w:rPr>
              <w:t>.</w:t>
            </w:r>
          </w:p>
          <w:p w14:paraId="754CD5F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BA2B1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provisions relating to liability have been drafted on the basis that the parties are both commercial entities.</w:t>
            </w:r>
          </w:p>
          <w:p w14:paraId="4415006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BE505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647586_1" w:history="1">
              <w:r>
                <w:rPr>
                  <w:rFonts w:ascii="Times New Roman" w:hAnsi="Times New Roman"/>
                  <w:i/>
                  <w:iCs/>
                  <w:color w:val="006FC4"/>
                  <w:kern w:val="0"/>
                  <w:sz w:val="20"/>
                  <w:szCs w:val="20"/>
                </w:rPr>
                <w:t>Clause 9.1</w:t>
              </w:r>
            </w:hyperlink>
            <w:r>
              <w:rPr>
                <w:rFonts w:ascii="Times New Roman" w:hAnsi="Times New Roman"/>
                <w:color w:val="1F1F1F"/>
                <w:kern w:val="0"/>
                <w:sz w:val="20"/>
                <w:szCs w:val="20"/>
              </w:rPr>
              <w:t xml:space="preserve"> states that death or personal injury arising from negligence cannot be excluded (</w:t>
            </w:r>
            <w:hyperlink r:id="rId59" w:history="1">
              <w:r>
                <w:rPr>
                  <w:rFonts w:ascii="Times New Roman" w:hAnsi="Times New Roman"/>
                  <w:i/>
                  <w:iCs/>
                  <w:color w:val="006FC4"/>
                  <w:kern w:val="0"/>
                  <w:sz w:val="20"/>
                  <w:szCs w:val="20"/>
                </w:rPr>
                <w:t>section 2(1)</w:t>
              </w:r>
            </w:hyperlink>
            <w:r>
              <w:rPr>
                <w:rFonts w:ascii="Times New Roman" w:hAnsi="Times New Roman"/>
                <w:i/>
                <w:iCs/>
                <w:color w:val="1F1F1F"/>
                <w:kern w:val="0"/>
                <w:sz w:val="20"/>
                <w:szCs w:val="20"/>
              </w:rPr>
              <w:t xml:space="preserve">, </w:t>
            </w:r>
            <w:hyperlink r:id="rId60" w:history="1">
              <w:r>
                <w:rPr>
                  <w:rFonts w:ascii="Times New Roman" w:hAnsi="Times New Roman"/>
                  <w:i/>
                  <w:iCs/>
                  <w:color w:val="006FC4"/>
                  <w:kern w:val="0"/>
                  <w:sz w:val="20"/>
                  <w:szCs w:val="20"/>
                </w:rPr>
                <w:t>Unfair Contract Terms Act 1977</w:t>
              </w:r>
            </w:hyperlink>
            <w:r>
              <w:rPr>
                <w:rFonts w:ascii="Times New Roman" w:hAnsi="Times New Roman"/>
                <w:i/>
                <w:iCs/>
                <w:color w:val="1F1F1F"/>
                <w:kern w:val="0"/>
                <w:sz w:val="20"/>
                <w:szCs w:val="20"/>
              </w:rPr>
              <w:t xml:space="preserve"> </w:t>
            </w:r>
            <w:r>
              <w:rPr>
                <w:rFonts w:ascii="Times New Roman" w:hAnsi="Times New Roman"/>
                <w:color w:val="1F1F1F"/>
                <w:kern w:val="0"/>
                <w:sz w:val="20"/>
                <w:szCs w:val="20"/>
              </w:rPr>
              <w:t>(UCTA 1977)), nor can liability for fraud or fraudulent misrepresentation (</w:t>
            </w:r>
            <w:hyperlink r:id="rId61" w:history="1">
              <w:r>
                <w:rPr>
                  <w:rFonts w:ascii="Times New Roman" w:hAnsi="Times New Roman"/>
                  <w:i/>
                  <w:iCs/>
                  <w:color w:val="006FC4"/>
                  <w:kern w:val="0"/>
                  <w:sz w:val="20"/>
                  <w:szCs w:val="20"/>
                </w:rPr>
                <w:t>Thomas Witter v TBP Industries [1996] 2 All ER 573</w:t>
              </w:r>
            </w:hyperlink>
            <w:r>
              <w:rPr>
                <w:rFonts w:ascii="Times New Roman" w:hAnsi="Times New Roman"/>
                <w:color w:val="1F1F1F"/>
                <w:kern w:val="0"/>
                <w:sz w:val="20"/>
                <w:szCs w:val="20"/>
              </w:rPr>
              <w:t xml:space="preserve">). </w:t>
            </w:r>
            <w:hyperlink w:anchor="co_anchor_a647586_1" w:history="1">
              <w:r>
                <w:rPr>
                  <w:rFonts w:ascii="Times New Roman" w:hAnsi="Times New Roman"/>
                  <w:i/>
                  <w:iCs/>
                  <w:color w:val="006FC4"/>
                  <w:kern w:val="0"/>
                  <w:sz w:val="20"/>
                  <w:szCs w:val="20"/>
                </w:rPr>
                <w:t>Clause 9.1</w:t>
              </w:r>
            </w:hyperlink>
            <w:r>
              <w:rPr>
                <w:rFonts w:ascii="Times New Roman" w:hAnsi="Times New Roman"/>
                <w:color w:val="1F1F1F"/>
                <w:kern w:val="0"/>
                <w:sz w:val="20"/>
                <w:szCs w:val="20"/>
              </w:rPr>
              <w:t xml:space="preserve"> also states that the obligations implied by </w:t>
            </w:r>
            <w:hyperlink r:id="rId62" w:history="1">
              <w:r>
                <w:rPr>
                  <w:rFonts w:ascii="Times New Roman" w:hAnsi="Times New Roman"/>
                  <w:i/>
                  <w:iCs/>
                  <w:color w:val="006FC4"/>
                  <w:kern w:val="0"/>
                  <w:sz w:val="20"/>
                  <w:szCs w:val="20"/>
                </w:rPr>
                <w:t>section 12</w:t>
              </w:r>
            </w:hyperlink>
            <w:r>
              <w:rPr>
                <w:rFonts w:ascii="Times New Roman" w:hAnsi="Times New Roman"/>
                <w:color w:val="1F1F1F"/>
                <w:kern w:val="0"/>
                <w:sz w:val="20"/>
                <w:szCs w:val="20"/>
              </w:rPr>
              <w:t xml:space="preserve"> of the Sale of Goods Act 1979 and </w:t>
            </w:r>
            <w:hyperlink r:id="rId63" w:history="1">
              <w:r>
                <w:rPr>
                  <w:rFonts w:ascii="Times New Roman" w:hAnsi="Times New Roman"/>
                  <w:i/>
                  <w:iCs/>
                  <w:color w:val="006FC4"/>
                  <w:kern w:val="0"/>
                  <w:sz w:val="20"/>
                  <w:szCs w:val="20"/>
                </w:rPr>
                <w:t>section 2</w:t>
              </w:r>
            </w:hyperlink>
            <w:r>
              <w:rPr>
                <w:rFonts w:ascii="Times New Roman" w:hAnsi="Times New Roman"/>
                <w:color w:val="1F1F1F"/>
                <w:kern w:val="0"/>
                <w:sz w:val="20"/>
                <w:szCs w:val="20"/>
              </w:rPr>
              <w:t xml:space="preserve"> of the Supply of Goods and Services Act 1982 relating to title of property also are not excluded (</w:t>
            </w:r>
            <w:hyperlink r:id="rId64" w:history="1">
              <w:r>
                <w:rPr>
                  <w:rFonts w:ascii="Times New Roman" w:hAnsi="Times New Roman"/>
                  <w:i/>
                  <w:iCs/>
                  <w:color w:val="006FC4"/>
                  <w:kern w:val="0"/>
                  <w:sz w:val="20"/>
                  <w:szCs w:val="20"/>
                </w:rPr>
                <w:t>sections 6(1)</w:t>
              </w:r>
            </w:hyperlink>
            <w:r>
              <w:rPr>
                <w:rFonts w:ascii="Times New Roman" w:hAnsi="Times New Roman"/>
                <w:i/>
                <w:iCs/>
                <w:color w:val="1F1F1F"/>
                <w:kern w:val="0"/>
                <w:sz w:val="20"/>
                <w:szCs w:val="20"/>
              </w:rPr>
              <w:t xml:space="preserve"> and </w:t>
            </w:r>
            <w:hyperlink r:id="rId65" w:history="1">
              <w:r>
                <w:rPr>
                  <w:rFonts w:ascii="Times New Roman" w:hAnsi="Times New Roman"/>
                  <w:i/>
                  <w:iCs/>
                  <w:color w:val="006FC4"/>
                  <w:kern w:val="0"/>
                  <w:sz w:val="20"/>
                  <w:szCs w:val="20"/>
                </w:rPr>
                <w:t>7(3A)</w:t>
              </w:r>
            </w:hyperlink>
            <w:r>
              <w:rPr>
                <w:rFonts w:ascii="Times New Roman" w:hAnsi="Times New Roman"/>
                <w:i/>
                <w:iCs/>
                <w:color w:val="1F1F1F"/>
                <w:kern w:val="0"/>
                <w:sz w:val="20"/>
                <w:szCs w:val="20"/>
              </w:rPr>
              <w:t>, UCTA 1977</w:t>
            </w:r>
            <w:r>
              <w:rPr>
                <w:rFonts w:ascii="Times New Roman" w:hAnsi="Times New Roman"/>
                <w:color w:val="1F1F1F"/>
                <w:kern w:val="0"/>
                <w:sz w:val="20"/>
                <w:szCs w:val="20"/>
              </w:rPr>
              <w:t>).</w:t>
            </w:r>
          </w:p>
          <w:p w14:paraId="441C949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77D11E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66750_1" w:history="1">
              <w:r>
                <w:rPr>
                  <w:rFonts w:ascii="Times New Roman" w:hAnsi="Times New Roman"/>
                  <w:i/>
                  <w:iCs/>
                  <w:color w:val="006FC4"/>
                  <w:kern w:val="0"/>
                  <w:sz w:val="20"/>
                  <w:szCs w:val="20"/>
                </w:rPr>
                <w:t>Clause 9.2</w:t>
              </w:r>
            </w:hyperlink>
            <w:r>
              <w:rPr>
                <w:rFonts w:ascii="Times New Roman" w:hAnsi="Times New Roman"/>
                <w:color w:val="1F1F1F"/>
                <w:kern w:val="0"/>
                <w:sz w:val="20"/>
                <w:szCs w:val="20"/>
              </w:rPr>
              <w:t xml:space="preserve"> then seeks to exclude all loss that:</w:t>
            </w:r>
          </w:p>
          <w:p w14:paraId="342411A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6C6D603" w14:textId="77777777" w:rsidR="00CE6AB2" w:rsidRDefault="00000000">
            <w:pPr>
              <w:widowControl w:val="0"/>
              <w:numPr>
                <w:ilvl w:val="0"/>
                <w:numId w:val="5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Constitutes loss of profits, business revenue or goodwill (whether direct or indirect).</w:t>
            </w:r>
          </w:p>
          <w:p w14:paraId="750D2BD2" w14:textId="77777777" w:rsidR="00CE6AB2" w:rsidRDefault="00000000">
            <w:pPr>
              <w:widowControl w:val="0"/>
              <w:numPr>
                <w:ilvl w:val="0"/>
                <w:numId w:val="5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Is loss or corruption of data or information (whether direct or indirect).</w:t>
            </w:r>
          </w:p>
          <w:p w14:paraId="1557055D" w14:textId="77777777" w:rsidR="00CE6AB2" w:rsidRDefault="00000000">
            <w:pPr>
              <w:widowControl w:val="0"/>
              <w:numPr>
                <w:ilvl w:val="0"/>
                <w:numId w:val="52"/>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Is special, indirect or consequential.</w:t>
            </w:r>
          </w:p>
          <w:p w14:paraId="46756DD1"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distinction between direct and indirect loss is not clear cut, and there is no easy formulation to determine on which side of the line a particular category or type of loss falls in any specific case. A particular difficulty arises when deciding whether loss of profits is direct or indirect. Recent case law has tended to hold that loss of profits can be a direct loss. In a limitation of liability clause such as this, if it is the parties’ intention to exclude all loss of profit, this needs to be done in a way that does not link lost profit with indirect loss. Otherwise, direct loss of profit is unlikely to be excluded, since exclusion clauses are interpreted by the courts </w:t>
            </w:r>
            <w:r>
              <w:rPr>
                <w:rFonts w:ascii="Times New Roman" w:hAnsi="Times New Roman"/>
                <w:i/>
                <w:iCs/>
                <w:color w:val="1F1F1F"/>
                <w:kern w:val="0"/>
                <w:sz w:val="20"/>
                <w:szCs w:val="20"/>
              </w:rPr>
              <w:t>contra proferentem</w:t>
            </w:r>
            <w:r>
              <w:rPr>
                <w:rFonts w:ascii="Times New Roman" w:hAnsi="Times New Roman"/>
                <w:color w:val="1F1F1F"/>
                <w:kern w:val="0"/>
                <w:sz w:val="20"/>
                <w:szCs w:val="20"/>
              </w:rPr>
              <w:t>, that is, against the person seeking to rely upon it.</w:t>
            </w:r>
          </w:p>
          <w:p w14:paraId="2202CB2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37B9E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Finally, </w:t>
            </w:r>
            <w:hyperlink w:anchor="co_anchor_a536728_1" w:history="1">
              <w:r>
                <w:rPr>
                  <w:rFonts w:ascii="Times New Roman" w:hAnsi="Times New Roman"/>
                  <w:i/>
                  <w:iCs/>
                  <w:color w:val="006FC4"/>
                  <w:kern w:val="0"/>
                  <w:sz w:val="20"/>
                  <w:szCs w:val="20"/>
                </w:rPr>
                <w:t>Clause 9.3</w:t>
              </w:r>
            </w:hyperlink>
            <w:r>
              <w:rPr>
                <w:rFonts w:ascii="Times New Roman" w:hAnsi="Times New Roman"/>
                <w:color w:val="1F1F1F"/>
                <w:kern w:val="0"/>
                <w:sz w:val="20"/>
                <w:szCs w:val="20"/>
              </w:rPr>
              <w:t xml:space="preserve"> seeks to limit both parties’ aggregate liability under the contract to a pre-set sum, by reference to the greater of a multiple of the contract price or a fixed amount. As a general rule, if this is a contract to which </w:t>
            </w:r>
            <w:hyperlink r:id="rId66" w:history="1">
              <w:r>
                <w:rPr>
                  <w:rFonts w:ascii="Times New Roman" w:hAnsi="Times New Roman"/>
                  <w:i/>
                  <w:iCs/>
                  <w:color w:val="006FC4"/>
                  <w:kern w:val="0"/>
                  <w:sz w:val="20"/>
                  <w:szCs w:val="20"/>
                </w:rPr>
                <w:t>section 3</w:t>
              </w:r>
            </w:hyperlink>
            <w:r>
              <w:rPr>
                <w:rFonts w:ascii="Times New Roman" w:hAnsi="Times New Roman"/>
                <w:color w:val="1F1F1F"/>
                <w:kern w:val="0"/>
                <w:sz w:val="20"/>
                <w:szCs w:val="20"/>
              </w:rPr>
              <w:t xml:space="preserve"> of UCTA 1977 potentially applies (that is, if it is, or could be considered to be, effectively on one party’s standard terms) then there is a risk that if the liability cap is significantly below the contract price, it could be held by the courts to be unreasonable (under the test laid down by UCTA 1977) and therefore unenforceable.</w:t>
            </w:r>
          </w:p>
          <w:p w14:paraId="54E2E77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D6D4A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charges multiple set out in </w:t>
            </w:r>
            <w:hyperlink w:anchor="co_anchor_a882575_1" w:history="1">
              <w:r>
                <w:rPr>
                  <w:rFonts w:ascii="Times New Roman" w:hAnsi="Times New Roman"/>
                  <w:i/>
                  <w:iCs/>
                  <w:color w:val="006FC4"/>
                  <w:kern w:val="0"/>
                  <w:sz w:val="20"/>
                  <w:szCs w:val="20"/>
                </w:rPr>
                <w:t>Clause 9.3(b)</w:t>
              </w:r>
            </w:hyperlink>
            <w:r>
              <w:rPr>
                <w:rFonts w:ascii="Times New Roman" w:hAnsi="Times New Roman"/>
                <w:color w:val="1F1F1F"/>
                <w:kern w:val="0"/>
                <w:sz w:val="20"/>
                <w:szCs w:val="20"/>
              </w:rPr>
              <w:t xml:space="preserve"> may conceivably produce a low sum and run the risk of being viewed as unreasonable and therefore unenforceable. To reduce this risk, </w:t>
            </w:r>
            <w:hyperlink w:anchor="co_anchor_a536728_1" w:history="1">
              <w:r>
                <w:rPr>
                  <w:rFonts w:ascii="Times New Roman" w:hAnsi="Times New Roman"/>
                  <w:i/>
                  <w:iCs/>
                  <w:color w:val="006FC4"/>
                  <w:kern w:val="0"/>
                  <w:sz w:val="20"/>
                  <w:szCs w:val="20"/>
                </w:rPr>
                <w:t>Clause 9.3</w:t>
              </w:r>
            </w:hyperlink>
            <w:r>
              <w:rPr>
                <w:rFonts w:ascii="Times New Roman" w:hAnsi="Times New Roman"/>
                <w:color w:val="1F1F1F"/>
                <w:kern w:val="0"/>
                <w:sz w:val="20"/>
                <w:szCs w:val="20"/>
              </w:rPr>
              <w:t xml:space="preserve"> caps liability at the greater of the charges multiple and a fixed sum to be inserted into </w:t>
            </w:r>
            <w:hyperlink w:anchor="co_anchor_a231015_1" w:history="1">
              <w:r>
                <w:rPr>
                  <w:rFonts w:ascii="Times New Roman" w:hAnsi="Times New Roman"/>
                  <w:i/>
                  <w:iCs/>
                  <w:color w:val="006FC4"/>
                  <w:kern w:val="0"/>
                  <w:sz w:val="20"/>
                  <w:szCs w:val="20"/>
                </w:rPr>
                <w:t>Clause 9.3(a)</w:t>
              </w:r>
            </w:hyperlink>
            <w:r>
              <w:rPr>
                <w:rFonts w:ascii="Times New Roman" w:hAnsi="Times New Roman"/>
                <w:color w:val="1F1F1F"/>
                <w:kern w:val="0"/>
                <w:sz w:val="20"/>
                <w:szCs w:val="20"/>
              </w:rPr>
              <w:t>. The latter should be determined in accordance with established principles of what is a reasonable sum in the particular circumstances. If this provision is held to be unreasonable under UCTA 1977, damages would be recoverable without limitation, on the basis of the ordinary contract law rules of remoteness.</w:t>
            </w:r>
          </w:p>
          <w:p w14:paraId="0FA9511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D98458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Depending on which formulation is chosen, these rules say that recoverable loss is either:</w:t>
            </w:r>
          </w:p>
          <w:p w14:paraId="05AF4C8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1173819" w14:textId="77777777" w:rsidR="00CE6AB2" w:rsidRDefault="00000000">
            <w:pPr>
              <w:widowControl w:val="0"/>
              <w:numPr>
                <w:ilvl w:val="0"/>
                <w:numId w:val="5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Loss which arises naturally from a breach or which may reasonably be supposed to have been in the parties’ contemplation when they made the contract as the probable result of a breach (the classic formulation in </w:t>
            </w:r>
            <w:hyperlink r:id="rId67" w:history="1">
              <w:r>
                <w:rPr>
                  <w:rFonts w:ascii="Times New Roman" w:hAnsi="Times New Roman"/>
                  <w:i/>
                  <w:iCs/>
                  <w:color w:val="006FC4"/>
                  <w:kern w:val="0"/>
                  <w:sz w:val="20"/>
                  <w:szCs w:val="20"/>
                </w:rPr>
                <w:t>Hadley v Baxendale (1854) 9 Ex 341</w:t>
              </w:r>
            </w:hyperlink>
            <w:r>
              <w:rPr>
                <w:rFonts w:ascii="Times New Roman" w:hAnsi="Times New Roman"/>
                <w:color w:val="1F1F1F"/>
                <w:kern w:val="0"/>
                <w:sz w:val="20"/>
                <w:szCs w:val="20"/>
              </w:rPr>
              <w:t>.</w:t>
            </w:r>
          </w:p>
          <w:p w14:paraId="62CFF03F" w14:textId="77777777" w:rsidR="00CE6AB2" w:rsidRDefault="00000000">
            <w:pPr>
              <w:widowControl w:val="0"/>
              <w:numPr>
                <w:ilvl w:val="0"/>
                <w:numId w:val="54"/>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All loss which, at the time the contract was made, was reasonably foreseeable as liable to result from the breach (</w:t>
            </w:r>
            <w:hyperlink r:id="rId68" w:history="1">
              <w:r>
                <w:rPr>
                  <w:rFonts w:ascii="Times New Roman" w:hAnsi="Times New Roman"/>
                  <w:i/>
                  <w:iCs/>
                  <w:color w:val="006FC4"/>
                  <w:kern w:val="0"/>
                  <w:sz w:val="20"/>
                  <w:szCs w:val="20"/>
                </w:rPr>
                <w:t>Victoria Laundry (Windsor) v Newman Industries [1949] 2 KB 528</w:t>
              </w:r>
            </w:hyperlink>
            <w:r>
              <w:rPr>
                <w:rFonts w:ascii="Times New Roman" w:hAnsi="Times New Roman"/>
                <w:color w:val="1F1F1F"/>
                <w:kern w:val="0"/>
                <w:sz w:val="20"/>
                <w:szCs w:val="20"/>
              </w:rPr>
              <w:t>).</w:t>
            </w:r>
          </w:p>
          <w:p w14:paraId="5E408092"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It may be agreed that the Supplier’s liability will be unlimited in specific circumstances. Common exceptions include breach of confidentiality (</w:t>
            </w:r>
            <w:hyperlink w:anchor="co_anchor_a927892_1" w:history="1">
              <w:r>
                <w:rPr>
                  <w:rFonts w:ascii="Times New Roman" w:hAnsi="Times New Roman"/>
                  <w:i/>
                  <w:iCs/>
                  <w:color w:val="006FC4"/>
                  <w:kern w:val="0"/>
                  <w:sz w:val="20"/>
                  <w:szCs w:val="20"/>
                </w:rPr>
                <w:t>Clause 10</w:t>
              </w:r>
            </w:hyperlink>
            <w:r>
              <w:rPr>
                <w:rFonts w:ascii="Times New Roman" w:hAnsi="Times New Roman"/>
                <w:color w:val="1F1F1F"/>
                <w:kern w:val="0"/>
                <w:sz w:val="20"/>
                <w:szCs w:val="20"/>
              </w:rPr>
              <w:t>), The Supplier’s attitude is likely to depend on the nature of the services to be provided, and the types of confidential information it may have access to in the course of its maintenance.</w:t>
            </w:r>
          </w:p>
          <w:p w14:paraId="6B91392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D4A7E6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might want to state that the Supplier’s liability in relation to compliance with any cybersecurity obligations (including where these place the Customer in breach of the NIS Regulations, if applicable, see </w:t>
            </w:r>
            <w:hyperlink w:anchor="co_anchor_a779169_1" w:history="1">
              <w:r>
                <w:rPr>
                  <w:rFonts w:ascii="Times New Roman" w:hAnsi="Times New Roman"/>
                  <w:i/>
                  <w:iCs/>
                  <w:color w:val="006FC4"/>
                  <w:kern w:val="0"/>
                  <w:sz w:val="20"/>
                  <w:szCs w:val="20"/>
                </w:rPr>
                <w:t>Drafting note, Cybersecurity</w:t>
              </w:r>
            </w:hyperlink>
            <w:r>
              <w:rPr>
                <w:rFonts w:ascii="Times New Roman" w:hAnsi="Times New Roman"/>
                <w:color w:val="1F1F1F"/>
                <w:kern w:val="0"/>
                <w:sz w:val="20"/>
                <w:szCs w:val="20"/>
              </w:rPr>
              <w:t xml:space="preserve">) or data protection obligations (see </w:t>
            </w:r>
            <w:hyperlink w:anchor="co_anchor_a549452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 xml:space="preserve">) should not be subject to the Supplier’s liability cap. At the very least, the parties should consider, when setting the cap, that a fine for breaches of this legislation could be very substantial. For further discussion on this topic, see </w:t>
            </w:r>
            <w:hyperlink r:id="rId69" w:anchor="co_anchor_a207698" w:history="1">
              <w:r>
                <w:rPr>
                  <w:rFonts w:ascii="Times New Roman" w:hAnsi="Times New Roman"/>
                  <w:i/>
                  <w:iCs/>
                  <w:color w:val="006FC4"/>
                  <w:kern w:val="0"/>
                  <w:sz w:val="20"/>
                  <w:szCs w:val="20"/>
                </w:rPr>
                <w:t>Practice note, Data protection issues in IT contracts: Liability for data protection compliance in IT contracts</w:t>
              </w:r>
            </w:hyperlink>
            <w:r>
              <w:rPr>
                <w:rFonts w:ascii="Times New Roman" w:hAnsi="Times New Roman"/>
                <w:color w:val="1F1F1F"/>
                <w:kern w:val="0"/>
                <w:sz w:val="20"/>
                <w:szCs w:val="20"/>
              </w:rPr>
              <w:t>.</w:t>
            </w:r>
          </w:p>
          <w:p w14:paraId="6DDF611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D9DD53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Where software is provided you will also want to consider whether an IP indemnity should be included, and whether that should be uncapped (and subject to a conduct of claims provision), see </w:t>
            </w:r>
            <w:hyperlink r:id="rId70" w:anchor="co_anchor_a735753" w:history="1">
              <w:r>
                <w:rPr>
                  <w:rFonts w:ascii="Times New Roman" w:hAnsi="Times New Roman"/>
                  <w:i/>
                  <w:iCs/>
                  <w:color w:val="006FC4"/>
                  <w:kern w:val="0"/>
                  <w:sz w:val="20"/>
                  <w:szCs w:val="20"/>
                </w:rPr>
                <w:t>Practice note: overview, Main issues in software licensing and maintenance contracts: Intellectual property and indemnities</w:t>
              </w:r>
            </w:hyperlink>
            <w:r>
              <w:rPr>
                <w:rFonts w:ascii="Times New Roman" w:hAnsi="Times New Roman"/>
                <w:color w:val="1F1F1F"/>
                <w:kern w:val="0"/>
                <w:sz w:val="20"/>
                <w:szCs w:val="20"/>
              </w:rPr>
              <w:t>.</w:t>
            </w:r>
          </w:p>
          <w:p w14:paraId="1B08F7F2"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40DFFD0"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081BCAF2"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4" w:name="co_anchor_a647586_1"/>
      <w:bookmarkEnd w:id="24"/>
    </w:p>
    <w:p w14:paraId="2D456D7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9.1  Neither party excludes or limits liability to the other party for:</w:t>
      </w:r>
    </w:p>
    <w:p w14:paraId="5B85805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fraud or fraudulent misrepresentation;</w:t>
      </w:r>
    </w:p>
    <w:p w14:paraId="2B996B1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death or personal injury caused by negligence; or</w:t>
      </w:r>
    </w:p>
    <w:p w14:paraId="37AE10E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 breach of any obligations implied by section 12 of the Sale of Goods Act 1979 or section 2 of the Supply of Goods and Services Act 1982.</w:t>
      </w:r>
    </w:p>
    <w:p w14:paraId="2BCAFC3B"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5" w:name="co_anchor_a66750_1"/>
      <w:bookmarkEnd w:id="25"/>
    </w:p>
    <w:p w14:paraId="253B318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9.2  Subject always to </w:t>
      </w:r>
      <w:hyperlink w:anchor="co_anchor_a647586_1" w:history="1">
        <w:r>
          <w:rPr>
            <w:rFonts w:ascii="Times New Roman" w:hAnsi="Times New Roman"/>
            <w:i/>
            <w:iCs/>
            <w:color w:val="006FC4"/>
            <w:kern w:val="0"/>
            <w:sz w:val="20"/>
            <w:szCs w:val="20"/>
          </w:rPr>
          <w:t>Clause 9.1</w:t>
        </w:r>
      </w:hyperlink>
      <w:r>
        <w:rPr>
          <w:rFonts w:ascii="Times New Roman" w:hAnsi="Times New Roman"/>
          <w:color w:val="1F1F1F"/>
          <w:kern w:val="0"/>
          <w:sz w:val="20"/>
          <w:szCs w:val="20"/>
        </w:rPr>
        <w:t>, neither party shall be liable whether in contract, tort (including for negligence or breach of statutory duty), misrepresentation (whether innocent or negligent), restitution or otherwise, for:</w:t>
      </w:r>
    </w:p>
    <w:p w14:paraId="6AE72C6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19F660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any loss (whether direct or indirect) of profits, business, revenue, or goodwill;</w:t>
      </w:r>
    </w:p>
    <w:p w14:paraId="1B18EE2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[loss or corruption (whether direct or indirect) of data or information; or]</w:t>
      </w:r>
    </w:p>
    <w:p w14:paraId="267469E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3722693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B100E7F"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Excluding the Supplier’s liability for loss or corruption of data</w:t>
            </w:r>
          </w:p>
          <w:p w14:paraId="12090BD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017C13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The Customer may wish to resist such an exclusion, particularly where the Supplier will be responsible for maintaining hardware which stores business critical information, or personal data (see </w:t>
            </w:r>
            <w:hyperlink w:anchor="co_anchor_a549452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 xml:space="preserve">) or where the Customer is subject to the NIS Regulations (see </w:t>
            </w:r>
            <w:hyperlink w:anchor="co_anchor_a779169_1" w:history="1">
              <w:r>
                <w:rPr>
                  <w:rFonts w:ascii="Times New Roman" w:hAnsi="Times New Roman"/>
                  <w:i/>
                  <w:iCs/>
                  <w:color w:val="006FC4"/>
                  <w:kern w:val="0"/>
                  <w:sz w:val="20"/>
                  <w:szCs w:val="20"/>
                </w:rPr>
                <w:t>Drafting note, Cybersecurity</w:t>
              </w:r>
            </w:hyperlink>
            <w:r>
              <w:rPr>
                <w:rFonts w:ascii="Times New Roman" w:hAnsi="Times New Roman"/>
                <w:color w:val="1F1F1F"/>
                <w:kern w:val="0"/>
                <w:sz w:val="20"/>
                <w:szCs w:val="20"/>
              </w:rPr>
              <w:t>).</w:t>
            </w:r>
          </w:p>
          <w:p w14:paraId="2A5C6F31"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E2B5638"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1F978A1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any special, indirect or consequential loss, costs, damages, charges or expenses,</w:t>
      </w:r>
    </w:p>
    <w:p w14:paraId="139A90B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each case, however arising under this agreement.</w:t>
      </w:r>
    </w:p>
    <w:p w14:paraId="2BADB071"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6" w:name="co_anchor_a536728_1"/>
      <w:bookmarkEnd w:id="26"/>
    </w:p>
    <w:p w14:paraId="4156A63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9.3  Subject always to </w:t>
      </w:r>
      <w:hyperlink w:anchor="co_anchor_a647586_1" w:history="1">
        <w:r>
          <w:rPr>
            <w:rFonts w:ascii="Times New Roman" w:hAnsi="Times New Roman"/>
            <w:i/>
            <w:iCs/>
            <w:color w:val="006FC4"/>
            <w:kern w:val="0"/>
            <w:sz w:val="20"/>
            <w:szCs w:val="20"/>
          </w:rPr>
          <w:t>Clause 9.1</w:t>
        </w:r>
      </w:hyperlink>
      <w:r>
        <w:rPr>
          <w:rFonts w:ascii="Times New Roman" w:hAnsi="Times New Roman"/>
          <w:color w:val="1F1F1F"/>
          <w:kern w:val="0"/>
          <w:sz w:val="20"/>
          <w:szCs w:val="20"/>
        </w:rPr>
        <w:t>, each party’s total aggregate liability in contract, tort (including negligence and breach of statutory duty), misrepresentation (whether innocent or negligent), restitution or otherwise, arising in connection with the performance, contemplated performance, or non-performance of this agreement shall be limited to the greater of:</w:t>
      </w:r>
    </w:p>
    <w:p w14:paraId="343414B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D0B0D1D"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7" w:name="co_anchor_a231015_1"/>
      <w:bookmarkEnd w:id="27"/>
    </w:p>
    <w:p w14:paraId="3C02F59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£[AMOUNT]; and</w:t>
      </w:r>
    </w:p>
    <w:p w14:paraId="589381F5"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8" w:name="co_anchor_a882575_1"/>
      <w:bookmarkEnd w:id="28"/>
    </w:p>
    <w:p w14:paraId="2DED7C6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[PERCENTAGE]% of the total Charges paid by the Customer to the Supplier [during the [12-]month period immediately preceding the date on which the first cause of action under this agreement first arose].</w:t>
      </w:r>
    </w:p>
    <w:p w14:paraId="0AC9700E"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29" w:name="co_anchor_a927892_1"/>
      <w:bookmarkEnd w:id="29"/>
    </w:p>
    <w:p w14:paraId="6CDC824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  CONFIDENTIALITY [AND COMPLIANCE WITH POLICIES]  </w:t>
      </w:r>
    </w:p>
    <w:p w14:paraId="627DE82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0880582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34019C8"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Confidentiality</w:t>
            </w:r>
          </w:p>
          <w:p w14:paraId="1D29B99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4C0B41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see the integrated drafting notes to </w:t>
            </w:r>
            <w:hyperlink r:id="rId71" w:history="1">
              <w:r>
                <w:rPr>
                  <w:rFonts w:ascii="Times New Roman" w:hAnsi="Times New Roman"/>
                  <w:i/>
                  <w:iCs/>
                  <w:color w:val="006FC4"/>
                  <w:kern w:val="0"/>
                  <w:sz w:val="20"/>
                  <w:szCs w:val="20"/>
                </w:rPr>
                <w:t>Standard clause, Confidentiality</w:t>
              </w:r>
            </w:hyperlink>
            <w:r>
              <w:rPr>
                <w:rFonts w:ascii="Times New Roman" w:hAnsi="Times New Roman"/>
                <w:color w:val="1F1F1F"/>
                <w:kern w:val="0"/>
                <w:sz w:val="20"/>
                <w:szCs w:val="20"/>
              </w:rPr>
              <w:t>.</w:t>
            </w:r>
          </w:p>
          <w:p w14:paraId="4FC9839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0CAECC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3EAB131" w14:textId="77777777" w:rsidR="00CE6AB2" w:rsidRDefault="00000000">
            <w:pPr>
              <w:widowControl w:val="0"/>
              <w:autoSpaceDE w:val="0"/>
              <w:autoSpaceDN w:val="0"/>
              <w:adjustRightInd w:val="0"/>
              <w:spacing w:before="160" w:after="0" w:line="240" w:lineRule="auto"/>
              <w:jc w:val="both"/>
              <w:rPr>
                <w:rFonts w:ascii="Times New Roman" w:hAnsi="Times New Roman"/>
                <w:color w:val="505050"/>
                <w:kern w:val="0"/>
                <w:sz w:val="20"/>
                <w:szCs w:val="20"/>
              </w:rPr>
            </w:pPr>
            <w:r>
              <w:rPr>
                <w:rFonts w:ascii="Times New Roman" w:hAnsi="Times New Roman"/>
                <w:color w:val="505050"/>
                <w:kern w:val="0"/>
                <w:sz w:val="20"/>
                <w:szCs w:val="20"/>
              </w:rPr>
              <w:t>Compliance with policies</w:t>
            </w:r>
          </w:p>
          <w:p w14:paraId="5D9C53E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14CC076"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EC23EC9"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3CEF7977"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0" w:name="co_anchor_a959936_1"/>
      <w:bookmarkEnd w:id="30"/>
    </w:p>
    <w:p w14:paraId="4A1398E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10.1  Confidential Information means all confidential information (however recorded or preserved) disclosed by a party or its Representatives (as defined below) to the other party and that party’s Representatives [whether before or] [after the date of this agreement] in connection with this agreement or the Maintenance Services including but not limited to:</w:t>
      </w:r>
    </w:p>
    <w:p w14:paraId="6CDDCB7A" w14:textId="77777777" w:rsidR="00CE6AB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[existence and] terms of this agreement [or any agreement entered into in connection with this agreement];]</w:t>
      </w:r>
    </w:p>
    <w:p w14:paraId="13D4074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any information that would be regarded as confidential by a reasonable business person relating to:</w:t>
      </w:r>
    </w:p>
    <w:p w14:paraId="4828D1B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103256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the business, assets, affairs, customers, clients, suppliers, [or] plans [, intentions, or market opportunities] of the disclosing party [(or of any member of the group of companies to which the disclosing party belongs)]; and</w:t>
      </w:r>
    </w:p>
    <w:p w14:paraId="50BF209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the operations, processes, product information, know-how, designs, trade secrets or software of the disclosing party [(or of any member of the group of companies to which the disclosing party belongs)];</w:t>
      </w:r>
    </w:p>
    <w:p w14:paraId="4F52D6F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any information developed by the parties in the course of carrying out this agreement; and</w:t>
      </w:r>
    </w:p>
    <w:p w14:paraId="380E8B5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any information detailed in Schedule [NUMBER].</w:t>
      </w:r>
    </w:p>
    <w:p w14:paraId="210463D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Representatives means, in relation to a party, its employees, officers, contractors, subcontractors, representatives and advisers.</w:t>
      </w:r>
    </w:p>
    <w:p w14:paraId="40781EA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10.2  The provisions of this clause shall not apply to any Confidential Information that:</w:t>
      </w:r>
    </w:p>
    <w:p w14:paraId="5B3BDE4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2CC2BA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is or becomes generally available to the public (other than as a result of its disclosure by the receiving party or its Representatives in breach of this clause);</w:t>
      </w:r>
    </w:p>
    <w:p w14:paraId="0DB487C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was available to the receiving party on a non-confidential basis before disclosure by the disclosing party;</w:t>
      </w:r>
    </w:p>
    <w:p w14:paraId="61C9C7C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w:t>
      </w:r>
    </w:p>
    <w:p w14:paraId="1501885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parties agree in writing is not confidential or may be disclosed[; or]</w:t>
      </w:r>
    </w:p>
    <w:p w14:paraId="76D7444B" w14:textId="77777777" w:rsidR="00CE6AB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[is developed by or for the receiving party independently of the information disclosed by the disclosing party.]</w:t>
      </w:r>
    </w:p>
    <w:p w14:paraId="3B63EC4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10.3  Each party shall keep the other party’s Confidential Information secret and confidential and shall:</w:t>
      </w:r>
    </w:p>
    <w:p w14:paraId="036C438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B673C7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not use any Confidential Information except [for the purpose of exercising or performing its rights and obligations under or in connection with this agreement OR [SPECIFY PURPOSE]] (Permitted Purpose); or</w:t>
      </w:r>
    </w:p>
    <w:p w14:paraId="728700A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not disclose such Confidential Information in whole or in part to any third party, except as expressly permitted by this </w:t>
      </w:r>
      <w:hyperlink w:anchor="co_anchor_a927892_1" w:history="1">
        <w:r>
          <w:rPr>
            <w:rFonts w:ascii="Times New Roman" w:hAnsi="Times New Roman"/>
            <w:i/>
            <w:iCs/>
            <w:color w:val="006FC4"/>
            <w:kern w:val="0"/>
            <w:sz w:val="20"/>
            <w:szCs w:val="20"/>
          </w:rPr>
          <w:t>Clause 10</w:t>
        </w:r>
      </w:hyperlink>
      <w:r>
        <w:rPr>
          <w:rFonts w:ascii="Times New Roman" w:hAnsi="Times New Roman"/>
          <w:color w:val="1F1F1F"/>
          <w:kern w:val="0"/>
          <w:sz w:val="20"/>
          <w:szCs w:val="20"/>
        </w:rPr>
        <w:t>.</w:t>
      </w:r>
    </w:p>
    <w:p w14:paraId="4030469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31" w:name="co_anchor_a458763_1"/>
      <w:bookmarkEnd w:id="31"/>
      <w:r>
        <w:rPr>
          <w:rFonts w:ascii="Times New Roman" w:hAnsi="Times New Roman"/>
          <w:color w:val="1F1F1F"/>
          <w:kern w:val="0"/>
          <w:sz w:val="20"/>
          <w:szCs w:val="20"/>
        </w:rPr>
        <w:t>(a)  [not process the Confidential Information in any way using machine learning or artificial intelligence (“AI”) models OR only process the Confidential Information using machine learning or artificial intelligence (“AI”) models where those models will not be:</w:t>
      </w:r>
    </w:p>
    <w:p w14:paraId="1711769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trained on the Confidential Information; and</w:t>
      </w:r>
    </w:p>
    <w:p w14:paraId="1400116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lawfully available to or accessible for use by any person or entity except for a party or its Representatives.</w:t>
      </w:r>
    </w:p>
    <w:p w14:paraId="61A8178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89C371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5D8581C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BFB4AE5"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AI and machine learning (optional)</w:t>
            </w:r>
          </w:p>
          <w:p w14:paraId="22751A9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18A062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specific requirements of a confidentiality clause can vary with the type of information being shared and its intended purpose. However, with AI use becoming ever more prevalent in a commercial context, practitioners should expressly address the parties’ potential use of AI and machine learning, including how this interfaces with the need to protect the confidential information disclosed.</w:t>
            </w:r>
          </w:p>
          <w:p w14:paraId="271B8E5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731717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Choose from the following two drafting options:</w:t>
            </w:r>
          </w:p>
          <w:p w14:paraId="6EDA7B8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EC16F96" w14:textId="77777777" w:rsidR="00CE6AB2" w:rsidRDefault="00000000">
            <w:pPr>
              <w:widowControl w:val="0"/>
              <w:numPr>
                <w:ilvl w:val="0"/>
                <w:numId w:val="5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Option 1. Unless there is a transaction-specific reason to permit it, a confidentiality clause should prohibit the use of the other party’s confidential information by AI or machine learning models (whether private or public facing). This broad prohibition also prevents use of the disclosed confidential information to train such models. Particularly with a public facing AI model (for example, Chat GPT), this helps address the risk that a party’s confidential information may be used to train the model to respond to future queries by members of the public, and so lead to potential data leakage (unauthorised disclosure to third parties). The first drafting option at </w:t>
            </w:r>
            <w:hyperlink w:anchor="co_anchor_a458763_1" w:history="1">
              <w:r>
                <w:rPr>
                  <w:rFonts w:ascii="Times New Roman" w:hAnsi="Times New Roman"/>
                  <w:i/>
                  <w:iCs/>
                  <w:color w:val="006FC4"/>
                  <w:kern w:val="0"/>
                  <w:sz w:val="20"/>
                  <w:szCs w:val="20"/>
                </w:rPr>
                <w:t>Clause 10.3(a)</w:t>
              </w:r>
            </w:hyperlink>
            <w:r>
              <w:rPr>
                <w:rFonts w:ascii="Times New Roman" w:hAnsi="Times New Roman"/>
                <w:color w:val="1F1F1F"/>
                <w:kern w:val="0"/>
                <w:sz w:val="20"/>
                <w:szCs w:val="20"/>
              </w:rPr>
              <w:t xml:space="preserve"> reflects this approach.</w:t>
            </w:r>
          </w:p>
          <w:p w14:paraId="6DE2B86A" w14:textId="77777777" w:rsidR="00CE6AB2" w:rsidRDefault="00000000">
            <w:pPr>
              <w:widowControl w:val="0"/>
              <w:numPr>
                <w:ilvl w:val="0"/>
                <w:numId w:val="5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Option 2. If either or both parties are unable to agree to a blanket prohibition on disclosure of the confidential information to AI or machine learning models, for example because the proposed commercial transaction envisages use of AI, the confidentiality clause should expressly provide for that. In these circumstances, practitioners should also consider imposing a condition on the recipient of the discloser’s confidential information that any such information fed into the AI model will not be used to train it, and that the AI model is not accessible to or available for use by anyone that is not already allowed to access the confidential information under the agreement. Choose the second drafting option at </w:t>
            </w:r>
            <w:hyperlink w:anchor="co_anchor_a458763_1" w:history="1">
              <w:r>
                <w:rPr>
                  <w:rFonts w:ascii="Times New Roman" w:hAnsi="Times New Roman"/>
                  <w:i/>
                  <w:iCs/>
                  <w:color w:val="006FC4"/>
                  <w:kern w:val="0"/>
                  <w:sz w:val="20"/>
                  <w:szCs w:val="20"/>
                </w:rPr>
                <w:t>Clause 10.3(a)</w:t>
              </w:r>
            </w:hyperlink>
            <w:r>
              <w:rPr>
                <w:rFonts w:ascii="Times New Roman" w:hAnsi="Times New Roman"/>
                <w:color w:val="1F1F1F"/>
                <w:kern w:val="0"/>
                <w:sz w:val="20"/>
                <w:szCs w:val="20"/>
              </w:rPr>
              <w:t xml:space="preserve"> if taking this approach.</w:t>
            </w:r>
          </w:p>
          <w:p w14:paraId="2DC99C11"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It should be noted that </w:t>
            </w:r>
            <w:hyperlink w:anchor="co_anchor_a458763_1" w:history="1">
              <w:r>
                <w:rPr>
                  <w:rFonts w:ascii="Times New Roman" w:hAnsi="Times New Roman"/>
                  <w:i/>
                  <w:iCs/>
                  <w:color w:val="006FC4"/>
                  <w:kern w:val="0"/>
                  <w:sz w:val="20"/>
                  <w:szCs w:val="20"/>
                </w:rPr>
                <w:t>Clause 10.3(a)</w:t>
              </w:r>
            </w:hyperlink>
            <w:r>
              <w:rPr>
                <w:rFonts w:ascii="Times New Roman" w:hAnsi="Times New Roman"/>
                <w:color w:val="1F1F1F"/>
                <w:kern w:val="0"/>
                <w:sz w:val="20"/>
                <w:szCs w:val="20"/>
              </w:rPr>
              <w:t xml:space="preserve"> may not favour IT suppliers (who may, typically, be the most likely to want to use customer information to train AI models) so this clause has been made optional.</w:t>
            </w:r>
          </w:p>
          <w:p w14:paraId="2A74FED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61163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information on AI and confidentiality, see </w:t>
            </w:r>
            <w:hyperlink r:id="rId72" w:anchor="co_anchor_a402318" w:history="1">
              <w:r>
                <w:rPr>
                  <w:rFonts w:ascii="Times New Roman" w:hAnsi="Times New Roman"/>
                  <w:i/>
                  <w:iCs/>
                  <w:color w:val="006FC4"/>
                  <w:kern w:val="0"/>
                  <w:sz w:val="20"/>
                  <w:szCs w:val="20"/>
                </w:rPr>
                <w:t>Practice note, Protecting confidential information: overview: Artificial intelligence (AI) and confidentiality</w:t>
              </w:r>
            </w:hyperlink>
            <w:r>
              <w:rPr>
                <w:rFonts w:ascii="Times New Roman" w:hAnsi="Times New Roman"/>
                <w:color w:val="1F1F1F"/>
                <w:kern w:val="0"/>
                <w:sz w:val="20"/>
                <w:szCs w:val="20"/>
              </w:rPr>
              <w:t>.</w:t>
            </w:r>
          </w:p>
          <w:p w14:paraId="589EC201"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5D04180"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016DAAA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6738E31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10.4  A party may disclose the other party’s Confidential Information to those of its Representatives who need to know that Confidential Information for the Permitted Purpose, provided that:</w:t>
      </w:r>
    </w:p>
    <w:p w14:paraId="0C6CF76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B5CB82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it informs such Representatives of the confidential nature of the Confidential Information before disclosure; and</w:t>
      </w:r>
    </w:p>
    <w:p w14:paraId="3F11D32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(b)  at all times, it is responsible for the Representatives’ compliance with the confidentiality obligations set out in this </w:t>
      </w:r>
      <w:hyperlink w:anchor="co_anchor_a927892_1" w:history="1">
        <w:r>
          <w:rPr>
            <w:rFonts w:ascii="Times New Roman" w:hAnsi="Times New Roman"/>
            <w:i/>
            <w:iCs/>
            <w:color w:val="006FC4"/>
            <w:kern w:val="0"/>
            <w:sz w:val="20"/>
            <w:szCs w:val="20"/>
          </w:rPr>
          <w:t>Clause 10</w:t>
        </w:r>
      </w:hyperlink>
      <w:r>
        <w:rPr>
          <w:rFonts w:ascii="Times New Roman" w:hAnsi="Times New Roman"/>
          <w:color w:val="1F1F1F"/>
          <w:kern w:val="0"/>
          <w:sz w:val="20"/>
          <w:szCs w:val="20"/>
        </w:rPr>
        <w:t>.</w:t>
      </w:r>
    </w:p>
    <w:p w14:paraId="29DDC22E"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2" w:name="co_anchor_a491412_1"/>
      <w:bookmarkEnd w:id="32"/>
    </w:p>
    <w:p w14:paraId="3B6F17B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10.5  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such disclosure as possible [and, where notice of disclosure is not prohibited and is given in accordance with this </w:t>
      </w:r>
      <w:hyperlink w:anchor="co_anchor_a491412_1" w:history="1">
        <w:r>
          <w:rPr>
            <w:rFonts w:ascii="Times New Roman" w:hAnsi="Times New Roman"/>
            <w:i/>
            <w:iCs/>
            <w:color w:val="006FC4"/>
            <w:kern w:val="0"/>
            <w:sz w:val="20"/>
            <w:szCs w:val="20"/>
          </w:rPr>
          <w:t>Clause 10.5</w:t>
        </w:r>
      </w:hyperlink>
      <w:r>
        <w:rPr>
          <w:rFonts w:ascii="Times New Roman" w:hAnsi="Times New Roman"/>
          <w:color w:val="1F1F1F"/>
          <w:kern w:val="0"/>
          <w:sz w:val="20"/>
          <w:szCs w:val="20"/>
        </w:rPr>
        <w:t>, it takes into account the reasonable requests of the other party in relation to the content of such disclosure].</w:t>
      </w:r>
    </w:p>
    <w:p w14:paraId="2FEE438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10.6  Each party reserves all rights in its Confidential Information. No rights or obligations in respect of a party’s Confidential Information, other than those expressly stated in this agreement, are granted to the other party, or are to be implied from this agreement.</w:t>
      </w:r>
    </w:p>
    <w:p w14:paraId="62A1E07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    10.7  [The provisions of this </w:t>
      </w:r>
      <w:hyperlink w:anchor="co_anchor_a927892_1" w:history="1">
        <w:r>
          <w:rPr>
            <w:rFonts w:ascii="Times New Roman" w:hAnsi="Times New Roman"/>
            <w:i/>
            <w:iCs/>
            <w:color w:val="006FC4"/>
            <w:kern w:val="0"/>
            <w:sz w:val="20"/>
            <w:szCs w:val="20"/>
          </w:rPr>
          <w:t>Clause 10</w:t>
        </w:r>
      </w:hyperlink>
      <w:r>
        <w:rPr>
          <w:rFonts w:ascii="Times New Roman" w:hAnsi="Times New Roman"/>
          <w:color w:val="1F1F1F"/>
          <w:kern w:val="0"/>
          <w:sz w:val="20"/>
          <w:szCs w:val="20"/>
        </w:rPr>
        <w:t xml:space="preserve"> shall [continue to apply after termination [or expiry] of this agreement OR survive for a period of [five] years from termination [or expiry] of this agreement].]</w:t>
      </w:r>
    </w:p>
    <w:p w14:paraId="772D458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    10.8  [Except as expressly stated in this agreement, no party makes any express or implied warranty or representation </w:t>
      </w:r>
      <w:r>
        <w:rPr>
          <w:rFonts w:ascii="Times New Roman" w:hAnsi="Times New Roman"/>
          <w:color w:val="1F1F1F"/>
          <w:kern w:val="0"/>
          <w:sz w:val="20"/>
          <w:szCs w:val="20"/>
        </w:rPr>
        <w:lastRenderedPageBreak/>
        <w:t>concerning its Confidential Information.]</w:t>
      </w:r>
    </w:p>
    <w:p w14:paraId="1ED1B93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10.9  [A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w:t>
      </w:r>
    </w:p>
    <w:p w14:paraId="6EBA6297"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3" w:name="co_anchor_a305119_1"/>
      <w:bookmarkEnd w:id="33"/>
    </w:p>
    <w:p w14:paraId="7F653A3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10.10  [In performing its obligations under this agreement the [Supplier OR Customer] shall comply with the Mandatory Policies.]</w:t>
      </w:r>
    </w:p>
    <w:p w14:paraId="6977E18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71471E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76ED6E10"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6638889"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Compliance with policies</w:t>
            </w:r>
          </w:p>
          <w:p w14:paraId="5379B7C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F8C161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305119_1" w:history="1">
              <w:r>
                <w:rPr>
                  <w:rFonts w:ascii="Times New Roman" w:hAnsi="Times New Roman"/>
                  <w:i/>
                  <w:iCs/>
                  <w:color w:val="006FC4"/>
                  <w:kern w:val="0"/>
                  <w:sz w:val="20"/>
                  <w:szCs w:val="20"/>
                </w:rPr>
                <w:t>Clause 10.10</w:t>
              </w:r>
            </w:hyperlink>
            <w:r>
              <w:rPr>
                <w:rFonts w:ascii="Times New Roman" w:hAnsi="Times New Roman"/>
                <w:color w:val="1F1F1F"/>
                <w:kern w:val="0"/>
                <w:sz w:val="20"/>
                <w:szCs w:val="20"/>
              </w:rPr>
              <w:t xml:space="preserve"> can be used where the Customer or Supplier has specific business policies and wants to ensure that the other party complies with them. The policies might reflect a party’s legal obligations, for instance, its obligations under instruments such as the Modern Slavery Act 2015 (see </w:t>
            </w:r>
            <w:hyperlink w:anchor="co_anchor_a443853_1" w:history="1">
              <w:r>
                <w:rPr>
                  <w:rFonts w:ascii="Times New Roman" w:hAnsi="Times New Roman"/>
                  <w:i/>
                  <w:iCs/>
                  <w:color w:val="006FC4"/>
                  <w:kern w:val="0"/>
                  <w:sz w:val="20"/>
                  <w:szCs w:val="20"/>
                </w:rPr>
                <w:t>Drafting note, Supply chain issues: slavery and human trafficking</w:t>
              </w:r>
            </w:hyperlink>
            <w:r>
              <w:rPr>
                <w:rFonts w:ascii="Times New Roman" w:hAnsi="Times New Roman"/>
                <w:color w:val="1F1F1F"/>
                <w:kern w:val="0"/>
                <w:sz w:val="20"/>
                <w:szCs w:val="20"/>
              </w:rPr>
              <w:t xml:space="preserve">) the Bribery Act 2010, or data protection legislation (see </w:t>
            </w:r>
            <w:hyperlink w:anchor="co_anchor_a549452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 Alternatively, a party may have adopted business social responsibility policies voluntarily.</w:t>
            </w:r>
          </w:p>
          <w:p w14:paraId="3C39926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B17B7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 most goods or services agreements, the obligation is usually on the supplier to comply with the customer’s policies. But this may not always be the case: depending on the bargaining strengths of the parties, a supplier may well require the customer to comply with the supplier’s policies instead. As this is a pro-supplier agreement, the Supplier may want to omit this clause altogether from the first draft provided to the Customer.</w:t>
            </w:r>
          </w:p>
          <w:p w14:paraId="3EDA511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866609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If the Supplier does choose to include this clause, there are two drafting options:</w:t>
            </w:r>
          </w:p>
          <w:p w14:paraId="6A9423E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032EEDF" w14:textId="77777777" w:rsidR="00CE6AB2" w:rsidRDefault="00000000">
            <w:pPr>
              <w:widowControl w:val="0"/>
              <w:numPr>
                <w:ilvl w:val="0"/>
                <w:numId w:val="5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first is a requirement on the Customer to comply with the Supplier’s policies. This is slightly unusual (the usual position is that a supplier agrees to comply with its customer’s policies), but a supplier who is concerned about its reputation may well want to ensure that it is only supplying goods or services to customers who are willing to comply with the supplier’s policies on issues such as anti-bribery, modern slavery and ethics, or cybersecurity.</w:t>
            </w:r>
          </w:p>
          <w:p w14:paraId="4D02CE8E" w14:textId="77777777" w:rsidR="00CE6AB2" w:rsidRDefault="00000000">
            <w:pPr>
              <w:widowControl w:val="0"/>
              <w:numPr>
                <w:ilvl w:val="0"/>
                <w:numId w:val="5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The second option is a requirement on the Supplier to comply with the Customer’s policies. This is the more usual approach in a goods or services agreement. A supplier may include this option if, for instance, it has already agreed in principle that it is able to comply with its customer’s policies, or the parties already have an ongoing relationship where the supplier is comfortable with complying with the customer’s policies.</w:t>
            </w:r>
          </w:p>
          <w:p w14:paraId="7FBB0CDA"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Whatever approach is taken, check that the definition of </w:t>
            </w:r>
            <w:hyperlink w:anchor="co_anchor_a379762_1" w:history="1">
              <w:r>
                <w:rPr>
                  <w:rFonts w:ascii="Times New Roman" w:hAnsi="Times New Roman"/>
                  <w:i/>
                  <w:iCs/>
                  <w:color w:val="006FC4"/>
                  <w:kern w:val="0"/>
                  <w:sz w:val="20"/>
                  <w:szCs w:val="20"/>
                </w:rPr>
                <w:t>Drafting note, Mandatory Policies (optional)</w:t>
              </w:r>
            </w:hyperlink>
            <w:r>
              <w:rPr>
                <w:rFonts w:ascii="Times New Roman" w:hAnsi="Times New Roman"/>
                <w:color w:val="1F1F1F"/>
                <w:kern w:val="0"/>
                <w:sz w:val="20"/>
                <w:szCs w:val="20"/>
              </w:rPr>
              <w:t xml:space="preserve"> above is consistent with the approach in this clause.</w:t>
            </w:r>
          </w:p>
          <w:p w14:paraId="45E8FD4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649973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Note also that if the Customer agrees to comply with the Supplier’s policies, the Supplier may want a subsequent right to terminate the agreement if the Customer breaches those policies. If this is desired, the Supplier could include this additional right to terminate at </w:t>
            </w:r>
            <w:hyperlink w:anchor="co_anchor_a839850_1" w:history="1">
              <w:r>
                <w:rPr>
                  <w:rFonts w:ascii="Times New Roman" w:hAnsi="Times New Roman"/>
                  <w:i/>
                  <w:iCs/>
                  <w:color w:val="006FC4"/>
                  <w:kern w:val="0"/>
                  <w:sz w:val="20"/>
                  <w:szCs w:val="20"/>
                </w:rPr>
                <w:t>Clause 11</w:t>
              </w:r>
            </w:hyperlink>
            <w:r>
              <w:rPr>
                <w:rFonts w:ascii="Times New Roman" w:hAnsi="Times New Roman"/>
                <w:color w:val="1F1F1F"/>
                <w:kern w:val="0"/>
                <w:sz w:val="20"/>
                <w:szCs w:val="20"/>
              </w:rPr>
              <w:t xml:space="preserve">. For an example of this, see </w:t>
            </w:r>
            <w:hyperlink r:id="rId73" w:anchor="co_anchor_a1028636" w:history="1">
              <w:r>
                <w:rPr>
                  <w:rFonts w:ascii="Times New Roman" w:hAnsi="Times New Roman"/>
                  <w:i/>
                  <w:iCs/>
                  <w:color w:val="006FC4"/>
                  <w:kern w:val="0"/>
                  <w:sz w:val="20"/>
                  <w:szCs w:val="20"/>
                </w:rPr>
                <w:t>Standard document, Simple framework services agreement (pro-customer): clause 15.4(a)</w:t>
              </w:r>
            </w:hyperlink>
            <w:r>
              <w:rPr>
                <w:rFonts w:ascii="Times New Roman" w:hAnsi="Times New Roman"/>
                <w:color w:val="1F1F1F"/>
                <w:kern w:val="0"/>
                <w:sz w:val="20"/>
                <w:szCs w:val="20"/>
              </w:rPr>
              <w:t>.</w:t>
            </w:r>
          </w:p>
          <w:p w14:paraId="2039D2B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555C53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general compliance clauses, see the integrated drafting notes to </w:t>
            </w:r>
            <w:hyperlink r:id="rId74" w:history="1">
              <w:r>
                <w:rPr>
                  <w:rFonts w:ascii="Times New Roman" w:hAnsi="Times New Roman"/>
                  <w:i/>
                  <w:iCs/>
                  <w:color w:val="006FC4"/>
                  <w:kern w:val="0"/>
                  <w:sz w:val="20"/>
                  <w:szCs w:val="20"/>
                </w:rPr>
                <w:t>Standard clause, Compliance with laws and policies</w:t>
              </w:r>
            </w:hyperlink>
            <w:r>
              <w:rPr>
                <w:rFonts w:ascii="Times New Roman" w:hAnsi="Times New Roman"/>
                <w:color w:val="1F1F1F"/>
                <w:kern w:val="0"/>
                <w:sz w:val="20"/>
                <w:szCs w:val="20"/>
              </w:rPr>
              <w:t>.</w:t>
            </w:r>
          </w:p>
          <w:p w14:paraId="267BD029"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0DA44C5C"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7312124D"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4" w:name="co_anchor_a839850_1"/>
      <w:bookmarkEnd w:id="34"/>
    </w:p>
    <w:p w14:paraId="17550C9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  TERM AND TERMINATION  </w:t>
      </w:r>
    </w:p>
    <w:p w14:paraId="34D1813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7072BE8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45795FD"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Term and termination</w:t>
            </w:r>
          </w:p>
          <w:p w14:paraId="0F21F7C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2B8A9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291058_1" w:history="1">
              <w:r>
                <w:rPr>
                  <w:rFonts w:ascii="Times New Roman" w:hAnsi="Times New Roman"/>
                  <w:i/>
                  <w:iCs/>
                  <w:color w:val="006FC4"/>
                  <w:kern w:val="0"/>
                  <w:sz w:val="20"/>
                  <w:szCs w:val="20"/>
                </w:rPr>
                <w:t>Clause 11.1</w:t>
              </w:r>
            </w:hyperlink>
            <w:r>
              <w:rPr>
                <w:rFonts w:ascii="Times New Roman" w:hAnsi="Times New Roman"/>
                <w:color w:val="1F1F1F"/>
                <w:kern w:val="0"/>
                <w:sz w:val="20"/>
                <w:szCs w:val="20"/>
              </w:rPr>
              <w:t xml:space="preserve"> provides for the agreement to last for the Initial Period, and after that for successive Renewal Periods, unless either party notifies the other of its intention to terminate the agreement at least 60 days before the end of the Initial Period or any subsequent Renewal Period. The Supplier and Customer should both consider whether 60 days is a sufficient period of time.</w:t>
            </w:r>
          </w:p>
          <w:p w14:paraId="126FF7D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C8446D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Each party has the right to terminate the contract in the event of the other’s insolvency or default (</w:t>
            </w:r>
            <w:hyperlink w:anchor="co_anchor_a470318_1" w:history="1">
              <w:r>
                <w:rPr>
                  <w:rFonts w:ascii="Times New Roman" w:hAnsi="Times New Roman"/>
                  <w:i/>
                  <w:iCs/>
                  <w:color w:val="006FC4"/>
                  <w:kern w:val="0"/>
                  <w:sz w:val="20"/>
                  <w:szCs w:val="20"/>
                </w:rPr>
                <w:t>Clause 11.2</w:t>
              </w:r>
            </w:hyperlink>
            <w:r>
              <w:rPr>
                <w:rFonts w:ascii="Times New Roman" w:hAnsi="Times New Roman"/>
                <w:color w:val="1F1F1F"/>
                <w:kern w:val="0"/>
                <w:sz w:val="20"/>
                <w:szCs w:val="20"/>
              </w:rPr>
              <w:t>).</w:t>
            </w:r>
          </w:p>
          <w:p w14:paraId="299EFF2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3B01D1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hyperlink w:anchor="co_anchor_a487367_1" w:history="1">
              <w:r>
                <w:rPr>
                  <w:rFonts w:ascii="Times New Roman" w:hAnsi="Times New Roman"/>
                  <w:i/>
                  <w:iCs/>
                  <w:color w:val="006FC4"/>
                  <w:kern w:val="0"/>
                  <w:sz w:val="20"/>
                  <w:szCs w:val="20"/>
                </w:rPr>
                <w:t>Clause 11.6</w:t>
              </w:r>
            </w:hyperlink>
            <w:r>
              <w:rPr>
                <w:rFonts w:ascii="Times New Roman" w:hAnsi="Times New Roman"/>
                <w:color w:val="1F1F1F"/>
                <w:kern w:val="0"/>
                <w:sz w:val="20"/>
                <w:szCs w:val="20"/>
              </w:rPr>
              <w:t xml:space="preserve"> sets out fairly standard provisions for the consequences of termination in this kind of agreement (that is, return of the other party’s property and documentation and payment of outstanding amounts). </w:t>
            </w:r>
            <w:hyperlink w:anchor="co_anchor_a761036_1" w:history="1">
              <w:r>
                <w:rPr>
                  <w:rFonts w:ascii="Times New Roman" w:hAnsi="Times New Roman"/>
                  <w:i/>
                  <w:iCs/>
                  <w:color w:val="006FC4"/>
                  <w:kern w:val="0"/>
                  <w:sz w:val="20"/>
                  <w:szCs w:val="20"/>
                </w:rPr>
                <w:t>Clause 11.6(b)</w:t>
              </w:r>
            </w:hyperlink>
            <w:r>
              <w:rPr>
                <w:rFonts w:ascii="Times New Roman" w:hAnsi="Times New Roman"/>
                <w:color w:val="1F1F1F"/>
                <w:kern w:val="0"/>
                <w:sz w:val="20"/>
                <w:szCs w:val="20"/>
              </w:rPr>
              <w:t xml:space="preserve"> obliges the Supplier to provide a degree of transitional assistance upon termination. Customers may want to consider making these obligations more defined and extensive. Suppliers may wish to remove this provision completely or make it optional at the request of the Customer but subject to additional charges.</w:t>
            </w:r>
          </w:p>
          <w:p w14:paraId="2657E61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5232D8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further information, see </w:t>
            </w:r>
            <w:hyperlink r:id="rId75" w:history="1">
              <w:r>
                <w:rPr>
                  <w:rFonts w:ascii="Times New Roman" w:hAnsi="Times New Roman"/>
                  <w:i/>
                  <w:iCs/>
                  <w:color w:val="006FC4"/>
                  <w:kern w:val="0"/>
                  <w:sz w:val="20"/>
                  <w:szCs w:val="20"/>
                </w:rPr>
                <w:t>Standard clause, Termination</w:t>
              </w:r>
            </w:hyperlink>
            <w:r>
              <w:rPr>
                <w:rFonts w:ascii="Times New Roman" w:hAnsi="Times New Roman"/>
                <w:color w:val="1F1F1F"/>
                <w:kern w:val="0"/>
                <w:sz w:val="20"/>
                <w:szCs w:val="20"/>
              </w:rPr>
              <w:t xml:space="preserve"> and associated drafting notes, including information on the </w:t>
            </w:r>
            <w:hyperlink r:id="rId76" w:history="1">
              <w:r>
                <w:rPr>
                  <w:rFonts w:ascii="Times New Roman" w:hAnsi="Times New Roman"/>
                  <w:i/>
                  <w:iCs/>
                  <w:color w:val="006FC4"/>
                  <w:kern w:val="0"/>
                  <w:sz w:val="20"/>
                  <w:szCs w:val="20"/>
                </w:rPr>
                <w:t>Corporate Insolvency and Governance Act 2020</w:t>
              </w:r>
            </w:hyperlink>
            <w:r>
              <w:rPr>
                <w:rFonts w:ascii="Times New Roman" w:hAnsi="Times New Roman"/>
                <w:color w:val="1F1F1F"/>
                <w:kern w:val="0"/>
                <w:sz w:val="20"/>
                <w:szCs w:val="20"/>
              </w:rPr>
              <w:t xml:space="preserve">, which came into force on 26 June 2020. See also </w:t>
            </w:r>
            <w:hyperlink r:id="rId77" w:history="1">
              <w:r>
                <w:rPr>
                  <w:rFonts w:ascii="Times New Roman" w:hAnsi="Times New Roman"/>
                  <w:i/>
                  <w:iCs/>
                  <w:color w:val="006FC4"/>
                  <w:kern w:val="0"/>
                  <w:sz w:val="20"/>
                  <w:szCs w:val="20"/>
                </w:rPr>
                <w:t>Practice note, Restrictions on terminating supply contracts in insolvency proceedings</w:t>
              </w:r>
            </w:hyperlink>
            <w:r>
              <w:rPr>
                <w:rFonts w:ascii="Times New Roman" w:hAnsi="Times New Roman"/>
                <w:color w:val="1F1F1F"/>
                <w:kern w:val="0"/>
                <w:sz w:val="20"/>
                <w:szCs w:val="20"/>
              </w:rPr>
              <w:t xml:space="preserve"> and, in particular, </w:t>
            </w:r>
            <w:hyperlink r:id="rId78" w:anchor="co_anchor_a557921" w:history="1">
              <w:r>
                <w:rPr>
                  <w:rFonts w:ascii="Times New Roman" w:hAnsi="Times New Roman"/>
                  <w:i/>
                  <w:iCs/>
                  <w:color w:val="006FC4"/>
                  <w:kern w:val="0"/>
                  <w:sz w:val="20"/>
                  <w:szCs w:val="20"/>
                </w:rPr>
                <w:t>What is a contract for the supply of goods and services?</w:t>
              </w:r>
            </w:hyperlink>
            <w:r>
              <w:rPr>
                <w:rFonts w:ascii="Times New Roman" w:hAnsi="Times New Roman"/>
                <w:color w:val="1F1F1F"/>
                <w:kern w:val="0"/>
                <w:sz w:val="20"/>
                <w:szCs w:val="20"/>
              </w:rPr>
              <w:t xml:space="preserve"> and the commentary around </w:t>
            </w:r>
            <w:hyperlink r:id="rId79" w:anchor="co_anchor_a387269" w:history="1">
              <w:r>
                <w:rPr>
                  <w:rFonts w:ascii="Times New Roman" w:hAnsi="Times New Roman"/>
                  <w:i/>
                  <w:iCs/>
                  <w:color w:val="006FC4"/>
                  <w:kern w:val="0"/>
                  <w:sz w:val="20"/>
                  <w:szCs w:val="20"/>
                </w:rPr>
                <w:t>Software licence agreements</w:t>
              </w:r>
            </w:hyperlink>
            <w:r>
              <w:rPr>
                <w:rFonts w:ascii="Times New Roman" w:hAnsi="Times New Roman"/>
                <w:color w:val="1F1F1F"/>
                <w:kern w:val="0"/>
                <w:sz w:val="20"/>
                <w:szCs w:val="20"/>
              </w:rPr>
              <w:t xml:space="preserve"> and </w:t>
            </w:r>
            <w:hyperlink r:id="rId80" w:anchor="co_anchor_a776693" w:history="1">
              <w:r>
                <w:rPr>
                  <w:rFonts w:ascii="Times New Roman" w:hAnsi="Times New Roman"/>
                  <w:i/>
                  <w:iCs/>
                  <w:color w:val="006FC4"/>
                  <w:kern w:val="0"/>
                  <w:sz w:val="20"/>
                  <w:szCs w:val="20"/>
                </w:rPr>
                <w:t>Intellectual property licence agreements</w:t>
              </w:r>
            </w:hyperlink>
            <w:r>
              <w:rPr>
                <w:rFonts w:ascii="Times New Roman" w:hAnsi="Times New Roman"/>
                <w:color w:val="1F1F1F"/>
                <w:kern w:val="0"/>
                <w:sz w:val="20"/>
                <w:szCs w:val="20"/>
              </w:rPr>
              <w:t>.</w:t>
            </w:r>
          </w:p>
          <w:p w14:paraId="0195F208"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7D04F00D"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417A1D61"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5" w:name="co_anchor_a291058_1"/>
      <w:bookmarkEnd w:id="35"/>
    </w:p>
    <w:p w14:paraId="04C5F96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11.1  This agreement shall commence on the Commencement Date. Unless terminated earlier in accordance with this </w:t>
      </w:r>
      <w:hyperlink w:anchor="co_anchor_a839850_1" w:history="1">
        <w:r>
          <w:rPr>
            <w:rFonts w:ascii="Times New Roman" w:hAnsi="Times New Roman"/>
            <w:i/>
            <w:iCs/>
            <w:color w:val="006FC4"/>
            <w:kern w:val="0"/>
            <w:sz w:val="20"/>
            <w:szCs w:val="20"/>
          </w:rPr>
          <w:t>Clause 11</w:t>
        </w:r>
      </w:hyperlink>
      <w:r>
        <w:rPr>
          <w:rFonts w:ascii="Times New Roman" w:hAnsi="Times New Roman"/>
          <w:color w:val="1F1F1F"/>
          <w:kern w:val="0"/>
          <w:sz w:val="20"/>
          <w:szCs w:val="20"/>
        </w:rPr>
        <w:t>, this agreement shall continue for the Initial Period and shall automatically extend for a Renewal Period at the end of the Initial Period and at the end of each Renewal Period. Either party may give written notice to the other party, not later than [60 days] before the end of the Initial Period or the relevant Renewal Period, to terminate this agreement at the end of the Initial Period or the relevant Renewal Period, as the case may be.</w:t>
      </w:r>
    </w:p>
    <w:p w14:paraId="39FE35EB"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6" w:name="co_anchor_a470318_1"/>
      <w:bookmarkEnd w:id="36"/>
    </w:p>
    <w:p w14:paraId="68674D1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11.2  Without affecting any other right or remedy available to it, either party may terminate this agreement with immediate effect by giving [written] notice to the other party if:</w:t>
      </w:r>
    </w:p>
    <w:p w14:paraId="5E063C1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3BD6B5" w14:textId="77777777" w:rsidR="00CE6AB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[the other party fails to pay any amount due under this agreement on the due date for payment and remains in default not less than [NUMBER] days after being notified [in writing] to make such payment;]</w:t>
      </w:r>
    </w:p>
    <w:p w14:paraId="02A8B8DF"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7" w:name="co_anchor_a926452_1"/>
      <w:bookmarkEnd w:id="37"/>
    </w:p>
    <w:p w14:paraId="1DC8F1B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other party commits a material breach of any [other] term of this agreement and (if such breach is remediable) fails to remedy that breach within a period of [NUMBER] days after being notified [in writing] to do so;</w:t>
      </w:r>
    </w:p>
    <w:p w14:paraId="40ECF35D" w14:textId="77777777" w:rsidR="00CE6AB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other party repeatedly breaches any of the terms of this agreement in such a manner as to reasonably justify the opinion that its conduct is inconsistent with it having the intention or ability to give effect to the terms of this agreement;]</w:t>
      </w:r>
    </w:p>
    <w:p w14:paraId="5D40FC04"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8" w:name="co_anchor_a112466_1"/>
      <w:bookmarkEnd w:id="38"/>
    </w:p>
    <w:p w14:paraId="21111F5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(d)  the other party suspends, or threatens to suspend, payment of its debts or is unable to pay its debts as they fall due or admits inability to pay its debts or [(being a company or limited liability partnership) is deemed unable to pay its debts within the meaning of section 123 of the Insolvency Act 1986 (IA 1986) as if the words “it is proved to the satisfaction of the court” did not appear in sections 123(1)(e) or 123(2) of the IA 1986 OR (being an individual) is deemed either unable to pay its debts or as having no reasonable prospect of so doing, in either case, within the meaning of section 268 of the IA 1986 OR (being a partnership) has any partner to whom any of the foregoing apply];</w:t>
      </w:r>
    </w:p>
    <w:p w14:paraId="28ECFA9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(e)  the other party commences negotiations with all or any class of its creditors with a view to rescheduling any of its debts, or makes a proposal for or enters into any compromise or arrangement with any of its creditors [other than (being a company) for the sole purpose of a scheme for a solvent amalgamation of that other party with one or more other companies or the solvent reconstruction of that other party];</w:t>
      </w:r>
    </w:p>
    <w:p w14:paraId="265566F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(f)  the other party applies to court for, or obtains, a moratorium under Part A1 of the Insolvency Act 1986;</w:t>
      </w:r>
    </w:p>
    <w:p w14:paraId="355BE6D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(g)  a petition is filed, a notice is given, a resolution is passed, or an order is made, for or in connection with the winding up of the other party (being a company, limited liability partnership or partnership) [other than for the sole purpose of a scheme for a solvent amalgamation of that other party with one or more other companies or the solvent reconstruction of that other party];</w:t>
      </w:r>
    </w:p>
    <w:p w14:paraId="21B3F9D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(h)  an application is made to court, or an order is made, for the appointment of an administrator, or a notice of intention to appoint an administrator is given or an administrator is appointed, over the other party (being a company, partnership or limited liability partnership);</w:t>
      </w:r>
    </w:p>
    <w:p w14:paraId="10853D6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the holder of a qualifying floating charge over the assets of that other party (being a company or limited liability partnership) has become entitled to appoint or has appointed an administrative receiver;</w:t>
      </w:r>
    </w:p>
    <w:p w14:paraId="629128A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(j)  a person becomes entitled to appoint a receiver over all or any of the assets of the other party or a receiver is appointed over all or any of the assets of the other party;</w:t>
      </w:r>
    </w:p>
    <w:p w14:paraId="75D25EA5"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39" w:name="co_anchor_a331492_1"/>
      <w:bookmarkEnd w:id="39"/>
    </w:p>
    <w:p w14:paraId="2285CC1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(k)  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p>
    <w:p w14:paraId="01F25FD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(l)  any event occurs, or proceeding is taken, with respect to the other party in any jurisdiction to which it is subject that has an effect equivalent or similar to any of the events mentioned in </w:t>
      </w:r>
      <w:hyperlink w:anchor="co_anchor_a112466_1" w:history="1">
        <w:r>
          <w:rPr>
            <w:rFonts w:ascii="Times New Roman" w:hAnsi="Times New Roman"/>
            <w:i/>
            <w:iCs/>
            <w:color w:val="006FC4"/>
            <w:kern w:val="0"/>
            <w:sz w:val="20"/>
            <w:szCs w:val="20"/>
          </w:rPr>
          <w:t>Clause 11.2(d)</w:t>
        </w:r>
      </w:hyperlink>
      <w:r>
        <w:rPr>
          <w:rFonts w:ascii="Times New Roman" w:hAnsi="Times New Roman"/>
          <w:color w:val="1F1F1F"/>
          <w:kern w:val="0"/>
          <w:sz w:val="20"/>
          <w:szCs w:val="20"/>
        </w:rPr>
        <w:t xml:space="preserve"> to </w:t>
      </w:r>
      <w:hyperlink w:anchor="co_anchor_a331492_1" w:history="1">
        <w:r>
          <w:rPr>
            <w:rFonts w:ascii="Times New Roman" w:hAnsi="Times New Roman"/>
            <w:i/>
            <w:iCs/>
            <w:color w:val="006FC4"/>
            <w:kern w:val="0"/>
            <w:sz w:val="20"/>
            <w:szCs w:val="20"/>
          </w:rPr>
          <w:t>Clause 11.2(k)</w:t>
        </w:r>
      </w:hyperlink>
      <w:r>
        <w:rPr>
          <w:rFonts w:ascii="Times New Roman" w:hAnsi="Times New Roman"/>
          <w:color w:val="1F1F1F"/>
          <w:kern w:val="0"/>
          <w:sz w:val="20"/>
          <w:szCs w:val="20"/>
        </w:rPr>
        <w:t xml:space="preserve"> (inclusive);</w:t>
      </w:r>
    </w:p>
    <w:p w14:paraId="4A53E01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  the other party suspends or ceases, or threatens to suspend or cease, carrying on all or a substantial part of its business[; or]</w:t>
      </w:r>
    </w:p>
    <w:p w14:paraId="0EC8F7E1" w14:textId="77777777" w:rsidR="00CE6AB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(n)  [the other party’s financial position deteriorates so far as to reasonably justify the opinion that its ability to give effect to the terms of this agreement is in jeopardy[; or]]</w:t>
      </w:r>
    </w:p>
    <w:p w14:paraId="4EDA2038" w14:textId="77777777" w:rsidR="00CE6AB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  [there is a change of control of the other party [(within the meaning of section 1124 of the Corporation Tax Act 2010)][; or]]</w:t>
      </w:r>
    </w:p>
    <w:p w14:paraId="2112E800" w14:textId="77777777" w:rsidR="00CE6AB2" w:rsidRDefault="00000000">
      <w:pPr>
        <w:widowControl w:val="0"/>
        <w:autoSpaceDE w:val="0"/>
        <w:autoSpaceDN w:val="0"/>
        <w:adjustRightInd w:val="0"/>
        <w:spacing w:after="20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(p)  [any warranty given by the other party in clause [NUMBER] of this agreement is found to be untrue or misleading.]</w:t>
      </w:r>
    </w:p>
    <w:p w14:paraId="6D5B11C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    11.3  [For the purposes of </w:t>
      </w:r>
      <w:hyperlink w:anchor="co_anchor_a926452_1" w:history="1">
        <w:r>
          <w:rPr>
            <w:rFonts w:ascii="Times New Roman" w:hAnsi="Times New Roman"/>
            <w:i/>
            <w:iCs/>
            <w:color w:val="006FC4"/>
            <w:kern w:val="0"/>
            <w:sz w:val="20"/>
            <w:szCs w:val="20"/>
          </w:rPr>
          <w:t>Clause 11.2(b)</w:t>
        </w:r>
      </w:hyperlink>
      <w:r>
        <w:rPr>
          <w:rFonts w:ascii="Times New Roman" w:hAnsi="Times New Roman"/>
          <w:color w:val="1F1F1F"/>
          <w:kern w:val="0"/>
          <w:sz w:val="20"/>
          <w:szCs w:val="20"/>
        </w:rPr>
        <w:t xml:space="preserve"> a material breach [means OR includes]:</w:t>
      </w:r>
    </w:p>
    <w:p w14:paraId="59C6E27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a breach of any of the obligations set out in clauses [NUMBERS]; or</w:t>
      </w:r>
    </w:p>
    <w:p w14:paraId="3DEA551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a breach that has a serious effect on the benefit the terminating party would otherwise derive from this agreement [over any [NUMBER]-month period during its term].]</w:t>
      </w:r>
    </w:p>
    <w:p w14:paraId="61CED16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07FF5BE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6446742"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Defining material breach (optional)</w:t>
            </w:r>
          </w:p>
          <w:p w14:paraId="193A3F1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A92653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Consider carefully whether the agreement should include a definition for material breach, how that is defined, and whether that definition should be exhaustive. A definition which is too narrow or wide can make the termination trigger higher or lower than that which might be ordinarily expected. The definition may also not correctly anticipate the area(s) where a dispute ultimately arises. It is not unusual for English law governed contracts to leave this concept as undefined, despite this creating a degree of uncertainty as to when such a termination right may therefore arise. For further commentary on the meaning of material breach (where no definition is used) and related termination considerations, see </w:t>
            </w:r>
            <w:hyperlink r:id="rId81" w:anchor="co_anchor_a91689" w:history="1">
              <w:r>
                <w:rPr>
                  <w:rFonts w:ascii="Times New Roman" w:hAnsi="Times New Roman"/>
                  <w:i/>
                  <w:iCs/>
                  <w:color w:val="006FC4"/>
                  <w:kern w:val="0"/>
                  <w:sz w:val="20"/>
                  <w:szCs w:val="20"/>
                </w:rPr>
                <w:t>Practice note, Issues in IT contracts litigation: What is a “material” breach?</w:t>
              </w:r>
            </w:hyperlink>
            <w:r>
              <w:rPr>
                <w:rFonts w:ascii="Times New Roman" w:hAnsi="Times New Roman"/>
                <w:color w:val="1F1F1F"/>
                <w:kern w:val="0"/>
                <w:sz w:val="20"/>
                <w:szCs w:val="20"/>
              </w:rPr>
              <w:t>.</w:t>
            </w:r>
          </w:p>
          <w:p w14:paraId="0D40BF80"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6A7594EB"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3BDED9B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11.4  Any provision of this agreement that expressly or by implication is intended to come into or continue in force on or after termination of this agreement shall remain in full force and effect.</w:t>
      </w:r>
    </w:p>
    <w:p w14:paraId="6F52C28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11.5  Termination of this agreement, for any reason, shall not affect the accrued rights, remedies, obligations or liabilities of the parties existing at termination, including the right to claim damages in respect of any breach of the agreement which existed at or before the date of termination.</w:t>
      </w:r>
    </w:p>
    <w:p w14:paraId="54FDA3B6"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0" w:name="co_anchor_a487367_1"/>
      <w:bookmarkEnd w:id="40"/>
    </w:p>
    <w:p w14:paraId="217E61E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11.6  On termination of this agreement for any reason;</w:t>
      </w:r>
    </w:p>
    <w:p w14:paraId="087E73C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2D184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xml:space="preserve">(a)  except as provided for in </w:t>
      </w:r>
      <w:hyperlink w:anchor="co_anchor_a166927_1" w:history="1">
        <w:r>
          <w:rPr>
            <w:rFonts w:ascii="Times New Roman" w:hAnsi="Times New Roman"/>
            <w:i/>
            <w:iCs/>
            <w:color w:val="006FC4"/>
            <w:kern w:val="0"/>
            <w:sz w:val="20"/>
            <w:szCs w:val="20"/>
          </w:rPr>
          <w:t>Clause 11.7</w:t>
        </w:r>
      </w:hyperlink>
      <w:r>
        <w:rPr>
          <w:rFonts w:ascii="Times New Roman" w:hAnsi="Times New Roman"/>
          <w:color w:val="1F1F1F"/>
          <w:kern w:val="0"/>
          <w:sz w:val="20"/>
          <w:szCs w:val="20"/>
        </w:rPr>
        <w:t>, each party shall as soon as reasonably practicable:</w:t>
      </w:r>
    </w:p>
    <w:p w14:paraId="3B0913F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650B3B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  return or destroy (or, in the case of electronic data, delete), as directed in writing by the other party, any documents, handbooks, CD-ROMs, DVDs, other tangible digital media or other information or data provided to it by the other party for the purposes of this agreement, including all documents and materials (and any copies) containing, reflecting, incorporating or based on the other party’s Confidential Information. If required by the other party, it shall provide written evidence (in the form of a letter signed by its [RELEVANT OFFICER]) no later than [14] days after termination of this agreement that these have been destroyed or deleted and that it has not retained any copies of them, except for one copy that it may use for audit purposes only, and subject to the confidentiality obligations in </w:t>
      </w:r>
      <w:hyperlink w:anchor="co_anchor_a927892_1" w:history="1">
        <w:r>
          <w:rPr>
            <w:rFonts w:ascii="Times New Roman" w:hAnsi="Times New Roman"/>
            <w:i/>
            <w:iCs/>
            <w:color w:val="006FC4"/>
            <w:kern w:val="0"/>
            <w:sz w:val="20"/>
            <w:szCs w:val="20"/>
          </w:rPr>
          <w:t>Clause 10</w:t>
        </w:r>
      </w:hyperlink>
      <w:r>
        <w:rPr>
          <w:rFonts w:ascii="Times New Roman" w:hAnsi="Times New Roman"/>
          <w:color w:val="1F1F1F"/>
          <w:kern w:val="0"/>
          <w:sz w:val="20"/>
          <w:szCs w:val="20"/>
        </w:rPr>
        <w:t>;</w:t>
      </w:r>
    </w:p>
    <w:p w14:paraId="410C49E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delete any proprietary software belonging to the other party and all the other party’s Confidential Information from its IT network and hard disks or other storage means associated with any computer equipment owned or controlled by that party. Each party shall provide written confirmation (in the form of a letter signed by its [RELEVANT OFFICER]) no later than [14] days after termination of this agreement that this software and Confidential Information has been deleted;</w:t>
      </w:r>
    </w:p>
    <w:p w14:paraId="0F7C008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(iii)  return all of the other party’s equipment and materials, failing which the other party may enter the relevant premises and take possession of them. Until these are returned or repossessed, the party remaining in possession shall be solely responsible for their safe-keeping;</w:t>
      </w:r>
    </w:p>
    <w:p w14:paraId="232C29AF"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1" w:name="co_anchor_a761036_1"/>
      <w:bookmarkEnd w:id="41"/>
    </w:p>
    <w:p w14:paraId="7047E9B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the Supplier shall provide all reasonable, transitional assistance to the Customer and/or any third party engaged by the Customer in connection with the maintenance and support of the Maintained Equipment; and</w:t>
      </w:r>
    </w:p>
    <w:p w14:paraId="11DE658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  the Customer shall immediately pay any outstanding amounts owed to the Supplier pursuant to this agreement.</w:t>
      </w:r>
    </w:p>
    <w:p w14:paraId="1BE9C7AF"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2" w:name="co_anchor_a166927_1"/>
      <w:bookmarkEnd w:id="42"/>
    </w:p>
    <w:p w14:paraId="729E3DA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11.7  If a party is required by any applicable law or regulation, or government or regulatory body of competent jurisdiction to retain any documents or materials which it would otherwise be required to return or destroy under </w:t>
      </w:r>
      <w:hyperlink w:anchor="co_anchor_a487367_1" w:history="1">
        <w:r>
          <w:rPr>
            <w:rFonts w:ascii="Times New Roman" w:hAnsi="Times New Roman"/>
            <w:i/>
            <w:iCs/>
            <w:color w:val="006FC4"/>
            <w:kern w:val="0"/>
            <w:sz w:val="20"/>
            <w:szCs w:val="20"/>
          </w:rPr>
          <w:t>Clause 11.6</w:t>
        </w:r>
      </w:hyperlink>
      <w:r>
        <w:rPr>
          <w:rFonts w:ascii="Times New Roman" w:hAnsi="Times New Roman"/>
          <w:color w:val="1F1F1F"/>
          <w:kern w:val="0"/>
          <w:sz w:val="20"/>
          <w:szCs w:val="20"/>
        </w:rPr>
        <w:t xml:space="preserve">, it shall notify the other party in writing of that retention, giving details of the documents or materials that it must retain and the reasons for such retention, and it shall be entitled to retain such documents or materials for the period required by the relevant applicable law or regulation or government or regulatory body provided at all times that </w:t>
      </w:r>
      <w:hyperlink w:anchor="co_anchor_a927892_1" w:history="1">
        <w:r>
          <w:rPr>
            <w:rFonts w:ascii="Times New Roman" w:hAnsi="Times New Roman"/>
            <w:i/>
            <w:iCs/>
            <w:color w:val="006FC4"/>
            <w:kern w:val="0"/>
            <w:sz w:val="20"/>
            <w:szCs w:val="20"/>
          </w:rPr>
          <w:t>Clause 10</w:t>
        </w:r>
      </w:hyperlink>
      <w:r>
        <w:rPr>
          <w:rFonts w:ascii="Times New Roman" w:hAnsi="Times New Roman"/>
          <w:color w:val="1F1F1F"/>
          <w:kern w:val="0"/>
          <w:sz w:val="20"/>
          <w:szCs w:val="20"/>
        </w:rPr>
        <w:t xml:space="preserve"> shall continue to apply to any retained documents and materials.</w:t>
      </w:r>
    </w:p>
    <w:p w14:paraId="3BB0B2B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11.8  Electronic data shall be considered deleted, for the purposes of </w:t>
      </w:r>
      <w:hyperlink w:anchor="co_anchor_a487367_1" w:history="1">
        <w:r>
          <w:rPr>
            <w:rFonts w:ascii="Times New Roman" w:hAnsi="Times New Roman"/>
            <w:i/>
            <w:iCs/>
            <w:color w:val="006FC4"/>
            <w:kern w:val="0"/>
            <w:sz w:val="20"/>
            <w:szCs w:val="20"/>
          </w:rPr>
          <w:t>Clause 11.6</w:t>
        </w:r>
      </w:hyperlink>
      <w:r>
        <w:rPr>
          <w:rFonts w:ascii="Times New Roman" w:hAnsi="Times New Roman"/>
          <w:color w:val="1F1F1F"/>
          <w:kern w:val="0"/>
          <w:sz w:val="20"/>
          <w:szCs w:val="20"/>
        </w:rPr>
        <w:t>, where it has been put beyond use by the deleting party.</w:t>
      </w:r>
    </w:p>
    <w:p w14:paraId="04C42DF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523DAE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223AC9D6"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B92CEE0"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Deletion of electronic data</w:t>
            </w:r>
          </w:p>
          <w:p w14:paraId="4A174F4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B4A146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It can be difficult for organisations (particularly suppliers) to agree to “delete” electronic data. The word ‘deletion’ can mean different things in relation to electronic data, and it is recognised that it is not always possible to delete or erase all traces of the data. As the ICO (the UK’s data protection authority) has opined that the term “deletion”, in relation to personal data, should be taken to mean ensuring that the data is beyond use, we consider this is a reasonable deletion standard to use in most circumstances. If it is appropriate to delete personal data from a live system, we recommend that a party should also be expected to delete it from any back-up of the information on that system, and the parties may prefer for this to be made explicit as part of the deletion obligation.</w:t>
            </w:r>
          </w:p>
          <w:p w14:paraId="63FDFF5F"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45DE6EA"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6170867B"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3" w:name="co_anchor_a74840_1"/>
      <w:bookmarkEnd w:id="43"/>
    </w:p>
    <w:p w14:paraId="34E416F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  DATA PROTECTION  </w:t>
      </w:r>
    </w:p>
    <w:p w14:paraId="2D51EC5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1819FE37"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3AE524BE"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Data protection</w:t>
            </w:r>
          </w:p>
          <w:p w14:paraId="03BF640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6CC2D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more information on data protection, and the appropriate clauses to be inserted here, see </w:t>
            </w:r>
            <w:hyperlink w:anchor="co_anchor_a549452_1" w:history="1">
              <w:r>
                <w:rPr>
                  <w:rFonts w:ascii="Times New Roman" w:hAnsi="Times New Roman"/>
                  <w:i/>
                  <w:iCs/>
                  <w:color w:val="006FC4"/>
                  <w:kern w:val="0"/>
                  <w:sz w:val="20"/>
                  <w:szCs w:val="20"/>
                </w:rPr>
                <w:t>Drafting note, Data protection</w:t>
              </w:r>
            </w:hyperlink>
            <w:r>
              <w:rPr>
                <w:rFonts w:ascii="Times New Roman" w:hAnsi="Times New Roman"/>
                <w:color w:val="1F1F1F"/>
                <w:kern w:val="0"/>
                <w:sz w:val="20"/>
                <w:szCs w:val="20"/>
              </w:rPr>
              <w:t>.</w:t>
            </w:r>
          </w:p>
          <w:p w14:paraId="477CC18C"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383A3C1A"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2D208D2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12.1  [INSERT APPROPRIATE DATA PROTECTION CLAUSES].</w:t>
      </w:r>
    </w:p>
    <w:p w14:paraId="54D41DF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13.  FORCE MAJEURE  </w:t>
      </w:r>
    </w:p>
    <w:p w14:paraId="688E257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03FD11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673600D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B456C86"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Force majeure</w:t>
            </w:r>
          </w:p>
          <w:p w14:paraId="51610C3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31FB63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429F047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97B6647" w14:textId="77777777" w:rsidR="00CE6AB2" w:rsidRDefault="00000000">
            <w:pPr>
              <w:widowControl w:val="0"/>
              <w:numPr>
                <w:ilvl w:val="0"/>
                <w:numId w:val="5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integrated drafting notes to </w:t>
            </w:r>
            <w:hyperlink r:id="rId82" w:history="1">
              <w:r>
                <w:rPr>
                  <w:rFonts w:ascii="Times New Roman" w:hAnsi="Times New Roman"/>
                  <w:i/>
                  <w:iCs/>
                  <w:color w:val="006FC4"/>
                  <w:kern w:val="0"/>
                  <w:sz w:val="20"/>
                  <w:szCs w:val="20"/>
                </w:rPr>
                <w:t>Standard clause, Force majeure</w:t>
              </w:r>
            </w:hyperlink>
            <w:r>
              <w:rPr>
                <w:rFonts w:ascii="Times New Roman" w:hAnsi="Times New Roman"/>
                <w:color w:val="1F1F1F"/>
                <w:kern w:val="0"/>
                <w:sz w:val="20"/>
                <w:szCs w:val="20"/>
              </w:rPr>
              <w:t>.</w:t>
            </w:r>
          </w:p>
          <w:p w14:paraId="3E0FA735" w14:textId="77777777" w:rsidR="00CE6AB2" w:rsidRDefault="00000000">
            <w:pPr>
              <w:widowControl w:val="0"/>
              <w:numPr>
                <w:ilvl w:val="0"/>
                <w:numId w:val="6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83" w:anchor="co_anchor_a226743" w:history="1">
              <w:r>
                <w:rPr>
                  <w:rFonts w:ascii="Times New Roman" w:hAnsi="Times New Roman"/>
                  <w:i/>
                  <w:iCs/>
                  <w:color w:val="006FC4"/>
                  <w:kern w:val="0"/>
                  <w:sz w:val="20"/>
                  <w:szCs w:val="20"/>
                </w:rPr>
                <w:t>Practice note, Boilerplate: do I really need this clause and why?: Force majeure</w:t>
              </w:r>
            </w:hyperlink>
            <w:r>
              <w:rPr>
                <w:rFonts w:ascii="Times New Roman" w:hAnsi="Times New Roman"/>
                <w:color w:val="1F1F1F"/>
                <w:kern w:val="0"/>
                <w:sz w:val="20"/>
                <w:szCs w:val="20"/>
              </w:rPr>
              <w:t>.</w:t>
            </w:r>
          </w:p>
          <w:p w14:paraId="798E67EE" w14:textId="77777777" w:rsidR="00CE6AB2" w:rsidRDefault="00CE6AB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1DCAD076"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08ABF39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Neither party shall be liable for any delay or failure in the performance of its obligations for so long as and to the extent that such delay or failure results from events, circumstances or causes beyond its reasonable control. If the period of delay or non-performance continues for [NUMBER] [days], the party not affected may terminate this agreement by giving [not less than [NUMBER] days’] written notice to the affected party.</w:t>
      </w:r>
    </w:p>
    <w:p w14:paraId="47ADC97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14.  ASSIGNMENT  </w:t>
      </w:r>
    </w:p>
    <w:p w14:paraId="7115D41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D770AC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4636F58A"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AE4DDE5"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Assignment</w:t>
            </w:r>
          </w:p>
          <w:p w14:paraId="092141D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BE73F3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51716C6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758D7E8" w14:textId="77777777" w:rsidR="00CE6AB2" w:rsidRDefault="00000000">
            <w:pPr>
              <w:widowControl w:val="0"/>
              <w:numPr>
                <w:ilvl w:val="0"/>
                <w:numId w:val="6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integrated drafting notes to </w:t>
            </w:r>
            <w:hyperlink r:id="rId84" w:history="1">
              <w:r>
                <w:rPr>
                  <w:rFonts w:ascii="Times New Roman" w:hAnsi="Times New Roman"/>
                  <w:i/>
                  <w:iCs/>
                  <w:color w:val="006FC4"/>
                  <w:kern w:val="0"/>
                  <w:sz w:val="20"/>
                  <w:szCs w:val="20"/>
                </w:rPr>
                <w:t>Standard clause, Assignment and other dealings</w:t>
              </w:r>
            </w:hyperlink>
            <w:r>
              <w:rPr>
                <w:rFonts w:ascii="Times New Roman" w:hAnsi="Times New Roman"/>
                <w:color w:val="1F1F1F"/>
                <w:kern w:val="0"/>
                <w:sz w:val="20"/>
                <w:szCs w:val="20"/>
              </w:rPr>
              <w:t>.</w:t>
            </w:r>
          </w:p>
          <w:p w14:paraId="765F9800" w14:textId="77777777" w:rsidR="00CE6AB2" w:rsidRDefault="00000000">
            <w:pPr>
              <w:widowControl w:val="0"/>
              <w:numPr>
                <w:ilvl w:val="0"/>
                <w:numId w:val="6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85" w:anchor="co_anchor_a120126" w:history="1">
              <w:r>
                <w:rPr>
                  <w:rFonts w:ascii="Times New Roman" w:hAnsi="Times New Roman"/>
                  <w:i/>
                  <w:iCs/>
                  <w:color w:val="006FC4"/>
                  <w:kern w:val="0"/>
                  <w:sz w:val="20"/>
                  <w:szCs w:val="20"/>
                </w:rPr>
                <w:t>Practice note, Boilerplate: do I really need this clause and why?: Assignment and other dealings</w:t>
              </w:r>
            </w:hyperlink>
            <w:r>
              <w:rPr>
                <w:rFonts w:ascii="Times New Roman" w:hAnsi="Times New Roman"/>
                <w:color w:val="1F1F1F"/>
                <w:kern w:val="0"/>
                <w:sz w:val="20"/>
                <w:szCs w:val="20"/>
              </w:rPr>
              <w:t>.</w:t>
            </w:r>
          </w:p>
          <w:p w14:paraId="4C572518" w14:textId="77777777" w:rsidR="00CE6AB2" w:rsidRDefault="00CE6AB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45769795"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71A210E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This agreement is personal to the parties and neither party shall assign, transfer, mortgage, charge, subcontract, declare a trust of or deal in any other manner with any of its rights and obligations under this agreement [without the prior written consent of the other party (which is not to be unreasonably withheld or delayed)].</w:t>
      </w:r>
    </w:p>
    <w:p w14:paraId="716F960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  WAIVER  </w:t>
      </w:r>
    </w:p>
    <w:p w14:paraId="60DC880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6834A7D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75A5E04"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Waiver</w:t>
            </w:r>
          </w:p>
          <w:p w14:paraId="30D5762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822809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on this clause, see:</w:t>
            </w:r>
          </w:p>
          <w:p w14:paraId="2EAB490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C1DE2F7" w14:textId="77777777" w:rsidR="00CE6AB2" w:rsidRDefault="00000000">
            <w:pPr>
              <w:widowControl w:val="0"/>
              <w:numPr>
                <w:ilvl w:val="0"/>
                <w:numId w:val="6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integrated drafting notes to </w:t>
            </w:r>
            <w:hyperlink r:id="rId86" w:history="1">
              <w:r>
                <w:rPr>
                  <w:rFonts w:ascii="Times New Roman" w:hAnsi="Times New Roman"/>
                  <w:i/>
                  <w:iCs/>
                  <w:color w:val="006FC4"/>
                  <w:kern w:val="0"/>
                  <w:sz w:val="20"/>
                  <w:szCs w:val="20"/>
                </w:rPr>
                <w:t>Standard clause, Waiver</w:t>
              </w:r>
            </w:hyperlink>
            <w:r>
              <w:rPr>
                <w:rFonts w:ascii="Times New Roman" w:hAnsi="Times New Roman"/>
                <w:color w:val="1F1F1F"/>
                <w:kern w:val="0"/>
                <w:sz w:val="20"/>
                <w:szCs w:val="20"/>
              </w:rPr>
              <w:t>.</w:t>
            </w:r>
          </w:p>
          <w:p w14:paraId="219911DF" w14:textId="77777777" w:rsidR="00CE6AB2" w:rsidRDefault="00000000">
            <w:pPr>
              <w:widowControl w:val="0"/>
              <w:numPr>
                <w:ilvl w:val="0"/>
                <w:numId w:val="6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87" w:anchor="co_anchor_a947318" w:history="1">
              <w:r>
                <w:rPr>
                  <w:rFonts w:ascii="Times New Roman" w:hAnsi="Times New Roman"/>
                  <w:i/>
                  <w:iCs/>
                  <w:color w:val="006FC4"/>
                  <w:kern w:val="0"/>
                  <w:sz w:val="20"/>
                  <w:szCs w:val="20"/>
                </w:rPr>
                <w:t>Practice note, Boilerplate: do I really need this clause and why?: Waiver</w:t>
              </w:r>
            </w:hyperlink>
            <w:r>
              <w:rPr>
                <w:rFonts w:ascii="Times New Roman" w:hAnsi="Times New Roman"/>
                <w:color w:val="1F1F1F"/>
                <w:kern w:val="0"/>
                <w:sz w:val="20"/>
                <w:szCs w:val="20"/>
              </w:rPr>
              <w:t>.</w:t>
            </w:r>
          </w:p>
          <w:p w14:paraId="084F6079" w14:textId="77777777" w:rsidR="00CE6AB2" w:rsidRDefault="00CE6AB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4718EC67"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223215D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15.1  A waiver of any right or remedy is only effective if given in writing [and shall not be deemed a waiver of any subsequent right or remedy].</w:t>
      </w:r>
    </w:p>
    <w:p w14:paraId="767BCA1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15.2  A delay or failure to exercise, or the single or partial exercise of, any right or remedy does not waive that or any other right or remedy, nor does it prevent or restrict the further exercise of that or any other right or remedy.</w:t>
      </w:r>
    </w:p>
    <w:p w14:paraId="0603D189"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4" w:name="co_anchor_a606956_1"/>
      <w:bookmarkEnd w:id="44"/>
    </w:p>
    <w:p w14:paraId="5B8A22D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  NOTICE  </w:t>
      </w:r>
    </w:p>
    <w:p w14:paraId="5D67D3D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7478913B"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337E135"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Notice</w:t>
            </w:r>
          </w:p>
          <w:p w14:paraId="41C7AE3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473F09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see:</w:t>
            </w:r>
          </w:p>
          <w:p w14:paraId="0EE0AA1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BE91B47" w14:textId="77777777" w:rsidR="00CE6AB2" w:rsidRDefault="00000000">
            <w:pPr>
              <w:widowControl w:val="0"/>
              <w:numPr>
                <w:ilvl w:val="0"/>
                <w:numId w:val="6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integrated drafting notes to </w:t>
            </w:r>
            <w:hyperlink r:id="rId88" w:history="1">
              <w:r>
                <w:rPr>
                  <w:rFonts w:ascii="Times New Roman" w:hAnsi="Times New Roman"/>
                  <w:i/>
                  <w:iCs/>
                  <w:color w:val="006FC4"/>
                  <w:kern w:val="0"/>
                  <w:sz w:val="20"/>
                  <w:szCs w:val="20"/>
                </w:rPr>
                <w:t>Standard clauses, Notices</w:t>
              </w:r>
            </w:hyperlink>
            <w:r>
              <w:rPr>
                <w:rFonts w:ascii="Times New Roman" w:hAnsi="Times New Roman"/>
                <w:color w:val="1F1F1F"/>
                <w:kern w:val="0"/>
                <w:sz w:val="20"/>
                <w:szCs w:val="20"/>
              </w:rPr>
              <w:t>.</w:t>
            </w:r>
          </w:p>
          <w:p w14:paraId="18C8491D" w14:textId="77777777" w:rsidR="00CE6AB2" w:rsidRDefault="00000000">
            <w:pPr>
              <w:widowControl w:val="0"/>
              <w:numPr>
                <w:ilvl w:val="0"/>
                <w:numId w:val="6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See also </w:t>
            </w:r>
            <w:hyperlink r:id="rId89" w:history="1">
              <w:r>
                <w:rPr>
                  <w:rFonts w:ascii="Times New Roman" w:hAnsi="Times New Roman"/>
                  <w:i/>
                  <w:iCs/>
                  <w:color w:val="006FC4"/>
                  <w:kern w:val="0"/>
                  <w:sz w:val="20"/>
                  <w:szCs w:val="20"/>
                </w:rPr>
                <w:t>Practice note, Notice clauses</w:t>
              </w:r>
            </w:hyperlink>
            <w:r>
              <w:rPr>
                <w:rFonts w:ascii="Times New Roman" w:hAnsi="Times New Roman"/>
                <w:color w:val="1F1F1F"/>
                <w:kern w:val="0"/>
                <w:sz w:val="20"/>
                <w:szCs w:val="20"/>
              </w:rPr>
              <w:t>.</w:t>
            </w:r>
          </w:p>
          <w:p w14:paraId="56A99A9A"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Care should be taken to ensure the approach in this notice clause aligns with the approach taken in </w:t>
            </w:r>
            <w:hyperlink w:anchor="co_anchor_a543047_1" w:history="1">
              <w:r>
                <w:rPr>
                  <w:rFonts w:ascii="Times New Roman" w:hAnsi="Times New Roman"/>
                  <w:i/>
                  <w:iCs/>
                  <w:color w:val="006FC4"/>
                  <w:kern w:val="0"/>
                  <w:sz w:val="20"/>
                  <w:szCs w:val="20"/>
                </w:rPr>
                <w:t>Clause 1.10</w:t>
              </w:r>
            </w:hyperlink>
            <w:r>
              <w:rPr>
                <w:rFonts w:ascii="Times New Roman" w:hAnsi="Times New Roman"/>
                <w:color w:val="1F1F1F"/>
                <w:kern w:val="0"/>
                <w:sz w:val="20"/>
                <w:szCs w:val="20"/>
              </w:rPr>
              <w:t>.</w:t>
            </w:r>
          </w:p>
          <w:p w14:paraId="439CE135" w14:textId="77777777" w:rsidR="00CE6AB2" w:rsidRDefault="00CE6AB2">
            <w:pPr>
              <w:widowControl w:val="0"/>
              <w:autoSpaceDE w:val="0"/>
              <w:autoSpaceDN w:val="0"/>
              <w:adjustRightInd w:val="0"/>
              <w:spacing w:before="200" w:after="0" w:line="240" w:lineRule="auto"/>
              <w:jc w:val="both"/>
              <w:rPr>
                <w:rFonts w:ascii="Times New Roman" w:hAnsi="Times New Roman"/>
                <w:color w:val="1F1F1F"/>
                <w:kern w:val="0"/>
                <w:sz w:val="20"/>
                <w:szCs w:val="20"/>
              </w:rPr>
            </w:pPr>
          </w:p>
        </w:tc>
      </w:tr>
    </w:tbl>
    <w:p w14:paraId="5068829D"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5467966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16.1  Any notice given to a party under or in connection with this agreement shall be in writing and shall be:</w:t>
      </w:r>
    </w:p>
    <w:p w14:paraId="2500DCC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  delivered by hand or by pre-paid first-class post or other next working day delivery service at its registered office (if a company) or its principal place of business (in any other case)[; or]</w:t>
      </w:r>
    </w:p>
    <w:p w14:paraId="2D23B54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(b)  sent by email to the following addresses (or an address substituted in writing by the party to be served):</w:t>
      </w:r>
    </w:p>
    <w:p w14:paraId="4DEF75C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687656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  Party 1: [ADDRESS].</w:t>
      </w:r>
    </w:p>
    <w:p w14:paraId="434B27F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(ii)  Party 2: [ADDRESS].</w:t>
      </w:r>
    </w:p>
    <w:p w14:paraId="354A1F0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16.2  Any notice shall be deemed to have been received:</w:t>
      </w:r>
    </w:p>
    <w:p w14:paraId="77943A2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16.3  This </w:t>
      </w:r>
      <w:hyperlink w:anchor="co_anchor_a606956_1" w:history="1">
        <w:r>
          <w:rPr>
            <w:rFonts w:ascii="Times New Roman" w:hAnsi="Times New Roman"/>
            <w:i/>
            <w:iCs/>
            <w:color w:val="006FC4"/>
            <w:kern w:val="0"/>
            <w:sz w:val="20"/>
            <w:szCs w:val="20"/>
          </w:rPr>
          <w:t>Clause 16</w:t>
        </w:r>
      </w:hyperlink>
      <w:r>
        <w:rPr>
          <w:rFonts w:ascii="Times New Roman" w:hAnsi="Times New Roman"/>
          <w:color w:val="1F1F1F"/>
          <w:kern w:val="0"/>
          <w:sz w:val="20"/>
          <w:szCs w:val="20"/>
        </w:rPr>
        <w:t xml:space="preserve"> does not apply to the service of any proceedings or other documents in any legal action or, where applicable, any arbitration or other method of dispute resolution.</w:t>
      </w:r>
    </w:p>
    <w:p w14:paraId="0C87233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  ENTIRE AGREEMENT  </w:t>
      </w:r>
    </w:p>
    <w:p w14:paraId="375EA80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48350B38"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56022F4"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Entire agreement</w:t>
            </w:r>
          </w:p>
          <w:p w14:paraId="1429B66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470CA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see:</w:t>
            </w:r>
          </w:p>
          <w:p w14:paraId="03BDDD0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D443E2" w14:textId="77777777" w:rsidR="00CE6AB2" w:rsidRDefault="00000000">
            <w:pPr>
              <w:widowControl w:val="0"/>
              <w:numPr>
                <w:ilvl w:val="0"/>
                <w:numId w:val="6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integrated drafting notes to See also </w:t>
            </w:r>
            <w:hyperlink r:id="rId90" w:history="1">
              <w:r>
                <w:rPr>
                  <w:rFonts w:ascii="Times New Roman" w:hAnsi="Times New Roman"/>
                  <w:i/>
                  <w:iCs/>
                  <w:color w:val="006FC4"/>
                  <w:kern w:val="0"/>
                  <w:sz w:val="20"/>
                  <w:szCs w:val="20"/>
                </w:rPr>
                <w:t>Standard clause, Entire agreement</w:t>
              </w:r>
            </w:hyperlink>
            <w:r>
              <w:rPr>
                <w:rFonts w:ascii="Times New Roman" w:hAnsi="Times New Roman"/>
                <w:color w:val="1F1F1F"/>
                <w:kern w:val="0"/>
                <w:sz w:val="20"/>
                <w:szCs w:val="20"/>
              </w:rPr>
              <w:t>:</w:t>
            </w:r>
          </w:p>
          <w:p w14:paraId="5B3D0ABE" w14:textId="77777777" w:rsidR="00CE6AB2" w:rsidRDefault="00000000">
            <w:pPr>
              <w:widowControl w:val="0"/>
              <w:numPr>
                <w:ilvl w:val="0"/>
                <w:numId w:val="68"/>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1" w:anchor="co_anchor_a102696" w:history="1">
              <w:r>
                <w:rPr>
                  <w:rFonts w:ascii="Times New Roman" w:hAnsi="Times New Roman"/>
                  <w:i/>
                  <w:iCs/>
                  <w:color w:val="006FC4"/>
                  <w:kern w:val="0"/>
                  <w:sz w:val="20"/>
                  <w:szCs w:val="20"/>
                </w:rPr>
                <w:t>Practice note, Boilerplate: do I really need this clause and why?: Entire agreement</w:t>
              </w:r>
            </w:hyperlink>
            <w:r>
              <w:rPr>
                <w:rFonts w:ascii="Times New Roman" w:hAnsi="Times New Roman"/>
                <w:color w:val="1F1F1F"/>
                <w:kern w:val="0"/>
                <w:sz w:val="20"/>
                <w:szCs w:val="20"/>
              </w:rPr>
              <w:t>.</w:t>
            </w:r>
          </w:p>
          <w:p w14:paraId="4FD20C77" w14:textId="77777777" w:rsidR="00CE6AB2" w:rsidRDefault="00CE6AB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35FC42F4"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29A15BC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17.1  This agreement constitutes the entire agreement between the parties and supersedes and extinguishes all previous and contemporaneous agreements, promises, assurances and understandings between them, whether written or oral, relating to its subject matter.</w:t>
      </w:r>
    </w:p>
    <w:p w14:paraId="2E4B235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17.2  Each party acknowledges that in entering into this agreement it does not rely on[, and shall have no remedies in respect of,] any statement, representation, assurance or warranty (whether made innocently or negligently) that is not set out in this agreement.</w:t>
      </w:r>
    </w:p>
    <w:p w14:paraId="1398452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17.3  Each party agrees that it shall have no claim for innocent or negligent misrepresentation [or negligent misstatement] based on any statement in this agreement.</w:t>
      </w:r>
    </w:p>
    <w:p w14:paraId="53A0F27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18.  VARIATION  </w:t>
      </w:r>
    </w:p>
    <w:p w14:paraId="60833D5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D3FDB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4CB64BCE"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50B9B657"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Variation</w:t>
            </w:r>
          </w:p>
          <w:p w14:paraId="7F95056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2FD9D3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see:</w:t>
            </w:r>
          </w:p>
          <w:p w14:paraId="2685C5A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FCCD71" w14:textId="77777777" w:rsidR="00CE6AB2" w:rsidRDefault="00000000">
            <w:pPr>
              <w:widowControl w:val="0"/>
              <w:numPr>
                <w:ilvl w:val="0"/>
                <w:numId w:val="6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integrated drafting notes to </w:t>
            </w:r>
            <w:hyperlink r:id="rId92" w:history="1">
              <w:r>
                <w:rPr>
                  <w:rFonts w:ascii="Times New Roman" w:hAnsi="Times New Roman"/>
                  <w:i/>
                  <w:iCs/>
                  <w:color w:val="006FC4"/>
                  <w:kern w:val="0"/>
                  <w:sz w:val="20"/>
                  <w:szCs w:val="20"/>
                </w:rPr>
                <w:t>Standard clause, Variation</w:t>
              </w:r>
            </w:hyperlink>
            <w:r>
              <w:rPr>
                <w:rFonts w:ascii="Times New Roman" w:hAnsi="Times New Roman"/>
                <w:color w:val="1F1F1F"/>
                <w:kern w:val="0"/>
                <w:sz w:val="20"/>
                <w:szCs w:val="20"/>
              </w:rPr>
              <w:t>.</w:t>
            </w:r>
          </w:p>
          <w:p w14:paraId="21625B38" w14:textId="77777777" w:rsidR="00CE6AB2" w:rsidRDefault="00000000">
            <w:pPr>
              <w:widowControl w:val="0"/>
              <w:numPr>
                <w:ilvl w:val="0"/>
                <w:numId w:val="70"/>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3" w:anchor="co_anchor_a436667" w:history="1">
              <w:r>
                <w:rPr>
                  <w:rFonts w:ascii="Times New Roman" w:hAnsi="Times New Roman"/>
                  <w:i/>
                  <w:iCs/>
                  <w:color w:val="006FC4"/>
                  <w:kern w:val="0"/>
                  <w:sz w:val="20"/>
                  <w:szCs w:val="20"/>
                </w:rPr>
                <w:t>Practice note, Boilerplate: do I really need this clause and why?: Variation</w:t>
              </w:r>
            </w:hyperlink>
            <w:r>
              <w:rPr>
                <w:rFonts w:ascii="Times New Roman" w:hAnsi="Times New Roman"/>
                <w:color w:val="1F1F1F"/>
                <w:kern w:val="0"/>
                <w:sz w:val="20"/>
                <w:szCs w:val="20"/>
              </w:rPr>
              <w:t>.</w:t>
            </w:r>
          </w:p>
          <w:p w14:paraId="55522DDD" w14:textId="77777777" w:rsidR="00CE6AB2" w:rsidRDefault="00CE6AB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0886F37C"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3C3780C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No variation of this agreement shall be effective unless it is in writing and signed by the parties (or their authorised representatives).</w:t>
      </w:r>
    </w:p>
    <w:p w14:paraId="385392D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  SEVERANCE  </w:t>
      </w:r>
    </w:p>
    <w:p w14:paraId="7934AE9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6730DFA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51C0145"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Severance</w:t>
            </w:r>
          </w:p>
          <w:p w14:paraId="4E69A97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6979F7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see:</w:t>
            </w:r>
          </w:p>
          <w:p w14:paraId="41CC57A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574BF5A4" w14:textId="77777777" w:rsidR="00CE6AB2" w:rsidRDefault="00000000">
            <w:pPr>
              <w:widowControl w:val="0"/>
              <w:numPr>
                <w:ilvl w:val="0"/>
                <w:numId w:val="71"/>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integrated drafting notes to </w:t>
            </w:r>
            <w:hyperlink r:id="rId94" w:history="1">
              <w:r>
                <w:rPr>
                  <w:rFonts w:ascii="Times New Roman" w:hAnsi="Times New Roman"/>
                  <w:i/>
                  <w:iCs/>
                  <w:color w:val="006FC4"/>
                  <w:kern w:val="0"/>
                  <w:sz w:val="20"/>
                  <w:szCs w:val="20"/>
                </w:rPr>
                <w:t>Standard clause, Severance</w:t>
              </w:r>
            </w:hyperlink>
            <w:r>
              <w:rPr>
                <w:rFonts w:ascii="Times New Roman" w:hAnsi="Times New Roman"/>
                <w:color w:val="1F1F1F"/>
                <w:kern w:val="0"/>
                <w:sz w:val="20"/>
                <w:szCs w:val="20"/>
              </w:rPr>
              <w:t>.</w:t>
            </w:r>
          </w:p>
          <w:p w14:paraId="181B691A" w14:textId="77777777" w:rsidR="00CE6AB2" w:rsidRDefault="00000000">
            <w:pPr>
              <w:widowControl w:val="0"/>
              <w:numPr>
                <w:ilvl w:val="0"/>
                <w:numId w:val="7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5" w:anchor="co_anchor_a117161" w:history="1">
              <w:r>
                <w:rPr>
                  <w:rFonts w:ascii="Times New Roman" w:hAnsi="Times New Roman"/>
                  <w:i/>
                  <w:iCs/>
                  <w:color w:val="006FC4"/>
                  <w:kern w:val="0"/>
                  <w:sz w:val="20"/>
                  <w:szCs w:val="20"/>
                </w:rPr>
                <w:t>Practice note, Boilerplate: do I really need this clause and why?: Severance</w:t>
              </w:r>
            </w:hyperlink>
            <w:r>
              <w:rPr>
                <w:rFonts w:ascii="Times New Roman" w:hAnsi="Times New Roman"/>
                <w:color w:val="1F1F1F"/>
                <w:kern w:val="0"/>
                <w:sz w:val="20"/>
                <w:szCs w:val="20"/>
              </w:rPr>
              <w:t>.</w:t>
            </w:r>
          </w:p>
          <w:p w14:paraId="6E9BB9B9" w14:textId="77777777" w:rsidR="00CE6AB2" w:rsidRDefault="00CE6AB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5900BD71"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0C708599"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5" w:name="co_anchor_a656170_1"/>
      <w:bookmarkEnd w:id="45"/>
    </w:p>
    <w:p w14:paraId="53C2077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19.1  If any provision or part-provision of this agreement is or becomes invalid, illegal or unenforceable, it shall be deemed deleted, but that shall not affect the validity and enforceability of the rest of this agreement.</w:t>
      </w:r>
    </w:p>
    <w:p w14:paraId="55A6162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19.2  If any provision or part-provision of this agreement is deemed deleted under </w:t>
      </w:r>
      <w:hyperlink w:anchor="co_anchor_a656170_1" w:history="1">
        <w:r>
          <w:rPr>
            <w:rFonts w:ascii="Times New Roman" w:hAnsi="Times New Roman"/>
            <w:i/>
            <w:iCs/>
            <w:color w:val="006FC4"/>
            <w:kern w:val="0"/>
            <w:sz w:val="20"/>
            <w:szCs w:val="20"/>
          </w:rPr>
          <w:t>Clause 19.1</w:t>
        </w:r>
      </w:hyperlink>
      <w:r>
        <w:rPr>
          <w:rFonts w:ascii="Times New Roman" w:hAnsi="Times New Roman"/>
          <w:color w:val="1F1F1F"/>
          <w:kern w:val="0"/>
          <w:sz w:val="20"/>
          <w:szCs w:val="20"/>
        </w:rPr>
        <w:t xml:space="preserve"> the parties shall negotiate in good faith to agree a replacement provision that, to the greatest extent possible, achieves the intended commercial result of the original provision.</w:t>
      </w:r>
    </w:p>
    <w:p w14:paraId="5FABFA6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  NO PARTNERSHIP OR AGENCY  </w:t>
      </w:r>
    </w:p>
    <w:p w14:paraId="63B147E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684F554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31F917B"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No partnership or agency</w:t>
            </w:r>
          </w:p>
          <w:p w14:paraId="0D1CD02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56987E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see:</w:t>
            </w:r>
          </w:p>
          <w:p w14:paraId="5C8ED9A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F406209" w14:textId="77777777" w:rsidR="00CE6AB2" w:rsidRDefault="00000000">
            <w:pPr>
              <w:widowControl w:val="0"/>
              <w:numPr>
                <w:ilvl w:val="0"/>
                <w:numId w:val="73"/>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integrated drafting notes to </w:t>
            </w:r>
            <w:hyperlink r:id="rId96" w:history="1">
              <w:r>
                <w:rPr>
                  <w:rFonts w:ascii="Times New Roman" w:hAnsi="Times New Roman"/>
                  <w:i/>
                  <w:iCs/>
                  <w:color w:val="006FC4"/>
                  <w:kern w:val="0"/>
                  <w:sz w:val="20"/>
                  <w:szCs w:val="20"/>
                </w:rPr>
                <w:t>Standard clause, No partnership or agency</w:t>
              </w:r>
            </w:hyperlink>
            <w:r>
              <w:rPr>
                <w:rFonts w:ascii="Times New Roman" w:hAnsi="Times New Roman"/>
                <w:color w:val="1F1F1F"/>
                <w:kern w:val="0"/>
                <w:sz w:val="20"/>
                <w:szCs w:val="20"/>
              </w:rPr>
              <w:t>.</w:t>
            </w:r>
          </w:p>
          <w:p w14:paraId="13FDDDF8" w14:textId="77777777" w:rsidR="00CE6AB2" w:rsidRDefault="00000000">
            <w:pPr>
              <w:widowControl w:val="0"/>
              <w:numPr>
                <w:ilvl w:val="0"/>
                <w:numId w:val="7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7" w:anchor="co_anchor_a358774" w:history="1">
              <w:r>
                <w:rPr>
                  <w:rFonts w:ascii="Times New Roman" w:hAnsi="Times New Roman"/>
                  <w:i/>
                  <w:iCs/>
                  <w:color w:val="006FC4"/>
                  <w:kern w:val="0"/>
                  <w:sz w:val="20"/>
                  <w:szCs w:val="20"/>
                </w:rPr>
                <w:t>Practice note, Boilerplate: do I really need this clause and why?: No partnership or agency</w:t>
              </w:r>
            </w:hyperlink>
            <w:r>
              <w:rPr>
                <w:rFonts w:ascii="Times New Roman" w:hAnsi="Times New Roman"/>
                <w:color w:val="1F1F1F"/>
                <w:kern w:val="0"/>
                <w:sz w:val="20"/>
                <w:szCs w:val="20"/>
              </w:rPr>
              <w:t>.</w:t>
            </w:r>
          </w:p>
          <w:p w14:paraId="0D393FC0" w14:textId="77777777" w:rsidR="00CE6AB2" w:rsidRDefault="00CE6AB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46869AC5"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34EC509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20.1  Nothing in this agreement is intended to, or shall be deemed to, establish any partnership or joint venture between any of the parties, constitute any party the agent of another party, or authorise any party to make or enter into any commitments for or on behalf of any other party [except as expressly provided in clause[s] [NUMBER(S)]].</w:t>
      </w:r>
    </w:p>
    <w:p w14:paraId="68DC35E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20.2  Each party confirms it is acting on its own behalf and not for the benefit of any other person.</w:t>
      </w:r>
    </w:p>
    <w:p w14:paraId="630BB2B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  THIRD-PARTY RIGHTS  </w:t>
      </w:r>
    </w:p>
    <w:p w14:paraId="52D4A06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776470C3"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421A5B8C"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Third-party rights</w:t>
            </w:r>
          </w:p>
          <w:p w14:paraId="0836D25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A2F39B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For more information, see:</w:t>
            </w:r>
          </w:p>
          <w:p w14:paraId="40C584C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483D70D" w14:textId="77777777" w:rsidR="00CE6AB2" w:rsidRDefault="00000000">
            <w:pPr>
              <w:widowControl w:val="0"/>
              <w:numPr>
                <w:ilvl w:val="0"/>
                <w:numId w:val="7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integrated drafting notes to </w:t>
            </w:r>
            <w:hyperlink r:id="rId98" w:history="1">
              <w:r>
                <w:rPr>
                  <w:rFonts w:ascii="Times New Roman" w:hAnsi="Times New Roman"/>
                  <w:i/>
                  <w:iCs/>
                  <w:color w:val="006FC4"/>
                  <w:kern w:val="0"/>
                  <w:sz w:val="20"/>
                  <w:szCs w:val="20"/>
                </w:rPr>
                <w:t>Standard clause, Third party rights</w:t>
              </w:r>
            </w:hyperlink>
            <w:r>
              <w:rPr>
                <w:rFonts w:ascii="Times New Roman" w:hAnsi="Times New Roman"/>
                <w:color w:val="1F1F1F"/>
                <w:kern w:val="0"/>
                <w:sz w:val="20"/>
                <w:szCs w:val="20"/>
              </w:rPr>
              <w:t>.</w:t>
            </w:r>
          </w:p>
          <w:p w14:paraId="00DE0B3B" w14:textId="77777777" w:rsidR="00CE6AB2" w:rsidRDefault="00000000">
            <w:pPr>
              <w:widowControl w:val="0"/>
              <w:numPr>
                <w:ilvl w:val="0"/>
                <w:numId w:val="76"/>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99" w:anchor="co_anchor_a867788" w:history="1">
              <w:r>
                <w:rPr>
                  <w:rFonts w:ascii="Times New Roman" w:hAnsi="Times New Roman"/>
                  <w:i/>
                  <w:iCs/>
                  <w:color w:val="006FC4"/>
                  <w:kern w:val="0"/>
                  <w:sz w:val="20"/>
                  <w:szCs w:val="20"/>
                </w:rPr>
                <w:t>Practice note, Boilerplate: do I really need this clause and why?: Third party rights</w:t>
              </w:r>
            </w:hyperlink>
            <w:r>
              <w:rPr>
                <w:rFonts w:ascii="Times New Roman" w:hAnsi="Times New Roman"/>
                <w:color w:val="1F1F1F"/>
                <w:kern w:val="0"/>
                <w:sz w:val="20"/>
                <w:szCs w:val="20"/>
              </w:rPr>
              <w:t>.</w:t>
            </w:r>
          </w:p>
          <w:p w14:paraId="61619380" w14:textId="77777777" w:rsidR="00CE6AB2" w:rsidRDefault="00CE6AB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6346D748"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2FBDDB7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21.1  [Unless it expressly states otherwise, this OR This] agreement does not give rise to any rights under the Contracts (Rights of Third Parties) Act 1999 to enforce any term of this agreement.</w:t>
      </w:r>
    </w:p>
    <w:p w14:paraId="21995D2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21.2  The rights of the parties to rescind or vary this agreement are not subject to the consent of any other person.</w:t>
      </w:r>
    </w:p>
    <w:p w14:paraId="1397F48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22.  RIGHTS AND REMEDIES  </w:t>
      </w:r>
    </w:p>
    <w:p w14:paraId="478D3BA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35861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3CBA4191"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70665B86"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Rights and remedies</w:t>
            </w:r>
          </w:p>
          <w:p w14:paraId="21D219D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436382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see:</w:t>
            </w:r>
          </w:p>
          <w:p w14:paraId="7F1605D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AEAEDBD" w14:textId="77777777" w:rsidR="00CE6AB2" w:rsidRDefault="00000000">
            <w:pPr>
              <w:widowControl w:val="0"/>
              <w:numPr>
                <w:ilvl w:val="0"/>
                <w:numId w:val="7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 xml:space="preserve">The integrated drafting notes to </w:t>
            </w:r>
            <w:hyperlink r:id="rId100" w:history="1">
              <w:r>
                <w:rPr>
                  <w:rFonts w:ascii="Times New Roman" w:hAnsi="Times New Roman"/>
                  <w:i/>
                  <w:iCs/>
                  <w:color w:val="006FC4"/>
                  <w:kern w:val="0"/>
                  <w:sz w:val="20"/>
                  <w:szCs w:val="20"/>
                </w:rPr>
                <w:t>Standard clause, Rights and remedies</w:t>
              </w:r>
            </w:hyperlink>
            <w:r>
              <w:rPr>
                <w:rFonts w:ascii="Times New Roman" w:hAnsi="Times New Roman"/>
                <w:color w:val="1F1F1F"/>
                <w:kern w:val="0"/>
                <w:sz w:val="20"/>
                <w:szCs w:val="20"/>
              </w:rPr>
              <w:t>.</w:t>
            </w:r>
          </w:p>
          <w:p w14:paraId="71AF1D09" w14:textId="77777777" w:rsidR="00CE6AB2" w:rsidRDefault="00000000">
            <w:pPr>
              <w:widowControl w:val="0"/>
              <w:numPr>
                <w:ilvl w:val="0"/>
                <w:numId w:val="78"/>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01" w:anchor="co_anchor_a778211" w:history="1">
              <w:r>
                <w:rPr>
                  <w:rFonts w:ascii="Times New Roman" w:hAnsi="Times New Roman"/>
                  <w:i/>
                  <w:iCs/>
                  <w:color w:val="006FC4"/>
                  <w:kern w:val="0"/>
                  <w:sz w:val="20"/>
                  <w:szCs w:val="20"/>
                </w:rPr>
                <w:t>Practice note, Boilerplate: do I really need this clause and why?: Rights and remedies</w:t>
              </w:r>
            </w:hyperlink>
            <w:r>
              <w:rPr>
                <w:rFonts w:ascii="Times New Roman" w:hAnsi="Times New Roman"/>
                <w:color w:val="1F1F1F"/>
                <w:kern w:val="0"/>
                <w:sz w:val="20"/>
                <w:szCs w:val="20"/>
              </w:rPr>
              <w:t>.</w:t>
            </w:r>
          </w:p>
          <w:p w14:paraId="65F9D701" w14:textId="77777777" w:rsidR="00CE6AB2" w:rsidRDefault="00CE6AB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50722959"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46A914B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[Except as expressly provided in this agreement, the OR The] rights and remedies provided under this agreement are in addition to, and not exclusive of, any rights or remedies provided by law.</w:t>
      </w:r>
    </w:p>
    <w:p w14:paraId="5F8CCB6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23.  GOVERNING LAW  </w:t>
      </w:r>
    </w:p>
    <w:p w14:paraId="37652D1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3F7F243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66A00C0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0B9E3F69"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Governing law</w:t>
            </w:r>
          </w:p>
          <w:p w14:paraId="50F34D4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0E9589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more information, see:</w:t>
            </w:r>
          </w:p>
          <w:p w14:paraId="32F9707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65CD250" w14:textId="77777777" w:rsidR="00CE6AB2" w:rsidRDefault="00000000">
            <w:pPr>
              <w:widowControl w:val="0"/>
              <w:numPr>
                <w:ilvl w:val="0"/>
                <w:numId w:val="79"/>
              </w:numPr>
              <w:autoSpaceDE w:val="0"/>
              <w:autoSpaceDN w:val="0"/>
              <w:adjustRightInd w:val="0"/>
              <w:spacing w:after="0" w:line="240" w:lineRule="auto"/>
              <w:ind w:left="480" w:hanging="360"/>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The integrated drafting notes to </w:t>
            </w:r>
            <w:hyperlink r:id="rId102" w:history="1">
              <w:r>
                <w:rPr>
                  <w:rFonts w:ascii="Times New Roman" w:hAnsi="Times New Roman"/>
                  <w:i/>
                  <w:iCs/>
                  <w:color w:val="006FC4"/>
                  <w:kern w:val="0"/>
                  <w:sz w:val="20"/>
                  <w:szCs w:val="20"/>
                </w:rPr>
                <w:t>Standard clause, Governing law</w:t>
              </w:r>
            </w:hyperlink>
            <w:r>
              <w:rPr>
                <w:rFonts w:ascii="Times New Roman" w:hAnsi="Times New Roman"/>
                <w:i/>
                <w:iCs/>
                <w:color w:val="1F1F1F"/>
                <w:kern w:val="0"/>
                <w:sz w:val="20"/>
                <w:szCs w:val="20"/>
              </w:rPr>
              <w:t>.</w:t>
            </w:r>
          </w:p>
          <w:p w14:paraId="51FD004F" w14:textId="77777777" w:rsidR="00CE6AB2" w:rsidRDefault="00000000">
            <w:pPr>
              <w:widowControl w:val="0"/>
              <w:numPr>
                <w:ilvl w:val="0"/>
                <w:numId w:val="80"/>
              </w:numPr>
              <w:autoSpaceDE w:val="0"/>
              <w:autoSpaceDN w:val="0"/>
              <w:adjustRightInd w:val="0"/>
              <w:spacing w:after="0" w:line="240" w:lineRule="auto"/>
              <w:ind w:left="480" w:hanging="360"/>
              <w:jc w:val="both"/>
              <w:rPr>
                <w:rFonts w:ascii="Times New Roman" w:hAnsi="Times New Roman"/>
                <w:i/>
                <w:iCs/>
                <w:color w:val="1F1F1F"/>
                <w:kern w:val="0"/>
                <w:sz w:val="20"/>
                <w:szCs w:val="20"/>
              </w:rPr>
            </w:pPr>
            <w:hyperlink r:id="rId103" w:anchor="co_anchor_a742310" w:history="1">
              <w:r>
                <w:rPr>
                  <w:rFonts w:ascii="Times New Roman" w:hAnsi="Times New Roman"/>
                  <w:i/>
                  <w:iCs/>
                  <w:color w:val="006FC4"/>
                  <w:kern w:val="0"/>
                  <w:sz w:val="20"/>
                  <w:szCs w:val="20"/>
                </w:rPr>
                <w:t>Practice note, Boilerplate: do I really need this clause and why?: Governing law</w:t>
              </w:r>
            </w:hyperlink>
          </w:p>
          <w:p w14:paraId="7201A7D8"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See also:</w:t>
            </w:r>
          </w:p>
          <w:p w14:paraId="4490FEC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098C1010" w14:textId="77777777" w:rsidR="00CE6AB2" w:rsidRDefault="00000000">
            <w:pPr>
              <w:widowControl w:val="0"/>
              <w:numPr>
                <w:ilvl w:val="0"/>
                <w:numId w:val="81"/>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04" w:history="1">
              <w:r>
                <w:rPr>
                  <w:rFonts w:ascii="Times New Roman" w:hAnsi="Times New Roman"/>
                  <w:i/>
                  <w:iCs/>
                  <w:color w:val="006FC4"/>
                  <w:kern w:val="0"/>
                  <w:sz w:val="20"/>
                  <w:szCs w:val="20"/>
                </w:rPr>
                <w:t>Practice note, Governing law and jurisdiction clauses</w:t>
              </w:r>
            </w:hyperlink>
            <w:r>
              <w:rPr>
                <w:rFonts w:ascii="Times New Roman" w:hAnsi="Times New Roman"/>
                <w:color w:val="1F1F1F"/>
                <w:kern w:val="0"/>
                <w:sz w:val="20"/>
                <w:szCs w:val="20"/>
              </w:rPr>
              <w:t>.</w:t>
            </w:r>
          </w:p>
          <w:p w14:paraId="5D50E684" w14:textId="77777777" w:rsidR="00CE6AB2" w:rsidRDefault="00000000">
            <w:pPr>
              <w:widowControl w:val="0"/>
              <w:numPr>
                <w:ilvl w:val="0"/>
                <w:numId w:val="82"/>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05" w:anchor="co_anchor_a683835" w:history="1">
              <w:r>
                <w:rPr>
                  <w:rFonts w:ascii="Times New Roman" w:hAnsi="Times New Roman"/>
                  <w:i/>
                  <w:iCs/>
                  <w:color w:val="006FC4"/>
                  <w:kern w:val="0"/>
                  <w:sz w:val="20"/>
                  <w:szCs w:val="20"/>
                </w:rPr>
                <w:t>Practice note, Supply contracts: overview: Choice of law and jurisdiction</w:t>
              </w:r>
            </w:hyperlink>
            <w:r>
              <w:rPr>
                <w:rFonts w:ascii="Times New Roman" w:hAnsi="Times New Roman"/>
                <w:color w:val="1F1F1F"/>
                <w:kern w:val="0"/>
                <w:sz w:val="20"/>
                <w:szCs w:val="20"/>
              </w:rPr>
              <w:t>.</w:t>
            </w:r>
          </w:p>
          <w:p w14:paraId="03A83258" w14:textId="77777777" w:rsidR="00CE6AB2" w:rsidRDefault="00CE6AB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24FA028C"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2640697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This agreement and any dispute or claim arising out of or in connection with it or its subject matter or formation (including non-contractual disputes or claims) shall be governed by and construed in accordance with the law of England and Wales.</w:t>
      </w:r>
    </w:p>
    <w:p w14:paraId="101A9AF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24.  JURISDICTION  </w:t>
      </w:r>
    </w:p>
    <w:p w14:paraId="67B82AC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F4D285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5130B072"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6E10B571"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Jurisdiction</w:t>
            </w:r>
          </w:p>
          <w:p w14:paraId="120DA03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 </w:t>
            </w:r>
          </w:p>
          <w:p w14:paraId="2FC85B0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For information, see:</w:t>
            </w:r>
          </w:p>
          <w:p w14:paraId="3459482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032D35E" w14:textId="77777777" w:rsidR="00CE6AB2" w:rsidRDefault="00000000">
            <w:pPr>
              <w:widowControl w:val="0"/>
              <w:numPr>
                <w:ilvl w:val="0"/>
                <w:numId w:val="83"/>
              </w:numPr>
              <w:autoSpaceDE w:val="0"/>
              <w:autoSpaceDN w:val="0"/>
              <w:adjustRightInd w:val="0"/>
              <w:spacing w:after="0" w:line="240" w:lineRule="auto"/>
              <w:ind w:left="480" w:hanging="360"/>
              <w:jc w:val="both"/>
              <w:rPr>
                <w:rFonts w:ascii="Times New Roman" w:hAnsi="Times New Roman"/>
                <w:i/>
                <w:iCs/>
                <w:color w:val="1F1F1F"/>
                <w:kern w:val="0"/>
                <w:sz w:val="20"/>
                <w:szCs w:val="20"/>
              </w:rPr>
            </w:pPr>
            <w:r>
              <w:rPr>
                <w:rFonts w:ascii="Times New Roman" w:hAnsi="Times New Roman"/>
                <w:color w:val="1F1F1F"/>
                <w:kern w:val="0"/>
                <w:sz w:val="20"/>
                <w:szCs w:val="20"/>
              </w:rPr>
              <w:t xml:space="preserve">The integrated drafting notes to </w:t>
            </w:r>
            <w:hyperlink r:id="rId106" w:history="1">
              <w:r>
                <w:rPr>
                  <w:rFonts w:ascii="Times New Roman" w:hAnsi="Times New Roman"/>
                  <w:i/>
                  <w:iCs/>
                  <w:color w:val="006FC4"/>
                  <w:kern w:val="0"/>
                  <w:sz w:val="20"/>
                  <w:szCs w:val="20"/>
                </w:rPr>
                <w:t>Standard clause, Jurisdiction</w:t>
              </w:r>
            </w:hyperlink>
            <w:r>
              <w:rPr>
                <w:rFonts w:ascii="Times New Roman" w:hAnsi="Times New Roman"/>
                <w:i/>
                <w:iCs/>
                <w:color w:val="1F1F1F"/>
                <w:kern w:val="0"/>
                <w:sz w:val="20"/>
                <w:szCs w:val="20"/>
              </w:rPr>
              <w:t>.</w:t>
            </w:r>
          </w:p>
          <w:p w14:paraId="18E3A201" w14:textId="77777777" w:rsidR="00CE6AB2" w:rsidRDefault="00000000">
            <w:pPr>
              <w:widowControl w:val="0"/>
              <w:numPr>
                <w:ilvl w:val="0"/>
                <w:numId w:val="84"/>
              </w:numPr>
              <w:autoSpaceDE w:val="0"/>
              <w:autoSpaceDN w:val="0"/>
              <w:adjustRightInd w:val="0"/>
              <w:spacing w:after="0" w:line="240" w:lineRule="auto"/>
              <w:ind w:left="480" w:hanging="360"/>
              <w:jc w:val="both"/>
              <w:rPr>
                <w:rFonts w:ascii="Times New Roman" w:hAnsi="Times New Roman"/>
                <w:color w:val="1F1F1F"/>
                <w:kern w:val="0"/>
                <w:sz w:val="20"/>
                <w:szCs w:val="20"/>
              </w:rPr>
            </w:pPr>
            <w:hyperlink r:id="rId107" w:anchor="co_anchor_a783056" w:history="1">
              <w:r>
                <w:rPr>
                  <w:rFonts w:ascii="Times New Roman" w:hAnsi="Times New Roman"/>
                  <w:i/>
                  <w:iCs/>
                  <w:color w:val="006FC4"/>
                  <w:kern w:val="0"/>
                  <w:sz w:val="20"/>
                  <w:szCs w:val="20"/>
                </w:rPr>
                <w:t>Practice note, Boilerplate: do I really need this clause and why?: Jurisdiction</w:t>
              </w:r>
            </w:hyperlink>
            <w:r>
              <w:rPr>
                <w:rFonts w:ascii="Times New Roman" w:hAnsi="Times New Roman"/>
                <w:color w:val="1F1F1F"/>
                <w:kern w:val="0"/>
                <w:sz w:val="20"/>
                <w:szCs w:val="20"/>
              </w:rPr>
              <w:t>.</w:t>
            </w:r>
          </w:p>
          <w:p w14:paraId="6FCAC692" w14:textId="77777777" w:rsidR="00CE6AB2" w:rsidRDefault="00CE6AB2">
            <w:pPr>
              <w:widowControl w:val="0"/>
              <w:autoSpaceDE w:val="0"/>
              <w:autoSpaceDN w:val="0"/>
              <w:adjustRightInd w:val="0"/>
              <w:spacing w:after="0" w:line="240" w:lineRule="auto"/>
              <w:ind w:left="100" w:right="100"/>
              <w:jc w:val="both"/>
              <w:rPr>
                <w:rFonts w:ascii="Times New Roman" w:hAnsi="Times New Roman"/>
                <w:color w:val="1F1F1F"/>
                <w:kern w:val="0"/>
                <w:sz w:val="20"/>
                <w:szCs w:val="20"/>
              </w:rPr>
            </w:pPr>
          </w:p>
        </w:tc>
      </w:tr>
    </w:tbl>
    <w:p w14:paraId="53EDE459"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685E097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Each party irrevocably agrees that the courts of England and Wales shall have [exclusive OR non-exclusive] jurisdiction to settle any dispute or claim (including non-contractual disputes or claims) arising out of or in connection with this agreement or its subject matter or formation</w:t>
      </w:r>
    </w:p>
    <w:p w14:paraId="7A9EF47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This agreement has been entered into on the date stated at the beginning of it.</w:t>
      </w:r>
    </w:p>
    <w:p w14:paraId="3F15ADA8"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46" w:name="co_anchor_a143290_1"/>
      <w:bookmarkEnd w:id="46"/>
    </w:p>
    <w:p w14:paraId="3DB3EEDB"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1</w:t>
      </w:r>
    </w:p>
    <w:p w14:paraId="3ADF25D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KEY DETAILS</w:t>
      </w:r>
    </w:p>
    <w:p w14:paraId="1DBAB01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36867465"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E027B83"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Key details</w:t>
            </w:r>
          </w:p>
          <w:p w14:paraId="60490E8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6DC03FB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Commencement Date of the agreement, the equipment to be maintained, the Location of the Maintained Equipment, the fixed Standard Maintenance Fee, and the rates applied to the Additional Services should be set out in this Schedule.</w:t>
            </w:r>
          </w:p>
          <w:p w14:paraId="035A33EB"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5F2C1F1B"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3AB2358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47" w:name="co_anchor_a602587_1"/>
      <w:bookmarkEnd w:id="47"/>
      <w:r>
        <w:rPr>
          <w:rFonts w:ascii="Times New Roman" w:hAnsi="Times New Roman"/>
          <w:color w:val="1F1F1F"/>
          <w:kern w:val="0"/>
          <w:sz w:val="20"/>
          <w:szCs w:val="20"/>
        </w:rPr>
        <w:t>Part 1</w:t>
      </w:r>
    </w:p>
    <w:p w14:paraId="61BCA3B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Commencement Date</w:t>
      </w:r>
    </w:p>
    <w:p w14:paraId="1CE22A6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48" w:name="co_anchor_a784170_1"/>
      <w:bookmarkEnd w:id="48"/>
      <w:r>
        <w:rPr>
          <w:rFonts w:ascii="Times New Roman" w:hAnsi="Times New Roman"/>
          <w:color w:val="1F1F1F"/>
          <w:kern w:val="0"/>
          <w:sz w:val="20"/>
          <w:szCs w:val="20"/>
        </w:rPr>
        <w:t>Part 2</w:t>
      </w:r>
    </w:p>
    <w:p w14:paraId="2B8199B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Maintained Equipment</w:t>
      </w:r>
    </w:p>
    <w:p w14:paraId="25F2FBB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49" w:name="co_anchor_a239422_1"/>
      <w:bookmarkEnd w:id="49"/>
      <w:r>
        <w:rPr>
          <w:rFonts w:ascii="Times New Roman" w:hAnsi="Times New Roman"/>
          <w:color w:val="1F1F1F"/>
          <w:kern w:val="0"/>
          <w:sz w:val="20"/>
          <w:szCs w:val="20"/>
        </w:rPr>
        <w:t>Part 3</w:t>
      </w:r>
    </w:p>
    <w:p w14:paraId="75AE729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Location</w:t>
      </w:r>
    </w:p>
    <w:p w14:paraId="406EFB0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The Customer’s premises located at [INSERT].</w:t>
      </w:r>
    </w:p>
    <w:p w14:paraId="7CA0EBD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485A9E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OR</w:t>
      </w:r>
    </w:p>
    <w:p w14:paraId="56D48964"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30" w:type="dxa"/>
        <w:tblLayout w:type="fixed"/>
        <w:tblCellMar>
          <w:left w:w="0" w:type="dxa"/>
          <w:right w:w="0" w:type="dxa"/>
        </w:tblCellMar>
        <w:tblLook w:val="0000" w:firstRow="0" w:lastRow="0" w:firstColumn="0" w:lastColumn="0" w:noHBand="0" w:noVBand="0"/>
      </w:tblPr>
      <w:tblGrid>
        <w:gridCol w:w="3360"/>
        <w:gridCol w:w="3360"/>
        <w:gridCol w:w="3360"/>
      </w:tblGrid>
      <w:tr w:rsidR="00CE6AB2" w14:paraId="5A857626" w14:textId="77777777">
        <w:tc>
          <w:tcPr>
            <w:tcW w:w="3360" w:type="dxa"/>
            <w:tcBorders>
              <w:top w:val="single" w:sz="8" w:space="0" w:color="CCCCCC"/>
              <w:left w:val="single" w:sz="8" w:space="0" w:color="CCCCCC"/>
              <w:bottom w:val="single" w:sz="8" w:space="0" w:color="CCCCCC"/>
              <w:right w:val="single" w:sz="8" w:space="0" w:color="CCCCCC"/>
            </w:tcBorders>
            <w:shd w:val="clear" w:color="auto" w:fill="FFFFFF"/>
            <w:tcMar>
              <w:left w:w="30" w:type="dxa"/>
              <w:right w:w="30" w:type="dxa"/>
            </w:tcMar>
          </w:tcPr>
          <w:p w14:paraId="32A7A62F" w14:textId="77777777" w:rsidR="00CE6AB2"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t>
            </w:r>
          </w:p>
          <w:p w14:paraId="649F1F48" w14:textId="77777777" w:rsidR="00CE6AB2" w:rsidRDefault="00CE6AB2">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3360" w:type="dxa"/>
            <w:tcBorders>
              <w:top w:val="single" w:sz="8" w:space="0" w:color="CCCCCC"/>
              <w:left w:val="nil"/>
              <w:bottom w:val="single" w:sz="8" w:space="0" w:color="CCCCCC"/>
              <w:right w:val="single" w:sz="8" w:space="0" w:color="CCCCCC"/>
            </w:tcBorders>
            <w:shd w:val="clear" w:color="auto" w:fill="FFFFFF"/>
            <w:tcMar>
              <w:left w:w="30" w:type="dxa"/>
              <w:right w:w="30" w:type="dxa"/>
            </w:tcMar>
          </w:tcPr>
          <w:p w14:paraId="477FEE90" w14:textId="77777777" w:rsidR="00CE6AB2"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Maintained Equipment</w:t>
            </w:r>
          </w:p>
          <w:p w14:paraId="11EFE940" w14:textId="77777777" w:rsidR="00CE6AB2" w:rsidRDefault="00CE6AB2">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c>
          <w:tcPr>
            <w:tcW w:w="3360" w:type="dxa"/>
            <w:tcBorders>
              <w:top w:val="single" w:sz="8" w:space="0" w:color="CCCCCC"/>
              <w:left w:val="nil"/>
              <w:bottom w:val="single" w:sz="8" w:space="0" w:color="CCCCCC"/>
              <w:right w:val="single" w:sz="8" w:space="0" w:color="CCCCCC"/>
            </w:tcBorders>
            <w:shd w:val="clear" w:color="auto" w:fill="FFFFFF"/>
            <w:tcMar>
              <w:left w:w="30" w:type="dxa"/>
              <w:right w:w="30" w:type="dxa"/>
            </w:tcMar>
          </w:tcPr>
          <w:p w14:paraId="3BD3F50C" w14:textId="77777777" w:rsidR="00CE6AB2" w:rsidRDefault="00000000">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Location</w:t>
            </w:r>
          </w:p>
          <w:p w14:paraId="4D6C9B0F" w14:textId="77777777" w:rsidR="00CE6AB2" w:rsidRDefault="00CE6AB2">
            <w:pPr>
              <w:widowControl w:val="0"/>
              <w:autoSpaceDE w:val="0"/>
              <w:autoSpaceDN w:val="0"/>
              <w:adjustRightInd w:val="0"/>
              <w:spacing w:before="200" w:after="20" w:line="240" w:lineRule="auto"/>
              <w:ind w:left="30" w:right="50"/>
              <w:rPr>
                <w:rFonts w:ascii="Times New Roman" w:hAnsi="Times New Roman"/>
                <w:color w:val="1F1F1F"/>
                <w:kern w:val="0"/>
                <w:sz w:val="20"/>
                <w:szCs w:val="20"/>
                <w:shd w:val="clear" w:color="auto" w:fill="FFFFFF"/>
              </w:rPr>
            </w:pPr>
          </w:p>
        </w:tc>
      </w:tr>
      <w:tr w:rsidR="00CE6AB2" w14:paraId="2F648840" w14:textId="77777777">
        <w:tc>
          <w:tcPr>
            <w:tcW w:w="336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4D1278A1" w14:textId="77777777" w:rsidR="00CE6AB2"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58AA96BF" w14:textId="77777777" w:rsidR="00CE6AB2" w:rsidRDefault="00CE6AB2">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c>
          <w:tcPr>
            <w:tcW w:w="3360" w:type="dxa"/>
            <w:tcBorders>
              <w:top w:val="nil"/>
              <w:left w:val="nil"/>
              <w:bottom w:val="single" w:sz="8" w:space="0" w:color="CCCCCC"/>
              <w:right w:val="single" w:sz="8" w:space="0" w:color="CCCCCC"/>
            </w:tcBorders>
            <w:shd w:val="clear" w:color="auto" w:fill="FFFFFF"/>
            <w:tcMar>
              <w:left w:w="30" w:type="dxa"/>
              <w:right w:w="30" w:type="dxa"/>
            </w:tcMar>
          </w:tcPr>
          <w:p w14:paraId="23660A8F" w14:textId="77777777" w:rsidR="00CE6AB2"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1CAFDC61" w14:textId="77777777" w:rsidR="00CE6AB2" w:rsidRDefault="00CE6AB2">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c>
          <w:tcPr>
            <w:tcW w:w="3360" w:type="dxa"/>
            <w:tcBorders>
              <w:top w:val="nil"/>
              <w:left w:val="nil"/>
              <w:bottom w:val="single" w:sz="8" w:space="0" w:color="CCCCCC"/>
              <w:right w:val="single" w:sz="8" w:space="0" w:color="CCCCCC"/>
            </w:tcBorders>
            <w:shd w:val="clear" w:color="auto" w:fill="FFFFFF"/>
            <w:tcMar>
              <w:left w:w="30" w:type="dxa"/>
              <w:right w:w="30" w:type="dxa"/>
            </w:tcMar>
          </w:tcPr>
          <w:p w14:paraId="21A63335" w14:textId="77777777" w:rsidR="00CE6AB2"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0007340D" w14:textId="77777777" w:rsidR="00CE6AB2" w:rsidRDefault="00CE6AB2">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r>
      <w:tr w:rsidR="00CE6AB2" w14:paraId="617141A2" w14:textId="77777777">
        <w:tc>
          <w:tcPr>
            <w:tcW w:w="3360" w:type="dxa"/>
            <w:tcBorders>
              <w:top w:val="nil"/>
              <w:left w:val="single" w:sz="8" w:space="0" w:color="CCCCCC"/>
              <w:bottom w:val="single" w:sz="8" w:space="0" w:color="CCCCCC"/>
              <w:right w:val="single" w:sz="8" w:space="0" w:color="CCCCCC"/>
            </w:tcBorders>
            <w:shd w:val="clear" w:color="auto" w:fill="FFFFFF"/>
            <w:tcMar>
              <w:left w:w="30" w:type="dxa"/>
              <w:right w:w="30" w:type="dxa"/>
            </w:tcMar>
          </w:tcPr>
          <w:p w14:paraId="3ECBDB90" w14:textId="77777777" w:rsidR="00CE6AB2"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2DB30266" w14:textId="77777777" w:rsidR="00CE6AB2" w:rsidRDefault="00CE6AB2">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c>
          <w:tcPr>
            <w:tcW w:w="3360" w:type="dxa"/>
            <w:tcBorders>
              <w:top w:val="nil"/>
              <w:left w:val="nil"/>
              <w:bottom w:val="single" w:sz="8" w:space="0" w:color="CCCCCC"/>
              <w:right w:val="single" w:sz="8" w:space="0" w:color="CCCCCC"/>
            </w:tcBorders>
            <w:shd w:val="clear" w:color="auto" w:fill="FFFFFF"/>
            <w:tcMar>
              <w:left w:w="30" w:type="dxa"/>
              <w:right w:w="30" w:type="dxa"/>
            </w:tcMar>
          </w:tcPr>
          <w:p w14:paraId="476FC9C9" w14:textId="77777777" w:rsidR="00CE6AB2"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269D0FD8" w14:textId="77777777" w:rsidR="00CE6AB2" w:rsidRDefault="00CE6AB2">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c>
          <w:tcPr>
            <w:tcW w:w="3360" w:type="dxa"/>
            <w:tcBorders>
              <w:top w:val="nil"/>
              <w:left w:val="nil"/>
              <w:bottom w:val="single" w:sz="8" w:space="0" w:color="CCCCCC"/>
              <w:right w:val="single" w:sz="8" w:space="0" w:color="CCCCCC"/>
            </w:tcBorders>
            <w:shd w:val="clear" w:color="auto" w:fill="FFFFFF"/>
            <w:tcMar>
              <w:left w:w="30" w:type="dxa"/>
              <w:right w:w="30" w:type="dxa"/>
            </w:tcMar>
          </w:tcPr>
          <w:p w14:paraId="7275938E" w14:textId="77777777" w:rsidR="00CE6AB2" w:rsidRDefault="00000000">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23AA905F" w14:textId="77777777" w:rsidR="00CE6AB2" w:rsidRDefault="00CE6AB2">
            <w:pPr>
              <w:widowControl w:val="0"/>
              <w:autoSpaceDE w:val="0"/>
              <w:autoSpaceDN w:val="0"/>
              <w:adjustRightInd w:val="0"/>
              <w:spacing w:after="0" w:line="240" w:lineRule="auto"/>
              <w:ind w:left="30" w:right="50"/>
              <w:rPr>
                <w:rFonts w:ascii="Times New Roman" w:hAnsi="Times New Roman"/>
                <w:color w:val="1F1F1F"/>
                <w:kern w:val="0"/>
                <w:sz w:val="20"/>
                <w:szCs w:val="20"/>
                <w:shd w:val="clear" w:color="auto" w:fill="FFFFFF"/>
              </w:rPr>
            </w:pPr>
          </w:p>
        </w:tc>
      </w:tr>
    </w:tbl>
    <w:p w14:paraId="50EFDBBC"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1CCDAD1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50" w:name="co_anchor_a873665_1"/>
      <w:bookmarkEnd w:id="50"/>
      <w:r>
        <w:rPr>
          <w:rFonts w:ascii="Times New Roman" w:hAnsi="Times New Roman"/>
          <w:color w:val="1F1F1F"/>
          <w:kern w:val="0"/>
          <w:sz w:val="20"/>
          <w:szCs w:val="20"/>
        </w:rPr>
        <w:t>Part 4</w:t>
      </w:r>
    </w:p>
    <w:p w14:paraId="19770801"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Standard Maintenance Fees</w:t>
      </w:r>
    </w:p>
    <w:p w14:paraId="067AD95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51" w:name="co_anchor_a439776_1"/>
      <w:bookmarkEnd w:id="51"/>
      <w:r>
        <w:rPr>
          <w:rFonts w:ascii="Times New Roman" w:hAnsi="Times New Roman"/>
          <w:color w:val="1F1F1F"/>
          <w:kern w:val="0"/>
          <w:sz w:val="20"/>
          <w:szCs w:val="20"/>
        </w:rPr>
        <w:t>Part 5</w:t>
      </w:r>
    </w:p>
    <w:p w14:paraId="31F1BE2C"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Additional Services Rates</w:t>
      </w:r>
    </w:p>
    <w:p w14:paraId="22195B5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52" w:name="co_anchor_a462774_1"/>
      <w:bookmarkEnd w:id="52"/>
      <w:r>
        <w:rPr>
          <w:rFonts w:ascii="Times New Roman" w:hAnsi="Times New Roman"/>
          <w:color w:val="1F1F1F"/>
          <w:kern w:val="0"/>
          <w:sz w:val="20"/>
          <w:szCs w:val="20"/>
        </w:rPr>
        <w:t>[Part 6</w:t>
      </w:r>
    </w:p>
    <w:p w14:paraId="41D25C7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Supported Software and terms of support</w:t>
      </w:r>
    </w:p>
    <w:p w14:paraId="3E323A1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38C09A0C"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27EB5DAC"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lastRenderedPageBreak/>
              <w:t>Supported software and terms of support (optional)</w:t>
            </w:r>
          </w:p>
          <w:p w14:paraId="0B7556B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F8D86E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If software maintenance services are being provided (see </w:t>
            </w:r>
            <w:hyperlink w:anchor="co_anchor_a772513_1" w:history="1">
              <w:r>
                <w:rPr>
                  <w:rFonts w:ascii="Times New Roman" w:hAnsi="Times New Roman"/>
                  <w:i/>
                  <w:iCs/>
                  <w:color w:val="006FC4"/>
                  <w:kern w:val="0"/>
                  <w:sz w:val="20"/>
                  <w:szCs w:val="20"/>
                </w:rPr>
                <w:t>Drafting note, Software maintenance services (optional)</w:t>
              </w:r>
            </w:hyperlink>
            <w:r>
              <w:rPr>
                <w:rFonts w:ascii="Times New Roman" w:hAnsi="Times New Roman"/>
                <w:color w:val="1F1F1F"/>
                <w:kern w:val="0"/>
                <w:sz w:val="20"/>
                <w:szCs w:val="20"/>
              </w:rPr>
              <w:t xml:space="preserve">) then this </w:t>
            </w:r>
            <w:hyperlink w:anchor="co_anchor_a462774_1" w:history="1">
              <w:r>
                <w:rPr>
                  <w:rFonts w:ascii="Times New Roman" w:hAnsi="Times New Roman"/>
                  <w:i/>
                  <w:iCs/>
                  <w:color w:val="006FC4"/>
                  <w:kern w:val="0"/>
                  <w:sz w:val="20"/>
                  <w:szCs w:val="20"/>
                </w:rPr>
                <w:t>Part 6</w:t>
              </w:r>
            </w:hyperlink>
            <w:r>
              <w:rPr>
                <w:rFonts w:ascii="Times New Roman" w:hAnsi="Times New Roman"/>
                <w:color w:val="1F1F1F"/>
                <w:kern w:val="0"/>
                <w:sz w:val="20"/>
                <w:szCs w:val="20"/>
              </w:rPr>
              <w:t xml:space="preserve"> will need to be completed with the details of such services, including any relevant support or end of life policies. Note you will need to provide, or link to, an appropriate end user licence at </w:t>
            </w:r>
            <w:hyperlink w:anchor="co_anchor_a251354_1" w:history="1">
              <w:r>
                <w:rPr>
                  <w:rFonts w:ascii="Times New Roman" w:hAnsi="Times New Roman"/>
                  <w:i/>
                  <w:iCs/>
                  <w:color w:val="006FC4"/>
                  <w:kern w:val="0"/>
                  <w:sz w:val="20"/>
                  <w:szCs w:val="20"/>
                </w:rPr>
                <w:t>Schedule 4</w:t>
              </w:r>
            </w:hyperlink>
            <w:r>
              <w:rPr>
                <w:rFonts w:ascii="Times New Roman" w:hAnsi="Times New Roman"/>
                <w:color w:val="1F1F1F"/>
                <w:kern w:val="0"/>
                <w:sz w:val="20"/>
                <w:szCs w:val="20"/>
              </w:rPr>
              <w:t xml:space="preserve">, see </w:t>
            </w:r>
            <w:hyperlink w:anchor="co_anchor_a772513_1" w:history="1">
              <w:r>
                <w:rPr>
                  <w:rFonts w:ascii="Times New Roman" w:hAnsi="Times New Roman"/>
                  <w:i/>
                  <w:iCs/>
                  <w:color w:val="006FC4"/>
                  <w:kern w:val="0"/>
                  <w:sz w:val="20"/>
                  <w:szCs w:val="20"/>
                </w:rPr>
                <w:t>Drafting note, Software maintenance services (optional)</w:t>
              </w:r>
            </w:hyperlink>
            <w:r>
              <w:rPr>
                <w:rFonts w:ascii="Times New Roman" w:hAnsi="Times New Roman"/>
                <w:color w:val="1F1F1F"/>
                <w:kern w:val="0"/>
                <w:sz w:val="20"/>
                <w:szCs w:val="20"/>
              </w:rPr>
              <w:t>.</w:t>
            </w:r>
          </w:p>
          <w:p w14:paraId="637CF12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B3C6FEF"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example software maintenance agreements, see </w:t>
            </w:r>
            <w:hyperlink r:id="rId108" w:history="1">
              <w:r>
                <w:rPr>
                  <w:rFonts w:ascii="Times New Roman" w:hAnsi="Times New Roman"/>
                  <w:i/>
                  <w:iCs/>
                  <w:color w:val="006FC4"/>
                  <w:kern w:val="0"/>
                  <w:sz w:val="20"/>
                  <w:szCs w:val="20"/>
                </w:rPr>
                <w:t>Standard document, Software maintenance agreement (pro-customer)</w:t>
              </w:r>
            </w:hyperlink>
            <w:r>
              <w:rPr>
                <w:rFonts w:ascii="Times New Roman" w:hAnsi="Times New Roman"/>
                <w:color w:val="1F1F1F"/>
                <w:kern w:val="0"/>
                <w:sz w:val="20"/>
                <w:szCs w:val="20"/>
              </w:rPr>
              <w:t xml:space="preserve"> and </w:t>
            </w:r>
            <w:hyperlink r:id="rId109" w:history="1">
              <w:r>
                <w:rPr>
                  <w:rFonts w:ascii="Times New Roman" w:hAnsi="Times New Roman"/>
                  <w:i/>
                  <w:iCs/>
                  <w:color w:val="006FC4"/>
                  <w:kern w:val="0"/>
                  <w:sz w:val="20"/>
                  <w:szCs w:val="20"/>
                </w:rPr>
                <w:t>Standard document, Software maintenance agreement (pro-supplier)</w:t>
              </w:r>
            </w:hyperlink>
            <w:r>
              <w:rPr>
                <w:rFonts w:ascii="Times New Roman" w:hAnsi="Times New Roman"/>
                <w:color w:val="1F1F1F"/>
                <w:kern w:val="0"/>
                <w:sz w:val="20"/>
                <w:szCs w:val="20"/>
              </w:rPr>
              <w:t>.</w:t>
            </w:r>
          </w:p>
          <w:p w14:paraId="689F0CF2"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4FE29B0C"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4362E949"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449C6BC3"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3" w:name="co_anchor_a741444_1"/>
      <w:bookmarkEnd w:id="53"/>
    </w:p>
    <w:p w14:paraId="3FDEF44D"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2</w:t>
      </w:r>
    </w:p>
    <w:p w14:paraId="674F0D5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LEVELS</w:t>
      </w:r>
    </w:p>
    <w:p w14:paraId="5EC03EA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5BF356FD"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030DB19"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Service levels</w:t>
            </w:r>
          </w:p>
          <w:p w14:paraId="3D5211A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107CA0D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Where Service Levels and Service Credits are to be applied to the Supplier’s performance of its obligations pursuant to this agreement, these should be included here (see </w:t>
            </w:r>
            <w:hyperlink w:anchor="co_anchor_a987618_1" w:history="1">
              <w:r>
                <w:rPr>
                  <w:rFonts w:ascii="Times New Roman" w:hAnsi="Times New Roman"/>
                  <w:i/>
                  <w:iCs/>
                  <w:color w:val="006FC4"/>
                  <w:kern w:val="0"/>
                  <w:sz w:val="20"/>
                  <w:szCs w:val="20"/>
                </w:rPr>
                <w:t>Drafting note, Maintenance Services</w:t>
              </w:r>
            </w:hyperlink>
            <w:r>
              <w:rPr>
                <w:rFonts w:ascii="Times New Roman" w:hAnsi="Times New Roman"/>
                <w:color w:val="1F1F1F"/>
                <w:kern w:val="0"/>
                <w:sz w:val="20"/>
                <w:szCs w:val="20"/>
              </w:rPr>
              <w:t xml:space="preserve"> and </w:t>
            </w:r>
            <w:hyperlink w:anchor="co_anchor_a393509_1" w:history="1">
              <w:r>
                <w:rPr>
                  <w:rFonts w:ascii="Times New Roman" w:hAnsi="Times New Roman"/>
                  <w:i/>
                  <w:iCs/>
                  <w:color w:val="006FC4"/>
                  <w:kern w:val="0"/>
                  <w:sz w:val="20"/>
                  <w:szCs w:val="20"/>
                </w:rPr>
                <w:t>Drafting note, Service Levels</w:t>
              </w:r>
            </w:hyperlink>
            <w:r>
              <w:rPr>
                <w:rFonts w:ascii="Times New Roman" w:hAnsi="Times New Roman"/>
                <w:color w:val="1F1F1F"/>
                <w:kern w:val="0"/>
                <w:sz w:val="20"/>
                <w:szCs w:val="20"/>
              </w:rPr>
              <w:t>). Where not relevant, this Schedule should be removed.</w:t>
            </w:r>
          </w:p>
          <w:p w14:paraId="183247A6"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215CFDC8"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07809B4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54" w:name="co_anchor_a858939_1"/>
      <w:bookmarkEnd w:id="54"/>
      <w:r>
        <w:rPr>
          <w:rFonts w:ascii="Times New Roman" w:hAnsi="Times New Roman"/>
          <w:color w:val="1F1F1F"/>
          <w:kern w:val="0"/>
          <w:sz w:val="20"/>
          <w:szCs w:val="20"/>
        </w:rPr>
        <w:t>Part 1</w:t>
      </w:r>
    </w:p>
    <w:p w14:paraId="6BD1C06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Response Times</w:t>
      </w:r>
    </w:p>
    <w:p w14:paraId="68CFA99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55" w:name="co_anchor_a1015113_1"/>
      <w:bookmarkEnd w:id="55"/>
      <w:r>
        <w:rPr>
          <w:rFonts w:ascii="Times New Roman" w:hAnsi="Times New Roman"/>
          <w:color w:val="1F1F1F"/>
          <w:kern w:val="0"/>
          <w:sz w:val="20"/>
          <w:szCs w:val="20"/>
        </w:rPr>
        <w:t>Part 2</w:t>
      </w:r>
    </w:p>
    <w:p w14:paraId="01AA65F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Fix Times</w:t>
      </w:r>
    </w:p>
    <w:p w14:paraId="0116999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56" w:name="co_anchor_a812168_1"/>
      <w:bookmarkEnd w:id="56"/>
      <w:r>
        <w:rPr>
          <w:rFonts w:ascii="Times New Roman" w:hAnsi="Times New Roman"/>
          <w:color w:val="1F1F1F"/>
          <w:kern w:val="0"/>
          <w:sz w:val="20"/>
          <w:szCs w:val="20"/>
        </w:rPr>
        <w:t>[Part 3</w:t>
      </w:r>
    </w:p>
    <w:p w14:paraId="5B0ED5B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Levels</w:t>
      </w:r>
    </w:p>
    <w:p w14:paraId="63292C6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3D9A611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bookmarkStart w:id="57" w:name="co_anchor_a421005_1"/>
      <w:bookmarkEnd w:id="57"/>
      <w:r>
        <w:rPr>
          <w:rFonts w:ascii="Times New Roman" w:hAnsi="Times New Roman"/>
          <w:color w:val="1F1F1F"/>
          <w:kern w:val="0"/>
          <w:sz w:val="20"/>
          <w:szCs w:val="20"/>
        </w:rPr>
        <w:t>[Part 4</w:t>
      </w:r>
    </w:p>
    <w:p w14:paraId="668B5CC3"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Service Credits</w:t>
      </w:r>
    </w:p>
    <w:p w14:paraId="0B728188"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42DFE5F8"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8" w:name="co_anchor_a985480_1"/>
      <w:bookmarkEnd w:id="58"/>
    </w:p>
    <w:p w14:paraId="22863157"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1</w:t>
      </w:r>
    </w:p>
    <w:p w14:paraId="111F8CB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MANDATORY POLICIES</w:t>
      </w:r>
    </w:p>
    <w:p w14:paraId="0265B4C7"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tbl>
      <w:tblPr>
        <w:tblW w:w="0" w:type="auto"/>
        <w:tblInd w:w="283" w:type="dxa"/>
        <w:tblLayout w:type="fixed"/>
        <w:tblCellMar>
          <w:left w:w="0" w:type="dxa"/>
          <w:right w:w="0" w:type="dxa"/>
        </w:tblCellMar>
        <w:tblLook w:val="0000" w:firstRow="0" w:lastRow="0" w:firstColumn="0" w:lastColumn="0" w:noHBand="0" w:noVBand="0"/>
      </w:tblPr>
      <w:tblGrid>
        <w:gridCol w:w="10080"/>
      </w:tblGrid>
      <w:tr w:rsidR="00CE6AB2" w14:paraId="0348D624" w14:textId="77777777">
        <w:tc>
          <w:tcPr>
            <w:tcW w:w="10080" w:type="dxa"/>
            <w:tcBorders>
              <w:top w:val="dashed" w:sz="8" w:space="0" w:color="CCCCCC"/>
              <w:left w:val="dashed" w:sz="8" w:space="0" w:color="CCCCCC"/>
              <w:bottom w:val="dashed" w:sz="8" w:space="0" w:color="CCCCCC"/>
              <w:right w:val="dashed" w:sz="8" w:space="0" w:color="CCCCCC"/>
            </w:tcBorders>
            <w:shd w:val="clear" w:color="auto" w:fill="F7F7F7"/>
            <w:tcMar>
              <w:top w:w="283" w:type="dxa"/>
              <w:left w:w="283" w:type="dxa"/>
              <w:bottom w:w="283" w:type="dxa"/>
              <w:right w:w="283" w:type="dxa"/>
            </w:tcMar>
          </w:tcPr>
          <w:p w14:paraId="12D4F28A" w14:textId="77777777" w:rsidR="00CE6AB2" w:rsidRDefault="00000000">
            <w:pPr>
              <w:widowControl w:val="0"/>
              <w:autoSpaceDE w:val="0"/>
              <w:autoSpaceDN w:val="0"/>
              <w:adjustRightInd w:val="0"/>
              <w:spacing w:after="0" w:line="240" w:lineRule="auto"/>
              <w:jc w:val="both"/>
              <w:rPr>
                <w:rFonts w:ascii="Times New Roman" w:hAnsi="Times New Roman"/>
                <w:b/>
                <w:bCs/>
                <w:color w:val="505050"/>
                <w:kern w:val="0"/>
                <w:sz w:val="22"/>
                <w:szCs w:val="22"/>
              </w:rPr>
            </w:pPr>
            <w:r>
              <w:rPr>
                <w:rFonts w:ascii="Times New Roman" w:hAnsi="Times New Roman"/>
                <w:b/>
                <w:bCs/>
                <w:color w:val="505050"/>
                <w:kern w:val="0"/>
                <w:sz w:val="22"/>
                <w:szCs w:val="22"/>
              </w:rPr>
              <w:t>Mandatory Policies: list and attach?</w:t>
            </w:r>
          </w:p>
          <w:p w14:paraId="0E694D1D"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78C005C2"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xml:space="preserve">For a discussion of whether or not the mandatory policies should also be attached to the agreement, see the integrated drafting notes to </w:t>
            </w:r>
            <w:hyperlink r:id="rId110" w:history="1">
              <w:r>
                <w:rPr>
                  <w:rFonts w:ascii="Times New Roman" w:hAnsi="Times New Roman"/>
                  <w:i/>
                  <w:iCs/>
                  <w:color w:val="006FC4"/>
                  <w:kern w:val="0"/>
                  <w:sz w:val="20"/>
                  <w:szCs w:val="20"/>
                </w:rPr>
                <w:t>Standard clause, Compliance with laws and policies: Schedule of Mandatory Policies</w:t>
              </w:r>
            </w:hyperlink>
            <w:r>
              <w:rPr>
                <w:rFonts w:ascii="Times New Roman" w:hAnsi="Times New Roman"/>
                <w:color w:val="1F1F1F"/>
                <w:kern w:val="0"/>
                <w:sz w:val="20"/>
                <w:szCs w:val="20"/>
              </w:rPr>
              <w:t>.</w:t>
            </w:r>
          </w:p>
          <w:p w14:paraId="79A9D477"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c>
      </w:tr>
    </w:tbl>
    <w:p w14:paraId="1C4BCEC4"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p w14:paraId="2347E4B6"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[LIST [AND ATTACH] THE MANDATORY POLICIES HERE]</w:t>
      </w:r>
    </w:p>
    <w:p w14:paraId="181DEABE"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4EC33F95"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lastRenderedPageBreak/>
        <w:t>The Mandatory Policies are:</w:t>
      </w:r>
    </w:p>
    <w:p w14:paraId="336B18B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 </w:t>
      </w:r>
    </w:p>
    <w:p w14:paraId="2E9EDE72" w14:textId="77777777" w:rsidR="00CE6AB2" w:rsidRDefault="00000000">
      <w:pPr>
        <w:widowControl w:val="0"/>
        <w:numPr>
          <w:ilvl w:val="0"/>
          <w:numId w:val="85"/>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[Modern Slavery and Human Trafficking Policy]</w:t>
      </w:r>
    </w:p>
    <w:p w14:paraId="1FC89255" w14:textId="77777777" w:rsidR="00CE6AB2" w:rsidRDefault="00000000">
      <w:pPr>
        <w:widowControl w:val="0"/>
        <w:numPr>
          <w:ilvl w:val="0"/>
          <w:numId w:val="86"/>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[Corporate and Social Responsibility Policy]</w:t>
      </w:r>
    </w:p>
    <w:p w14:paraId="6CA29554" w14:textId="77777777" w:rsidR="00CE6AB2" w:rsidRDefault="00000000">
      <w:pPr>
        <w:widowControl w:val="0"/>
        <w:numPr>
          <w:ilvl w:val="0"/>
          <w:numId w:val="87"/>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[Data and Privacy Policy]</w:t>
      </w:r>
    </w:p>
    <w:p w14:paraId="3447982D" w14:textId="77777777" w:rsidR="00CE6AB2" w:rsidRDefault="00000000">
      <w:pPr>
        <w:widowControl w:val="0"/>
        <w:numPr>
          <w:ilvl w:val="0"/>
          <w:numId w:val="88"/>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[Ethics and Anti-Bribery Policy]</w:t>
      </w:r>
    </w:p>
    <w:p w14:paraId="39A5B61D" w14:textId="77777777" w:rsidR="00CE6AB2" w:rsidRDefault="00000000">
      <w:pPr>
        <w:widowControl w:val="0"/>
        <w:numPr>
          <w:ilvl w:val="0"/>
          <w:numId w:val="89"/>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[Expenses Policy]</w:t>
      </w:r>
    </w:p>
    <w:p w14:paraId="2548401E" w14:textId="77777777" w:rsidR="00CE6AB2" w:rsidRDefault="00000000">
      <w:pPr>
        <w:widowControl w:val="0"/>
        <w:numPr>
          <w:ilvl w:val="0"/>
          <w:numId w:val="90"/>
        </w:numPr>
        <w:autoSpaceDE w:val="0"/>
        <w:autoSpaceDN w:val="0"/>
        <w:adjustRightInd w:val="0"/>
        <w:spacing w:after="0" w:line="240" w:lineRule="auto"/>
        <w:ind w:left="480" w:hanging="360"/>
        <w:jc w:val="both"/>
        <w:rPr>
          <w:rFonts w:ascii="Times New Roman" w:hAnsi="Times New Roman"/>
          <w:color w:val="1F1F1F"/>
          <w:kern w:val="0"/>
          <w:sz w:val="20"/>
          <w:szCs w:val="20"/>
        </w:rPr>
      </w:pPr>
      <w:r>
        <w:rPr>
          <w:rFonts w:ascii="Times New Roman" w:hAnsi="Times New Roman"/>
          <w:color w:val="1F1F1F"/>
          <w:kern w:val="0"/>
          <w:sz w:val="20"/>
          <w:szCs w:val="20"/>
        </w:rPr>
        <w:t>[Cybersecurity Policy]</w:t>
      </w:r>
    </w:p>
    <w:p w14:paraId="5FD0809C" w14:textId="77777777" w:rsidR="00CE6AB2" w:rsidRDefault="00CE6AB2">
      <w:pPr>
        <w:widowControl w:val="0"/>
        <w:autoSpaceDE w:val="0"/>
        <w:autoSpaceDN w:val="0"/>
        <w:adjustRightInd w:val="0"/>
        <w:spacing w:after="0" w:line="240" w:lineRule="auto"/>
        <w:jc w:val="both"/>
        <w:rPr>
          <w:rFonts w:ascii="Times New Roman" w:hAnsi="Times New Roman"/>
          <w:color w:val="006FC4"/>
          <w:kern w:val="0"/>
          <w:sz w:val="20"/>
          <w:szCs w:val="20"/>
        </w:rPr>
      </w:pPr>
      <w:bookmarkStart w:id="59" w:name="co_anchor_a251354_1"/>
      <w:bookmarkEnd w:id="59"/>
    </w:p>
    <w:p w14:paraId="5CE2C5F9" w14:textId="77777777" w:rsidR="00CE6AB2" w:rsidRDefault="00000000">
      <w:pPr>
        <w:widowControl w:val="0"/>
        <w:autoSpaceDE w:val="0"/>
        <w:autoSpaceDN w:val="0"/>
        <w:adjustRightInd w:val="0"/>
        <w:spacing w:before="4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2</w:t>
      </w:r>
    </w:p>
    <w:p w14:paraId="02D1D17B"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[SOFTWARE EULA</w:t>
      </w:r>
    </w:p>
    <w:p w14:paraId="465DFE00"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w:t>
      </w:r>
    </w:p>
    <w:p w14:paraId="1EE62730" w14:textId="77777777" w:rsidR="00CE6AB2" w:rsidRDefault="00000000">
      <w:pPr>
        <w:widowControl w:val="0"/>
        <w:autoSpaceDE w:val="0"/>
        <w:autoSpaceDN w:val="0"/>
        <w:adjustRightInd w:val="0"/>
        <w:spacing w:before="200"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SCHEDULE 3</w:t>
      </w:r>
    </w:p>
    <w:p w14:paraId="7E7A171A" w14:textId="77777777" w:rsidR="00CE6AB2" w:rsidRDefault="00000000">
      <w:pPr>
        <w:widowControl w:val="0"/>
        <w:autoSpaceDE w:val="0"/>
        <w:autoSpaceDN w:val="0"/>
        <w:adjustRightInd w:val="0"/>
        <w:spacing w:after="0" w:line="240" w:lineRule="auto"/>
        <w:jc w:val="both"/>
        <w:rPr>
          <w:rFonts w:ascii="Times New Roman" w:hAnsi="Times New Roman"/>
          <w:color w:val="1F1F1F"/>
          <w:kern w:val="0"/>
          <w:sz w:val="20"/>
          <w:szCs w:val="20"/>
        </w:rPr>
      </w:pPr>
      <w:r>
        <w:rPr>
          <w:rFonts w:ascii="Times New Roman" w:hAnsi="Times New Roman"/>
          <w:color w:val="1F1F1F"/>
          <w:kern w:val="0"/>
          <w:sz w:val="20"/>
          <w:szCs w:val="20"/>
        </w:rPr>
        <w:t>[INCLUDE [OR LINK TO] ANY RELEVANT SOFTWARE EULA HERE].</w:t>
      </w:r>
    </w:p>
    <w:tbl>
      <w:tblPr>
        <w:tblW w:w="0" w:type="auto"/>
        <w:tblInd w:w="30" w:type="dxa"/>
        <w:tblLayout w:type="fixed"/>
        <w:tblCellMar>
          <w:left w:w="0" w:type="dxa"/>
          <w:right w:w="0" w:type="dxa"/>
        </w:tblCellMar>
        <w:tblLook w:val="0000" w:firstRow="0" w:lastRow="0" w:firstColumn="0" w:lastColumn="0" w:noHBand="0" w:noVBand="0"/>
      </w:tblPr>
      <w:tblGrid>
        <w:gridCol w:w="3360"/>
        <w:gridCol w:w="3360"/>
        <w:gridCol w:w="3360"/>
      </w:tblGrid>
      <w:tr w:rsidR="00CE6AB2" w14:paraId="70E24153" w14:textId="77777777">
        <w:tc>
          <w:tcPr>
            <w:tcW w:w="3360" w:type="dxa"/>
            <w:tcBorders>
              <w:top w:val="nil"/>
              <w:left w:val="nil"/>
              <w:bottom w:val="nil"/>
              <w:right w:val="nil"/>
            </w:tcBorders>
            <w:shd w:val="clear" w:color="auto" w:fill="FFFFFF"/>
            <w:tcMar>
              <w:left w:w="30" w:type="dxa"/>
              <w:right w:w="30" w:type="dxa"/>
            </w:tcMar>
          </w:tcPr>
          <w:p w14:paraId="2CD54944" w14:textId="77777777" w:rsidR="00CE6AB2"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Signed by [NAME OF DIRECTOR] for and on behalf of [NAME OF SUPPLIER]</w:t>
            </w:r>
          </w:p>
          <w:p w14:paraId="0D688342" w14:textId="77777777" w:rsidR="00CE6AB2" w:rsidRDefault="00CE6AB2">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7D802E60" w14:textId="77777777" w:rsidR="00CE6AB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398009F1" w14:textId="77777777" w:rsidR="00CE6AB2" w:rsidRDefault="00CE6AB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000A4024" w14:textId="77777777" w:rsidR="00CE6AB2"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t>
            </w:r>
          </w:p>
          <w:p w14:paraId="244B5389" w14:textId="77777777" w:rsidR="00CE6AB2"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Director</w:t>
            </w:r>
          </w:p>
          <w:p w14:paraId="78D079EC" w14:textId="77777777" w:rsidR="00CE6AB2" w:rsidRDefault="00CE6AB2">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r>
      <w:tr w:rsidR="00CE6AB2" w14:paraId="2B61FAF6" w14:textId="77777777">
        <w:tc>
          <w:tcPr>
            <w:tcW w:w="3360" w:type="dxa"/>
            <w:tcBorders>
              <w:top w:val="nil"/>
              <w:left w:val="nil"/>
              <w:bottom w:val="nil"/>
              <w:right w:val="nil"/>
            </w:tcBorders>
            <w:shd w:val="clear" w:color="auto" w:fill="FFFFFF"/>
            <w:tcMar>
              <w:left w:w="30" w:type="dxa"/>
              <w:right w:w="30" w:type="dxa"/>
            </w:tcMar>
          </w:tcPr>
          <w:p w14:paraId="32F11141" w14:textId="77777777" w:rsidR="00CE6AB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652FA714" w14:textId="77777777" w:rsidR="00CE6AB2" w:rsidRDefault="00CE6AB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70299A81" w14:textId="77777777" w:rsidR="00CE6AB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07194AD1" w14:textId="77777777" w:rsidR="00CE6AB2" w:rsidRDefault="00CE6AB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7057E274" w14:textId="77777777" w:rsidR="00CE6AB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7697749F" w14:textId="77777777" w:rsidR="00CE6AB2" w:rsidRDefault="00CE6AB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r w:rsidR="00CE6AB2" w14:paraId="1F97FD6E" w14:textId="77777777">
        <w:tc>
          <w:tcPr>
            <w:tcW w:w="10080" w:type="dxa"/>
            <w:gridSpan w:val="3"/>
            <w:tcBorders>
              <w:top w:val="nil"/>
              <w:left w:val="nil"/>
              <w:bottom w:val="nil"/>
              <w:right w:val="nil"/>
            </w:tcBorders>
            <w:shd w:val="clear" w:color="auto" w:fill="FFFFFF"/>
            <w:tcMar>
              <w:left w:w="30" w:type="dxa"/>
              <w:right w:w="30" w:type="dxa"/>
            </w:tcMar>
          </w:tcPr>
          <w:p w14:paraId="68E58B4D" w14:textId="77777777" w:rsidR="00CE6AB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491E044E" w14:textId="77777777" w:rsidR="00CE6AB2" w:rsidRDefault="00CE6AB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r w:rsidR="00CE6AB2" w14:paraId="681B9CBF" w14:textId="77777777">
        <w:tc>
          <w:tcPr>
            <w:tcW w:w="3360" w:type="dxa"/>
            <w:tcBorders>
              <w:top w:val="nil"/>
              <w:left w:val="nil"/>
              <w:bottom w:val="nil"/>
              <w:right w:val="nil"/>
            </w:tcBorders>
            <w:shd w:val="clear" w:color="auto" w:fill="FFFFFF"/>
            <w:tcMar>
              <w:left w:w="30" w:type="dxa"/>
              <w:right w:w="30" w:type="dxa"/>
            </w:tcMar>
          </w:tcPr>
          <w:p w14:paraId="24E21751" w14:textId="77777777" w:rsidR="00CE6AB2"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Signed by [NAME OF DIRECTOR] for and on behalf of [NAME OF CUSTOMER]</w:t>
            </w:r>
          </w:p>
          <w:p w14:paraId="10A5344D" w14:textId="77777777" w:rsidR="00CE6AB2" w:rsidRDefault="00CE6AB2">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2CD43874" w14:textId="77777777" w:rsidR="00CE6AB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648682BF" w14:textId="77777777" w:rsidR="00CE6AB2" w:rsidRDefault="00CE6AB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1752B39A" w14:textId="77777777" w:rsidR="00CE6AB2"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w:t>
            </w:r>
          </w:p>
          <w:p w14:paraId="5AC0E918" w14:textId="77777777" w:rsidR="00CE6AB2" w:rsidRDefault="00000000">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Director</w:t>
            </w:r>
          </w:p>
          <w:p w14:paraId="35BB28DE" w14:textId="77777777" w:rsidR="00CE6AB2" w:rsidRDefault="00CE6AB2">
            <w:pPr>
              <w:widowControl w:val="0"/>
              <w:autoSpaceDE w:val="0"/>
              <w:autoSpaceDN w:val="0"/>
              <w:adjustRightInd w:val="0"/>
              <w:spacing w:before="200" w:after="20" w:line="240" w:lineRule="auto"/>
              <w:ind w:left="30" w:right="30"/>
              <w:rPr>
                <w:rFonts w:ascii="Times New Roman" w:hAnsi="Times New Roman"/>
                <w:color w:val="1F1F1F"/>
                <w:kern w:val="0"/>
                <w:sz w:val="20"/>
                <w:szCs w:val="20"/>
                <w:shd w:val="clear" w:color="auto" w:fill="FFFFFF"/>
              </w:rPr>
            </w:pPr>
          </w:p>
        </w:tc>
      </w:tr>
      <w:tr w:rsidR="00CE6AB2" w14:paraId="121F98A9" w14:textId="77777777">
        <w:tc>
          <w:tcPr>
            <w:tcW w:w="3360" w:type="dxa"/>
            <w:tcBorders>
              <w:top w:val="nil"/>
              <w:left w:val="nil"/>
              <w:bottom w:val="nil"/>
              <w:right w:val="nil"/>
            </w:tcBorders>
            <w:shd w:val="clear" w:color="auto" w:fill="FFFFFF"/>
            <w:tcMar>
              <w:left w:w="30" w:type="dxa"/>
              <w:right w:w="30" w:type="dxa"/>
            </w:tcMar>
          </w:tcPr>
          <w:p w14:paraId="06592BE6" w14:textId="77777777" w:rsidR="00CE6AB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25F5C83C" w14:textId="77777777" w:rsidR="00CE6AB2" w:rsidRDefault="00CE6AB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610F69AE" w14:textId="77777777" w:rsidR="00CE6AB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275627C8" w14:textId="77777777" w:rsidR="00CE6AB2" w:rsidRDefault="00CE6AB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c>
          <w:tcPr>
            <w:tcW w:w="3360" w:type="dxa"/>
            <w:tcBorders>
              <w:top w:val="nil"/>
              <w:left w:val="nil"/>
              <w:bottom w:val="nil"/>
              <w:right w:val="nil"/>
            </w:tcBorders>
            <w:shd w:val="clear" w:color="auto" w:fill="FFFFFF"/>
            <w:tcMar>
              <w:left w:w="30" w:type="dxa"/>
              <w:right w:w="30" w:type="dxa"/>
            </w:tcMar>
          </w:tcPr>
          <w:p w14:paraId="2F40E8E4" w14:textId="77777777" w:rsidR="00CE6AB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6833465F" w14:textId="77777777" w:rsidR="00CE6AB2" w:rsidRDefault="00CE6AB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r w:rsidR="00CE6AB2" w14:paraId="1C28084F" w14:textId="77777777">
        <w:tc>
          <w:tcPr>
            <w:tcW w:w="10080" w:type="dxa"/>
            <w:gridSpan w:val="3"/>
            <w:tcBorders>
              <w:top w:val="nil"/>
              <w:left w:val="nil"/>
              <w:bottom w:val="nil"/>
              <w:right w:val="nil"/>
            </w:tcBorders>
            <w:shd w:val="clear" w:color="auto" w:fill="FFFFFF"/>
            <w:tcMar>
              <w:left w:w="30" w:type="dxa"/>
              <w:right w:w="30" w:type="dxa"/>
            </w:tcMar>
          </w:tcPr>
          <w:p w14:paraId="61303F51" w14:textId="77777777" w:rsidR="00CE6AB2" w:rsidRDefault="00000000">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r>
              <w:rPr>
                <w:rFonts w:ascii="Times New Roman" w:hAnsi="Times New Roman"/>
                <w:color w:val="1F1F1F"/>
                <w:kern w:val="0"/>
                <w:sz w:val="20"/>
                <w:szCs w:val="20"/>
                <w:shd w:val="clear" w:color="auto" w:fill="FFFFFF"/>
              </w:rPr>
              <w:t> </w:t>
            </w:r>
          </w:p>
          <w:p w14:paraId="12FA01E9" w14:textId="77777777" w:rsidR="00CE6AB2" w:rsidRDefault="00CE6AB2">
            <w:pPr>
              <w:widowControl w:val="0"/>
              <w:autoSpaceDE w:val="0"/>
              <w:autoSpaceDN w:val="0"/>
              <w:adjustRightInd w:val="0"/>
              <w:spacing w:after="0" w:line="240" w:lineRule="auto"/>
              <w:ind w:left="30" w:right="30"/>
              <w:rPr>
                <w:rFonts w:ascii="Times New Roman" w:hAnsi="Times New Roman"/>
                <w:color w:val="1F1F1F"/>
                <w:kern w:val="0"/>
                <w:sz w:val="20"/>
                <w:szCs w:val="20"/>
                <w:shd w:val="clear" w:color="auto" w:fill="FFFFFF"/>
              </w:rPr>
            </w:pPr>
          </w:p>
        </w:tc>
      </w:tr>
    </w:tbl>
    <w:p w14:paraId="46D38F2C"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p>
    <w:tbl>
      <w:tblPr>
        <w:tblW w:w="0" w:type="auto"/>
        <w:tblLayout w:type="fixed"/>
        <w:tblCellMar>
          <w:left w:w="0" w:type="dxa"/>
          <w:right w:w="0" w:type="dxa"/>
        </w:tblCellMar>
        <w:tblLook w:val="0000" w:firstRow="0" w:lastRow="0" w:firstColumn="0" w:lastColumn="0" w:noHBand="0" w:noVBand="0"/>
      </w:tblPr>
      <w:tblGrid>
        <w:gridCol w:w="3911"/>
        <w:gridCol w:w="2267"/>
        <w:gridCol w:w="3911"/>
      </w:tblGrid>
      <w:tr w:rsidR="00CE6AB2" w14:paraId="1F2A343D" w14:textId="77777777">
        <w:trPr>
          <w:cantSplit/>
        </w:trPr>
        <w:tc>
          <w:tcPr>
            <w:tcW w:w="3911" w:type="dxa"/>
            <w:tcBorders>
              <w:top w:val="single" w:sz="8" w:space="0" w:color="979797"/>
              <w:left w:val="nil"/>
              <w:bottom w:val="nil"/>
              <w:right w:val="nil"/>
            </w:tcBorders>
          </w:tcPr>
          <w:p w14:paraId="3D2867F9" w14:textId="77777777" w:rsidR="00CE6AB2" w:rsidRDefault="00CE6AB2">
            <w:pPr>
              <w:widowControl w:val="0"/>
              <w:autoSpaceDE w:val="0"/>
              <w:autoSpaceDN w:val="0"/>
              <w:adjustRightInd w:val="0"/>
              <w:spacing w:after="0" w:line="240" w:lineRule="auto"/>
              <w:jc w:val="center"/>
              <w:rPr>
                <w:rFonts w:ascii="Times New Roman" w:hAnsi="Times New Roman"/>
                <w:b/>
                <w:bCs/>
                <w:color w:val="505050"/>
                <w:kern w:val="0"/>
                <w:sz w:val="20"/>
                <w:szCs w:val="20"/>
              </w:rPr>
            </w:pPr>
          </w:p>
        </w:tc>
        <w:tc>
          <w:tcPr>
            <w:tcW w:w="2267" w:type="dxa"/>
            <w:tcBorders>
              <w:top w:val="single" w:sz="8" w:space="0" w:color="979797"/>
              <w:left w:val="single" w:sz="8" w:space="0" w:color="979797"/>
              <w:bottom w:val="single" w:sz="8" w:space="0" w:color="979797"/>
              <w:right w:val="single" w:sz="8" w:space="0" w:color="979797"/>
            </w:tcBorders>
          </w:tcPr>
          <w:p w14:paraId="52297EE4" w14:textId="77777777" w:rsidR="00CE6AB2" w:rsidRDefault="00000000">
            <w:pPr>
              <w:widowControl w:val="0"/>
              <w:autoSpaceDE w:val="0"/>
              <w:autoSpaceDN w:val="0"/>
              <w:adjustRightInd w:val="0"/>
              <w:spacing w:after="0" w:line="240" w:lineRule="auto"/>
              <w:jc w:val="center"/>
              <w:rPr>
                <w:rFonts w:ascii="Times New Roman" w:hAnsi="Times New Roman"/>
                <w:b/>
                <w:bCs/>
                <w:color w:val="505050"/>
                <w:kern w:val="0"/>
                <w:sz w:val="20"/>
                <w:szCs w:val="20"/>
              </w:rPr>
            </w:pPr>
            <w:r>
              <w:rPr>
                <w:rFonts w:ascii="Times New Roman" w:hAnsi="Times New Roman"/>
                <w:b/>
                <w:bCs/>
                <w:color w:val="505050"/>
                <w:kern w:val="0"/>
                <w:sz w:val="20"/>
                <w:szCs w:val="20"/>
              </w:rPr>
              <w:t>END OF DOCUMENT</w:t>
            </w:r>
          </w:p>
        </w:tc>
        <w:tc>
          <w:tcPr>
            <w:tcW w:w="3911" w:type="dxa"/>
            <w:tcBorders>
              <w:top w:val="single" w:sz="8" w:space="0" w:color="979797"/>
              <w:left w:val="nil"/>
              <w:bottom w:val="nil"/>
              <w:right w:val="nil"/>
            </w:tcBorders>
          </w:tcPr>
          <w:p w14:paraId="1CF5DCF4" w14:textId="77777777" w:rsidR="00CE6AB2" w:rsidRDefault="00CE6AB2">
            <w:pPr>
              <w:widowControl w:val="0"/>
              <w:autoSpaceDE w:val="0"/>
              <w:autoSpaceDN w:val="0"/>
              <w:adjustRightInd w:val="0"/>
              <w:spacing w:after="0" w:line="240" w:lineRule="auto"/>
              <w:jc w:val="center"/>
              <w:rPr>
                <w:rFonts w:ascii="Times New Roman" w:hAnsi="Times New Roman"/>
                <w:b/>
                <w:bCs/>
                <w:color w:val="505050"/>
                <w:kern w:val="0"/>
                <w:sz w:val="20"/>
                <w:szCs w:val="20"/>
              </w:rPr>
            </w:pPr>
          </w:p>
        </w:tc>
      </w:tr>
    </w:tbl>
    <w:p w14:paraId="3122D975" w14:textId="77777777" w:rsidR="00CE6AB2" w:rsidRDefault="00CE6AB2">
      <w:pPr>
        <w:widowControl w:val="0"/>
        <w:autoSpaceDE w:val="0"/>
        <w:autoSpaceDN w:val="0"/>
        <w:adjustRightInd w:val="0"/>
        <w:spacing w:after="0" w:line="240" w:lineRule="auto"/>
        <w:jc w:val="both"/>
        <w:rPr>
          <w:rFonts w:ascii="Times New Roman" w:hAnsi="Times New Roman"/>
          <w:b/>
          <w:bCs/>
          <w:color w:val="505050"/>
          <w:kern w:val="0"/>
          <w:sz w:val="20"/>
          <w:szCs w:val="20"/>
        </w:rPr>
      </w:pPr>
    </w:p>
    <w:p w14:paraId="20FD3A6B" w14:textId="77777777" w:rsidR="00CE6AB2" w:rsidRDefault="00CE6AB2">
      <w:pPr>
        <w:widowControl w:val="0"/>
        <w:autoSpaceDE w:val="0"/>
        <w:autoSpaceDN w:val="0"/>
        <w:adjustRightInd w:val="0"/>
        <w:spacing w:after="0" w:line="240" w:lineRule="auto"/>
        <w:jc w:val="both"/>
        <w:rPr>
          <w:rFonts w:ascii="Times New Roman" w:hAnsi="Times New Roman"/>
          <w:color w:val="1F1F1F"/>
          <w:kern w:val="0"/>
          <w:sz w:val="20"/>
          <w:szCs w:val="20"/>
        </w:rPr>
      </w:pPr>
      <w:bookmarkStart w:id="60" w:name="kh_relatedContentOffset_1"/>
      <w:bookmarkEnd w:id="60"/>
    </w:p>
    <w:p w14:paraId="2DB6D757" w14:textId="77777777" w:rsidR="00C00672" w:rsidRDefault="00C00672">
      <w:pPr>
        <w:widowControl w:val="0"/>
        <w:autoSpaceDE w:val="0"/>
        <w:autoSpaceDN w:val="0"/>
        <w:adjustRightInd w:val="0"/>
        <w:spacing w:after="0" w:line="240" w:lineRule="auto"/>
        <w:rPr>
          <w:rFonts w:ascii="Arial" w:hAnsi="Arial" w:cs="Arial"/>
          <w:kern w:val="0"/>
        </w:rPr>
      </w:pPr>
    </w:p>
    <w:sectPr w:rsidR="00C00672">
      <w:type w:val="continuous"/>
      <w:pgSz w:w="12240" w:h="15840"/>
      <w:pgMar w:top="1080" w:right="1080" w:bottom="1080" w:left="10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C7EAF" w14:textId="77777777" w:rsidR="002A4A0B" w:rsidRDefault="002A4A0B">
      <w:pPr>
        <w:spacing w:after="0" w:line="240" w:lineRule="auto"/>
      </w:pPr>
      <w:r>
        <w:separator/>
      </w:r>
    </w:p>
  </w:endnote>
  <w:endnote w:type="continuationSeparator" w:id="0">
    <w:p w14:paraId="06336C28" w14:textId="77777777" w:rsidR="002A4A0B" w:rsidRDefault="002A4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300"/>
      <w:gridCol w:w="700"/>
    </w:tblGrid>
    <w:tr w:rsidR="00CE6AB2" w14:paraId="761A5373" w14:textId="77777777">
      <w:tc>
        <w:tcPr>
          <w:tcW w:w="9300" w:type="dxa"/>
          <w:tcBorders>
            <w:top w:val="single" w:sz="8" w:space="0" w:color="AAAAAA"/>
            <w:left w:val="nil"/>
            <w:bottom w:val="nil"/>
            <w:right w:val="nil"/>
          </w:tcBorders>
          <w:tcMar>
            <w:top w:w="60" w:type="dxa"/>
          </w:tcMar>
          <w:vAlign w:val="bottom"/>
        </w:tcPr>
        <w:p w14:paraId="7094334E" w14:textId="77777777" w:rsidR="00CE6AB2" w:rsidRDefault="00000000">
          <w:pPr>
            <w:widowControl w:val="0"/>
            <w:autoSpaceDE w:val="0"/>
            <w:autoSpaceDN w:val="0"/>
            <w:adjustRightInd w:val="0"/>
            <w:spacing w:after="0" w:line="240" w:lineRule="auto"/>
            <w:rPr>
              <w:rFonts w:ascii="Arial" w:hAnsi="Arial" w:cs="Arial"/>
              <w:color w:val="AAAAAA"/>
              <w:kern w:val="0"/>
              <w:sz w:val="20"/>
              <w:szCs w:val="20"/>
            </w:rPr>
          </w:pPr>
          <w:r>
            <w:rPr>
              <w:rFonts w:ascii="Arial" w:hAnsi="Arial" w:cs="Arial"/>
              <w:color w:val="AAAAAA"/>
              <w:kern w:val="0"/>
              <w:sz w:val="20"/>
              <w:szCs w:val="20"/>
            </w:rPr>
            <w:t>© 2025 Thomson Reuters. All rights reserved.</w:t>
          </w:r>
        </w:p>
      </w:tc>
      <w:tc>
        <w:tcPr>
          <w:tcW w:w="700" w:type="dxa"/>
          <w:tcBorders>
            <w:top w:val="single" w:sz="8" w:space="0" w:color="AAAAAA"/>
            <w:left w:val="nil"/>
            <w:bottom w:val="nil"/>
            <w:right w:val="nil"/>
          </w:tcBorders>
          <w:tcMar>
            <w:top w:w="60" w:type="dxa"/>
          </w:tcMar>
        </w:tcPr>
        <w:p w14:paraId="0081294E" w14:textId="77777777" w:rsidR="00CE6AB2" w:rsidRDefault="00000000">
          <w:pPr>
            <w:widowControl w:val="0"/>
            <w:autoSpaceDE w:val="0"/>
            <w:autoSpaceDN w:val="0"/>
            <w:adjustRightInd w:val="0"/>
            <w:spacing w:after="0" w:line="240" w:lineRule="auto"/>
            <w:jc w:val="right"/>
            <w:rPr>
              <w:rFonts w:ascii="Arial" w:hAnsi="Arial" w:cs="Arial"/>
              <w:color w:val="AAAAAA"/>
              <w:kern w:val="0"/>
              <w:sz w:val="20"/>
              <w:szCs w:val="20"/>
            </w:rPr>
          </w:pPr>
          <w:r>
            <w:rPr>
              <w:rFonts w:ascii="Arial" w:hAnsi="Arial" w:cs="Arial"/>
              <w:color w:val="AAAAAA"/>
              <w:kern w:val="0"/>
              <w:sz w:val="20"/>
              <w:szCs w:val="20"/>
            </w:rPr>
            <w:pgNum/>
          </w:r>
        </w:p>
      </w:tc>
    </w:tr>
  </w:tbl>
  <w:p w14:paraId="6B0052DE" w14:textId="77777777" w:rsidR="00CE6AB2" w:rsidRDefault="00CE6AB2">
    <w:pPr>
      <w:widowControl w:val="0"/>
      <w:autoSpaceDE w:val="0"/>
      <w:autoSpaceDN w:val="0"/>
      <w:adjustRightInd w:val="0"/>
      <w:spacing w:after="0" w:line="240" w:lineRule="auto"/>
      <w:rPr>
        <w:rFonts w:ascii="Arial" w:hAnsi="Arial" w:cs="Arial"/>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5F7EC" w14:textId="77777777" w:rsidR="002A4A0B" w:rsidRDefault="002A4A0B">
      <w:pPr>
        <w:spacing w:after="0" w:line="240" w:lineRule="auto"/>
      </w:pPr>
      <w:r>
        <w:separator/>
      </w:r>
    </w:p>
  </w:footnote>
  <w:footnote w:type="continuationSeparator" w:id="0">
    <w:p w14:paraId="67370FCD" w14:textId="77777777" w:rsidR="002A4A0B" w:rsidRDefault="002A4A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9380"/>
      <w:gridCol w:w="700"/>
    </w:tblGrid>
    <w:tr w:rsidR="00CE6AB2" w14:paraId="7490073F" w14:textId="77777777">
      <w:tc>
        <w:tcPr>
          <w:tcW w:w="9380" w:type="dxa"/>
          <w:tcBorders>
            <w:top w:val="nil"/>
            <w:left w:val="nil"/>
            <w:bottom w:val="single" w:sz="8" w:space="0" w:color="AAAAAA"/>
            <w:right w:val="nil"/>
          </w:tcBorders>
          <w:tcMar>
            <w:top w:w="400" w:type="dxa"/>
            <w:bottom w:w="60" w:type="dxa"/>
          </w:tcMar>
          <w:vAlign w:val="bottom"/>
        </w:tcPr>
        <w:p w14:paraId="26662114" w14:textId="77777777" w:rsidR="00CE6AB2" w:rsidRDefault="00000000">
          <w:pPr>
            <w:widowControl w:val="0"/>
            <w:autoSpaceDE w:val="0"/>
            <w:autoSpaceDN w:val="0"/>
            <w:adjustRightInd w:val="0"/>
            <w:spacing w:after="0" w:line="240" w:lineRule="auto"/>
            <w:rPr>
              <w:rFonts w:ascii="Arial" w:hAnsi="Arial" w:cs="Arial"/>
              <w:color w:val="000000"/>
              <w:kern w:val="0"/>
              <w:sz w:val="18"/>
              <w:szCs w:val="18"/>
            </w:rPr>
          </w:pPr>
          <w:r>
            <w:rPr>
              <w:rFonts w:ascii="Arial" w:hAnsi="Arial" w:cs="Arial"/>
              <w:b/>
              <w:bCs/>
              <w:color w:val="555555"/>
              <w:kern w:val="0"/>
              <w:sz w:val="18"/>
              <w:szCs w:val="18"/>
            </w:rPr>
            <w:t>Hardware maintenance agreement, Practical Law UK Standard Document 3-505-9263</w:t>
          </w:r>
        </w:p>
      </w:tc>
      <w:tc>
        <w:tcPr>
          <w:tcW w:w="700" w:type="dxa"/>
          <w:tcBorders>
            <w:top w:val="nil"/>
            <w:left w:val="nil"/>
            <w:bottom w:val="single" w:sz="8" w:space="0" w:color="AAAAAA"/>
            <w:right w:val="nil"/>
          </w:tcBorders>
          <w:tcMar>
            <w:top w:w="400" w:type="dxa"/>
            <w:bottom w:w="60" w:type="dxa"/>
          </w:tcMar>
        </w:tcPr>
        <w:p w14:paraId="370FCF49" w14:textId="77777777" w:rsidR="00CE6AB2" w:rsidRDefault="00CE6AB2">
          <w:pPr>
            <w:widowControl w:val="0"/>
            <w:autoSpaceDE w:val="0"/>
            <w:autoSpaceDN w:val="0"/>
            <w:adjustRightInd w:val="0"/>
            <w:spacing w:after="0" w:line="240" w:lineRule="auto"/>
            <w:jc w:val="right"/>
            <w:rPr>
              <w:rFonts w:ascii="Arial" w:hAnsi="Arial" w:cs="Arial"/>
              <w:color w:val="000000"/>
              <w:kern w:val="0"/>
              <w:sz w:val="18"/>
              <w:szCs w:val="18"/>
            </w:rPr>
          </w:pPr>
        </w:p>
      </w:tc>
    </w:tr>
    <w:tr w:rsidR="00CE6AB2" w14:paraId="58E1FFD3" w14:textId="77777777">
      <w:tc>
        <w:tcPr>
          <w:tcW w:w="10080" w:type="dxa"/>
          <w:gridSpan w:val="2"/>
          <w:tcBorders>
            <w:top w:val="nil"/>
            <w:left w:val="nil"/>
            <w:bottom w:val="nil"/>
            <w:right w:val="nil"/>
          </w:tcBorders>
        </w:tcPr>
        <w:p w14:paraId="5472F306" w14:textId="77777777" w:rsidR="00CE6AB2" w:rsidRDefault="00CE6AB2">
          <w:pPr>
            <w:widowControl w:val="0"/>
            <w:autoSpaceDE w:val="0"/>
            <w:autoSpaceDN w:val="0"/>
            <w:adjustRightInd w:val="0"/>
            <w:spacing w:after="0" w:line="240" w:lineRule="auto"/>
            <w:rPr>
              <w:rFonts w:ascii="Arial" w:hAnsi="Arial" w:cs="Arial"/>
              <w:color w:val="000000"/>
              <w:kern w:val="0"/>
              <w:sz w:val="18"/>
              <w:szCs w:val="18"/>
            </w:rPr>
          </w:pPr>
        </w:p>
      </w:tc>
    </w:tr>
  </w:tbl>
  <w:p w14:paraId="712028E7" w14:textId="77777777" w:rsidR="00CE6AB2" w:rsidRDefault="00CE6AB2">
    <w:pPr>
      <w:widowControl w:val="0"/>
      <w:autoSpaceDE w:val="0"/>
      <w:autoSpaceDN w:val="0"/>
      <w:adjustRightInd w:val="0"/>
      <w:spacing w:after="0" w:line="240" w:lineRule="auto"/>
      <w:rPr>
        <w:rFonts w:ascii="Arial" w:hAnsi="Arial" w:cs="Arial"/>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E4B712"/>
    <w:multiLevelType w:val="singleLevel"/>
    <w:tmpl w:val="FFFFFFFF"/>
    <w:lvl w:ilvl="0">
      <w:numFmt w:val="decimal"/>
      <w:lvlText w:val="c."/>
      <w:lvlJc w:val="left"/>
    </w:lvl>
  </w:abstractNum>
  <w:abstractNum w:abstractNumId="1" w15:restartNumberingAfterBreak="0">
    <w:nsid w:val="854DBF35"/>
    <w:multiLevelType w:val="singleLevel"/>
    <w:tmpl w:val="FFFFFFFF"/>
    <w:lvl w:ilvl="0">
      <w:numFmt w:val="decimal"/>
      <w:lvlText w:val="•"/>
      <w:lvlJc w:val="left"/>
    </w:lvl>
  </w:abstractNum>
  <w:abstractNum w:abstractNumId="2" w15:restartNumberingAfterBreak="0">
    <w:nsid w:val="87F86A2B"/>
    <w:multiLevelType w:val="singleLevel"/>
    <w:tmpl w:val="FFFFFFFF"/>
    <w:lvl w:ilvl="0">
      <w:numFmt w:val="decimal"/>
      <w:lvlText w:val="•"/>
      <w:lvlJc w:val="left"/>
    </w:lvl>
  </w:abstractNum>
  <w:abstractNum w:abstractNumId="3" w15:restartNumberingAfterBreak="0">
    <w:nsid w:val="88330772"/>
    <w:multiLevelType w:val="singleLevel"/>
    <w:tmpl w:val="FFFFFFFF"/>
    <w:lvl w:ilvl="0">
      <w:numFmt w:val="decimal"/>
      <w:lvlText w:val="•"/>
      <w:lvlJc w:val="left"/>
    </w:lvl>
  </w:abstractNum>
  <w:abstractNum w:abstractNumId="4" w15:restartNumberingAfterBreak="0">
    <w:nsid w:val="89E63550"/>
    <w:multiLevelType w:val="singleLevel"/>
    <w:tmpl w:val="FFFFFFFF"/>
    <w:lvl w:ilvl="0">
      <w:numFmt w:val="decimal"/>
      <w:lvlText w:val="•"/>
      <w:lvlJc w:val="left"/>
    </w:lvl>
  </w:abstractNum>
  <w:abstractNum w:abstractNumId="5" w15:restartNumberingAfterBreak="0">
    <w:nsid w:val="90CDBF06"/>
    <w:multiLevelType w:val="singleLevel"/>
    <w:tmpl w:val="FFFFFFFF"/>
    <w:lvl w:ilvl="0">
      <w:numFmt w:val="decimal"/>
      <w:lvlText w:val="•"/>
      <w:lvlJc w:val="left"/>
    </w:lvl>
  </w:abstractNum>
  <w:abstractNum w:abstractNumId="6" w15:restartNumberingAfterBreak="0">
    <w:nsid w:val="92BFE220"/>
    <w:multiLevelType w:val="singleLevel"/>
    <w:tmpl w:val="FFFFFFFF"/>
    <w:lvl w:ilvl="0">
      <w:numFmt w:val="decimal"/>
      <w:lvlText w:val="•"/>
      <w:lvlJc w:val="left"/>
    </w:lvl>
  </w:abstractNum>
  <w:abstractNum w:abstractNumId="7" w15:restartNumberingAfterBreak="0">
    <w:nsid w:val="9AC21392"/>
    <w:multiLevelType w:val="singleLevel"/>
    <w:tmpl w:val="FFFFFFFF"/>
    <w:lvl w:ilvl="0">
      <w:numFmt w:val="decimal"/>
      <w:lvlText w:val="•"/>
      <w:lvlJc w:val="left"/>
    </w:lvl>
  </w:abstractNum>
  <w:abstractNum w:abstractNumId="8" w15:restartNumberingAfterBreak="0">
    <w:nsid w:val="9AFFCFE1"/>
    <w:multiLevelType w:val="singleLevel"/>
    <w:tmpl w:val="FFFFFFFF"/>
    <w:lvl w:ilvl="0">
      <w:numFmt w:val="decimal"/>
      <w:lvlText w:val="f."/>
      <w:lvlJc w:val="left"/>
    </w:lvl>
  </w:abstractNum>
  <w:abstractNum w:abstractNumId="9" w15:restartNumberingAfterBreak="0">
    <w:nsid w:val="9F71DA3A"/>
    <w:multiLevelType w:val="singleLevel"/>
    <w:tmpl w:val="FFFFFFFF"/>
    <w:lvl w:ilvl="0">
      <w:numFmt w:val="decimal"/>
      <w:lvlText w:val="•"/>
      <w:lvlJc w:val="left"/>
    </w:lvl>
  </w:abstractNum>
  <w:abstractNum w:abstractNumId="10" w15:restartNumberingAfterBreak="0">
    <w:nsid w:val="A96E73E1"/>
    <w:multiLevelType w:val="singleLevel"/>
    <w:tmpl w:val="FFFFFFFF"/>
    <w:lvl w:ilvl="0">
      <w:numFmt w:val="decimal"/>
      <w:lvlText w:val="•"/>
      <w:lvlJc w:val="left"/>
    </w:lvl>
  </w:abstractNum>
  <w:abstractNum w:abstractNumId="11" w15:restartNumberingAfterBreak="0">
    <w:nsid w:val="AFB5C734"/>
    <w:multiLevelType w:val="singleLevel"/>
    <w:tmpl w:val="FFFFFFFF"/>
    <w:lvl w:ilvl="0">
      <w:numFmt w:val="decimal"/>
      <w:lvlText w:val="•"/>
      <w:lvlJc w:val="left"/>
    </w:lvl>
  </w:abstractNum>
  <w:abstractNum w:abstractNumId="12" w15:restartNumberingAfterBreak="0">
    <w:nsid w:val="B0758E36"/>
    <w:multiLevelType w:val="singleLevel"/>
    <w:tmpl w:val="FFFFFFFF"/>
    <w:lvl w:ilvl="0">
      <w:numFmt w:val="decimal"/>
      <w:lvlText w:val="•"/>
      <w:lvlJc w:val="left"/>
    </w:lvl>
  </w:abstractNum>
  <w:abstractNum w:abstractNumId="13" w15:restartNumberingAfterBreak="0">
    <w:nsid w:val="B6600A3A"/>
    <w:multiLevelType w:val="singleLevel"/>
    <w:tmpl w:val="FFFFFFFF"/>
    <w:lvl w:ilvl="0">
      <w:numFmt w:val="decimal"/>
      <w:lvlText w:val="b."/>
      <w:lvlJc w:val="left"/>
    </w:lvl>
  </w:abstractNum>
  <w:abstractNum w:abstractNumId="14" w15:restartNumberingAfterBreak="0">
    <w:nsid w:val="B665808E"/>
    <w:multiLevelType w:val="singleLevel"/>
    <w:tmpl w:val="FFFFFFFF"/>
    <w:lvl w:ilvl="0">
      <w:numFmt w:val="decimal"/>
      <w:lvlText w:val="•"/>
      <w:lvlJc w:val="left"/>
    </w:lvl>
  </w:abstractNum>
  <w:abstractNum w:abstractNumId="15" w15:restartNumberingAfterBreak="0">
    <w:nsid w:val="BB5A3B46"/>
    <w:multiLevelType w:val="singleLevel"/>
    <w:tmpl w:val="FFFFFFFF"/>
    <w:lvl w:ilvl="0">
      <w:numFmt w:val="decimal"/>
      <w:lvlText w:val="•"/>
      <w:lvlJc w:val="left"/>
    </w:lvl>
  </w:abstractNum>
  <w:abstractNum w:abstractNumId="16" w15:restartNumberingAfterBreak="0">
    <w:nsid w:val="BB876AC8"/>
    <w:multiLevelType w:val="singleLevel"/>
    <w:tmpl w:val="FFFFFFFF"/>
    <w:lvl w:ilvl="0">
      <w:numFmt w:val="decimal"/>
      <w:lvlText w:val="d."/>
      <w:lvlJc w:val="left"/>
    </w:lvl>
  </w:abstractNum>
  <w:abstractNum w:abstractNumId="17" w15:restartNumberingAfterBreak="0">
    <w:nsid w:val="BC8BF140"/>
    <w:multiLevelType w:val="singleLevel"/>
    <w:tmpl w:val="FFFFFFFF"/>
    <w:lvl w:ilvl="0">
      <w:numFmt w:val="decimal"/>
      <w:lvlText w:val="•"/>
      <w:lvlJc w:val="left"/>
    </w:lvl>
  </w:abstractNum>
  <w:abstractNum w:abstractNumId="18" w15:restartNumberingAfterBreak="0">
    <w:nsid w:val="BEB4093D"/>
    <w:multiLevelType w:val="singleLevel"/>
    <w:tmpl w:val="FFFFFFFF"/>
    <w:lvl w:ilvl="0">
      <w:numFmt w:val="decimal"/>
      <w:lvlText w:val="•"/>
      <w:lvlJc w:val="left"/>
    </w:lvl>
  </w:abstractNum>
  <w:abstractNum w:abstractNumId="19" w15:restartNumberingAfterBreak="0">
    <w:nsid w:val="C0CB104D"/>
    <w:multiLevelType w:val="singleLevel"/>
    <w:tmpl w:val="FFFFFFFF"/>
    <w:lvl w:ilvl="0">
      <w:numFmt w:val="decimal"/>
      <w:lvlText w:val="i."/>
      <w:lvlJc w:val="left"/>
    </w:lvl>
  </w:abstractNum>
  <w:abstractNum w:abstractNumId="20" w15:restartNumberingAfterBreak="0">
    <w:nsid w:val="C261CB66"/>
    <w:multiLevelType w:val="singleLevel"/>
    <w:tmpl w:val="FFFFFFFF"/>
    <w:lvl w:ilvl="0">
      <w:numFmt w:val="decimal"/>
      <w:lvlText w:val="•"/>
      <w:lvlJc w:val="left"/>
    </w:lvl>
  </w:abstractNum>
  <w:abstractNum w:abstractNumId="21" w15:restartNumberingAfterBreak="0">
    <w:nsid w:val="C69F0BFA"/>
    <w:multiLevelType w:val="singleLevel"/>
    <w:tmpl w:val="FFFFFFFF"/>
    <w:lvl w:ilvl="0">
      <w:numFmt w:val="decimal"/>
      <w:lvlText w:val="•"/>
      <w:lvlJc w:val="left"/>
    </w:lvl>
  </w:abstractNum>
  <w:abstractNum w:abstractNumId="22" w15:restartNumberingAfterBreak="0">
    <w:nsid w:val="C9C9A8E8"/>
    <w:multiLevelType w:val="singleLevel"/>
    <w:tmpl w:val="FFFFFFFF"/>
    <w:lvl w:ilvl="0">
      <w:numFmt w:val="decimal"/>
      <w:lvlText w:val="•"/>
      <w:lvlJc w:val="left"/>
    </w:lvl>
  </w:abstractNum>
  <w:abstractNum w:abstractNumId="23" w15:restartNumberingAfterBreak="0">
    <w:nsid w:val="CA124FA9"/>
    <w:multiLevelType w:val="singleLevel"/>
    <w:tmpl w:val="FFFFFFFF"/>
    <w:lvl w:ilvl="0">
      <w:numFmt w:val="decimal"/>
      <w:lvlText w:val="•"/>
      <w:lvlJc w:val="left"/>
    </w:lvl>
  </w:abstractNum>
  <w:abstractNum w:abstractNumId="24" w15:restartNumberingAfterBreak="0">
    <w:nsid w:val="CA27FD3E"/>
    <w:multiLevelType w:val="singleLevel"/>
    <w:tmpl w:val="FFFFFFFF"/>
    <w:lvl w:ilvl="0">
      <w:numFmt w:val="decimal"/>
      <w:lvlText w:val="•"/>
      <w:lvlJc w:val="left"/>
    </w:lvl>
  </w:abstractNum>
  <w:abstractNum w:abstractNumId="25" w15:restartNumberingAfterBreak="0">
    <w:nsid w:val="CE3E6313"/>
    <w:multiLevelType w:val="singleLevel"/>
    <w:tmpl w:val="FFFFFFFF"/>
    <w:lvl w:ilvl="0">
      <w:numFmt w:val="decimal"/>
      <w:lvlText w:val="•"/>
      <w:lvlJc w:val="left"/>
    </w:lvl>
  </w:abstractNum>
  <w:abstractNum w:abstractNumId="26" w15:restartNumberingAfterBreak="0">
    <w:nsid w:val="CF597505"/>
    <w:multiLevelType w:val="singleLevel"/>
    <w:tmpl w:val="FFFFFFFF"/>
    <w:lvl w:ilvl="0">
      <w:numFmt w:val="decimal"/>
      <w:lvlText w:val="•"/>
      <w:lvlJc w:val="left"/>
    </w:lvl>
  </w:abstractNum>
  <w:abstractNum w:abstractNumId="27" w15:restartNumberingAfterBreak="0">
    <w:nsid w:val="D199B537"/>
    <w:multiLevelType w:val="singleLevel"/>
    <w:tmpl w:val="FFFFFFFF"/>
    <w:lvl w:ilvl="0">
      <w:numFmt w:val="decimal"/>
      <w:lvlText w:val="•"/>
      <w:lvlJc w:val="left"/>
    </w:lvl>
  </w:abstractNum>
  <w:abstractNum w:abstractNumId="28" w15:restartNumberingAfterBreak="0">
    <w:nsid w:val="D2569EFB"/>
    <w:multiLevelType w:val="singleLevel"/>
    <w:tmpl w:val="FFFFFFFF"/>
    <w:lvl w:ilvl="0">
      <w:numFmt w:val="decimal"/>
      <w:lvlText w:val="e."/>
      <w:lvlJc w:val="left"/>
    </w:lvl>
  </w:abstractNum>
  <w:abstractNum w:abstractNumId="29" w15:restartNumberingAfterBreak="0">
    <w:nsid w:val="D2BF5D19"/>
    <w:multiLevelType w:val="singleLevel"/>
    <w:tmpl w:val="FFFFFFFF"/>
    <w:lvl w:ilvl="0">
      <w:numFmt w:val="decimal"/>
      <w:lvlText w:val="•"/>
      <w:lvlJc w:val="left"/>
    </w:lvl>
  </w:abstractNum>
  <w:abstractNum w:abstractNumId="30" w15:restartNumberingAfterBreak="0">
    <w:nsid w:val="D321C190"/>
    <w:multiLevelType w:val="singleLevel"/>
    <w:tmpl w:val="FFFFFFFF"/>
    <w:lvl w:ilvl="0">
      <w:numFmt w:val="decimal"/>
      <w:lvlText w:val="•"/>
      <w:lvlJc w:val="left"/>
    </w:lvl>
  </w:abstractNum>
  <w:abstractNum w:abstractNumId="31" w15:restartNumberingAfterBreak="0">
    <w:nsid w:val="D6CAA0DA"/>
    <w:multiLevelType w:val="singleLevel"/>
    <w:tmpl w:val="FFFFFFFF"/>
    <w:lvl w:ilvl="0">
      <w:numFmt w:val="decimal"/>
      <w:lvlText w:val="a."/>
      <w:lvlJc w:val="left"/>
    </w:lvl>
  </w:abstractNum>
  <w:abstractNum w:abstractNumId="32" w15:restartNumberingAfterBreak="0">
    <w:nsid w:val="D9485885"/>
    <w:multiLevelType w:val="singleLevel"/>
    <w:tmpl w:val="FFFFFFFF"/>
    <w:lvl w:ilvl="0">
      <w:numFmt w:val="decimal"/>
      <w:lvlText w:val="•"/>
      <w:lvlJc w:val="left"/>
    </w:lvl>
  </w:abstractNum>
  <w:abstractNum w:abstractNumId="33" w15:restartNumberingAfterBreak="0">
    <w:nsid w:val="E09DCFDF"/>
    <w:multiLevelType w:val="singleLevel"/>
    <w:tmpl w:val="FFFFFFFF"/>
    <w:lvl w:ilvl="0">
      <w:numFmt w:val="decimal"/>
      <w:lvlText w:val="b."/>
      <w:lvlJc w:val="left"/>
    </w:lvl>
  </w:abstractNum>
  <w:abstractNum w:abstractNumId="34" w15:restartNumberingAfterBreak="0">
    <w:nsid w:val="E3162348"/>
    <w:multiLevelType w:val="singleLevel"/>
    <w:tmpl w:val="FFFFFFFF"/>
    <w:lvl w:ilvl="0">
      <w:numFmt w:val="decimal"/>
      <w:lvlText w:val="•"/>
      <w:lvlJc w:val="left"/>
    </w:lvl>
  </w:abstractNum>
  <w:abstractNum w:abstractNumId="35" w15:restartNumberingAfterBreak="0">
    <w:nsid w:val="E50672A9"/>
    <w:multiLevelType w:val="singleLevel"/>
    <w:tmpl w:val="FFFFFFFF"/>
    <w:lvl w:ilvl="0">
      <w:numFmt w:val="decimal"/>
      <w:lvlText w:val="•"/>
      <w:lvlJc w:val="left"/>
    </w:lvl>
  </w:abstractNum>
  <w:abstractNum w:abstractNumId="36" w15:restartNumberingAfterBreak="0">
    <w:nsid w:val="E53C02AB"/>
    <w:multiLevelType w:val="singleLevel"/>
    <w:tmpl w:val="FFFFFFFF"/>
    <w:lvl w:ilvl="0">
      <w:numFmt w:val="decimal"/>
      <w:lvlText w:val="•"/>
      <w:lvlJc w:val="left"/>
    </w:lvl>
  </w:abstractNum>
  <w:abstractNum w:abstractNumId="37" w15:restartNumberingAfterBreak="0">
    <w:nsid w:val="E7A437D5"/>
    <w:multiLevelType w:val="singleLevel"/>
    <w:tmpl w:val="FFFFFFFF"/>
    <w:lvl w:ilvl="0">
      <w:numFmt w:val="decimal"/>
      <w:lvlText w:val="•"/>
      <w:lvlJc w:val="left"/>
    </w:lvl>
  </w:abstractNum>
  <w:abstractNum w:abstractNumId="38" w15:restartNumberingAfterBreak="0">
    <w:nsid w:val="E875A3AD"/>
    <w:multiLevelType w:val="singleLevel"/>
    <w:tmpl w:val="FFFFFFFF"/>
    <w:lvl w:ilvl="0">
      <w:numFmt w:val="decimal"/>
      <w:lvlText w:val="•"/>
      <w:lvlJc w:val="left"/>
    </w:lvl>
  </w:abstractNum>
  <w:abstractNum w:abstractNumId="39" w15:restartNumberingAfterBreak="0">
    <w:nsid w:val="F234EB3F"/>
    <w:multiLevelType w:val="singleLevel"/>
    <w:tmpl w:val="FFFFFFFF"/>
    <w:lvl w:ilvl="0">
      <w:numFmt w:val="decimal"/>
      <w:lvlText w:val="•"/>
      <w:lvlJc w:val="left"/>
    </w:lvl>
  </w:abstractNum>
  <w:abstractNum w:abstractNumId="40" w15:restartNumberingAfterBreak="0">
    <w:nsid w:val="F389368D"/>
    <w:multiLevelType w:val="singleLevel"/>
    <w:tmpl w:val="FFFFFFFF"/>
    <w:lvl w:ilvl="0">
      <w:numFmt w:val="decimal"/>
      <w:lvlText w:val="•"/>
      <w:lvlJc w:val="left"/>
    </w:lvl>
  </w:abstractNum>
  <w:abstractNum w:abstractNumId="41" w15:restartNumberingAfterBreak="0">
    <w:nsid w:val="F451D4C1"/>
    <w:multiLevelType w:val="singleLevel"/>
    <w:tmpl w:val="FFFFFFFF"/>
    <w:lvl w:ilvl="0">
      <w:numFmt w:val="decimal"/>
      <w:lvlText w:val="•"/>
      <w:lvlJc w:val="left"/>
    </w:lvl>
  </w:abstractNum>
  <w:abstractNum w:abstractNumId="42" w15:restartNumberingAfterBreak="0">
    <w:nsid w:val="027DD15F"/>
    <w:multiLevelType w:val="singleLevel"/>
    <w:tmpl w:val="FFFFFFFF"/>
    <w:lvl w:ilvl="0">
      <w:numFmt w:val="decimal"/>
      <w:lvlText w:val="j."/>
      <w:lvlJc w:val="left"/>
    </w:lvl>
  </w:abstractNum>
  <w:abstractNum w:abstractNumId="43" w15:restartNumberingAfterBreak="0">
    <w:nsid w:val="03EC60DF"/>
    <w:multiLevelType w:val="singleLevel"/>
    <w:tmpl w:val="FFFFFFFF"/>
    <w:lvl w:ilvl="0">
      <w:numFmt w:val="decimal"/>
      <w:lvlText w:val="b."/>
      <w:lvlJc w:val="left"/>
    </w:lvl>
  </w:abstractNum>
  <w:abstractNum w:abstractNumId="44" w15:restartNumberingAfterBreak="0">
    <w:nsid w:val="0621CDA4"/>
    <w:multiLevelType w:val="singleLevel"/>
    <w:tmpl w:val="FFFFFFFF"/>
    <w:lvl w:ilvl="0">
      <w:numFmt w:val="decimal"/>
      <w:lvlText w:val="•"/>
      <w:lvlJc w:val="left"/>
    </w:lvl>
  </w:abstractNum>
  <w:abstractNum w:abstractNumId="45" w15:restartNumberingAfterBreak="0">
    <w:nsid w:val="0BC32DB3"/>
    <w:multiLevelType w:val="singleLevel"/>
    <w:tmpl w:val="FFFFFFFF"/>
    <w:lvl w:ilvl="0">
      <w:numFmt w:val="decimal"/>
      <w:lvlText w:val="•"/>
      <w:lvlJc w:val="left"/>
    </w:lvl>
  </w:abstractNum>
  <w:abstractNum w:abstractNumId="46" w15:restartNumberingAfterBreak="0">
    <w:nsid w:val="0D067297"/>
    <w:multiLevelType w:val="singleLevel"/>
    <w:tmpl w:val="FFFFFFFF"/>
    <w:lvl w:ilvl="0">
      <w:numFmt w:val="decimal"/>
      <w:lvlText w:val="•"/>
      <w:lvlJc w:val="left"/>
    </w:lvl>
  </w:abstractNum>
  <w:abstractNum w:abstractNumId="47" w15:restartNumberingAfterBreak="0">
    <w:nsid w:val="0E1393F7"/>
    <w:multiLevelType w:val="singleLevel"/>
    <w:tmpl w:val="FFFFFFFF"/>
    <w:lvl w:ilvl="0">
      <w:numFmt w:val="decimal"/>
      <w:lvlText w:val="•"/>
      <w:lvlJc w:val="left"/>
    </w:lvl>
  </w:abstractNum>
  <w:abstractNum w:abstractNumId="48" w15:restartNumberingAfterBreak="0">
    <w:nsid w:val="0FED1D46"/>
    <w:multiLevelType w:val="singleLevel"/>
    <w:tmpl w:val="FFFFFFFF"/>
    <w:lvl w:ilvl="0">
      <w:numFmt w:val="decimal"/>
      <w:lvlText w:val="•"/>
      <w:lvlJc w:val="left"/>
    </w:lvl>
  </w:abstractNum>
  <w:abstractNum w:abstractNumId="49" w15:restartNumberingAfterBreak="0">
    <w:nsid w:val="1007AB74"/>
    <w:multiLevelType w:val="singleLevel"/>
    <w:tmpl w:val="FFFFFFFF"/>
    <w:lvl w:ilvl="0">
      <w:numFmt w:val="decimal"/>
      <w:lvlText w:val="•"/>
      <w:lvlJc w:val="left"/>
    </w:lvl>
  </w:abstractNum>
  <w:abstractNum w:abstractNumId="50" w15:restartNumberingAfterBreak="0">
    <w:nsid w:val="140C2701"/>
    <w:multiLevelType w:val="singleLevel"/>
    <w:tmpl w:val="FFFFFFFF"/>
    <w:lvl w:ilvl="0">
      <w:numFmt w:val="decimal"/>
      <w:lvlText w:val="•"/>
      <w:lvlJc w:val="left"/>
    </w:lvl>
  </w:abstractNum>
  <w:abstractNum w:abstractNumId="51" w15:restartNumberingAfterBreak="0">
    <w:nsid w:val="167870B4"/>
    <w:multiLevelType w:val="singleLevel"/>
    <w:tmpl w:val="FFFFFFFF"/>
    <w:lvl w:ilvl="0">
      <w:numFmt w:val="decimal"/>
      <w:lvlText w:val="•"/>
      <w:lvlJc w:val="left"/>
    </w:lvl>
  </w:abstractNum>
  <w:abstractNum w:abstractNumId="52" w15:restartNumberingAfterBreak="0">
    <w:nsid w:val="1870E78C"/>
    <w:multiLevelType w:val="singleLevel"/>
    <w:tmpl w:val="FFFFFFFF"/>
    <w:lvl w:ilvl="0">
      <w:numFmt w:val="decimal"/>
      <w:lvlText w:val="•"/>
      <w:lvlJc w:val="left"/>
    </w:lvl>
  </w:abstractNum>
  <w:abstractNum w:abstractNumId="53" w15:restartNumberingAfterBreak="0">
    <w:nsid w:val="199A69E0"/>
    <w:multiLevelType w:val="singleLevel"/>
    <w:tmpl w:val="FFFFFFFF"/>
    <w:lvl w:ilvl="0">
      <w:numFmt w:val="decimal"/>
      <w:lvlText w:val="•"/>
      <w:lvlJc w:val="left"/>
    </w:lvl>
  </w:abstractNum>
  <w:abstractNum w:abstractNumId="54" w15:restartNumberingAfterBreak="0">
    <w:nsid w:val="19F23025"/>
    <w:multiLevelType w:val="singleLevel"/>
    <w:tmpl w:val="FFFFFFFF"/>
    <w:lvl w:ilvl="0">
      <w:numFmt w:val="decimal"/>
      <w:lvlText w:val="•"/>
      <w:lvlJc w:val="left"/>
    </w:lvl>
  </w:abstractNum>
  <w:abstractNum w:abstractNumId="55" w15:restartNumberingAfterBreak="0">
    <w:nsid w:val="1D86F363"/>
    <w:multiLevelType w:val="singleLevel"/>
    <w:tmpl w:val="FFFFFFFF"/>
    <w:lvl w:ilvl="0">
      <w:numFmt w:val="decimal"/>
      <w:lvlText w:val="•"/>
      <w:lvlJc w:val="left"/>
    </w:lvl>
  </w:abstractNum>
  <w:abstractNum w:abstractNumId="56" w15:restartNumberingAfterBreak="0">
    <w:nsid w:val="1E7E66C9"/>
    <w:multiLevelType w:val="singleLevel"/>
    <w:tmpl w:val="FFFFFFFF"/>
    <w:lvl w:ilvl="0">
      <w:numFmt w:val="decimal"/>
      <w:lvlText w:val="•"/>
      <w:lvlJc w:val="left"/>
    </w:lvl>
  </w:abstractNum>
  <w:abstractNum w:abstractNumId="57" w15:restartNumberingAfterBreak="0">
    <w:nsid w:val="228F31E2"/>
    <w:multiLevelType w:val="singleLevel"/>
    <w:tmpl w:val="FFFFFFFF"/>
    <w:lvl w:ilvl="0">
      <w:numFmt w:val="decimal"/>
      <w:lvlText w:val="•"/>
      <w:lvlJc w:val="left"/>
    </w:lvl>
  </w:abstractNum>
  <w:abstractNum w:abstractNumId="58" w15:restartNumberingAfterBreak="0">
    <w:nsid w:val="25571AF7"/>
    <w:multiLevelType w:val="singleLevel"/>
    <w:tmpl w:val="FFFFFFFF"/>
    <w:lvl w:ilvl="0">
      <w:numFmt w:val="decimal"/>
      <w:lvlText w:val="h."/>
      <w:lvlJc w:val="left"/>
    </w:lvl>
  </w:abstractNum>
  <w:abstractNum w:abstractNumId="59" w15:restartNumberingAfterBreak="0">
    <w:nsid w:val="27CA6FD8"/>
    <w:multiLevelType w:val="singleLevel"/>
    <w:tmpl w:val="FFFFFFFF"/>
    <w:lvl w:ilvl="0">
      <w:numFmt w:val="decimal"/>
      <w:lvlText w:val="g."/>
      <w:lvlJc w:val="left"/>
    </w:lvl>
  </w:abstractNum>
  <w:abstractNum w:abstractNumId="60" w15:restartNumberingAfterBreak="0">
    <w:nsid w:val="2AD6AA11"/>
    <w:multiLevelType w:val="singleLevel"/>
    <w:tmpl w:val="FFFFFFFF"/>
    <w:lvl w:ilvl="0">
      <w:numFmt w:val="decimal"/>
      <w:lvlText w:val="•"/>
      <w:lvlJc w:val="left"/>
    </w:lvl>
  </w:abstractNum>
  <w:abstractNum w:abstractNumId="61" w15:restartNumberingAfterBreak="0">
    <w:nsid w:val="2AE60261"/>
    <w:multiLevelType w:val="singleLevel"/>
    <w:tmpl w:val="FFFFFFFF"/>
    <w:lvl w:ilvl="0">
      <w:numFmt w:val="decimal"/>
      <w:lvlText w:val="a."/>
      <w:lvlJc w:val="left"/>
    </w:lvl>
  </w:abstractNum>
  <w:abstractNum w:abstractNumId="62" w15:restartNumberingAfterBreak="0">
    <w:nsid w:val="2C516D18"/>
    <w:multiLevelType w:val="singleLevel"/>
    <w:tmpl w:val="FFFFFFFF"/>
    <w:lvl w:ilvl="0">
      <w:numFmt w:val="decimal"/>
      <w:lvlText w:val="•"/>
      <w:lvlJc w:val="left"/>
    </w:lvl>
  </w:abstractNum>
  <w:abstractNum w:abstractNumId="63" w15:restartNumberingAfterBreak="0">
    <w:nsid w:val="2D32CEB8"/>
    <w:multiLevelType w:val="singleLevel"/>
    <w:tmpl w:val="FFFFFFFF"/>
    <w:lvl w:ilvl="0">
      <w:numFmt w:val="decimal"/>
      <w:lvlText w:val="•"/>
      <w:lvlJc w:val="left"/>
    </w:lvl>
  </w:abstractNum>
  <w:abstractNum w:abstractNumId="64" w15:restartNumberingAfterBreak="0">
    <w:nsid w:val="2EB81070"/>
    <w:multiLevelType w:val="singleLevel"/>
    <w:tmpl w:val="FFFFFFFF"/>
    <w:lvl w:ilvl="0">
      <w:numFmt w:val="decimal"/>
      <w:lvlText w:val="•"/>
      <w:lvlJc w:val="left"/>
    </w:lvl>
  </w:abstractNum>
  <w:abstractNum w:abstractNumId="65" w15:restartNumberingAfterBreak="0">
    <w:nsid w:val="338D5138"/>
    <w:multiLevelType w:val="singleLevel"/>
    <w:tmpl w:val="FFFFFFFF"/>
    <w:lvl w:ilvl="0">
      <w:numFmt w:val="decimal"/>
      <w:lvlText w:val="•"/>
      <w:lvlJc w:val="left"/>
    </w:lvl>
  </w:abstractNum>
  <w:abstractNum w:abstractNumId="66" w15:restartNumberingAfterBreak="0">
    <w:nsid w:val="367BDABF"/>
    <w:multiLevelType w:val="singleLevel"/>
    <w:tmpl w:val="FFFFFFFF"/>
    <w:lvl w:ilvl="0">
      <w:numFmt w:val="decimal"/>
      <w:lvlText w:val="•"/>
      <w:lvlJc w:val="left"/>
    </w:lvl>
  </w:abstractNum>
  <w:abstractNum w:abstractNumId="67" w15:restartNumberingAfterBreak="0">
    <w:nsid w:val="3944778F"/>
    <w:multiLevelType w:val="singleLevel"/>
    <w:tmpl w:val="FFFFFFFF"/>
    <w:lvl w:ilvl="0">
      <w:numFmt w:val="decimal"/>
      <w:lvlText w:val="a."/>
      <w:lvlJc w:val="left"/>
    </w:lvl>
  </w:abstractNum>
  <w:abstractNum w:abstractNumId="68" w15:restartNumberingAfterBreak="0">
    <w:nsid w:val="3A06F567"/>
    <w:multiLevelType w:val="singleLevel"/>
    <w:tmpl w:val="FFFFFFFF"/>
    <w:lvl w:ilvl="0">
      <w:numFmt w:val="decimal"/>
      <w:lvlText w:val="•"/>
      <w:lvlJc w:val="left"/>
    </w:lvl>
  </w:abstractNum>
  <w:abstractNum w:abstractNumId="69" w15:restartNumberingAfterBreak="0">
    <w:nsid w:val="3AA69622"/>
    <w:multiLevelType w:val="singleLevel"/>
    <w:tmpl w:val="FFFFFFFF"/>
    <w:lvl w:ilvl="0">
      <w:numFmt w:val="decimal"/>
      <w:lvlText w:val="•"/>
      <w:lvlJc w:val="left"/>
    </w:lvl>
  </w:abstractNum>
  <w:abstractNum w:abstractNumId="70" w15:restartNumberingAfterBreak="0">
    <w:nsid w:val="490A0312"/>
    <w:multiLevelType w:val="singleLevel"/>
    <w:tmpl w:val="FFFFFFFF"/>
    <w:lvl w:ilvl="0">
      <w:numFmt w:val="decimal"/>
      <w:lvlText w:val="•"/>
      <w:lvlJc w:val="left"/>
    </w:lvl>
  </w:abstractNum>
  <w:abstractNum w:abstractNumId="71" w15:restartNumberingAfterBreak="0">
    <w:nsid w:val="4B218F5F"/>
    <w:multiLevelType w:val="singleLevel"/>
    <w:tmpl w:val="FFFFFFFF"/>
    <w:lvl w:ilvl="0">
      <w:numFmt w:val="decimal"/>
      <w:lvlText w:val="a."/>
      <w:lvlJc w:val="left"/>
    </w:lvl>
  </w:abstractNum>
  <w:abstractNum w:abstractNumId="72" w15:restartNumberingAfterBreak="0">
    <w:nsid w:val="4F4F4E00"/>
    <w:multiLevelType w:val="singleLevel"/>
    <w:tmpl w:val="FFFFFFFF"/>
    <w:lvl w:ilvl="0">
      <w:numFmt w:val="decimal"/>
      <w:lvlText w:val="•"/>
      <w:lvlJc w:val="left"/>
    </w:lvl>
  </w:abstractNum>
  <w:abstractNum w:abstractNumId="73" w15:restartNumberingAfterBreak="0">
    <w:nsid w:val="50BF3DA1"/>
    <w:multiLevelType w:val="singleLevel"/>
    <w:tmpl w:val="FFFFFFFF"/>
    <w:lvl w:ilvl="0">
      <w:numFmt w:val="decimal"/>
      <w:lvlText w:val="•"/>
      <w:lvlJc w:val="left"/>
    </w:lvl>
  </w:abstractNum>
  <w:abstractNum w:abstractNumId="74" w15:restartNumberingAfterBreak="0">
    <w:nsid w:val="5284E23F"/>
    <w:multiLevelType w:val="singleLevel"/>
    <w:tmpl w:val="FFFFFFFF"/>
    <w:lvl w:ilvl="0">
      <w:numFmt w:val="decimal"/>
      <w:lvlText w:val="•"/>
      <w:lvlJc w:val="left"/>
    </w:lvl>
  </w:abstractNum>
  <w:abstractNum w:abstractNumId="75" w15:restartNumberingAfterBreak="0">
    <w:nsid w:val="5536A993"/>
    <w:multiLevelType w:val="singleLevel"/>
    <w:tmpl w:val="FFFFFFFF"/>
    <w:lvl w:ilvl="0">
      <w:numFmt w:val="decimal"/>
      <w:lvlText w:val="•"/>
      <w:lvlJc w:val="left"/>
    </w:lvl>
  </w:abstractNum>
  <w:abstractNum w:abstractNumId="76" w15:restartNumberingAfterBreak="0">
    <w:nsid w:val="57A1EBFB"/>
    <w:multiLevelType w:val="singleLevel"/>
    <w:tmpl w:val="FFFFFFFF"/>
    <w:lvl w:ilvl="0">
      <w:numFmt w:val="decimal"/>
      <w:lvlText w:val="•"/>
      <w:lvlJc w:val="left"/>
    </w:lvl>
  </w:abstractNum>
  <w:abstractNum w:abstractNumId="77" w15:restartNumberingAfterBreak="0">
    <w:nsid w:val="58EC8BED"/>
    <w:multiLevelType w:val="singleLevel"/>
    <w:tmpl w:val="FFFFFFFF"/>
    <w:lvl w:ilvl="0">
      <w:numFmt w:val="decimal"/>
      <w:lvlText w:val="•"/>
      <w:lvlJc w:val="left"/>
    </w:lvl>
  </w:abstractNum>
  <w:abstractNum w:abstractNumId="78" w15:restartNumberingAfterBreak="0">
    <w:nsid w:val="5AC05008"/>
    <w:multiLevelType w:val="singleLevel"/>
    <w:tmpl w:val="FFFFFFFF"/>
    <w:lvl w:ilvl="0">
      <w:numFmt w:val="decimal"/>
      <w:lvlText w:val="b."/>
      <w:lvlJc w:val="left"/>
    </w:lvl>
  </w:abstractNum>
  <w:abstractNum w:abstractNumId="79" w15:restartNumberingAfterBreak="0">
    <w:nsid w:val="5E3978A3"/>
    <w:multiLevelType w:val="singleLevel"/>
    <w:tmpl w:val="FFFFFFFF"/>
    <w:lvl w:ilvl="0">
      <w:numFmt w:val="decimal"/>
      <w:lvlText w:val="•"/>
      <w:lvlJc w:val="left"/>
    </w:lvl>
  </w:abstractNum>
  <w:abstractNum w:abstractNumId="80" w15:restartNumberingAfterBreak="0">
    <w:nsid w:val="62BD7735"/>
    <w:multiLevelType w:val="singleLevel"/>
    <w:tmpl w:val="FFFFFFFF"/>
    <w:lvl w:ilvl="0">
      <w:numFmt w:val="decimal"/>
      <w:lvlText w:val="a."/>
      <w:lvlJc w:val="left"/>
    </w:lvl>
  </w:abstractNum>
  <w:abstractNum w:abstractNumId="81" w15:restartNumberingAfterBreak="0">
    <w:nsid w:val="679BEA59"/>
    <w:multiLevelType w:val="singleLevel"/>
    <w:tmpl w:val="FFFFFFFF"/>
    <w:lvl w:ilvl="0">
      <w:numFmt w:val="decimal"/>
      <w:lvlText w:val="•"/>
      <w:lvlJc w:val="left"/>
    </w:lvl>
  </w:abstractNum>
  <w:abstractNum w:abstractNumId="82" w15:restartNumberingAfterBreak="0">
    <w:nsid w:val="698A50A5"/>
    <w:multiLevelType w:val="singleLevel"/>
    <w:tmpl w:val="FFFFFFFF"/>
    <w:lvl w:ilvl="0">
      <w:numFmt w:val="decimal"/>
      <w:lvlText w:val="•"/>
      <w:lvlJc w:val="left"/>
    </w:lvl>
  </w:abstractNum>
  <w:abstractNum w:abstractNumId="83" w15:restartNumberingAfterBreak="0">
    <w:nsid w:val="6A4E8A70"/>
    <w:multiLevelType w:val="singleLevel"/>
    <w:tmpl w:val="FFFFFFFF"/>
    <w:lvl w:ilvl="0">
      <w:numFmt w:val="decimal"/>
      <w:lvlText w:val="•"/>
      <w:lvlJc w:val="left"/>
    </w:lvl>
  </w:abstractNum>
  <w:abstractNum w:abstractNumId="84" w15:restartNumberingAfterBreak="0">
    <w:nsid w:val="6D259C7D"/>
    <w:multiLevelType w:val="singleLevel"/>
    <w:tmpl w:val="FFFFFFFF"/>
    <w:lvl w:ilvl="0">
      <w:numFmt w:val="decimal"/>
      <w:lvlText w:val="•"/>
      <w:lvlJc w:val="left"/>
    </w:lvl>
  </w:abstractNum>
  <w:abstractNum w:abstractNumId="85" w15:restartNumberingAfterBreak="0">
    <w:nsid w:val="6DED3EB0"/>
    <w:multiLevelType w:val="singleLevel"/>
    <w:tmpl w:val="FFFFFFFF"/>
    <w:lvl w:ilvl="0">
      <w:numFmt w:val="decimal"/>
      <w:lvlText w:val="•"/>
      <w:lvlJc w:val="left"/>
    </w:lvl>
  </w:abstractNum>
  <w:abstractNum w:abstractNumId="86" w15:restartNumberingAfterBreak="0">
    <w:nsid w:val="6EDE1282"/>
    <w:multiLevelType w:val="singleLevel"/>
    <w:tmpl w:val="FFFFFFFF"/>
    <w:lvl w:ilvl="0">
      <w:numFmt w:val="decimal"/>
      <w:lvlText w:val="•"/>
      <w:lvlJc w:val="left"/>
    </w:lvl>
  </w:abstractNum>
  <w:abstractNum w:abstractNumId="87" w15:restartNumberingAfterBreak="0">
    <w:nsid w:val="75233AB2"/>
    <w:multiLevelType w:val="singleLevel"/>
    <w:tmpl w:val="FFFFFFFF"/>
    <w:lvl w:ilvl="0">
      <w:numFmt w:val="decimal"/>
      <w:lvlText w:val="•"/>
      <w:lvlJc w:val="left"/>
    </w:lvl>
  </w:abstractNum>
  <w:abstractNum w:abstractNumId="88" w15:restartNumberingAfterBreak="0">
    <w:nsid w:val="77E8272D"/>
    <w:multiLevelType w:val="singleLevel"/>
    <w:tmpl w:val="FFFFFFFF"/>
    <w:lvl w:ilvl="0">
      <w:numFmt w:val="decimal"/>
      <w:lvlText w:val="•"/>
      <w:lvlJc w:val="left"/>
    </w:lvl>
  </w:abstractNum>
  <w:abstractNum w:abstractNumId="89" w15:restartNumberingAfterBreak="0">
    <w:nsid w:val="7C9456FA"/>
    <w:multiLevelType w:val="singleLevel"/>
    <w:tmpl w:val="FFFFFFFF"/>
    <w:lvl w:ilvl="0">
      <w:numFmt w:val="decimal"/>
      <w:lvlText w:val="b."/>
      <w:lvlJc w:val="left"/>
    </w:lvl>
  </w:abstractNum>
  <w:num w:numId="1" w16cid:durableId="130636233">
    <w:abstractNumId w:val="12"/>
  </w:num>
  <w:num w:numId="2" w16cid:durableId="947129284">
    <w:abstractNumId w:val="46"/>
  </w:num>
  <w:num w:numId="3" w16cid:durableId="345717500">
    <w:abstractNumId w:val="14"/>
  </w:num>
  <w:num w:numId="4" w16cid:durableId="501504928">
    <w:abstractNumId w:val="88"/>
  </w:num>
  <w:num w:numId="5" w16cid:durableId="1490902824">
    <w:abstractNumId w:val="38"/>
  </w:num>
  <w:num w:numId="6" w16cid:durableId="1333142575">
    <w:abstractNumId w:val="27"/>
  </w:num>
  <w:num w:numId="7" w16cid:durableId="1301575631">
    <w:abstractNumId w:val="23"/>
  </w:num>
  <w:num w:numId="8" w16cid:durableId="173038883">
    <w:abstractNumId w:val="84"/>
  </w:num>
  <w:num w:numId="9" w16cid:durableId="1545830295">
    <w:abstractNumId w:val="65"/>
  </w:num>
  <w:num w:numId="10" w16cid:durableId="534343094">
    <w:abstractNumId w:val="26"/>
  </w:num>
  <w:num w:numId="11" w16cid:durableId="918363175">
    <w:abstractNumId w:val="49"/>
  </w:num>
  <w:num w:numId="12" w16cid:durableId="1305817432">
    <w:abstractNumId w:val="64"/>
  </w:num>
  <w:num w:numId="13" w16cid:durableId="1168788925">
    <w:abstractNumId w:val="57"/>
  </w:num>
  <w:num w:numId="14" w16cid:durableId="499857038">
    <w:abstractNumId w:val="44"/>
  </w:num>
  <w:num w:numId="15" w16cid:durableId="804856146">
    <w:abstractNumId w:val="85"/>
  </w:num>
  <w:num w:numId="16" w16cid:durableId="15470974">
    <w:abstractNumId w:val="36"/>
  </w:num>
  <w:num w:numId="17" w16cid:durableId="1268930411">
    <w:abstractNumId w:val="18"/>
  </w:num>
  <w:num w:numId="18" w16cid:durableId="2079203880">
    <w:abstractNumId w:val="31"/>
  </w:num>
  <w:num w:numId="19" w16cid:durableId="492721694">
    <w:abstractNumId w:val="43"/>
  </w:num>
  <w:num w:numId="20" w16cid:durableId="58404302">
    <w:abstractNumId w:val="80"/>
  </w:num>
  <w:num w:numId="21" w16cid:durableId="2055276032">
    <w:abstractNumId w:val="33"/>
  </w:num>
  <w:num w:numId="22" w16cid:durableId="1711490512">
    <w:abstractNumId w:val="0"/>
  </w:num>
  <w:num w:numId="23" w16cid:durableId="100297687">
    <w:abstractNumId w:val="16"/>
  </w:num>
  <w:num w:numId="24" w16cid:durableId="1562788523">
    <w:abstractNumId w:val="28"/>
  </w:num>
  <w:num w:numId="25" w16cid:durableId="1402026786">
    <w:abstractNumId w:val="8"/>
  </w:num>
  <w:num w:numId="26" w16cid:durableId="1517039547">
    <w:abstractNumId w:val="59"/>
  </w:num>
  <w:num w:numId="27" w16cid:durableId="1627858656">
    <w:abstractNumId w:val="58"/>
  </w:num>
  <w:num w:numId="28" w16cid:durableId="101998911">
    <w:abstractNumId w:val="19"/>
  </w:num>
  <w:num w:numId="29" w16cid:durableId="184484014">
    <w:abstractNumId w:val="42"/>
  </w:num>
  <w:num w:numId="30" w16cid:durableId="999118243">
    <w:abstractNumId w:val="61"/>
  </w:num>
  <w:num w:numId="31" w16cid:durableId="420297049">
    <w:abstractNumId w:val="13"/>
  </w:num>
  <w:num w:numId="32" w16cid:durableId="963462761">
    <w:abstractNumId w:val="71"/>
  </w:num>
  <w:num w:numId="33" w16cid:durableId="1586719709">
    <w:abstractNumId w:val="89"/>
  </w:num>
  <w:num w:numId="34" w16cid:durableId="1520318498">
    <w:abstractNumId w:val="72"/>
  </w:num>
  <w:num w:numId="35" w16cid:durableId="1091851343">
    <w:abstractNumId w:val="54"/>
  </w:num>
  <w:num w:numId="36" w16cid:durableId="331179280">
    <w:abstractNumId w:val="56"/>
  </w:num>
  <w:num w:numId="37" w16cid:durableId="1825078673">
    <w:abstractNumId w:val="81"/>
  </w:num>
  <w:num w:numId="38" w16cid:durableId="1848518493">
    <w:abstractNumId w:val="87"/>
  </w:num>
  <w:num w:numId="39" w16cid:durableId="1218782811">
    <w:abstractNumId w:val="67"/>
  </w:num>
  <w:num w:numId="40" w16cid:durableId="579221098">
    <w:abstractNumId w:val="78"/>
  </w:num>
  <w:num w:numId="41" w16cid:durableId="1164663074">
    <w:abstractNumId w:val="79"/>
  </w:num>
  <w:num w:numId="42" w16cid:durableId="924654353">
    <w:abstractNumId w:val="75"/>
  </w:num>
  <w:num w:numId="43" w16cid:durableId="421413501">
    <w:abstractNumId w:val="25"/>
  </w:num>
  <w:num w:numId="44" w16cid:durableId="1764063608">
    <w:abstractNumId w:val="76"/>
  </w:num>
  <w:num w:numId="45" w16cid:durableId="986789043">
    <w:abstractNumId w:val="5"/>
  </w:num>
  <w:num w:numId="46" w16cid:durableId="2069841285">
    <w:abstractNumId w:val="68"/>
  </w:num>
  <w:num w:numId="47" w16cid:durableId="1348949636">
    <w:abstractNumId w:val="30"/>
  </w:num>
  <w:num w:numId="48" w16cid:durableId="1176654830">
    <w:abstractNumId w:val="20"/>
  </w:num>
  <w:num w:numId="49" w16cid:durableId="480079283">
    <w:abstractNumId w:val="11"/>
  </w:num>
  <w:num w:numId="50" w16cid:durableId="1106004470">
    <w:abstractNumId w:val="70"/>
  </w:num>
  <w:num w:numId="51" w16cid:durableId="518006054">
    <w:abstractNumId w:val="35"/>
  </w:num>
  <w:num w:numId="52" w16cid:durableId="1517572344">
    <w:abstractNumId w:val="3"/>
  </w:num>
  <w:num w:numId="53" w16cid:durableId="2043938355">
    <w:abstractNumId w:val="10"/>
  </w:num>
  <w:num w:numId="54" w16cid:durableId="1970474767">
    <w:abstractNumId w:val="6"/>
  </w:num>
  <w:num w:numId="55" w16cid:durableId="1620330188">
    <w:abstractNumId w:val="15"/>
  </w:num>
  <w:num w:numId="56" w16cid:durableId="1422726672">
    <w:abstractNumId w:val="2"/>
  </w:num>
  <w:num w:numId="57" w16cid:durableId="471482160">
    <w:abstractNumId w:val="48"/>
  </w:num>
  <w:num w:numId="58" w16cid:durableId="1566985012">
    <w:abstractNumId w:val="24"/>
  </w:num>
  <w:num w:numId="59" w16cid:durableId="1189758659">
    <w:abstractNumId w:val="60"/>
  </w:num>
  <w:num w:numId="60" w16cid:durableId="1504660291">
    <w:abstractNumId w:val="50"/>
  </w:num>
  <w:num w:numId="61" w16cid:durableId="59400639">
    <w:abstractNumId w:val="73"/>
  </w:num>
  <w:num w:numId="62" w16cid:durableId="471484151">
    <w:abstractNumId w:val="66"/>
  </w:num>
  <w:num w:numId="63" w16cid:durableId="1166818694">
    <w:abstractNumId w:val="21"/>
  </w:num>
  <w:num w:numId="64" w16cid:durableId="262349025">
    <w:abstractNumId w:val="34"/>
  </w:num>
  <w:num w:numId="65" w16cid:durableId="473641527">
    <w:abstractNumId w:val="45"/>
  </w:num>
  <w:num w:numId="66" w16cid:durableId="785003480">
    <w:abstractNumId w:val="62"/>
  </w:num>
  <w:num w:numId="67" w16cid:durableId="613711179">
    <w:abstractNumId w:val="51"/>
  </w:num>
  <w:num w:numId="68" w16cid:durableId="2053578584">
    <w:abstractNumId w:val="63"/>
  </w:num>
  <w:num w:numId="69" w16cid:durableId="897282797">
    <w:abstractNumId w:val="17"/>
  </w:num>
  <w:num w:numId="70" w16cid:durableId="1150898592">
    <w:abstractNumId w:val="55"/>
  </w:num>
  <w:num w:numId="71" w16cid:durableId="838275265">
    <w:abstractNumId w:val="1"/>
  </w:num>
  <w:num w:numId="72" w16cid:durableId="1943491770">
    <w:abstractNumId w:val="77"/>
  </w:num>
  <w:num w:numId="73" w16cid:durableId="505218212">
    <w:abstractNumId w:val="7"/>
  </w:num>
  <w:num w:numId="74" w16cid:durableId="1032418886">
    <w:abstractNumId w:val="53"/>
  </w:num>
  <w:num w:numId="75" w16cid:durableId="996762550">
    <w:abstractNumId w:val="9"/>
  </w:num>
  <w:num w:numId="76" w16cid:durableId="2040202094">
    <w:abstractNumId w:val="22"/>
  </w:num>
  <w:num w:numId="77" w16cid:durableId="868614225">
    <w:abstractNumId w:val="47"/>
  </w:num>
  <w:num w:numId="78" w16cid:durableId="1534073203">
    <w:abstractNumId w:val="83"/>
  </w:num>
  <w:num w:numId="79" w16cid:durableId="2029091437">
    <w:abstractNumId w:val="41"/>
  </w:num>
  <w:num w:numId="80" w16cid:durableId="1964266587">
    <w:abstractNumId w:val="52"/>
  </w:num>
  <w:num w:numId="81" w16cid:durableId="1718772894">
    <w:abstractNumId w:val="74"/>
  </w:num>
  <w:num w:numId="82" w16cid:durableId="1241715288">
    <w:abstractNumId w:val="29"/>
  </w:num>
  <w:num w:numId="83" w16cid:durableId="1628852066">
    <w:abstractNumId w:val="40"/>
  </w:num>
  <w:num w:numId="84" w16cid:durableId="644967088">
    <w:abstractNumId w:val="69"/>
  </w:num>
  <w:num w:numId="85" w16cid:durableId="1032877805">
    <w:abstractNumId w:val="39"/>
  </w:num>
  <w:num w:numId="86" w16cid:durableId="794644317">
    <w:abstractNumId w:val="32"/>
  </w:num>
  <w:num w:numId="87" w16cid:durableId="1658486538">
    <w:abstractNumId w:val="82"/>
  </w:num>
  <w:num w:numId="88" w16cid:durableId="1723942112">
    <w:abstractNumId w:val="37"/>
  </w:num>
  <w:num w:numId="89" w16cid:durableId="420836023">
    <w:abstractNumId w:val="4"/>
  </w:num>
  <w:num w:numId="90" w16cid:durableId="462164223">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0446"/>
    <w:rsid w:val="002A4A0B"/>
    <w:rsid w:val="004A21DA"/>
    <w:rsid w:val="004F0446"/>
    <w:rsid w:val="00A676E1"/>
    <w:rsid w:val="00B0755C"/>
    <w:rsid w:val="00C00672"/>
    <w:rsid w:val="00CE6A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71E366"/>
  <w14:defaultImageDpi w14:val="0"/>
  <w15:docId w15:val="{3CA8F4BA-CB52-4BDA-BD83-CE3E4683A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k.practicallaw.thomsonreuters.com/8-200-3413?originationContext=document&amp;vr=3.0&amp;rs=PLUK1.0&amp;transitionType=DocumentItem&amp;contextData=(sc.Default)" TargetMode="External"/><Relationship Id="rId21" Type="http://schemas.openxmlformats.org/officeDocument/2006/relationships/hyperlink" Target="https://www.ncsc.gov.uk/guidance/nis-guidance-collection" TargetMode="External"/><Relationship Id="rId42" Type="http://schemas.openxmlformats.org/officeDocument/2006/relationships/hyperlink" Target="https://uk.practicallaw.thomsonreuters.com/w-014-0890?originationContext=document&amp;transitionType=DocumentItem&amp;contextData=(sc.Default)" TargetMode="External"/><Relationship Id="rId47" Type="http://schemas.openxmlformats.org/officeDocument/2006/relationships/hyperlink" Target="https://uk.practicallaw.thomsonreuters.com/1-107-4810?originationContext=document&amp;vr=3.0&amp;rs=PLUK1.0&amp;transitionType=DocumentItem&amp;contextData=(sc.Default)" TargetMode="External"/><Relationship Id="rId63" Type="http://schemas.openxmlformats.org/officeDocument/2006/relationships/hyperlink" Target="https://uk.practicallaw.thomsonreuters.com/9-507-2935?originationContext=document&amp;vr=3.0&amp;rs=PLUK1.0&amp;transitionType=PLDocumentLink&amp;contextData=(sc.Default)" TargetMode="External"/><Relationship Id="rId68" Type="http://schemas.openxmlformats.org/officeDocument/2006/relationships/hyperlink" Target="https://uk.practicallaw.thomsonreuters.com/D-016-1528?originationContext=document&amp;vr=3.0&amp;rs=PLUK1.0&amp;transitionType=PLDocumentLink&amp;contextData=(sc.Default)" TargetMode="External"/><Relationship Id="rId84" Type="http://schemas.openxmlformats.org/officeDocument/2006/relationships/hyperlink" Target="https://uk.practicallaw.thomsonreuters.com/5-107-3823?originationContext=document&amp;vr=3.0&amp;rs=PLUK1.0&amp;transitionType=DocumentItem&amp;contextData=(sc.Default)" TargetMode="External"/><Relationship Id="rId89" Type="http://schemas.openxmlformats.org/officeDocument/2006/relationships/hyperlink" Target="https://uk.practicallaw.thomsonreuters.com/3-107-3843?originationContext=document&amp;vr=3.0&amp;rs=PLUK1.0&amp;transitionType=DocumentItem&amp;contextData=(sc.Default)" TargetMode="External"/><Relationship Id="rId112" Type="http://schemas.openxmlformats.org/officeDocument/2006/relationships/theme" Target="theme/theme1.xml"/><Relationship Id="rId16" Type="http://schemas.openxmlformats.org/officeDocument/2006/relationships/hyperlink" Target="https://uk.practicallaw.thomsonreuters.com/w-014-4419?originationContext=document&amp;vr=3.0&amp;rs=PLUK1.0&amp;transitionType=PLDocumentLink&amp;contextData=(sc.Default)" TargetMode="External"/><Relationship Id="rId107" Type="http://schemas.openxmlformats.org/officeDocument/2006/relationships/hyperlink" Target="https://uk.practicallaw.thomsonreuters.com/w-014-1583?originationContext=document&amp;vr=3.0&amp;rs=PLUK1.0&amp;transitionType=DocumentItem&amp;contextData=(sc.Default)" TargetMode="External"/><Relationship Id="rId11" Type="http://schemas.openxmlformats.org/officeDocument/2006/relationships/hyperlink" Target="https://uk.practicallaw.thomsonreuters.com/5-616-1485?originationContext=document&amp;vr=3.0&amp;rs=PLUK1.0&amp;transitionType=DocumentItem&amp;contextData=(sc.Default)" TargetMode="External"/><Relationship Id="rId32" Type="http://schemas.openxmlformats.org/officeDocument/2006/relationships/hyperlink" Target="https://uk.practicallaw.thomsonreuters.com/8-618-8657?originationContext=document&amp;vr=3.0&amp;rs=PLUK1.0&amp;transitionType=DocumentItem&amp;contextData=(sc.Default)" TargetMode="External"/><Relationship Id="rId37" Type="http://schemas.openxmlformats.org/officeDocument/2006/relationships/hyperlink" Target="https://uk.practicallaw.thomsonreuters.com/w-013-0603?originationContext=document&amp;vr=3.0&amp;rs=PLUK1.0&amp;transitionType=DocumentItem&amp;contextData=(sc.Default)" TargetMode="External"/><Relationship Id="rId53" Type="http://schemas.openxmlformats.org/officeDocument/2006/relationships/hyperlink" Target="https://uk.practicallaw.thomsonreuters.com/3-107-4814?originationContext=document&amp;vr=3.0&amp;rs=PLUK1.0&amp;transitionType=DocumentItem&amp;contextData=(sc.Default)" TargetMode="External"/><Relationship Id="rId58" Type="http://schemas.openxmlformats.org/officeDocument/2006/relationships/hyperlink" Target="https://uk.practicallaw.thomsonreuters.com/w-006-5549?originationContext=document&amp;transitionType=DocumentItem&amp;contextData=(sc.Default)" TargetMode="External"/><Relationship Id="rId74" Type="http://schemas.openxmlformats.org/officeDocument/2006/relationships/hyperlink" Target="https://uk.practicallaw.thomsonreuters.com/6-618-9498?originationContext=document&amp;vr=3.0&amp;rs=PLUK1.0&amp;transitionType=DocumentItem&amp;contextData=(sc.Default)" TargetMode="External"/><Relationship Id="rId79" Type="http://schemas.openxmlformats.org/officeDocument/2006/relationships/hyperlink" Target="https://uk.practicallaw.thomsonreuters.com/w-025-9457?originationContext=document&amp;transitionType=DocumentItem&amp;contextData=(sc.Default)" TargetMode="External"/><Relationship Id="rId102" Type="http://schemas.openxmlformats.org/officeDocument/2006/relationships/hyperlink" Target="https://uk.practicallaw.thomsonreuters.com/8-107-3850?originationContext=document&amp;vr=3.0&amp;rs=PLUK1.0&amp;transitionType=DocumentItem&amp;contextData=(sc.Default)" TargetMode="External"/><Relationship Id="rId5" Type="http://schemas.openxmlformats.org/officeDocument/2006/relationships/footnotes" Target="footnotes.xml"/><Relationship Id="rId90" Type="http://schemas.openxmlformats.org/officeDocument/2006/relationships/hyperlink" Target="https://uk.practicallaw.thomsonreuters.com/2-107-3834?originationContext=document&amp;vr=3.0&amp;rs=PLUK1.0&amp;transitionType=DocumentItem&amp;contextData=(sc.Default)" TargetMode="External"/><Relationship Id="rId95" Type="http://schemas.openxmlformats.org/officeDocument/2006/relationships/hyperlink" Target="https://uk.practicallaw.thomsonreuters.com/w-014-1583?originationContext=document&amp;vr=3.0&amp;rs=PLUK1.0&amp;transitionType=DocumentItem&amp;contextData=(sc.Default)" TargetMode="External"/><Relationship Id="rId22" Type="http://schemas.openxmlformats.org/officeDocument/2006/relationships/hyperlink" Target="https://uk.practicallaw.thomsonreuters.com/2-616-1566?originationContext=document&amp;vr=3.0&amp;rs=PLUK1.0&amp;transitionType=DocumentItem&amp;contextData=(sc.Default)" TargetMode="External"/><Relationship Id="rId27" Type="http://schemas.openxmlformats.org/officeDocument/2006/relationships/hyperlink" Target="https://uk.practicallaw.thomsonreuters.com/w-027-4499?originationContext=document&amp;vr=3.0&amp;rs=PLUK1.0&amp;transitionType=DocumentItem&amp;contextData=(sc.Default)" TargetMode="External"/><Relationship Id="rId43" Type="http://schemas.openxmlformats.org/officeDocument/2006/relationships/hyperlink" Target="https://uk.practicallaw.thomsonreuters.com/w-005-3555?originationContext=document&amp;transitionType=DocumentItem&amp;contextData=(sc.Default)" TargetMode="External"/><Relationship Id="rId48" Type="http://schemas.openxmlformats.org/officeDocument/2006/relationships/hyperlink" Target="https://uk.practicallaw.thomsonreuters.com/9-582-2885?originationContext=document&amp;vr=3.0&amp;rs=PLUK1.0&amp;transitionType=DocumentItem&amp;contextData=(sc.Default)" TargetMode="External"/><Relationship Id="rId64" Type="http://schemas.openxmlformats.org/officeDocument/2006/relationships/hyperlink" Target="https://uk.practicallaw.thomsonreuters.com/8-507-2870?originationContext=document&amp;vr=3.0&amp;rs=PLUK1.0&amp;transitionType=PLDocumentLink&amp;contextData=(sc.Default)" TargetMode="External"/><Relationship Id="rId69" Type="http://schemas.openxmlformats.org/officeDocument/2006/relationships/hyperlink" Target="https://uk.practicallaw.thomsonreuters.com/w-027-2423?originationContext=document&amp;vr=3.0&amp;rs=PLUK1.0&amp;transitionType=DocumentItem&amp;contextData=(sc.Default)" TargetMode="External"/><Relationship Id="rId80" Type="http://schemas.openxmlformats.org/officeDocument/2006/relationships/hyperlink" Target="https://uk.practicallaw.thomsonreuters.com/w-025-9457?originationContext=document&amp;transitionType=DocumentItem&amp;contextData=(sc.Default)" TargetMode="External"/><Relationship Id="rId85" Type="http://schemas.openxmlformats.org/officeDocument/2006/relationships/hyperlink" Target="https://uk.practicallaw.thomsonreuters.com/w-014-1583?originationContext=document&amp;vr=3.0&amp;rs=PLUK1.0&amp;transitionType=DocumentItem&amp;contextData=(sc.Default)" TargetMode="External"/><Relationship Id="rId12" Type="http://schemas.openxmlformats.org/officeDocument/2006/relationships/hyperlink" Target="https://uk.practicallaw.thomsonreuters.com/2-616-1566?originationContext=document&amp;vr=3.0&amp;rs=PLUK1.0&amp;transitionType=DocumentItem&amp;contextData=(sc.Default)" TargetMode="External"/><Relationship Id="rId17" Type="http://schemas.openxmlformats.org/officeDocument/2006/relationships/hyperlink" Target="https://uk.practicallaw.thomsonreuters.com/w-010-2436?originationContext=document&amp;vr=3.0&amp;rs=PLUK1.0&amp;transitionType=PLDocumentLink&amp;contextData=(sc.Default)" TargetMode="External"/><Relationship Id="rId33" Type="http://schemas.openxmlformats.org/officeDocument/2006/relationships/hyperlink" Target="https://uk.practicallaw.thomsonreuters.com/w-015-8342?originationContext=document&amp;vr=3.0&amp;rs=PLUK1.0&amp;transitionType=DocumentItem&amp;contextData=(sc.Default)" TargetMode="External"/><Relationship Id="rId38" Type="http://schemas.openxmlformats.org/officeDocument/2006/relationships/hyperlink" Target="https://uk.practicallaw.thomsonreuters.com/Browse/Home/Resources/Brexit" TargetMode="External"/><Relationship Id="rId59" Type="http://schemas.openxmlformats.org/officeDocument/2006/relationships/hyperlink" Target="https://uk.practicallaw.thomsonreuters.com/4-506-5560?originationContext=document&amp;vr=3.0&amp;rs=PLUK1.0&amp;transitionType=PLDocumentLink&amp;contextData=(sc.Default)" TargetMode="External"/><Relationship Id="rId103" Type="http://schemas.openxmlformats.org/officeDocument/2006/relationships/hyperlink" Target="https://uk.practicallaw.thomsonreuters.com/w-014-1583?originationContext=document&amp;vr=3.0&amp;rs=PLUK1.0&amp;transitionType=DocumentItem&amp;contextData=(sc.Default)" TargetMode="External"/><Relationship Id="rId108" Type="http://schemas.openxmlformats.org/officeDocument/2006/relationships/hyperlink" Target="https://uk.practicallaw.thomsonreuters.com/7-107-4807?originationContext=document&amp;vr=3.0&amp;rs=PLUK1.0&amp;transitionType=DocumentItem&amp;contextData=(sc.Default)" TargetMode="External"/><Relationship Id="rId54" Type="http://schemas.openxmlformats.org/officeDocument/2006/relationships/hyperlink" Target="https://uk.practicallaw.thomsonreuters.com/7-107-4789?originationContext=document&amp;transitionType=DocumentItem&amp;contextData=(sc.Default)" TargetMode="External"/><Relationship Id="rId70" Type="http://schemas.openxmlformats.org/officeDocument/2006/relationships/hyperlink" Target="https://uk.practicallaw.thomsonreuters.com/7-107-4789?originationContext=document&amp;vr=3.0&amp;rs=PLUK1.0&amp;transitionType=DocumentItem&amp;contextData=(sc.Default)" TargetMode="External"/><Relationship Id="rId75" Type="http://schemas.openxmlformats.org/officeDocument/2006/relationships/hyperlink" Target="https://uk.practicallaw.thomsonreuters.com/3-107-4673?originationContext=document&amp;transitionType=DocumentItem&amp;contextData=(sc.Default)" TargetMode="External"/><Relationship Id="rId91" Type="http://schemas.openxmlformats.org/officeDocument/2006/relationships/hyperlink" Target="https://uk.practicallaw.thomsonreuters.com/w-014-1583?originationContext=document&amp;vr=3.0&amp;rs=PLUK1.0&amp;transitionType=DocumentItem&amp;contextData=(sc.Default)" TargetMode="External"/><Relationship Id="rId96" Type="http://schemas.openxmlformats.org/officeDocument/2006/relationships/hyperlink" Target="https://uk.practicallaw.thomsonreuters.com/4-107-3814?originationContext=document&amp;vr=3.0&amp;rs=PLUK1.0&amp;transitionType=DocumentItem&amp;contextData=(sc.Defaul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uk.practicallaw.thomsonreuters.com/w-038-4171?originationContext=document&amp;vr=3.0&amp;rs=PLUK1.0&amp;transitionType=DocumentItem&amp;contextData=(sc.Default)" TargetMode="External"/><Relationship Id="rId23" Type="http://schemas.openxmlformats.org/officeDocument/2006/relationships/hyperlink" Target="https://uk.practicallaw.thomsonreuters.com/7-107-4807?originationContext=document&amp;vr=3.0&amp;rs=PLUK1.0&amp;transitionType=DocumentItem&amp;contextData=(sc.Default)" TargetMode="External"/><Relationship Id="rId28" Type="http://schemas.openxmlformats.org/officeDocument/2006/relationships/hyperlink" Target="https://uk.practicallaw.thomsonreuters.com/w-026-6854?originationContext=document&amp;vr=3.0&amp;rs=PLUK1.0&amp;transitionType=DocumentItem&amp;contextData=(sc.Default)" TargetMode="External"/><Relationship Id="rId36" Type="http://schemas.openxmlformats.org/officeDocument/2006/relationships/hyperlink" Target="https://uk.practicallaw.thomsonreuters.com/w-029-0843?originationContext=document&amp;vr=3.0&amp;rs=PLUK1.0&amp;transitionType=DocumentItem&amp;contextData=(sc.Default)" TargetMode="External"/><Relationship Id="rId49" Type="http://schemas.openxmlformats.org/officeDocument/2006/relationships/hyperlink" Target="https://uk.practicallaw.thomsonreuters.com/5-201-9175?originationContext=document&amp;vr=3.0&amp;rs=PLUK1.0&amp;transitionType=DocumentItem&amp;contextData=(sc.Default)" TargetMode="External"/><Relationship Id="rId57" Type="http://schemas.openxmlformats.org/officeDocument/2006/relationships/hyperlink" Target="https://uk.practicallaw.thomsonreuters.com/9-617-5230?originationContext=document&amp;transitionType=DocumentItem&amp;contextData=(sc.Default)" TargetMode="External"/><Relationship Id="rId106" Type="http://schemas.openxmlformats.org/officeDocument/2006/relationships/hyperlink" Target="https://uk.practicallaw.thomsonreuters.com/9-522-6848?originationContext=document&amp;vr=3.0&amp;rs=PLUK1.0&amp;transitionType=DocumentItem&amp;contextData=(sc.Default)" TargetMode="External"/><Relationship Id="rId10" Type="http://schemas.openxmlformats.org/officeDocument/2006/relationships/hyperlink" Target="https://uk.practicallaw.thomsonreuters.com/9-617-7682?originationContext=document&amp;vr=3.0&amp;rs=PLUK1.0&amp;transitionType=DocumentItem&amp;contextData=(sc.Default)" TargetMode="External"/><Relationship Id="rId31" Type="http://schemas.openxmlformats.org/officeDocument/2006/relationships/hyperlink" Target="https://uk.practicallaw.thomsonreuters.com/7-608-3825?originationContext=document&amp;vr=3.0&amp;rs=PLUK1.0&amp;transitionType=PLDocumentLink&amp;contextData=(sc.Default)" TargetMode="External"/><Relationship Id="rId44" Type="http://schemas.openxmlformats.org/officeDocument/2006/relationships/hyperlink" Target="https://uk.practicallaw.thomsonreuters.com/4-619-6070?originationContext=document&amp;vr=3.0&amp;rs=PLUK1.0&amp;transitionType=DocumentItem&amp;contextData=(sc.Default)" TargetMode="External"/><Relationship Id="rId52" Type="http://schemas.openxmlformats.org/officeDocument/2006/relationships/hyperlink" Target="https://uk.practicallaw.thomsonreuters.com/3-507-0623?originationContext=document&amp;vr=3.0&amp;rs=PLUK1.0&amp;transitionType=PLDocumentLink&amp;contextData=(sc.Default)" TargetMode="External"/><Relationship Id="rId60" Type="http://schemas.openxmlformats.org/officeDocument/2006/relationships/hyperlink" Target="https://uk.practicallaw.thomsonreuters.com/7-505-7728?originationContext=document&amp;vr=3.0&amp;rs=PLUK1.0&amp;transitionType=PLDocumentLink&amp;contextData=(sc.Default)" TargetMode="External"/><Relationship Id="rId65" Type="http://schemas.openxmlformats.org/officeDocument/2006/relationships/hyperlink" Target="https://uk.practicallaw.thomsonreuters.com/6-507-2871?originationContext=document&amp;vr=3.0&amp;rs=PLUK1.0&amp;transitionType=PLDocumentLink&amp;contextData=(sc.Default)" TargetMode="External"/><Relationship Id="rId73" Type="http://schemas.openxmlformats.org/officeDocument/2006/relationships/hyperlink" Target="https://uk.practicallaw.thomsonreuters.com/0-350-9991?originationContext=document&amp;vr=3.0&amp;rs=PLUK1.0&amp;transitionType=DocumentItem&amp;contextData=(sc.Default)" TargetMode="External"/><Relationship Id="rId78" Type="http://schemas.openxmlformats.org/officeDocument/2006/relationships/hyperlink" Target="https://uk.practicallaw.thomsonreuters.com/w-025-9457?originationContext=document&amp;transitionType=DocumentItem&amp;contextData=(sc.Default)" TargetMode="External"/><Relationship Id="rId81" Type="http://schemas.openxmlformats.org/officeDocument/2006/relationships/hyperlink" Target="https://uk.practicallaw.thomsonreuters.com/6-370-6007?originationContext=document&amp;vr=3.0&amp;rs=PLUK1.0&amp;transitionType=DocumentItem&amp;contextData=(sc.Default)" TargetMode="External"/><Relationship Id="rId86" Type="http://schemas.openxmlformats.org/officeDocument/2006/relationships/hyperlink" Target="https://uk.practicallaw.thomsonreuters.com/0-107-3806?originationContext=document&amp;vr=3.0&amp;rs=PLUK1.0&amp;transitionType=DocumentItem&amp;contextData=(sc.Default)" TargetMode="External"/><Relationship Id="rId94" Type="http://schemas.openxmlformats.org/officeDocument/2006/relationships/hyperlink" Target="https://uk.practicallaw.thomsonreuters.com/9-107-3840?originationContext=document&amp;vr=3.0&amp;rs=PLUK1.0&amp;transitionType=DocumentItem&amp;contextData=(sc.Default)" TargetMode="External"/><Relationship Id="rId99" Type="http://schemas.openxmlformats.org/officeDocument/2006/relationships/hyperlink" Target="https://uk.practicallaw.thomsonreuters.com/w-014-1583?originationContext=document&amp;vr=3.0&amp;rs=PLUK1.0&amp;transitionType=DocumentItem&amp;contextData=(sc.Default)" TargetMode="External"/><Relationship Id="rId101" Type="http://schemas.openxmlformats.org/officeDocument/2006/relationships/hyperlink" Target="https://uk.practicallaw.thomsonreuters.com/w-014-1583?originationContext=document&amp;vr=3.0&amp;rs=PLUK1.0&amp;transitionType=DocumentItem&amp;contextData=(sc.Default)" TargetMode="External"/><Relationship Id="rId4" Type="http://schemas.openxmlformats.org/officeDocument/2006/relationships/webSettings" Target="webSettings.xml"/><Relationship Id="rId9" Type="http://schemas.openxmlformats.org/officeDocument/2006/relationships/hyperlink" Target="https://www.pinsentmasons.com/people/edwin-baker" TargetMode="External"/><Relationship Id="rId13" Type="http://schemas.openxmlformats.org/officeDocument/2006/relationships/hyperlink" Target="https://uk.practicallaw.thomsonreuters.com/7-628-0350?originationContext=document&amp;vr=3.0&amp;rs=PLUK1.0&amp;transitionType=DocumentItem&amp;contextData=(sc.Default)" TargetMode="External"/><Relationship Id="rId18" Type="http://schemas.openxmlformats.org/officeDocument/2006/relationships/hyperlink" Target="https://uk.practicallaw.thomsonreuters.com/6-631-1875?originationContext=document&amp;vr=3.0&amp;rs=PLUK1.0&amp;transitionType=PLDocumentLink&amp;contextData=(sc.Default)" TargetMode="External"/><Relationship Id="rId39" Type="http://schemas.openxmlformats.org/officeDocument/2006/relationships/hyperlink" Target="https://uk.practicallaw.thomsonreuters.com/w-017-3813?originationContext=document&amp;transitionType=DocumentItem&amp;contextData=(sc.Default)" TargetMode="External"/><Relationship Id="rId109" Type="http://schemas.openxmlformats.org/officeDocument/2006/relationships/hyperlink" Target="https://uk.practicallaw.thomsonreuters.com/1-107-4810?originationContext=document&amp;vr=3.0&amp;rs=PLUK1.0&amp;transitionType=DocumentItem&amp;contextData=(sc.Default)" TargetMode="External"/><Relationship Id="rId34" Type="http://schemas.openxmlformats.org/officeDocument/2006/relationships/hyperlink" Target="https://uk.practicallaw.thomsonreuters.com/w-023-9796?originationContext=document&amp;vr=3.0&amp;rs=PLUK1.0&amp;transitionType=DocumentItem&amp;contextData=(sc.Default)" TargetMode="External"/><Relationship Id="rId50" Type="http://schemas.openxmlformats.org/officeDocument/2006/relationships/hyperlink" Target="https://uk.practicallaw.thomsonreuters.com/w-038-1950?originationContext=document&amp;vr=3.0&amp;rs=PLUK1.0&amp;transitionType=DocumentItem&amp;contextData=(sc.Default)" TargetMode="External"/><Relationship Id="rId55" Type="http://schemas.openxmlformats.org/officeDocument/2006/relationships/hyperlink" Target="https://uk.practicallaw.thomsonreuters.com/2-107-4777?originationContext=document&amp;transitionType=DocumentItem&amp;contextData=(sc.Default)" TargetMode="External"/><Relationship Id="rId76" Type="http://schemas.openxmlformats.org/officeDocument/2006/relationships/hyperlink" Target="https://uk.practicallaw.thomsonreuters.com/w-026-2452?originationContext=document&amp;transitionType=DocumentItem&amp;contextData=(sc.Default)" TargetMode="External"/><Relationship Id="rId97" Type="http://schemas.openxmlformats.org/officeDocument/2006/relationships/hyperlink" Target="https://uk.practicallaw.thomsonreuters.com/w-014-1583?originationContext=document&amp;vr=3.0&amp;rs=PLUK1.0&amp;transitionType=DocumentItem&amp;contextData=(sc.Default)" TargetMode="External"/><Relationship Id="rId104" Type="http://schemas.openxmlformats.org/officeDocument/2006/relationships/hyperlink" Target="https://uk.practicallaw.thomsonreuters.com/4-107-3852?originationContext=document&amp;vr=3.0&amp;rs=PLUK1.0&amp;transitionType=DocumentItem&amp;contextData=(sc.Default)" TargetMode="External"/><Relationship Id="rId7" Type="http://schemas.openxmlformats.org/officeDocument/2006/relationships/header" Target="header1.xml"/><Relationship Id="rId71" Type="http://schemas.openxmlformats.org/officeDocument/2006/relationships/hyperlink" Target="https://uk.practicallaw.thomsonreuters.com/2-107-3829?originationContext=document&amp;vr=3.0&amp;rs=PLUK1.0&amp;transitionType=DocumentItem&amp;contextData=(sc.Default)" TargetMode="External"/><Relationship Id="rId92" Type="http://schemas.openxmlformats.org/officeDocument/2006/relationships/hyperlink" Target="https://uk.practicallaw.thomsonreuters.com/3-107-3838?originationContext=document&amp;vr=3.0&amp;rs=PLUK1.0&amp;transitionType=DocumentItem&amp;contextData=(sc.Default)" TargetMode="External"/><Relationship Id="rId2" Type="http://schemas.openxmlformats.org/officeDocument/2006/relationships/styles" Target="styles.xml"/><Relationship Id="rId29" Type="http://schemas.openxmlformats.org/officeDocument/2006/relationships/hyperlink" Target="https://uk.practicallaw.thomsonreuters.com/w-027-2423?originationContext=document&amp;vr=3.0&amp;rs=PLUK1.0&amp;transitionType=DocumentItem&amp;contextData=(sc.Default)" TargetMode="External"/><Relationship Id="rId24" Type="http://schemas.openxmlformats.org/officeDocument/2006/relationships/hyperlink" Target="https://uk.practicallaw.thomsonreuters.com/w-037-9685?originationContext=document&amp;transitionType=PLDocumentLink&amp;contextData=(sc.Default)&amp;ppcid=6f09838bcf6542b0be5d3ff1bc314681" TargetMode="External"/><Relationship Id="rId40" Type="http://schemas.openxmlformats.org/officeDocument/2006/relationships/hyperlink" Target="https://uk.practicallaw.thomsonreuters.com/3-107-3683?originationContext=document&amp;transitionType=DocumentItem&amp;contextData=(sc.Default)" TargetMode="External"/><Relationship Id="rId45" Type="http://schemas.openxmlformats.org/officeDocument/2006/relationships/hyperlink" Target="https://uk.practicallaw.thomsonreuters.com/8-618-8657?originationContext=document&amp;vr=3.0&amp;rs=PLUK1.0&amp;transitionType=DocumentItem&amp;contextData=(sc.Default)" TargetMode="External"/><Relationship Id="rId66" Type="http://schemas.openxmlformats.org/officeDocument/2006/relationships/hyperlink" Target="https://uk.practicallaw.thomsonreuters.com/5-505-8743?originationContext=document&amp;vr=3.0&amp;rs=PLUK1.0&amp;transitionType=PLDocumentLink&amp;contextData=(sc.Default)" TargetMode="External"/><Relationship Id="rId87" Type="http://schemas.openxmlformats.org/officeDocument/2006/relationships/hyperlink" Target="https://uk.practicallaw.thomsonreuters.com/w-014-1583?originationContext=document&amp;vr=3.0&amp;rs=PLUK1.0&amp;transitionType=DocumentItem&amp;contextData=(sc.Default)" TargetMode="External"/><Relationship Id="rId110" Type="http://schemas.openxmlformats.org/officeDocument/2006/relationships/hyperlink" Target="https://uk.practicallaw.thomsonreuters.com/6-618-9498?originationContext=document&amp;vr=3.0&amp;rs=PLUK1.0&amp;transitionType=DocumentItem&amp;contextData=(sc.Default)" TargetMode="External"/><Relationship Id="rId61" Type="http://schemas.openxmlformats.org/officeDocument/2006/relationships/hyperlink" Target="https://uk.practicallaw.thomsonreuters.com/D-008-7730?originationContext=document&amp;vr=3.0&amp;rs=PLUK1.0&amp;transitionType=PLDocumentLink&amp;contextData=(sc.Default)" TargetMode="External"/><Relationship Id="rId82" Type="http://schemas.openxmlformats.org/officeDocument/2006/relationships/hyperlink" Target="https://uk.practicallaw.thomsonreuters.com/6-107-3808?originationContext=document&amp;vr=3.0&amp;rs=PLUK1.0&amp;transitionType=DocumentItem&amp;contextData=(sc.Default)" TargetMode="External"/><Relationship Id="rId19" Type="http://schemas.openxmlformats.org/officeDocument/2006/relationships/hyperlink" Target="https://uk.practicallaw.thomsonreuters.com/w-013-8329?originationContext=document&amp;vr=3.0&amp;rs=PLUK1.0&amp;transitionType=DocumentItem&amp;contextData=(sc.Default)" TargetMode="External"/><Relationship Id="rId14" Type="http://schemas.openxmlformats.org/officeDocument/2006/relationships/hyperlink" Target="https://uk.practicallaw.thomsonreuters.com/w-034-5348?originationContext=document&amp;vr=3.0&amp;rs=PLUK1.0&amp;transitionType=DocumentItem&amp;contextData=(sc.Default)" TargetMode="External"/><Relationship Id="rId30" Type="http://schemas.openxmlformats.org/officeDocument/2006/relationships/hyperlink" Target="https://uk.practicallaw.thomsonreuters.com/2-607-4606?originationContext=document&amp;vr=3.0&amp;rs=PLUK1.0&amp;transitionType=PLDocumentLink&amp;contextData=(sc.Default)" TargetMode="External"/><Relationship Id="rId35" Type="http://schemas.openxmlformats.org/officeDocument/2006/relationships/hyperlink" Target="https://uk.practicallaw.thomsonreuters.com/w-019-6282?originationContext=document&amp;vr=3.0&amp;rs=PLUK1.0&amp;transitionType=DocumentItem&amp;contextData=(sc.Default)" TargetMode="External"/><Relationship Id="rId56" Type="http://schemas.openxmlformats.org/officeDocument/2006/relationships/hyperlink" Target="https://uk.practicallaw.thomsonreuters.com/2-520-5359?originationContext=document&amp;transitionType=DocumentItem&amp;contextData=(sc.Default)" TargetMode="External"/><Relationship Id="rId77" Type="http://schemas.openxmlformats.org/officeDocument/2006/relationships/hyperlink" Target="https://uk.practicallaw.thomsonreuters.com/w-025-9457?originationContext=document&amp;transitionType=DocumentItem&amp;contextData=(sc.Default)" TargetMode="External"/><Relationship Id="rId100" Type="http://schemas.openxmlformats.org/officeDocument/2006/relationships/hyperlink" Target="https://uk.practicallaw.thomsonreuters.com/2-203-0725?originationContext=document&amp;vr=3.0&amp;rs=PLUK1.0&amp;transitionType=DocumentItem&amp;contextData=(sc.Default)" TargetMode="External"/><Relationship Id="rId105" Type="http://schemas.openxmlformats.org/officeDocument/2006/relationships/hyperlink" Target="https://uk.practicallaw.thomsonreuters.com/0-107-3646?originationContext=document&amp;vr=3.0&amp;rs=PLUK1.0&amp;transitionType=DocumentItem&amp;contextData=(sc.Default)" TargetMode="External"/><Relationship Id="rId8" Type="http://schemas.openxmlformats.org/officeDocument/2006/relationships/footer" Target="footer1.xml"/><Relationship Id="rId51" Type="http://schemas.openxmlformats.org/officeDocument/2006/relationships/hyperlink" Target="https://uk.practicallaw.thomsonreuters.com/1-507-2816?originationContext=document&amp;vr=3.0&amp;rs=PLUK1.0&amp;transitionType=PLDocumentLink&amp;contextData=(sc.Default)" TargetMode="External"/><Relationship Id="rId72" Type="http://schemas.openxmlformats.org/officeDocument/2006/relationships/hyperlink" Target="https://uk.practicallaw.thomsonreuters.com/8-384-4456?originationContext=document&amp;vr=3.0&amp;rs=PLUK1.0&amp;transitionType=DocumentItem&amp;contextData=(sc.Default)" TargetMode="External"/><Relationship Id="rId93" Type="http://schemas.openxmlformats.org/officeDocument/2006/relationships/hyperlink" Target="https://uk.practicallaw.thomsonreuters.com/w-014-1583?originationContext=document&amp;vr=3.0&amp;rs=PLUK1.0&amp;transitionType=DocumentItem&amp;contextData=(sc.Default)" TargetMode="External"/><Relationship Id="rId98" Type="http://schemas.openxmlformats.org/officeDocument/2006/relationships/hyperlink" Target="https://uk.practicallaw.thomsonreuters.com/6-107-3846?originationContext=document&amp;vr=3.0&amp;rs=PLUK1.0&amp;transitionType=DocumentItem&amp;contextData=(sc.Default)" TargetMode="External"/><Relationship Id="rId3" Type="http://schemas.openxmlformats.org/officeDocument/2006/relationships/settings" Target="settings.xml"/><Relationship Id="rId25" Type="http://schemas.openxmlformats.org/officeDocument/2006/relationships/hyperlink" Target="https://uk.practicallaw.thomsonreuters.com/w-039-2845?originationContext=document&amp;vr=3.0&amp;rs=PLUK1.0&amp;transitionType=DocumentItem&amp;contextData=(sc.Default)" TargetMode="External"/><Relationship Id="rId46" Type="http://schemas.openxmlformats.org/officeDocument/2006/relationships/hyperlink" Target="https://uk.practicallaw.thomsonreuters.com/7-107-4807?originationContext=document&amp;vr=3.0&amp;rs=PLUK1.0&amp;transitionType=DocumentItem&amp;contextData=(sc.Default)" TargetMode="External"/><Relationship Id="rId67" Type="http://schemas.openxmlformats.org/officeDocument/2006/relationships/hyperlink" Target="https://uk.practicallaw.thomsonreuters.com/D-000-1778?originationContext=document&amp;vr=3.0&amp;rs=PLUK1.0&amp;transitionType=PLDocumentLink&amp;contextData=(sc.Default)" TargetMode="External"/><Relationship Id="rId20" Type="http://schemas.openxmlformats.org/officeDocument/2006/relationships/hyperlink" Target="https://uk.practicallaw.thomsonreuters.com/w-013-8329?originationContext=document&amp;vr=3.0&amp;rs=PLUK1.0&amp;transitionType=DocumentItem&amp;contextData=(sc.Default)" TargetMode="External"/><Relationship Id="rId41" Type="http://schemas.openxmlformats.org/officeDocument/2006/relationships/hyperlink" Target="https://uk.practicallaw.thomsonreuters.com/w-016-7309?originationContext=document&amp;transitionType=DocumentItem&amp;contextData=(sc.Default)" TargetMode="External"/><Relationship Id="rId62" Type="http://schemas.openxmlformats.org/officeDocument/2006/relationships/hyperlink" Target="https://uk.practicallaw.thomsonreuters.com/7-508-2520?originationContext=document&amp;vr=3.0&amp;rs=PLUK1.0&amp;transitionType=PLDocumentLink&amp;contextData=(sc.Default)" TargetMode="External"/><Relationship Id="rId83" Type="http://schemas.openxmlformats.org/officeDocument/2006/relationships/hyperlink" Target="https://uk.practicallaw.thomsonreuters.com/w-014-1583?originationContext=document&amp;vr=3.0&amp;rs=PLUK1.0&amp;transitionType=DocumentItem&amp;contextData=(sc.Default)" TargetMode="External"/><Relationship Id="rId88" Type="http://schemas.openxmlformats.org/officeDocument/2006/relationships/hyperlink" Target="https://uk.practicallaw.thomsonreuters.com/5-107-3842?originationContext=document&amp;vr=3.0&amp;rs=PLUK1.0&amp;transitionType=DocumentItem&amp;contextData=(sc.Default)"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16683</Words>
  <Characters>95099</Characters>
  <Application>Microsoft Office Word</Application>
  <DocSecurity>0</DocSecurity>
  <Lines>792</Lines>
  <Paragraphs>223</Paragraphs>
  <ScaleCrop>false</ScaleCrop>
  <Company/>
  <LinksUpToDate>false</LinksUpToDate>
  <CharactersWithSpaces>111559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dc:description/>
  <cp:lastModifiedBy>David Sant</cp:lastModifiedBy>
  <cp:revision>3</cp:revision>
  <dcterms:created xsi:type="dcterms:W3CDTF">2025-12-09T17:18:00Z</dcterms:created>
  <dcterms:modified xsi:type="dcterms:W3CDTF">2025-12-09T17:24:00Z</dcterms:modified>
</cp:coreProperties>
</file>