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69FD6A" w14:textId="1E228FB8">
      <w:pPr>
        <w:pStyle w:val="Title"/>
      </w:pPr>
      <w:r>
        <w:rPr>
          <w:b/>
        </w:rPr>
        <w:t>ONE2CALL MSA REVIEW — WORK PLAN</w:t>
      </w:r>
    </w:p>
    <w:p w14:paraId="2CB503FF" w14:textId="8B54974A">
      <w:r>
        <w:t>Date: 9 December 2025</w:t>
      </w:r>
    </w:p>
    <w:p w14:paraId="BED94A87" w14:textId="5EBBF65A">
      <w:r>
        <w:t>Client: One2Call Limited</w:t>
      </w:r>
    </w:p>
    <w:p w14:paraId="BB9CB35A" w14:textId="3E9F3413">
      <w:r>
        <w:t>Document: MSA Defined Services (HJ7) and Maintenance Schedule (HJ1)</w:t>
      </w:r>
    </w:p>
    <w:p w14:paraId="412AEC70" w14:textId="E8836C4A">
      <w:pPr>
        <w:pStyle w:val="Heading1"/>
      </w:pPr>
      <w:r>
        <w:t>EXECUTIVE SUMMARY</w:t>
      </w:r>
    </w:p>
    <w:p w14:paraId="888F328C" w14:textId="7117C31F">
      <w:r>
        <w:t>The One2Call MSA is well-structured with strong pro-supplier provisions. The core terms are substantially complete and require only targeted amendments. The main work is to complete the service schedules, add exit/transition provisions, and create an optional security schedule for cyber security services.</w:t>
      </w:r>
    </w:p>
    <w:p w14:paraId="6AC2D4B0" w14:textId="0D71B6AB">
      <w:r>
        <w:t>Work is divided into Phase 1 (immediate completion of MSA) and Phase 2 (additional templates and detailed service schedules).</w:t>
      </w:r>
    </w:p>
    <w:p w14:paraId="88B59AC3" w14:textId="134D3661">
      <w:pPr>
        <w:pStyle w:val="Heading1"/>
      </w:pPr>
      <w:r>
        <w:t>PHASE 1: MSA COMPLETION</w:t>
      </w:r>
    </w:p>
    <w:p w14:paraId="2F6E66D7" w14:textId="F26C6481">
      <w:pPr>
        <w:pStyle w:val="Heading2"/>
      </w:pPr>
      <w:r>
        <w:t>1.1 Critical Drafting Fixes</w:t>
      </w:r>
    </w:p>
    <w:p w14:paraId="768DE668" w14:textId="93F46417">
      <w:r>
        <w:t>(a) Correct Schedule numbering — The Terms and Conditions are headed "Schedule 2" but should be "Schedule 1" per the cover document structure. Correct this inconsistency.</w:t>
      </w:r>
    </w:p>
    <w:p w14:paraId="80BD1A87" w14:textId="1744F0B2">
      <w:r>
        <w:t>(b) Add "Data Protection Legislation" definition — This term is used in clause 18.1 but not defined. Add definition to clause 1 referencing UK GDPR and EU GDPR.</w:t>
      </w:r>
    </w:p>
    <w:p w14:paraId="04E5493F" w14:textId="42D32CD1">
      <w:pPr>
        <w:pStyle w:val="Heading2"/>
      </w:pPr>
      <w:r>
        <w:t>1.2 Expand Clause 21 (Consequences of Termination)</w:t>
      </w:r>
    </w:p>
    <w:p w14:paraId="8E087454" w14:textId="1CF91AB5">
      <w:r>
        <w:t>Add exit/transition provisions covering:</w:t>
      </w:r>
    </w:p>
    <w:p w14:paraId="C2BA2883" w14:textId="4DBA784E">
      <w:r>
        <w:t>(a) Customer data extraction right — Customer may request return or deletion of Customer Data within 30 days of termination.</w:t>
      </w:r>
    </w:p>
    <w:p w14:paraId="926D83DF" w14:textId="F020B76A">
      <w:r>
        <w:t>(b) Transition assistance — Supplier to provide reasonable transition assistance for up to 3 months at Supplier's then-current rates.</w:t>
      </w:r>
    </w:p>
    <w:p w14:paraId="058368B3" w14:textId="725E1B37">
      <w:r>
        <w:t>(c) Data deletion certification — Following data return, Supplier to confirm deletion of Customer Data (subject to legal retention requirements).</w:t>
      </w:r>
    </w:p>
    <w:p w14:paraId="CADF673D" w14:textId="761663EE">
      <w:r>
        <w:t>(d) Equipment — Customer equipment to be returned; Supplier equipment to be collected or purchased at net book value.</w:t>
      </w:r>
    </w:p>
    <w:p w14:paraId="96C3D110" w14:textId="39B85E17">
      <w:pPr>
        <w:pStyle w:val="Heading2"/>
      </w:pPr>
      <w:r>
        <w:t>1.3 Clarify Indemnity Cap</w:t>
      </w:r>
    </w:p>
    <w:p w14:paraId="1C2B0E0F" w14:textId="D849C0D0">
      <w:r>
        <w:t>Add to clause 19.4: "The liability of either party under clause 17 (Indemnities) shall be subject to the cap set out in this clause 19.4."</w:t>
      </w:r>
    </w:p>
    <w:p w14:paraId="CC9E374B" w14:textId="B19DE2C7">
      <w:pPr>
        <w:pStyle w:val="Heading2"/>
      </w:pPr>
      <w:r>
        <w:t>1.4 Draft Security Schedule (Schedule 4)</w:t>
      </w:r>
    </w:p>
    <w:p w14:paraId="6C5E1D77" w14:textId="18130E6E">
      <w:r>
        <w:t>Create optional Security Schedule to be incorporated by reference in Orders that include cyber security services. Key areas:</w:t>
      </w:r>
    </w:p>
    <w:p w14:paraId="109BFD49" w14:textId="4F641D22">
      <w:r>
        <w:t>(a) Security standards compliance — ISO 27001 certification, Cyber Essentials Plus accreditation, compliance obligations.</w:t>
      </w:r>
    </w:p>
    <w:p w14:paraId="D32A34A8" w14:textId="A32360B2">
      <w:r>
        <w:t>(b) Incident definitions — Define Incident, Known Vulnerability, Latent Vulnerability, Virus, and Mitigate.</w:t>
      </w:r>
    </w:p>
    <w:p w14:paraId="6DB6799A" w14:textId="6A1045F7">
      <w:r>
        <w:t>(c) Incident handling procedures — Detection, escalation, response, resolution, post-incident review.</w:t>
      </w:r>
    </w:p>
    <w:p w14:paraId="D69D133F" w14:textId="6A4B9CF1">
      <w:r>
        <w:t>(d) Vulnerability management — Scanning, patching, remediation timelines.</w:t>
      </w:r>
    </w:p>
    <w:p w14:paraId="52351CCA" w14:textId="17BFC46B">
      <w:r>
        <w:t>(e) Business continuity/disaster recovery — DR plan, testing, RTO/RPO commitments.</w:t>
      </w:r>
    </w:p>
    <w:p w14:paraId="1AF7BB98" w14:textId="82913623">
      <w:r>
        <w:t>(f) Notification obligations — Timing and content of security incident notifications to Customer.</w:t>
      </w:r>
    </w:p>
    <w:p w14:paraId="781C9D1E" w14:textId="839D1A23">
      <w:pPr>
        <w:pStyle w:val="Heading2"/>
      </w:pPr>
      <w:r>
        <w:t>1.5 Draft Schedule 3 Service Schedules (Framework)</w:t>
      </w:r>
    </w:p>
    <w:p w14:paraId="21E7C2E4" w14:textId="4EA12C1B">
      <w:r>
        <w:t>Create modular service schedule framework. Detail to be completed in Phase 2.</w:t>
      </w:r>
    </w:p>
    <w:p w14:paraId="98A37C76" w14:textId="FF55D01F">
      <w:r>
        <w:rPr>
          <w:b/>
        </w:rPr>
        <w:t>Schedule 3A: Managed IT Services</w:t>
      </w:r>
    </w:p>
    <w:p w14:paraId="00FD15EE" w14:textId="988DA455">
      <w:r>
        <w:t>Key areas: Service scope (device management, infrastructure monitoring, helpdesk support, backup and recovery, release management, administration); Service exclusions; Customer obligations (access, cooperation, acceptable use); SLAs (response times by priority P1-P4, uptime targets); Service credits; Reporting.</w:t>
      </w:r>
    </w:p>
    <w:p w14:paraId="31AE2261" w14:textId="D7F730E1">
      <w:r>
        <w:rPr>
          <w:b/>
        </w:rPr>
        <w:t>Schedule 3B: Cyber Security Services</w:t>
      </w:r>
    </w:p>
    <w:p w14:paraId="0BED2E01" w14:textId="913B585D">
      <w:r>
        <w:t>Key areas: Service scope (threat detection and response, firewall and network security, vulnerability management, security awareness training, email and web security, compliance support); Incorporates Schedule 4 (Security Schedule); Customer security obligations; Incident response SLAs; Limitations (no guarantee against all threats); Third-party tool dependencies.</w:t>
      </w:r>
    </w:p>
    <w:p w14:paraId="D0451AC3" w14:textId="B809B32B">
      <w:r>
        <w:rPr>
          <w:b/>
        </w:rPr>
        <w:t>Schedule 3C: Cloud Management</w:t>
      </w:r>
    </w:p>
    <w:p w14:paraId="B1172093" w14:textId="DAB7D8AE">
      <w:r>
        <w:t>Key areas: Service scope (Microsoft 365 administration, Azure management, cloud backup, cloud security configuration, licence management, migration services); Subscription/licence ownership (Customer owns); Third-party platform terms (Microsoft, etc.); Data residency; SLAs (response times, excludes underlying platform outages); Optimisation recommendations.</w:t>
      </w:r>
    </w:p>
    <w:p w14:paraId="6B7E3C24" w14:textId="CD7345ED">
      <w:r>
        <w:rPr>
          <w:b/>
        </w:rPr>
        <w:t>Schedule 3D: Connectivity</w:t>
      </w:r>
    </w:p>
    <w:p w14:paraId="84F55D1D" w14:textId="224706D5">
      <w:r>
        <w:t>Key areas: Service scope (business broadband, leased lines, network management, Wi-Fi solutions, hybrid workforce connectivity); Circuit specifications; Installation and provisioning; Uptime targets; Carrier/third-party dependencies; IP address allocation; Equipment (routers, firewalls); Service credits for downtime.</w:t>
      </w:r>
    </w:p>
    <w:p w14:paraId="B1B1FA02" w14:textId="C07651EE">
      <w:r>
        <w:rPr>
          <w:b/>
        </w:rPr>
        <w:t>Schedule 3E: Telecoms</w:t>
      </w:r>
    </w:p>
    <w:p w14:paraId="F77747D2" w14:textId="27C82FE4">
      <w:r>
        <w:t>Key areas: Service scope (3CX VoIP phone systems, Microsoft Teams Voice, mobile device management, SIP trunking, number porting); System configuration and training; Handset provision; Call recording (ownership, retention); Number ownership (Customer retains ported numbers); Carrier dependencies; SLAs (system availability, fault response); Acceptable use.</w:t>
      </w:r>
    </w:p>
    <w:p w14:paraId="CD4CA986" w14:textId="4271E20B">
      <w:r>
        <w:rPr>
          <w:b/>
        </w:rPr>
        <w:t>Schedule 3F: Hardware Provision and Maintenance</w:t>
      </w:r>
    </w:p>
    <w:p w14:paraId="01D1F3F0" w14:textId="DB446EAF">
      <w:r>
        <w:t>Key areas: Incorporates Maintenance Schedule (HJ1); Equipment list and specifications; Preventative, corrective, and emergency maintenance; Response and fix times; Spare parts (charging, ownership); Excluded causes (misuse, environment, third-party interference); Customer obligations (access, operating conditions); End-of-life and disposal.</w:t>
      </w:r>
    </w:p>
    <w:p w14:paraId="C8928F1E" w14:textId="F59F3F96">
      <w:pPr>
        <w:pStyle w:val="Heading2"/>
      </w:pPr>
      <w:r>
        <w:t>1.6 Attach Maintenance Schedule to MSA</w:t>
      </w:r>
    </w:p>
    <w:p w14:paraId="23206340" w14:textId="F718B5AB">
      <w:r>
        <w:t>Incorporate Maintenance Schedule (HJ1) as an annex to Schedule 3F or as a standalone Schedule 5, cross-referenced from the MSA. Update MSA cover document to list Maintenance Schedule in schedule list.</w:t>
      </w:r>
    </w:p>
    <w:p w14:paraId="E667E5FD" w14:textId="309A4719">
      <w:pPr>
        <w:pStyle w:val="Heading2"/>
      </w:pPr>
      <w:r>
        <w:t>1.7 Add Regulatory Compliance Clauses</w:t>
      </w:r>
    </w:p>
    <w:p w14:paraId="61DF5637" w14:textId="493A9F5C">
      <w:r>
        <w:t>Add clauses to clause 24 (General) with explanatory drafting notes:</w:t>
      </w:r>
    </w:p>
    <w:p w14:paraId="990273BA" w14:textId="AC9E7A1B">
      <w:r>
        <w:t>(a) Anti-bribery — Compliance with Bribery Act 2010; no bribes or facilitation payments; right to terminate for breach. [Note: May be required by larger clients and public sector customers.]</w:t>
      </w:r>
    </w:p>
    <w:p w14:paraId="59EBE2F7" w14:textId="2EAE6D16">
      <w:r>
        <w:t>(b) Anti-slavery — Compliance with Modern Slavery Act 2015; due diligence on supply chain; annual statement. [Note: May be required by larger clients and public sector customers.]</w:t>
      </w:r>
    </w:p>
    <w:p w14:paraId="7B582EF4" w14:textId="99CBB459">
      <w:r>
        <w:t>(c) Dispute escalation — Before commencing litigation, disputes to be escalated to senior management for good faith resolution discussions for 14 days. [Note: May reduce legal costs and preserve commercial relationships.]</w:t>
      </w:r>
    </w:p>
    <w:p w14:paraId="8FEA2850" w14:textId="90821F31">
      <w:pPr>
        <w:pStyle w:val="Heading1"/>
      </w:pPr>
      <w:r>
        <w:t>PHASE 2: ADDITIONAL TEMPLATES AND DETAILED SCHEDULES</w:t>
      </w:r>
    </w:p>
    <w:p w14:paraId="2E2743B4" w14:textId="03368F70">
      <w:pPr>
        <w:pStyle w:val="Heading2"/>
      </w:pPr>
      <w:r>
        <w:t>2.1 Systems Integration / Project SOW Template</w:t>
      </w:r>
    </w:p>
    <w:p w14:paraId="31967FAE" w14:textId="7CECAFC8">
      <w:r>
        <w:t>Create SOW template for project-based work (migrations, infrastructure deployments, consultancy) based on Systems Integration Agreement precedent. Key areas:</w:t>
      </w:r>
    </w:p>
    <w:p w14:paraId="3434CDC2" w14:textId="C52D6AFB">
      <w:r>
        <w:t>(a) Project scope and deliverables; (b) Milestones and timeline; (c) Acceptance testing procedures; (d) Change control procedure; (e) Payment milestones; (f) Project-specific IP provisions (if bespoke work); (g) Go-live and handover.</w:t>
      </w:r>
    </w:p>
    <w:p w14:paraId="81A0EC23" w14:textId="15934680">
      <w:pPr>
        <w:pStyle w:val="Heading2"/>
      </w:pPr>
      <w:r>
        <w:t>2.2 Complete Service Schedule Detail</w:t>
      </w:r>
    </w:p>
    <w:p w14:paraId="609FAE18" w14:textId="4570F90A">
      <w:r>
        <w:t>Populate full detail for each Schedule 3 sub-schedule (3A-3F) including: Detailed service descriptions aligned to One2Call website offerings; Specific SLA metrics (response times, fix times, uptime percentages); Service credit calculations; Pricing structure frameworks; Standard exclusions and customer obligations.</w:t>
      </w:r>
    </w:p>
    <w:p w14:paraId="65C50B19" w14:textId="44687F7E">
      <w:pPr>
        <w:pStyle w:val="Heading2"/>
      </w:pPr>
      <w:r>
        <w:t>2.3 Order Form Template</w:t>
      </w:r>
    </w:p>
    <w:p w14:paraId="CA8DDA52" w14:textId="50F35FB9">
      <w:r>
        <w:t>Review and update Order Form template to work with new schedule structure. Ensure Order Form captures: Selected services (by reference to Schedule 3 sub-schedules); Service-specific details and configurations; Pricing and payment terms; Start date and initial term; Any deal-specific variations.</w:t>
      </w:r>
    </w:p>
    <w:p w14:paraId="6FBFEDF0" w14:textId="B4B2A525">
      <w:pPr>
        <w:pStyle w:val="Heading1"/>
      </w:pPr>
      <w:r>
        <w:t>REFERENCE DOCUMENTS</w:t>
      </w:r>
    </w:p>
    <w:p w14:paraId="561C8CAA" w14:textId="850ED259">
      <w:r>
        <w:t>Client Documents:</w:t>
      </w:r>
    </w:p>
    <w:p w14:paraId="69F31C45" w14:textId="95B90157">
      <w:r>
        <w:t>• One2call - 2025 Templates - MSA Defined Services - HJ7.docx</w:t>
      </w:r>
    </w:p>
    <w:p w14:paraId="E9762906" w14:textId="16B2CBC2">
      <w:r>
        <w:t>• One2call - 2025 Templates - Maintenance Schedule - HJ1.docx</w:t>
      </w:r>
    </w:p>
    <w:p w14:paraId="C201BA04" w14:textId="E31E7FE9">
      <w:r>
        <w:t>Precedents:</w:t>
      </w:r>
    </w:p>
    <w:p w14:paraId="B35DBBD7" w14:textId="F5DD7E4B">
      <w:r>
        <w:t>• Managed services agreement (1).docx — Primary reference for exit provisions, security schedule, service schedules</w:t>
      </w:r>
    </w:p>
    <w:p w14:paraId="4277892C" w14:textId="4FF4B1F6">
      <w:r>
        <w:t>• Hardware maintenance agreement (1).docx — Reference for Schedule 3F and Maintenance Schedule alignment</w:t>
      </w:r>
    </w:p>
    <w:p w14:paraId="FB06E6F8" w14:textId="DBC00237">
      <w:r>
        <w:t>• Systems integration agreement (pro-supplier) (1).docx — Reference for Phase 2 SOW template</w:t>
      </w:r>
    </w:p>
    <w:p w14:paraId="62EEF5B4" w14:textId="9E90FF6F">
      <w:r>
        <w:t>• Software maintenance_ service level agreement.docx — Reference for SLA structure and service credits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One2Call MSA Review - Work Plan</dc:title>
  <dc:subject/>
  <dc:creator>Effi Legal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