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A7A7" w14:textId="77777777" w:rsidR="00E75E50" w:rsidRDefault="00000000">
      <w:pPr>
        <w:spacing w:after="0" w:line="259" w:lineRule="auto"/>
        <w:ind w:left="0" w:firstLine="0"/>
      </w:pPr>
      <w:r>
        <w:rPr>
          <w:b/>
          <w:color w:val="3D3D3D"/>
          <w:sz w:val="36"/>
        </w:rPr>
        <w:t>Licence agreement for industrial designs: checklist</w:t>
      </w:r>
    </w:p>
    <w:p w14:paraId="056F6213" w14:textId="77777777" w:rsidR="00E75E50" w:rsidRDefault="00000000">
      <w:pPr>
        <w:spacing w:after="0" w:line="259" w:lineRule="auto"/>
        <w:ind w:left="0" w:firstLine="0"/>
      </w:pPr>
      <w:r>
        <w:rPr>
          <w:b/>
          <w:color w:val="505050"/>
        </w:rPr>
        <w:t>by Catherine Bingham, Dentons, and Hilary Newiss, formerly of Denton Hall</w:t>
      </w:r>
    </w:p>
    <w:p w14:paraId="1D12336B" w14:textId="77777777" w:rsidR="00E75E50" w:rsidRDefault="00000000">
      <w:pPr>
        <w:spacing w:after="314" w:line="259" w:lineRule="auto"/>
        <w:ind w:left="0" w:firstLine="0"/>
      </w:pPr>
      <w:r>
        <w:rPr>
          <w:rFonts w:ascii="Calibri" w:eastAsia="Calibri" w:hAnsi="Calibri" w:cs="Calibri"/>
          <w:noProof/>
          <w:color w:val="000000"/>
          <w:sz w:val="22"/>
        </w:rPr>
        <mc:AlternateContent>
          <mc:Choice Requires="wpg">
            <w:drawing>
              <wp:inline distT="0" distB="0" distL="0" distR="0" wp14:anchorId="59687E69" wp14:editId="18C67683">
                <wp:extent cx="6400800" cy="12700"/>
                <wp:effectExtent l="0" t="0" r="0" b="0"/>
                <wp:docPr id="4108" name="Group 410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8" name="Shape 18"/>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8" style="width:504pt;height:1pt;mso-position-horizontal-relative:char;mso-position-vertical-relative:line" coordsize="64008,127">
                <v:shape id="Shape 18" style="position:absolute;width:64008;height:0;left:0;top:0;" coordsize="6400800,0" path="m0,0l6400800,0">
                  <v:stroke weight="1pt" endcap="flat" joinstyle="miter" miterlimit="10" on="true" color="#cccccc"/>
                  <v:fill on="false" color="#000000" opacity="0"/>
                </v:shape>
              </v:group>
            </w:pict>
          </mc:Fallback>
        </mc:AlternateContent>
      </w:r>
    </w:p>
    <w:p w14:paraId="5E4B5268" w14:textId="77777777" w:rsidR="00E75E50" w:rsidRDefault="00000000">
      <w:pPr>
        <w:spacing w:after="14" w:line="259" w:lineRule="auto"/>
        <w:ind w:left="0" w:firstLine="0"/>
      </w:pPr>
      <w:r>
        <w:rPr>
          <w:sz w:val="18"/>
        </w:rPr>
        <w:t xml:space="preserve">Checklists | </w:t>
      </w:r>
      <w:r>
        <w:rPr>
          <w:color w:val="B54F67"/>
          <w:sz w:val="18"/>
        </w:rPr>
        <w:t>Law stated as at 18-Feb-2022</w:t>
      </w:r>
      <w:r>
        <w:rPr>
          <w:sz w:val="18"/>
        </w:rPr>
        <w:t xml:space="preserve"> | United Kingdom</w:t>
      </w:r>
    </w:p>
    <w:p w14:paraId="0AA54503" w14:textId="77777777" w:rsidR="00E75E50" w:rsidRDefault="00000000">
      <w:pPr>
        <w:spacing w:after="479" w:line="259" w:lineRule="auto"/>
        <w:ind w:left="0" w:firstLine="0"/>
      </w:pPr>
      <w:r>
        <w:rPr>
          <w:rFonts w:ascii="Calibri" w:eastAsia="Calibri" w:hAnsi="Calibri" w:cs="Calibri"/>
          <w:noProof/>
          <w:color w:val="000000"/>
          <w:sz w:val="22"/>
        </w:rPr>
        <mc:AlternateContent>
          <mc:Choice Requires="wpg">
            <w:drawing>
              <wp:inline distT="0" distB="0" distL="0" distR="0" wp14:anchorId="10BD3671" wp14:editId="45DE3F07">
                <wp:extent cx="6400800" cy="12700"/>
                <wp:effectExtent l="0" t="0" r="0" b="0"/>
                <wp:docPr id="4109" name="Group 410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23" name="Shape 2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9" style="width:504pt;height:1pt;mso-position-horizontal-relative:char;mso-position-vertical-relative:line" coordsize="64008,127">
                <v:shape id="Shape 23" style="position:absolute;width:64008;height:0;left:0;top:0;" coordsize="6400800,0" path="m0,0l6400800,0">
                  <v:stroke weight="1pt" endcap="flat" joinstyle="miter" miterlimit="10" on="true" color="#cccccc"/>
                  <v:fill on="false" color="#000000" opacity="0"/>
                </v:shape>
              </v:group>
            </w:pict>
          </mc:Fallback>
        </mc:AlternateContent>
      </w:r>
    </w:p>
    <w:p w14:paraId="015546C8" w14:textId="77777777" w:rsidR="00E75E50" w:rsidRDefault="00000000">
      <w:pPr>
        <w:spacing w:after="0" w:line="259" w:lineRule="auto"/>
        <w:ind w:left="0" w:firstLine="0"/>
      </w:pPr>
      <w:r>
        <w:rPr>
          <w:sz w:val="22"/>
        </w:rPr>
        <w:t>A checklist of the main issues to be considered when appointing a licensee of industrial designs and drafting a licence of industrial designs.</w:t>
      </w:r>
    </w:p>
    <w:p w14:paraId="3F890D18" w14:textId="77777777" w:rsidR="00E75E50" w:rsidRDefault="00000000">
      <w:pPr>
        <w:spacing w:after="0" w:line="259" w:lineRule="auto"/>
        <w:ind w:left="0" w:firstLine="0"/>
      </w:pPr>
      <w:r>
        <w:rPr>
          <w:sz w:val="22"/>
        </w:rPr>
        <w:t xml:space="preserve"> </w:t>
      </w:r>
    </w:p>
    <w:p w14:paraId="07C83288" w14:textId="77777777" w:rsidR="00E75E50" w:rsidRDefault="00000000">
      <w:pPr>
        <w:spacing w:after="278" w:line="259" w:lineRule="auto"/>
        <w:ind w:left="0" w:firstLine="0"/>
      </w:pPr>
      <w:r>
        <w:rPr>
          <w:rFonts w:ascii="Calibri" w:eastAsia="Calibri" w:hAnsi="Calibri" w:cs="Calibri"/>
          <w:noProof/>
          <w:color w:val="000000"/>
          <w:sz w:val="22"/>
        </w:rPr>
        <mc:AlternateContent>
          <mc:Choice Requires="wpg">
            <w:drawing>
              <wp:inline distT="0" distB="0" distL="0" distR="0" wp14:anchorId="7A24CF4C" wp14:editId="71319C0E">
                <wp:extent cx="6400800" cy="12700"/>
                <wp:effectExtent l="0" t="0" r="0" b="0"/>
                <wp:docPr id="4110" name="Group 411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24" name="Shape 2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0" style="width:504pt;height:1pt;mso-position-horizontal-relative:char;mso-position-vertical-relative:line" coordsize="64008,127">
                <v:shape id="Shape 24" style="position:absolute;width:64008;height:0;left:0;top:0;" coordsize="6400800,0" path="m0,0l6400800,0">
                  <v:stroke weight="1pt" endcap="flat" joinstyle="miter" miterlimit="10" on="true" color="#cccccc"/>
                  <v:fill on="false" color="#000000" opacity="0"/>
                </v:shape>
              </v:group>
            </w:pict>
          </mc:Fallback>
        </mc:AlternateContent>
      </w:r>
    </w:p>
    <w:p w14:paraId="26473E0F" w14:textId="77777777" w:rsidR="00E75E50" w:rsidRDefault="00000000">
      <w:pPr>
        <w:spacing w:after="1"/>
        <w:ind w:left="-5" w:right="56"/>
      </w:pPr>
      <w:r>
        <w:t>Points to consider when appointing a licensee of industrial designs and drafting a licence of industrial designs:</w:t>
      </w:r>
    </w:p>
    <w:p w14:paraId="16249733" w14:textId="77777777" w:rsidR="00E75E50" w:rsidRDefault="00000000">
      <w:pPr>
        <w:spacing w:after="48" w:line="259" w:lineRule="auto"/>
        <w:ind w:left="0" w:firstLine="0"/>
      </w:pPr>
      <w:r>
        <w:t xml:space="preserve"> </w:t>
      </w:r>
    </w:p>
    <w:p w14:paraId="14C93986" w14:textId="77777777" w:rsidR="00E75E50" w:rsidRDefault="00000000">
      <w:pPr>
        <w:pStyle w:val="Heading1"/>
        <w:spacing w:after="299" w:line="286" w:lineRule="auto"/>
        <w:ind w:left="-5"/>
      </w:pPr>
      <w:r>
        <w:rPr>
          <w:sz w:val="20"/>
        </w:rPr>
        <w:t>Drafting for Brexit</w:t>
      </w:r>
    </w:p>
    <w:p w14:paraId="06B093CA" w14:textId="77777777" w:rsidR="00E75E50" w:rsidRDefault="00000000">
      <w:pPr>
        <w:spacing w:after="274" w:line="286" w:lineRule="auto"/>
        <w:ind w:left="-5" w:right="-15"/>
        <w:jc w:val="both"/>
      </w:pPr>
      <w:r>
        <w:t>On 31 January 2020 (</w:t>
      </w:r>
      <w:hyperlink r:id="rId7">
        <w:r>
          <w:rPr>
            <w:i/>
            <w:color w:val="006EC3"/>
          </w:rPr>
          <w:t>exit day</w:t>
        </w:r>
      </w:hyperlink>
      <w:r>
        <w:t xml:space="preserve">), the UK left the EU and the UK-EU withdrawal agreement entered into force. Following the end of the </w:t>
      </w:r>
      <w:hyperlink r:id="rId8">
        <w:r>
          <w:rPr>
            <w:i/>
            <w:color w:val="006EC3"/>
          </w:rPr>
          <w:t>UK-EU transition period</w:t>
        </w:r>
      </w:hyperlink>
      <w:r>
        <w:t xml:space="preserve"> at 11.00 pm UK time on 31 December 2020, </w:t>
      </w:r>
      <w:hyperlink r:id="rId9">
        <w:r>
          <w:rPr>
            <w:i/>
            <w:color w:val="006EC3"/>
          </w:rPr>
          <w:t>retained EU law</w:t>
        </w:r>
      </w:hyperlink>
      <w:r>
        <w:t xml:space="preserve"> and the remaining withdrawal agreement provisions entered into force, and the </w:t>
      </w:r>
      <w:hyperlink r:id="rId10">
        <w:r>
          <w:rPr>
            <w:i/>
            <w:color w:val="006EC3"/>
          </w:rPr>
          <w:t>future relationship agreements</w:t>
        </w:r>
      </w:hyperlink>
      <w:r>
        <w:t xml:space="preserve"> (including the </w:t>
      </w:r>
      <w:hyperlink r:id="rId11">
        <w:r>
          <w:rPr>
            <w:i/>
            <w:color w:val="006EC3"/>
          </w:rPr>
          <w:t xml:space="preserve">UK-EU trade and co-operation </w:t>
        </w:r>
      </w:hyperlink>
      <w:hyperlink r:id="rId12">
        <w:r>
          <w:rPr>
            <w:i/>
            <w:color w:val="006EC3"/>
          </w:rPr>
          <w:t>agreement</w:t>
        </w:r>
      </w:hyperlink>
      <w:r>
        <w:t>) started to apply on a provisional basis, entering into force at 11.00 pm (UK time) on 30 April 2021. This resource has been reviewed and reflects the position from the end of the transition period.</w:t>
      </w:r>
    </w:p>
    <w:p w14:paraId="3F225226" w14:textId="77777777" w:rsidR="00E75E50" w:rsidRDefault="00000000">
      <w:pPr>
        <w:spacing w:after="274" w:line="286" w:lineRule="auto"/>
        <w:ind w:left="-5" w:right="-15"/>
        <w:jc w:val="both"/>
      </w:pPr>
      <w:r>
        <w:t xml:space="preserve">For general information on the withdrawal agreement, future relationship agreements, and the operation of UK law following the end of the transition period, see </w:t>
      </w:r>
      <w:hyperlink r:id="rId13">
        <w:r>
          <w:rPr>
            <w:i/>
            <w:color w:val="006EC3"/>
          </w:rPr>
          <w:t>UK legal change post-transition and UK-EU agreements toolkit</w:t>
        </w:r>
      </w:hyperlink>
      <w:r>
        <w:t xml:space="preserve"> and Practical Law’s </w:t>
      </w:r>
      <w:hyperlink r:id="rId14">
        <w:r>
          <w:rPr>
            <w:i/>
            <w:color w:val="006EC3"/>
          </w:rPr>
          <w:t xml:space="preserve">Brexit </w:t>
        </w:r>
      </w:hyperlink>
      <w:hyperlink r:id="rId15">
        <w:r>
          <w:rPr>
            <w:i/>
            <w:color w:val="006EC3"/>
          </w:rPr>
          <w:t>page</w:t>
        </w:r>
      </w:hyperlink>
      <w:r>
        <w:t>.</w:t>
      </w:r>
    </w:p>
    <w:p w14:paraId="22B64443" w14:textId="77777777" w:rsidR="00E75E50" w:rsidRDefault="00000000">
      <w:pPr>
        <w:spacing w:after="273"/>
        <w:ind w:left="-5" w:right="56"/>
      </w:pPr>
      <w:r>
        <w:t>For more information on the impact of Brexit on the topics covered by this resource, see the following help and information notes:</w:t>
      </w:r>
    </w:p>
    <w:p w14:paraId="45658A9E" w14:textId="77777777" w:rsidR="00E75E50" w:rsidRDefault="00000000">
      <w:pPr>
        <w:spacing w:after="295" w:line="265" w:lineRule="auto"/>
        <w:ind w:left="-5"/>
      </w:pPr>
      <w:hyperlink r:id="rId16">
        <w:r>
          <w:rPr>
            <w:i/>
            <w:color w:val="006EC3"/>
          </w:rPr>
          <w:t>Brexit materials: Commercial, contracts and disputes</w:t>
        </w:r>
      </w:hyperlink>
      <w:r>
        <w:t>.</w:t>
      </w:r>
    </w:p>
    <w:p w14:paraId="6383A5CA" w14:textId="77777777" w:rsidR="00E75E50" w:rsidRDefault="00000000">
      <w:pPr>
        <w:spacing w:after="295" w:line="265" w:lineRule="auto"/>
        <w:ind w:left="-5"/>
      </w:pPr>
      <w:hyperlink r:id="rId17">
        <w:r>
          <w:rPr>
            <w:i/>
            <w:color w:val="006EC3"/>
          </w:rPr>
          <w:t>Brexit materials: Competition, state aid and public procurement</w:t>
        </w:r>
      </w:hyperlink>
      <w:r>
        <w:t>.</w:t>
      </w:r>
    </w:p>
    <w:p w14:paraId="4C7C20C8" w14:textId="77777777" w:rsidR="00E75E50" w:rsidRDefault="00000000">
      <w:pPr>
        <w:spacing w:after="295" w:line="265" w:lineRule="auto"/>
        <w:ind w:left="-5"/>
      </w:pPr>
      <w:hyperlink r:id="rId18">
        <w:r>
          <w:rPr>
            <w:i/>
            <w:color w:val="006EC3"/>
          </w:rPr>
          <w:t>Brexit materials: Intellectual property and life sciences</w:t>
        </w:r>
      </w:hyperlink>
      <w:r>
        <w:t>.</w:t>
      </w:r>
    </w:p>
    <w:p w14:paraId="51026FCC" w14:textId="77777777" w:rsidR="00E75E50" w:rsidRDefault="00000000">
      <w:pPr>
        <w:spacing w:after="20" w:line="265" w:lineRule="auto"/>
        <w:ind w:left="-5"/>
      </w:pPr>
      <w:hyperlink r:id="rId19">
        <w:r>
          <w:rPr>
            <w:i/>
            <w:color w:val="006EC3"/>
          </w:rPr>
          <w:t>Brexit materials: Tax</w:t>
        </w:r>
      </w:hyperlink>
      <w:r>
        <w:t>.</w:t>
      </w:r>
    </w:p>
    <w:p w14:paraId="6587C876" w14:textId="77777777" w:rsidR="00E75E50" w:rsidRDefault="00000000">
      <w:pPr>
        <w:spacing w:after="48" w:line="259" w:lineRule="auto"/>
        <w:ind w:left="0" w:firstLine="0"/>
      </w:pPr>
      <w:r>
        <w:t xml:space="preserve"> </w:t>
      </w:r>
    </w:p>
    <w:p w14:paraId="25225187" w14:textId="77777777" w:rsidR="00E75E50" w:rsidRDefault="00000000">
      <w:pPr>
        <w:pStyle w:val="Heading1"/>
        <w:spacing w:after="513" w:line="286" w:lineRule="auto"/>
        <w:ind w:left="-5"/>
      </w:pPr>
      <w:r>
        <w:rPr>
          <w:sz w:val="20"/>
        </w:rPr>
        <w:t>Choosing a licensee</w:t>
      </w:r>
    </w:p>
    <w:p w14:paraId="309E68C8" w14:textId="77777777" w:rsidR="00E75E50" w:rsidRDefault="00000000">
      <w:pPr>
        <w:numPr>
          <w:ilvl w:val="0"/>
          <w:numId w:val="1"/>
        </w:numPr>
        <w:spacing w:after="400"/>
        <w:ind w:right="56" w:hanging="480"/>
      </w:pPr>
      <w:r>
        <w:t>Why appoint a licensee? What are the gaps in the licensor's expertise or resources?</w:t>
      </w:r>
    </w:p>
    <w:p w14:paraId="48269819" w14:textId="77777777" w:rsidR="00E75E50" w:rsidRDefault="00000000">
      <w:pPr>
        <w:numPr>
          <w:ilvl w:val="0"/>
          <w:numId w:val="1"/>
        </w:numPr>
        <w:spacing w:after="220"/>
        <w:ind w:right="56" w:hanging="480"/>
      </w:pPr>
      <w:r>
        <w:t>Draw up a shortlist of potential licensee companies for the particular territory based on factors such as:</w:t>
      </w:r>
    </w:p>
    <w:p w14:paraId="0BA5CFF3" w14:textId="77777777" w:rsidR="00E75E50" w:rsidRDefault="00000000">
      <w:pPr>
        <w:numPr>
          <w:ilvl w:val="0"/>
          <w:numId w:val="1"/>
        </w:numPr>
        <w:spacing w:after="400"/>
        <w:ind w:right="56" w:hanging="480"/>
      </w:pPr>
      <w:r>
        <w:t>strength and reputation in the local market;</w:t>
      </w:r>
    </w:p>
    <w:p w14:paraId="73276116" w14:textId="77777777" w:rsidR="00E75E50" w:rsidRDefault="00000000">
      <w:pPr>
        <w:numPr>
          <w:ilvl w:val="0"/>
          <w:numId w:val="1"/>
        </w:numPr>
        <w:spacing w:after="0"/>
        <w:ind w:right="56" w:hanging="480"/>
      </w:pPr>
      <w:r>
        <w:t>extent of existing distribution network;</w:t>
      </w:r>
    </w:p>
    <w:p w14:paraId="48C47198" w14:textId="77777777" w:rsidR="00E75E50" w:rsidRDefault="00000000">
      <w:pPr>
        <w:numPr>
          <w:ilvl w:val="0"/>
          <w:numId w:val="1"/>
        </w:numPr>
        <w:ind w:right="56" w:hanging="480"/>
      </w:pPr>
      <w:r>
        <w:lastRenderedPageBreak/>
        <w:t>manufacturing capacity.</w:t>
      </w:r>
    </w:p>
    <w:p w14:paraId="33469D93" w14:textId="77777777" w:rsidR="00E75E50" w:rsidRDefault="00000000">
      <w:pPr>
        <w:numPr>
          <w:ilvl w:val="0"/>
          <w:numId w:val="1"/>
        </w:numPr>
        <w:spacing w:after="391"/>
        <w:ind w:right="56" w:hanging="480"/>
      </w:pPr>
      <w:r>
        <w:t>Do the resources of the licensee (who may, for example, need to make substantial up-front investment) dovetail with the resources of the licensor (who may, for example, need to provide training and know-how)? How large is the potential licensee? How financially viable is it? Does the licensee have too many other commitments?</w:t>
      </w:r>
    </w:p>
    <w:p w14:paraId="3717E393" w14:textId="77777777" w:rsidR="00E75E50" w:rsidRDefault="00000000">
      <w:pPr>
        <w:numPr>
          <w:ilvl w:val="0"/>
          <w:numId w:val="1"/>
        </w:numPr>
        <w:spacing w:after="400"/>
        <w:ind w:right="56" w:hanging="480"/>
      </w:pPr>
      <w:r>
        <w:t>Does the licensee have good relations with governmental organisations?</w:t>
      </w:r>
    </w:p>
    <w:p w14:paraId="2A8249B5" w14:textId="77777777" w:rsidR="00E75E50" w:rsidRDefault="00000000">
      <w:pPr>
        <w:numPr>
          <w:ilvl w:val="0"/>
          <w:numId w:val="1"/>
        </w:numPr>
        <w:spacing w:after="390"/>
        <w:ind w:right="56" w:hanging="480"/>
      </w:pPr>
      <w:r>
        <w:t>What is the licensee's track record in similar projects? What is the extent of its knowledge and experience in the relevant market?</w:t>
      </w:r>
    </w:p>
    <w:p w14:paraId="63526D48" w14:textId="77777777" w:rsidR="00E75E50" w:rsidRDefault="00000000">
      <w:pPr>
        <w:numPr>
          <w:ilvl w:val="0"/>
          <w:numId w:val="1"/>
        </w:numPr>
        <w:spacing w:after="400"/>
        <w:ind w:right="56" w:hanging="480"/>
      </w:pPr>
      <w:r>
        <w:t>Have well-constructed business plans been put together by both the licensor and the licensee?</w:t>
      </w:r>
    </w:p>
    <w:p w14:paraId="6C375CC3" w14:textId="77777777" w:rsidR="00E75E50" w:rsidRDefault="00000000">
      <w:pPr>
        <w:numPr>
          <w:ilvl w:val="0"/>
          <w:numId w:val="1"/>
        </w:numPr>
        <w:spacing w:after="377"/>
        <w:ind w:right="56" w:hanging="480"/>
      </w:pPr>
      <w:r>
        <w:t>How good is the relationship between the licensor and the licensee? Are they properly motivated to make the arrangements work?</w:t>
      </w:r>
    </w:p>
    <w:p w14:paraId="22EE9D7A" w14:textId="77777777" w:rsidR="00E75E50" w:rsidRDefault="00000000">
      <w:pPr>
        <w:spacing w:after="48" w:line="259" w:lineRule="auto"/>
        <w:ind w:left="0" w:firstLine="0"/>
      </w:pPr>
      <w:r>
        <w:t xml:space="preserve"> </w:t>
      </w:r>
    </w:p>
    <w:p w14:paraId="371C15E1" w14:textId="77777777" w:rsidR="00E75E50" w:rsidRDefault="00000000">
      <w:pPr>
        <w:spacing w:after="607" w:line="286" w:lineRule="auto"/>
        <w:ind w:left="-5"/>
      </w:pPr>
      <w:r>
        <w:rPr>
          <w:b/>
          <w:color w:val="3D3D3D"/>
        </w:rPr>
        <w:t>Preliminary matters</w:t>
      </w:r>
    </w:p>
    <w:p w14:paraId="4B803A4B" w14:textId="77777777" w:rsidR="00E75E50" w:rsidRDefault="00000000">
      <w:pPr>
        <w:pStyle w:val="Heading1"/>
        <w:ind w:left="-5"/>
      </w:pPr>
      <w:r>
        <w:t>Parties</w:t>
      </w:r>
    </w:p>
    <w:p w14:paraId="11493C1F" w14:textId="77777777" w:rsidR="00E75E50" w:rsidRDefault="00000000">
      <w:pPr>
        <w:ind w:left="465" w:right="56" w:hanging="480"/>
      </w:pPr>
      <w:r>
        <w:t>•</w:t>
      </w:r>
      <w:r>
        <w:tab/>
        <w:t>Should the licensee's parent company or other shareholders give a guarantee? Will the licensor's parent company or other shareholders be asked to give a guarantee? Do any of them need to be made a party to the licence to ensure compliance with a non-compete clause? Do any other companies within the licensee's group need the benefit of the licence? Is the licensor the proprietor of the rights? If not, will the licensee require the proprietor be made a party to the licence? Consider the possible competition law consequences of adding extra parties.</w:t>
      </w:r>
    </w:p>
    <w:p w14:paraId="419421D1" w14:textId="77777777" w:rsidR="00E75E50" w:rsidRDefault="00000000">
      <w:pPr>
        <w:pStyle w:val="Heading1"/>
        <w:ind w:left="-5"/>
      </w:pPr>
      <w:r>
        <w:t>Standard licences</w:t>
      </w:r>
    </w:p>
    <w:p w14:paraId="6AE21D60" w14:textId="77777777" w:rsidR="00E75E50" w:rsidRDefault="00000000">
      <w:pPr>
        <w:ind w:left="465" w:right="56" w:hanging="480"/>
      </w:pPr>
      <w:r>
        <w:t>•</w:t>
      </w:r>
      <w:r>
        <w:tab/>
        <w:t>Is there to be licensing in several jurisdictions, or a number of licences in one jurisdiction? If so, is it necessary to prepare a standard form of licence to ensure uniformity?</w:t>
      </w:r>
    </w:p>
    <w:p w14:paraId="7F8DCC87" w14:textId="77777777" w:rsidR="00E75E50" w:rsidRDefault="00000000">
      <w:pPr>
        <w:pStyle w:val="Heading1"/>
        <w:ind w:left="-5"/>
      </w:pPr>
      <w:r>
        <w:t>Incentives</w:t>
      </w:r>
    </w:p>
    <w:p w14:paraId="7DEC6388" w14:textId="77777777" w:rsidR="00E75E50" w:rsidRDefault="00000000">
      <w:pPr>
        <w:ind w:left="465" w:right="56" w:hanging="480"/>
      </w:pPr>
      <w:r>
        <w:t>•</w:t>
      </w:r>
      <w:r>
        <w:tab/>
        <w:t>How can the licensee's incentive to promote the product be maximised? Consider, for example, a "best endeavours to promote" obligation and specific obligations.</w:t>
      </w:r>
    </w:p>
    <w:p w14:paraId="70B3486C" w14:textId="77777777" w:rsidR="00E75E50" w:rsidRDefault="00000000">
      <w:pPr>
        <w:pStyle w:val="Heading1"/>
        <w:ind w:left="-5"/>
      </w:pPr>
      <w:r>
        <w:lastRenderedPageBreak/>
        <w:t>Royalties</w:t>
      </w:r>
    </w:p>
    <w:p w14:paraId="28EE465B" w14:textId="77777777" w:rsidR="00E75E50" w:rsidRDefault="00000000">
      <w:pPr>
        <w:numPr>
          <w:ilvl w:val="0"/>
          <w:numId w:val="2"/>
        </w:numPr>
        <w:spacing w:after="220"/>
        <w:ind w:right="56" w:hanging="480"/>
      </w:pPr>
      <w:r>
        <w:t>Consider the issues which may affect the level of royalties, such as:</w:t>
      </w:r>
    </w:p>
    <w:p w14:paraId="580DD2EB" w14:textId="77777777" w:rsidR="00E75E50" w:rsidRDefault="00000000">
      <w:pPr>
        <w:numPr>
          <w:ilvl w:val="0"/>
          <w:numId w:val="2"/>
        </w:numPr>
        <w:spacing w:after="400"/>
        <w:ind w:right="56" w:hanging="480"/>
      </w:pPr>
      <w:r>
        <w:t>degree of exclusivity;</w:t>
      </w:r>
    </w:p>
    <w:p w14:paraId="2561749D" w14:textId="77777777" w:rsidR="00E75E50" w:rsidRDefault="00000000">
      <w:pPr>
        <w:numPr>
          <w:ilvl w:val="0"/>
          <w:numId w:val="2"/>
        </w:numPr>
        <w:spacing w:after="400"/>
        <w:ind w:right="56" w:hanging="480"/>
      </w:pPr>
      <w:r>
        <w:t>nature of licensed technology;</w:t>
      </w:r>
    </w:p>
    <w:p w14:paraId="26C36C73" w14:textId="77777777" w:rsidR="00E75E50" w:rsidRDefault="00000000">
      <w:pPr>
        <w:numPr>
          <w:ilvl w:val="0"/>
          <w:numId w:val="2"/>
        </w:numPr>
        <w:spacing w:after="400"/>
        <w:ind w:right="56" w:hanging="480"/>
      </w:pPr>
      <w:r>
        <w:t>location of licensee's jurisdiction;</w:t>
      </w:r>
    </w:p>
    <w:p w14:paraId="32244135" w14:textId="77777777" w:rsidR="00E75E50" w:rsidRDefault="00000000">
      <w:pPr>
        <w:numPr>
          <w:ilvl w:val="0"/>
          <w:numId w:val="2"/>
        </w:numPr>
        <w:spacing w:after="400"/>
        <w:ind w:right="56" w:hanging="480"/>
      </w:pPr>
      <w:r>
        <w:t>period of licence;</w:t>
      </w:r>
    </w:p>
    <w:p w14:paraId="33E66865" w14:textId="77777777" w:rsidR="00E75E50" w:rsidRDefault="00000000">
      <w:pPr>
        <w:numPr>
          <w:ilvl w:val="0"/>
          <w:numId w:val="2"/>
        </w:numPr>
        <w:spacing w:after="400"/>
        <w:ind w:right="56" w:hanging="480"/>
      </w:pPr>
      <w:r>
        <w:t>relative bargaining positions of the parties;</w:t>
      </w:r>
    </w:p>
    <w:p w14:paraId="293FB1E0" w14:textId="77777777" w:rsidR="00E75E50" w:rsidRDefault="00000000">
      <w:pPr>
        <w:numPr>
          <w:ilvl w:val="0"/>
          <w:numId w:val="2"/>
        </w:numPr>
        <w:spacing w:after="400"/>
        <w:ind w:right="56" w:hanging="480"/>
      </w:pPr>
      <w:r>
        <w:t>whether know-how will also be licensed;</w:t>
      </w:r>
    </w:p>
    <w:p w14:paraId="0B97A749" w14:textId="77777777" w:rsidR="00E75E50" w:rsidRDefault="00000000">
      <w:pPr>
        <w:numPr>
          <w:ilvl w:val="0"/>
          <w:numId w:val="2"/>
        </w:numPr>
        <w:ind w:right="56" w:hanging="480"/>
      </w:pPr>
      <w:r>
        <w:t>possible effect of specific warranties.</w:t>
      </w:r>
    </w:p>
    <w:p w14:paraId="53F944E1" w14:textId="77777777" w:rsidR="00E75E50" w:rsidRDefault="00000000">
      <w:pPr>
        <w:numPr>
          <w:ilvl w:val="0"/>
          <w:numId w:val="2"/>
        </w:numPr>
        <w:spacing w:after="220"/>
        <w:ind w:right="56" w:hanging="480"/>
      </w:pPr>
      <w:r>
        <w:t>What royalty mechanisms will be used? Consider, for example:</w:t>
      </w:r>
    </w:p>
    <w:p w14:paraId="1CD44FC5" w14:textId="77777777" w:rsidR="00E75E50" w:rsidRDefault="00000000">
      <w:pPr>
        <w:numPr>
          <w:ilvl w:val="0"/>
          <w:numId w:val="2"/>
        </w:numPr>
        <w:spacing w:after="400"/>
        <w:ind w:right="56" w:hanging="480"/>
      </w:pPr>
      <w:r>
        <w:t>higher royalty rates for higher turnover levels;</w:t>
      </w:r>
    </w:p>
    <w:p w14:paraId="1804FEDA" w14:textId="77777777" w:rsidR="00E75E50" w:rsidRDefault="00000000">
      <w:pPr>
        <w:numPr>
          <w:ilvl w:val="0"/>
          <w:numId w:val="2"/>
        </w:numPr>
        <w:spacing w:after="400"/>
        <w:ind w:right="56" w:hanging="480"/>
      </w:pPr>
      <w:r>
        <w:t>guaranteed minimum royalty levels;</w:t>
      </w:r>
    </w:p>
    <w:p w14:paraId="12B1B336" w14:textId="77777777" w:rsidR="00E75E50" w:rsidRDefault="00000000">
      <w:pPr>
        <w:numPr>
          <w:ilvl w:val="0"/>
          <w:numId w:val="2"/>
        </w:numPr>
        <w:spacing w:after="400"/>
        <w:ind w:right="56" w:hanging="480"/>
      </w:pPr>
      <w:r>
        <w:t>up-front fee (as stand-alone or advance against royalties?);</w:t>
      </w:r>
    </w:p>
    <w:p w14:paraId="4634D311" w14:textId="77777777" w:rsidR="00E75E50" w:rsidRDefault="00000000">
      <w:pPr>
        <w:numPr>
          <w:ilvl w:val="0"/>
          <w:numId w:val="2"/>
        </w:numPr>
        <w:spacing w:after="964"/>
        <w:ind w:right="56" w:hanging="480"/>
      </w:pPr>
      <w:r>
        <w:t>basis for payment (for example, percentage of sales turnover (less agreed discounts), units of production or net profits).</w:t>
      </w:r>
    </w:p>
    <w:p w14:paraId="739212B5" w14:textId="77777777" w:rsidR="00E75E50" w:rsidRDefault="00000000">
      <w:pPr>
        <w:pStyle w:val="Heading1"/>
        <w:ind w:left="-5"/>
      </w:pPr>
      <w:r>
        <w:t>Heads of agreement</w:t>
      </w:r>
    </w:p>
    <w:p w14:paraId="45E49A4C" w14:textId="77777777" w:rsidR="00E75E50" w:rsidRDefault="00000000">
      <w:pPr>
        <w:numPr>
          <w:ilvl w:val="0"/>
          <w:numId w:val="3"/>
        </w:numPr>
        <w:ind w:right="56" w:hanging="480"/>
      </w:pPr>
      <w:r>
        <w:t>Ensure they are non-binding and that both parties are aware that if they proceed with investment on this basis it is at their own risk.</w:t>
      </w:r>
    </w:p>
    <w:p w14:paraId="6E0028DA" w14:textId="77777777" w:rsidR="00E75E50" w:rsidRDefault="00000000">
      <w:pPr>
        <w:spacing w:after="470" w:line="265" w:lineRule="auto"/>
        <w:ind w:left="-5"/>
      </w:pPr>
      <w:r>
        <w:rPr>
          <w:b/>
          <w:color w:val="3D3D3D"/>
          <w:sz w:val="24"/>
        </w:rPr>
        <w:t>Confidentiality</w:t>
      </w:r>
    </w:p>
    <w:p w14:paraId="172C2BD5" w14:textId="77777777" w:rsidR="00E75E50" w:rsidRDefault="00000000">
      <w:pPr>
        <w:numPr>
          <w:ilvl w:val="0"/>
          <w:numId w:val="3"/>
        </w:numPr>
        <w:ind w:right="56" w:hanging="480"/>
      </w:pPr>
      <w:r>
        <w:t>Does the confidentiality agreement cover key know-how and information?</w:t>
      </w:r>
    </w:p>
    <w:p w14:paraId="149A4EF1" w14:textId="77777777" w:rsidR="00E75E50" w:rsidRDefault="00000000">
      <w:pPr>
        <w:pStyle w:val="Heading1"/>
        <w:ind w:left="-5"/>
      </w:pPr>
      <w:r>
        <w:lastRenderedPageBreak/>
        <w:t>Local laws</w:t>
      </w:r>
    </w:p>
    <w:p w14:paraId="7ED32EBE" w14:textId="77777777" w:rsidR="00E75E50" w:rsidRDefault="00000000">
      <w:pPr>
        <w:ind w:left="465" w:right="147" w:hanging="480"/>
      </w:pPr>
      <w:r>
        <w:t>•</w:t>
      </w:r>
      <w:r>
        <w:tab/>
        <w:t>What level of protection is afforded under local law for the licensor's industrial designs? What local formalities are necessary for the licence of rights? Are there any mandatory local law provisions which override English law even if it is the chosen law of the contract? Consider local tax and competition laws. How are infringements dealt with in the licensee's territory?</w:t>
      </w:r>
    </w:p>
    <w:p w14:paraId="06B51BE6" w14:textId="77777777" w:rsidR="00E75E50" w:rsidRDefault="00000000">
      <w:pPr>
        <w:pStyle w:val="Heading1"/>
        <w:ind w:left="-5"/>
      </w:pPr>
      <w:r>
        <w:t>Competition law</w:t>
      </w:r>
    </w:p>
    <w:p w14:paraId="6CFBF72E" w14:textId="77777777" w:rsidR="00E75E50" w:rsidRDefault="00000000">
      <w:pPr>
        <w:ind w:left="465" w:right="56" w:hanging="480"/>
      </w:pPr>
      <w:r>
        <w:t>•</w:t>
      </w:r>
      <w:r>
        <w:tab/>
        <w:t>Do any of the proposed licence provisions raise competition law issues under UK or EU competition law? Consider the Chapter I and Chapter II prohibitions in the Competition Act 1998 and Articles 101, 102 and 34-36 of the Treaty on the Functioning of the European Union. The licence may be covered by the EU technology transfer block exemption (Regulation 316/2014) which came into effect on 1 May 2014, replacing the previous block exemption (</w:t>
      </w:r>
      <w:hyperlink r:id="rId20">
        <w:r>
          <w:rPr>
            <w:i/>
            <w:color w:val="006EC3"/>
          </w:rPr>
          <w:t xml:space="preserve">Regulation </w:t>
        </w:r>
      </w:hyperlink>
      <w:hyperlink r:id="rId21">
        <w:r>
          <w:rPr>
            <w:i/>
            <w:color w:val="006EC3"/>
          </w:rPr>
          <w:t>772/2004</w:t>
        </w:r>
      </w:hyperlink>
      <w:r>
        <w:t xml:space="preserve">). Further, the licence may benefit from the exemption as a "retained exemption" under UK law. For further details on the block exemptions see </w:t>
      </w:r>
      <w:hyperlink r:id="rId22">
        <w:r>
          <w:rPr>
            <w:i/>
            <w:color w:val="006EC3"/>
          </w:rPr>
          <w:t>Practice note, Competition law in patent exploitation</w:t>
        </w:r>
      </w:hyperlink>
      <w:r>
        <w:rPr>
          <w:i/>
        </w:rPr>
        <w:t>.</w:t>
      </w:r>
    </w:p>
    <w:p w14:paraId="19469B7F" w14:textId="77777777" w:rsidR="00E75E50" w:rsidRDefault="00000000">
      <w:pPr>
        <w:pStyle w:val="Heading1"/>
        <w:ind w:left="-5"/>
      </w:pPr>
      <w:r>
        <w:t>Taxation</w:t>
      </w:r>
    </w:p>
    <w:p w14:paraId="44C80D4F" w14:textId="77777777" w:rsidR="00E75E50" w:rsidRDefault="00000000">
      <w:pPr>
        <w:spacing w:after="377"/>
        <w:ind w:left="465" w:right="56" w:hanging="480"/>
      </w:pPr>
      <w:r>
        <w:t>•</w:t>
      </w:r>
      <w:r>
        <w:tab/>
        <w:t>Will payments from the licensee's jurisdiction be subject to withholding tax? If so, is there a double taxation agreement between the countries involved?</w:t>
      </w:r>
    </w:p>
    <w:p w14:paraId="49B3760D" w14:textId="77777777" w:rsidR="00E75E50" w:rsidRDefault="00000000">
      <w:pPr>
        <w:spacing w:after="48" w:line="259" w:lineRule="auto"/>
        <w:ind w:left="0" w:firstLine="0"/>
      </w:pPr>
      <w:r>
        <w:t xml:space="preserve"> </w:t>
      </w:r>
    </w:p>
    <w:p w14:paraId="04C4AF36" w14:textId="77777777" w:rsidR="00E75E50" w:rsidRDefault="00000000">
      <w:pPr>
        <w:spacing w:after="607" w:line="286" w:lineRule="auto"/>
        <w:ind w:left="-5"/>
      </w:pPr>
      <w:r>
        <w:rPr>
          <w:b/>
          <w:color w:val="3D3D3D"/>
        </w:rPr>
        <w:t>Licence provisions</w:t>
      </w:r>
    </w:p>
    <w:p w14:paraId="08825FF8" w14:textId="77777777" w:rsidR="00E75E50" w:rsidRDefault="00000000">
      <w:pPr>
        <w:pStyle w:val="Heading1"/>
        <w:ind w:left="-5"/>
      </w:pPr>
      <w:r>
        <w:t>Definitions</w:t>
      </w:r>
    </w:p>
    <w:p w14:paraId="0CA86D29" w14:textId="77777777" w:rsidR="00E75E50" w:rsidRDefault="00000000">
      <w:pPr>
        <w:tabs>
          <w:tab w:val="center" w:pos="2943"/>
        </w:tabs>
        <w:spacing w:after="186"/>
        <w:ind w:left="-15" w:firstLine="0"/>
      </w:pPr>
      <w:r>
        <w:t>•</w:t>
      </w:r>
      <w:r>
        <w:tab/>
        <w:t>Definitions must be accurately drafted; consider in particular:</w:t>
      </w:r>
    </w:p>
    <w:p w14:paraId="34707CFC" w14:textId="77777777" w:rsidR="00E75E50" w:rsidRDefault="00000000">
      <w:pPr>
        <w:spacing w:after="178"/>
        <w:ind w:left="490" w:right="56"/>
      </w:pPr>
      <w:r>
        <w:t>"Intellectual Property Rights" (which must be wide enough to encompass the licensed rights, but not give away any rights that the licensor wishes to retain);</w:t>
      </w:r>
    </w:p>
    <w:p w14:paraId="5A77A723" w14:textId="77777777" w:rsidR="00E75E50" w:rsidRDefault="00000000">
      <w:pPr>
        <w:spacing w:after="178"/>
        <w:ind w:left="490" w:right="56"/>
      </w:pPr>
      <w:r>
        <w:t>"Products" (which may need to be defined narrowly in order to restrict the range of products to which the licence applies); and</w:t>
      </w:r>
    </w:p>
    <w:p w14:paraId="3B53D084" w14:textId="77777777" w:rsidR="00E75E50" w:rsidRDefault="00000000">
      <w:pPr>
        <w:ind w:left="490" w:right="56"/>
      </w:pPr>
      <w:r>
        <w:t>"Net Sales Value" (where it will be necessary to consider what deductions may be made from the sales price or value and whether the sales price or value used is, for example, to be the retail price or ex-works sales value).</w:t>
      </w:r>
    </w:p>
    <w:p w14:paraId="197339E3" w14:textId="77777777" w:rsidR="00E75E50" w:rsidRDefault="00000000">
      <w:pPr>
        <w:pStyle w:val="Heading1"/>
        <w:ind w:left="-5"/>
      </w:pPr>
      <w:r>
        <w:lastRenderedPageBreak/>
        <w:t>Term</w:t>
      </w:r>
    </w:p>
    <w:p w14:paraId="74807C73" w14:textId="77777777" w:rsidR="00E75E50" w:rsidRDefault="00000000">
      <w:pPr>
        <w:ind w:left="465" w:right="56" w:hanging="480"/>
      </w:pPr>
      <w:r>
        <w:t>•</w:t>
      </w:r>
      <w:r>
        <w:tab/>
        <w:t>How long will the licence run? What provisions will there be for notice to terminate? Will there be provision for extension?</w:t>
      </w:r>
    </w:p>
    <w:p w14:paraId="00333075" w14:textId="77777777" w:rsidR="00E75E50" w:rsidRDefault="00000000">
      <w:pPr>
        <w:pStyle w:val="Heading1"/>
        <w:ind w:left="-5"/>
      </w:pPr>
      <w:r>
        <w:t>Grant</w:t>
      </w:r>
    </w:p>
    <w:p w14:paraId="46D6A28A" w14:textId="77777777" w:rsidR="00E75E50" w:rsidRDefault="00000000">
      <w:pPr>
        <w:ind w:left="465" w:right="56" w:hanging="480"/>
      </w:pPr>
      <w:r>
        <w:t>•</w:t>
      </w:r>
      <w:r>
        <w:tab/>
        <w:t>Is the licence to be exclusive, sole or non-exclusive - does the licensor see future opportunities for licensing in the territory? Is there an adequate minimum royalty stream if exclusive rights are granted? Can rights be converted back to non-exclusive if targets are not met?</w:t>
      </w:r>
    </w:p>
    <w:p w14:paraId="33265E27" w14:textId="77777777" w:rsidR="00E75E50" w:rsidRDefault="00000000">
      <w:pPr>
        <w:pStyle w:val="Heading1"/>
        <w:ind w:left="-5"/>
      </w:pPr>
      <w:r>
        <w:t>Scope</w:t>
      </w:r>
    </w:p>
    <w:p w14:paraId="61F6D41C" w14:textId="77777777" w:rsidR="00E75E50" w:rsidRDefault="00000000">
      <w:pPr>
        <w:ind w:left="465" w:right="56" w:hanging="480"/>
      </w:pPr>
      <w:r>
        <w:t>•</w:t>
      </w:r>
      <w:r>
        <w:tab/>
        <w:t>Ensure that the territory is unambiguous. Will there be limitations on the purpose of use (manufacture, own use, marketing and sale)?</w:t>
      </w:r>
    </w:p>
    <w:p w14:paraId="55341D1F" w14:textId="77777777" w:rsidR="00E75E50" w:rsidRDefault="00000000">
      <w:pPr>
        <w:pStyle w:val="Heading1"/>
        <w:ind w:left="-5"/>
      </w:pPr>
      <w:r>
        <w:t>Sub-licensing; sub-contracting; assignment</w:t>
      </w:r>
    </w:p>
    <w:p w14:paraId="4B4E1E21" w14:textId="77777777" w:rsidR="00E75E50" w:rsidRDefault="00000000">
      <w:pPr>
        <w:spacing w:after="686" w:line="286" w:lineRule="auto"/>
        <w:ind w:left="465" w:right="284" w:hanging="480"/>
        <w:jc w:val="both"/>
      </w:pPr>
      <w:r>
        <w:t>• Which, if any, of these will be permitted? If sub-licensing is permitted, royalty provisions must be drafted to include supplies by sub-licensees. Will any distinction be drawn between assignment within the parties' groups and to third parties?</w:t>
      </w:r>
    </w:p>
    <w:p w14:paraId="0EE6B919" w14:textId="77777777" w:rsidR="00E75E50" w:rsidRDefault="00000000">
      <w:pPr>
        <w:pStyle w:val="Heading1"/>
        <w:ind w:left="-5"/>
      </w:pPr>
      <w:r>
        <w:t>Conditions precedent</w:t>
      </w:r>
    </w:p>
    <w:p w14:paraId="4457B725" w14:textId="77777777" w:rsidR="00E75E50" w:rsidRDefault="00000000">
      <w:pPr>
        <w:ind w:left="465" w:right="56" w:hanging="480"/>
      </w:pPr>
      <w:r>
        <w:t>•</w:t>
      </w:r>
      <w:r>
        <w:tab/>
        <w:t>Does the licence need to be made subject to the satisfaction of conditions precedent, such as the obtaining of regulatory, exchange control or tax consents? If so, consider specifying a time limit within which the conditions must be satisfied.</w:t>
      </w:r>
    </w:p>
    <w:p w14:paraId="7419CFB8" w14:textId="77777777" w:rsidR="00E75E50" w:rsidRDefault="00000000">
      <w:pPr>
        <w:pStyle w:val="Heading1"/>
        <w:ind w:left="-5"/>
      </w:pPr>
      <w:r>
        <w:t>Quality controls; compliance with regulations</w:t>
      </w:r>
    </w:p>
    <w:p w14:paraId="1D42B869" w14:textId="77777777" w:rsidR="00E75E50" w:rsidRDefault="00000000">
      <w:pPr>
        <w:numPr>
          <w:ilvl w:val="0"/>
          <w:numId w:val="4"/>
        </w:numPr>
        <w:spacing w:after="220"/>
        <w:ind w:right="56" w:hanging="480"/>
      </w:pPr>
      <w:r>
        <w:t>Consider provisions requiring the licensee to:</w:t>
      </w:r>
    </w:p>
    <w:p w14:paraId="23A963A5" w14:textId="77777777" w:rsidR="00E75E50" w:rsidRDefault="00000000">
      <w:pPr>
        <w:numPr>
          <w:ilvl w:val="0"/>
          <w:numId w:val="4"/>
        </w:numPr>
        <w:spacing w:after="400"/>
        <w:ind w:right="56" w:hanging="480"/>
      </w:pPr>
      <w:r>
        <w:t>comply with quality standards specified by the licensor;</w:t>
      </w:r>
    </w:p>
    <w:p w14:paraId="34608011" w14:textId="77777777" w:rsidR="00E75E50" w:rsidRDefault="00000000">
      <w:pPr>
        <w:numPr>
          <w:ilvl w:val="0"/>
          <w:numId w:val="4"/>
        </w:numPr>
        <w:spacing w:after="400"/>
        <w:ind w:right="56" w:hanging="480"/>
      </w:pPr>
      <w:r>
        <w:t>comply with applicable laws and regulations;</w:t>
      </w:r>
    </w:p>
    <w:p w14:paraId="751DDED2" w14:textId="77777777" w:rsidR="00E75E50" w:rsidRDefault="00000000">
      <w:pPr>
        <w:numPr>
          <w:ilvl w:val="0"/>
          <w:numId w:val="4"/>
        </w:numPr>
        <w:spacing w:after="418" w:line="265" w:lineRule="auto"/>
        <w:ind w:right="56" w:hanging="480"/>
      </w:pPr>
      <w:r>
        <w:lastRenderedPageBreak/>
        <w:t>mark products in accordance with the licensor's instructions and use the get-up determined by the licensor;</w:t>
      </w:r>
    </w:p>
    <w:p w14:paraId="15FA058B" w14:textId="77777777" w:rsidR="00E75E50" w:rsidRDefault="00000000">
      <w:pPr>
        <w:numPr>
          <w:ilvl w:val="0"/>
          <w:numId w:val="4"/>
        </w:numPr>
        <w:spacing w:after="418" w:line="265" w:lineRule="auto"/>
        <w:ind w:right="56" w:hanging="480"/>
      </w:pPr>
      <w:r>
        <w:t>provide samples of the products and items used in the manufacturing process for approval by the licensor;</w:t>
      </w:r>
    </w:p>
    <w:p w14:paraId="33B364A9" w14:textId="77777777" w:rsidR="00E75E50" w:rsidRDefault="00000000">
      <w:pPr>
        <w:numPr>
          <w:ilvl w:val="0"/>
          <w:numId w:val="4"/>
        </w:numPr>
        <w:ind w:right="56" w:hanging="480"/>
      </w:pPr>
      <w:r>
        <w:t>allow the licensor access to the licensee's premises for the purpose of inspection.</w:t>
      </w:r>
    </w:p>
    <w:p w14:paraId="042985F5" w14:textId="77777777" w:rsidR="00E75E50" w:rsidRDefault="00000000">
      <w:pPr>
        <w:numPr>
          <w:ilvl w:val="0"/>
          <w:numId w:val="4"/>
        </w:numPr>
        <w:ind w:right="56" w:hanging="480"/>
      </w:pPr>
      <w:r>
        <w:t>Will any additional obligations (for example, requiring the licensee to contract on specified terms and deal with specific categories of dealers or customers) give rise to competition law problems?</w:t>
      </w:r>
    </w:p>
    <w:p w14:paraId="4804C452" w14:textId="77777777" w:rsidR="00E75E50" w:rsidRDefault="00000000">
      <w:pPr>
        <w:pStyle w:val="Heading1"/>
        <w:ind w:left="-5"/>
      </w:pPr>
      <w:r>
        <w:t>Royalties</w:t>
      </w:r>
    </w:p>
    <w:p w14:paraId="79EC6017" w14:textId="77777777" w:rsidR="00E75E50" w:rsidRDefault="00000000">
      <w:pPr>
        <w:ind w:left="465" w:right="153" w:hanging="480"/>
      </w:pPr>
      <w:r>
        <w:t>•</w:t>
      </w:r>
      <w:r>
        <w:tab/>
        <w:t>What is the royalty rate? Is there an initial up-front payment and, if so, will it be stand-alone or an advance against royalties? What payments are due and when? Will there be a minimum royalty? If so, what are the consequences of failing to meet the minimum? Is VAT expressly excluded, so that it is payable in addition to all payments under the licence? How will payments be made? If a foreign currency is involved, have conversion procedures been included? Is there provision for interest on late payments? What reporting obligations will the licensee have? Has the licensor reserved a right to inspect the licensee's accounting books and records?</w:t>
      </w:r>
    </w:p>
    <w:p w14:paraId="7C2F5E8B" w14:textId="77777777" w:rsidR="00E75E50" w:rsidRDefault="00000000">
      <w:pPr>
        <w:pStyle w:val="Heading1"/>
        <w:ind w:left="-5"/>
      </w:pPr>
      <w:r>
        <w:t>Improvements</w:t>
      </w:r>
    </w:p>
    <w:p w14:paraId="404AF501" w14:textId="77777777" w:rsidR="00E75E50" w:rsidRDefault="00000000">
      <w:pPr>
        <w:ind w:left="465" w:right="56" w:hanging="480"/>
      </w:pPr>
      <w:r>
        <w:t>•</w:t>
      </w:r>
      <w:r>
        <w:tab/>
        <w:t>Who is to own the rights to improvements? Will the licensor have the right to use improvements owned by the licensee?</w:t>
      </w:r>
    </w:p>
    <w:p w14:paraId="16A6009B" w14:textId="77777777" w:rsidR="00E75E50" w:rsidRDefault="00000000">
      <w:pPr>
        <w:pStyle w:val="Heading1"/>
        <w:ind w:left="-5"/>
      </w:pPr>
      <w:r>
        <w:t>Warranties and indemnities</w:t>
      </w:r>
    </w:p>
    <w:p w14:paraId="7971FA98" w14:textId="77777777" w:rsidR="00E75E50" w:rsidRDefault="00000000">
      <w:pPr>
        <w:ind w:left="465" w:right="56" w:hanging="480"/>
      </w:pPr>
      <w:r>
        <w:t>•</w:t>
      </w:r>
      <w:r>
        <w:tab/>
        <w:t>Can warranties be given regarding ownership of the intellectual property rights? Are such rights in the name of the licensor? Who is the registered proprietor of any registered rights, that is, registered designs? Has the licensor obtained an indemnity from the licensee in respect of product liability claims and will this be backed up by an obligation to insure against such claims on the part of the licensee?</w:t>
      </w:r>
    </w:p>
    <w:p w14:paraId="24A79394" w14:textId="77777777" w:rsidR="00E75E50" w:rsidRDefault="00000000">
      <w:pPr>
        <w:pStyle w:val="Heading1"/>
        <w:ind w:left="-5"/>
      </w:pPr>
      <w:r>
        <w:t>Infringement of intellectual property rights</w:t>
      </w:r>
    </w:p>
    <w:p w14:paraId="4BD56011" w14:textId="77777777" w:rsidR="00E75E50" w:rsidRDefault="00000000">
      <w:pPr>
        <w:numPr>
          <w:ilvl w:val="0"/>
          <w:numId w:val="5"/>
        </w:numPr>
        <w:spacing w:after="0"/>
        <w:ind w:right="56" w:hanging="480"/>
      </w:pPr>
      <w:r>
        <w:t>Will the licensor be prepared to give warranties and will the licensor be prepared to back any warranties by indemnifying the licensee against claims that the licensed rights infringe third party rights, or will the licensee be expected to carry out its own due diligence? Will the licensor have the right to control actions against third parties for infringement of the licensed rights? Will the licensee be required to co-operate in such actions? Who will bear the cost?</w:t>
      </w:r>
    </w:p>
    <w:p w14:paraId="53D35B12" w14:textId="77777777" w:rsidR="00E75E50" w:rsidRDefault="00000000">
      <w:pPr>
        <w:ind w:left="490" w:right="56"/>
      </w:pPr>
      <w:r>
        <w:lastRenderedPageBreak/>
        <w:t>Who will receive the damages?</w:t>
      </w:r>
    </w:p>
    <w:p w14:paraId="6E5994C8" w14:textId="77777777" w:rsidR="00E75E50" w:rsidRDefault="00000000">
      <w:pPr>
        <w:spacing w:after="470" w:line="265" w:lineRule="auto"/>
        <w:ind w:left="-5"/>
      </w:pPr>
      <w:r>
        <w:rPr>
          <w:b/>
          <w:color w:val="3D3D3D"/>
          <w:sz w:val="24"/>
        </w:rPr>
        <w:t>Confidentiality</w:t>
      </w:r>
    </w:p>
    <w:p w14:paraId="7DADB54A" w14:textId="77777777" w:rsidR="00E75E50" w:rsidRDefault="00000000">
      <w:pPr>
        <w:numPr>
          <w:ilvl w:val="0"/>
          <w:numId w:val="5"/>
        </w:numPr>
        <w:ind w:right="56" w:hanging="480"/>
      </w:pPr>
      <w:r>
        <w:t>Ensure that a clear confidentiality provision is incorporated.</w:t>
      </w:r>
    </w:p>
    <w:p w14:paraId="0C10C2CF" w14:textId="77777777" w:rsidR="00E75E50" w:rsidRDefault="00000000">
      <w:pPr>
        <w:pStyle w:val="Heading1"/>
        <w:ind w:left="-5"/>
      </w:pPr>
      <w:r>
        <w:t>Termination</w:t>
      </w:r>
    </w:p>
    <w:p w14:paraId="7A0E3A77" w14:textId="77777777" w:rsidR="00E75E50" w:rsidRDefault="00000000">
      <w:pPr>
        <w:ind w:left="465" w:right="56" w:hanging="480"/>
      </w:pPr>
      <w:r>
        <w:t>•</w:t>
      </w:r>
      <w:r>
        <w:tab/>
        <w:t>Is the licence terminable automatically, on notice, on breach or on the occurrence of specified events? Are breaches remediable, and if so, what is the time limit? What are the consequences of termination? Is there to be termination on change of control? What will happen to the licensee's orders after termination: are they to be taken over by the licensor? Will the licensor buy unsold stocks from the licensee? Does the licensor require the licensee's co-operation in amending the recorded details of any registered rights?</w:t>
      </w:r>
    </w:p>
    <w:p w14:paraId="0EE5DB13" w14:textId="77777777" w:rsidR="00E75E50" w:rsidRDefault="00000000">
      <w:pPr>
        <w:pStyle w:val="Heading1"/>
        <w:ind w:left="-5"/>
      </w:pPr>
      <w:r>
        <w:t>Jurisdiction</w:t>
      </w:r>
    </w:p>
    <w:p w14:paraId="2312147D" w14:textId="77777777" w:rsidR="00E75E50" w:rsidRDefault="00000000">
      <w:pPr>
        <w:ind w:left="465" w:right="56" w:hanging="480"/>
      </w:pPr>
      <w:r>
        <w:t>•</w:t>
      </w:r>
      <w:r>
        <w:tab/>
        <w:t>Should the licence be governed by English law? Will disputes be made subject to the jurisdiction (exclusive or nonexclusive?) of the English courts, or will provision be made for arbitration? In the case of arbitration, will arbitrators be identified? Will provision be made for alternative dispute resolution (ADR) and, if so, will any specific type of ADR be specified?</w:t>
      </w:r>
    </w:p>
    <w:p w14:paraId="07A8B5D0" w14:textId="77777777" w:rsidR="00E75E50" w:rsidRDefault="00000000">
      <w:pPr>
        <w:pStyle w:val="Heading1"/>
        <w:ind w:left="-5"/>
      </w:pPr>
      <w:r>
        <w:t>Formal licence</w:t>
      </w:r>
    </w:p>
    <w:p w14:paraId="6E539B17" w14:textId="77777777" w:rsidR="00E75E50" w:rsidRDefault="00000000">
      <w:pPr>
        <w:numPr>
          <w:ilvl w:val="0"/>
          <w:numId w:val="6"/>
        </w:numPr>
        <w:spacing w:after="391"/>
        <w:ind w:right="28" w:hanging="480"/>
      </w:pPr>
      <w:r>
        <w:t>If the licence includes a registered design, who will register the licence at the Designs Registry? The licensee will usually make the application to register their interest in the design (</w:t>
      </w:r>
      <w:hyperlink r:id="rId23">
        <w:r>
          <w:rPr>
            <w:i/>
            <w:color w:val="006EC3"/>
          </w:rPr>
          <w:t>section 19(1)</w:t>
        </w:r>
      </w:hyperlink>
      <w:r>
        <w:rPr>
          <w:i/>
        </w:rPr>
        <w:t>, RDA</w:t>
      </w:r>
      <w:r>
        <w:t>). However, if title has passed under a written legal document, such as a licence agreement, the application may be made by the licensor, among others (</w:t>
      </w:r>
      <w:r>
        <w:rPr>
          <w:i/>
        </w:rPr>
        <w:t>section 19(2), RDA</w:t>
      </w:r>
      <w:r>
        <w:t>).</w:t>
      </w:r>
    </w:p>
    <w:p w14:paraId="1871B9D8" w14:textId="77777777" w:rsidR="00E75E50" w:rsidRDefault="00000000">
      <w:pPr>
        <w:numPr>
          <w:ilvl w:val="0"/>
          <w:numId w:val="6"/>
        </w:numPr>
        <w:spacing w:after="472" w:line="265" w:lineRule="auto"/>
        <w:ind w:right="28" w:hanging="480"/>
      </w:pPr>
      <w:r>
        <w:t xml:space="preserve">For further information, see </w:t>
      </w:r>
      <w:hyperlink r:id="rId24">
        <w:r>
          <w:rPr>
            <w:i/>
            <w:color w:val="006EC3"/>
          </w:rPr>
          <w:t>Practice note, Registration of interests in UK design registrations and applications.</w:t>
        </w:r>
      </w:hyperlink>
    </w:p>
    <w:p w14:paraId="5DF349F1" w14:textId="77777777" w:rsidR="00E75E50" w:rsidRDefault="00000000">
      <w:pPr>
        <w:spacing w:after="0" w:line="259" w:lineRule="auto"/>
        <w:ind w:left="0" w:right="-11" w:firstLine="0"/>
      </w:pPr>
      <w:r>
        <w:rPr>
          <w:rFonts w:ascii="Calibri" w:eastAsia="Calibri" w:hAnsi="Calibri" w:cs="Calibri"/>
          <w:noProof/>
          <w:color w:val="000000"/>
          <w:sz w:val="22"/>
        </w:rPr>
        <mc:AlternateContent>
          <mc:Choice Requires="wpg">
            <w:drawing>
              <wp:inline distT="0" distB="0" distL="0" distR="0" wp14:anchorId="173CB242" wp14:editId="0E8F5A7B">
                <wp:extent cx="6407976" cy="187325"/>
                <wp:effectExtent l="0" t="0" r="0" b="0"/>
                <wp:docPr id="4819" name="Group 4819"/>
                <wp:cNvGraphicFramePr/>
                <a:graphic xmlns:a="http://schemas.openxmlformats.org/drawingml/2006/main">
                  <a:graphicData uri="http://schemas.microsoft.com/office/word/2010/wordprocessingGroup">
                    <wpg:wgp>
                      <wpg:cNvGrpSpPr/>
                      <wpg:grpSpPr>
                        <a:xfrm>
                          <a:off x="0" y="0"/>
                          <a:ext cx="6407976" cy="187325"/>
                          <a:chOff x="0" y="0"/>
                          <a:chExt cx="6407976" cy="187325"/>
                        </a:xfrm>
                      </wpg:grpSpPr>
                      <wps:wsp>
                        <wps:cNvPr id="404" name="Shape 404"/>
                        <wps:cNvSpPr/>
                        <wps:spPr>
                          <a:xfrm>
                            <a:off x="0" y="0"/>
                            <a:ext cx="2483993" cy="0"/>
                          </a:xfrm>
                          <a:custGeom>
                            <a:avLst/>
                            <a:gdLst/>
                            <a:ahLst/>
                            <a:cxnLst/>
                            <a:rect l="0" t="0" r="0" b="0"/>
                            <a:pathLst>
                              <a:path w="2483993">
                                <a:moveTo>
                                  <a:pt x="0" y="0"/>
                                </a:moveTo>
                                <a:lnTo>
                                  <a:pt x="2483993" y="0"/>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06" name="Shape 406"/>
                        <wps:cNvSpPr/>
                        <wps:spPr>
                          <a:xfrm>
                            <a:off x="2483993" y="0"/>
                            <a:ext cx="0" cy="187325"/>
                          </a:xfrm>
                          <a:custGeom>
                            <a:avLst/>
                            <a:gdLst/>
                            <a:ahLst/>
                            <a:cxnLst/>
                            <a:rect l="0" t="0" r="0" b="0"/>
                            <a:pathLst>
                              <a:path h="187325">
                                <a:moveTo>
                                  <a:pt x="0" y="0"/>
                                </a:moveTo>
                                <a:lnTo>
                                  <a:pt x="0" y="187325"/>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08" name="Shape 408"/>
                        <wps:cNvSpPr/>
                        <wps:spPr>
                          <a:xfrm>
                            <a:off x="2483993" y="0"/>
                            <a:ext cx="1439990" cy="0"/>
                          </a:xfrm>
                          <a:custGeom>
                            <a:avLst/>
                            <a:gdLst/>
                            <a:ahLst/>
                            <a:cxnLst/>
                            <a:rect l="0" t="0" r="0" b="0"/>
                            <a:pathLst>
                              <a:path w="1439990">
                                <a:moveTo>
                                  <a:pt x="0" y="0"/>
                                </a:moveTo>
                                <a:lnTo>
                                  <a:pt x="1439990" y="0"/>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10" name="Shape 410"/>
                        <wps:cNvSpPr/>
                        <wps:spPr>
                          <a:xfrm>
                            <a:off x="3923983" y="0"/>
                            <a:ext cx="0" cy="187325"/>
                          </a:xfrm>
                          <a:custGeom>
                            <a:avLst/>
                            <a:gdLst/>
                            <a:ahLst/>
                            <a:cxnLst/>
                            <a:rect l="0" t="0" r="0" b="0"/>
                            <a:pathLst>
                              <a:path h="187325">
                                <a:moveTo>
                                  <a:pt x="0" y="0"/>
                                </a:moveTo>
                                <a:lnTo>
                                  <a:pt x="0" y="187325"/>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12" name="Shape 412"/>
                        <wps:cNvSpPr/>
                        <wps:spPr>
                          <a:xfrm>
                            <a:off x="2483993" y="187325"/>
                            <a:ext cx="1439990" cy="0"/>
                          </a:xfrm>
                          <a:custGeom>
                            <a:avLst/>
                            <a:gdLst/>
                            <a:ahLst/>
                            <a:cxnLst/>
                            <a:rect l="0" t="0" r="0" b="0"/>
                            <a:pathLst>
                              <a:path w="1439990">
                                <a:moveTo>
                                  <a:pt x="0" y="0"/>
                                </a:moveTo>
                                <a:lnTo>
                                  <a:pt x="1439990" y="0"/>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14" name="Shape 414"/>
                        <wps:cNvSpPr/>
                        <wps:spPr>
                          <a:xfrm>
                            <a:off x="2483993" y="0"/>
                            <a:ext cx="0" cy="187325"/>
                          </a:xfrm>
                          <a:custGeom>
                            <a:avLst/>
                            <a:gdLst/>
                            <a:ahLst/>
                            <a:cxnLst/>
                            <a:rect l="0" t="0" r="0" b="0"/>
                            <a:pathLst>
                              <a:path h="187325">
                                <a:moveTo>
                                  <a:pt x="0" y="0"/>
                                </a:moveTo>
                                <a:lnTo>
                                  <a:pt x="0" y="187325"/>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15" name="Rectangle 415"/>
                        <wps:cNvSpPr/>
                        <wps:spPr>
                          <a:xfrm>
                            <a:off x="2572538" y="36830"/>
                            <a:ext cx="1679641" cy="152019"/>
                          </a:xfrm>
                          <a:prstGeom prst="rect">
                            <a:avLst/>
                          </a:prstGeom>
                          <a:ln>
                            <a:noFill/>
                          </a:ln>
                        </wps:spPr>
                        <wps:txbx>
                          <w:txbxContent>
                            <w:p w14:paraId="4FF8A2F4" w14:textId="77777777" w:rsidR="00E75E50" w:rsidRDefault="00000000">
                              <w:pPr>
                                <w:spacing w:after="160" w:line="259" w:lineRule="auto"/>
                                <w:ind w:left="0" w:firstLine="0"/>
                              </w:pPr>
                              <w:r>
                                <w:rPr>
                                  <w:b/>
                                  <w:color w:val="505050"/>
                                </w:rPr>
                                <w:t>END OF DOCUMENT</w:t>
                              </w:r>
                            </w:p>
                          </w:txbxContent>
                        </wps:txbx>
                        <wps:bodyPr horzOverflow="overflow" vert="horz" lIns="0" tIns="0" rIns="0" bIns="0" rtlCol="0">
                          <a:noAutofit/>
                        </wps:bodyPr>
                      </wps:wsp>
                      <wps:wsp>
                        <wps:cNvPr id="417" name="Shape 417"/>
                        <wps:cNvSpPr/>
                        <wps:spPr>
                          <a:xfrm>
                            <a:off x="3923983" y="0"/>
                            <a:ext cx="2483993" cy="0"/>
                          </a:xfrm>
                          <a:custGeom>
                            <a:avLst/>
                            <a:gdLst/>
                            <a:ahLst/>
                            <a:cxnLst/>
                            <a:rect l="0" t="0" r="0" b="0"/>
                            <a:pathLst>
                              <a:path w="2483993">
                                <a:moveTo>
                                  <a:pt x="0" y="0"/>
                                </a:moveTo>
                                <a:lnTo>
                                  <a:pt x="2483993" y="0"/>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s:wsp>
                        <wps:cNvPr id="419" name="Shape 419"/>
                        <wps:cNvSpPr/>
                        <wps:spPr>
                          <a:xfrm>
                            <a:off x="3923983" y="0"/>
                            <a:ext cx="0" cy="187325"/>
                          </a:xfrm>
                          <a:custGeom>
                            <a:avLst/>
                            <a:gdLst/>
                            <a:ahLst/>
                            <a:cxnLst/>
                            <a:rect l="0" t="0" r="0" b="0"/>
                            <a:pathLst>
                              <a:path h="187325">
                                <a:moveTo>
                                  <a:pt x="0" y="0"/>
                                </a:moveTo>
                                <a:lnTo>
                                  <a:pt x="0" y="187325"/>
                                </a:lnTo>
                              </a:path>
                            </a:pathLst>
                          </a:custGeom>
                          <a:ln w="12700" cap="flat">
                            <a:miter lim="127000"/>
                          </a:ln>
                        </wps:spPr>
                        <wps:style>
                          <a:lnRef idx="1">
                            <a:srgbClr val="9797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19" style="width:504.565pt;height:14.75pt;mso-position-horizontal-relative:char;mso-position-vertical-relative:line" coordsize="64079,1873">
                <v:shape id="Shape 404" style="position:absolute;width:24839;height:0;left:0;top:0;" coordsize="2483993,0" path="m0,0l2483993,0">
                  <v:stroke weight="1pt" endcap="flat" joinstyle="miter" miterlimit="10" on="true" color="#979797"/>
                  <v:fill on="false" color="#000000" opacity="0"/>
                </v:shape>
                <v:shape id="Shape 406" style="position:absolute;width:0;height:1873;left:24839;top:0;" coordsize="0,187325" path="m0,0l0,187325">
                  <v:stroke weight="1pt" endcap="flat" joinstyle="miter" miterlimit="10" on="true" color="#979797"/>
                  <v:fill on="false" color="#000000" opacity="0"/>
                </v:shape>
                <v:shape id="Shape 408" style="position:absolute;width:14399;height:0;left:24839;top:0;" coordsize="1439990,0" path="m0,0l1439990,0">
                  <v:stroke weight="1pt" endcap="flat" joinstyle="miter" miterlimit="10" on="true" color="#979797"/>
                  <v:fill on="false" color="#000000" opacity="0"/>
                </v:shape>
                <v:shape id="Shape 410" style="position:absolute;width:0;height:1873;left:39239;top:0;" coordsize="0,187325" path="m0,0l0,187325">
                  <v:stroke weight="1pt" endcap="flat" joinstyle="miter" miterlimit="10" on="true" color="#979797"/>
                  <v:fill on="false" color="#000000" opacity="0"/>
                </v:shape>
                <v:shape id="Shape 412" style="position:absolute;width:14399;height:0;left:24839;top:1873;" coordsize="1439990,0" path="m0,0l1439990,0">
                  <v:stroke weight="1pt" endcap="flat" joinstyle="miter" miterlimit="10" on="true" color="#979797"/>
                  <v:fill on="false" color="#000000" opacity="0"/>
                </v:shape>
                <v:shape id="Shape 414" style="position:absolute;width:0;height:1873;left:24839;top:0;" coordsize="0,187325" path="m0,0l0,187325">
                  <v:stroke weight="1pt" endcap="flat" joinstyle="miter" miterlimit="10" on="true" color="#979797"/>
                  <v:fill on="false" color="#000000" opacity="0"/>
                </v:shape>
                <v:rect id="Rectangle 415" style="position:absolute;width:16796;height:1520;left:25725;top:368;" filled="f" stroked="f">
                  <v:textbox inset="0,0,0,0">
                    <w:txbxContent>
                      <w:p>
                        <w:pPr>
                          <w:spacing w:before="0" w:after="160" w:line="259" w:lineRule="auto"/>
                          <w:ind w:left="0" w:firstLine="0"/>
                        </w:pPr>
                        <w:r>
                          <w:rPr>
                            <w:rFonts w:cs="Times New Roman" w:hAnsi="Times New Roman" w:eastAsia="Times New Roman" w:ascii="Times New Roman"/>
                            <w:b w:val="1"/>
                            <w:color w:val="505050"/>
                          </w:rPr>
                          <w:t xml:space="preserve">END OF DOCUMENT</w:t>
                        </w:r>
                      </w:p>
                    </w:txbxContent>
                  </v:textbox>
                </v:rect>
                <v:shape id="Shape 417" style="position:absolute;width:24839;height:0;left:39239;top:0;" coordsize="2483993,0" path="m0,0l2483993,0">
                  <v:stroke weight="1pt" endcap="flat" joinstyle="miter" miterlimit="10" on="true" color="#979797"/>
                  <v:fill on="false" color="#000000" opacity="0"/>
                </v:shape>
                <v:shape id="Shape 419" style="position:absolute;width:0;height:1873;left:39239;top:0;" coordsize="0,187325" path="m0,0l0,187325">
                  <v:stroke weight="1pt" endcap="flat" joinstyle="miter" miterlimit="10" on="true" color="#979797"/>
                  <v:fill on="false" color="#000000" opacity="0"/>
                </v:shape>
              </v:group>
            </w:pict>
          </mc:Fallback>
        </mc:AlternateContent>
      </w:r>
    </w:p>
    <w:sectPr w:rsidR="00E75E50">
      <w:headerReference w:type="even" r:id="rId25"/>
      <w:headerReference w:type="default" r:id="rId26"/>
      <w:footerReference w:type="even" r:id="rId27"/>
      <w:footerReference w:type="default" r:id="rId28"/>
      <w:headerReference w:type="first" r:id="rId29"/>
      <w:footerReference w:type="first" r:id="rId30"/>
      <w:pgSz w:w="12240" w:h="15840"/>
      <w:pgMar w:top="1199" w:right="1080" w:bottom="1131" w:left="1080" w:header="392" w:footer="4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6DE1" w14:textId="77777777" w:rsidR="006A0ECC" w:rsidRDefault="006A0ECC">
      <w:pPr>
        <w:spacing w:after="0" w:line="240" w:lineRule="auto"/>
      </w:pPr>
      <w:r>
        <w:separator/>
      </w:r>
    </w:p>
  </w:endnote>
  <w:endnote w:type="continuationSeparator" w:id="0">
    <w:p w14:paraId="768A63A2" w14:textId="77777777" w:rsidR="006A0ECC" w:rsidRDefault="006A0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887E" w14:textId="77777777" w:rsidR="00E75E50" w:rsidRDefault="00000000">
    <w:pPr>
      <w:tabs>
        <w:tab w:val="right" w:pos="10080"/>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74C6411" wp14:editId="78A7CE2B">
              <wp:simplePos x="0" y="0"/>
              <wp:positionH relativeFrom="page">
                <wp:posOffset>685800</wp:posOffset>
              </wp:positionH>
              <wp:positionV relativeFrom="page">
                <wp:posOffset>9601200</wp:posOffset>
              </wp:positionV>
              <wp:extent cx="6350000" cy="12700"/>
              <wp:effectExtent l="0" t="0" r="0" b="0"/>
              <wp:wrapSquare wrapText="bothSides"/>
              <wp:docPr id="5193" name="Group 5193"/>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5194" name="Shape 5194"/>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95" name="Shape 5195"/>
                      <wps:cNvSpPr/>
                      <wps:spPr>
                        <a:xfrm>
                          <a:off x="59055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93" style="width:500pt;height:1pt;position:absolute;mso-position-horizontal-relative:page;mso-position-horizontal:absolute;margin-left:54pt;mso-position-vertical-relative:page;margin-top:756pt;" coordsize="63500,127">
              <v:shape id="Shape 5194" style="position:absolute;width:59055;height:0;left:0;top:0;" coordsize="5905500,0" path="m0,0l5905500,0">
                <v:stroke weight="1pt" endcap="flat" joinstyle="miter" miterlimit="10" on="true" color="#aaaaaa"/>
                <v:fill on="false" color="#000000" opacity="0"/>
              </v:shape>
              <v:shape id="Shape 5195" style="position:absolute;width:4445;height:0;left:59055;top:0;" coordsize="444500,0" path="m0,0l444500,0">
                <v:stroke weight="1pt" endcap="flat" joinstyle="miter" miterlimit="10" on="true" color="#aaaaaa"/>
                <v:fill on="false" color="#000000" opacity="0"/>
              </v:shape>
              <w10:wrap type="square"/>
            </v:group>
          </w:pict>
        </mc:Fallback>
      </mc:AlternateContent>
    </w:r>
    <w:r>
      <w:rPr>
        <w:rFonts w:ascii="Arial" w:eastAsia="Arial" w:hAnsi="Arial" w:cs="Arial"/>
        <w:color w:val="AAAAAA"/>
      </w:rPr>
      <w:t>© 2025 Thomson Reuters. All rights reserved.</w:t>
    </w:r>
    <w:r>
      <w:rPr>
        <w:rFonts w:ascii="Arial" w:eastAsia="Arial" w:hAnsi="Arial" w:cs="Arial"/>
        <w:color w:val="AAAAAA"/>
      </w:rPr>
      <w:tab/>
    </w:r>
    <w:r>
      <w:fldChar w:fldCharType="begin"/>
    </w:r>
    <w:r>
      <w:instrText xml:space="preserve"> PAGE   \* MERGEFORMAT </w:instrText>
    </w:r>
    <w:r>
      <w:fldChar w:fldCharType="separate"/>
    </w:r>
    <w:r>
      <w:rPr>
        <w:rFonts w:ascii="Arial" w:eastAsia="Arial" w:hAnsi="Arial" w:cs="Arial"/>
        <w:color w:val="AAAAAA"/>
      </w:rPr>
      <w:t>1</w:t>
    </w:r>
    <w:r>
      <w:rPr>
        <w:rFonts w:ascii="Arial" w:eastAsia="Arial" w:hAnsi="Arial" w:cs="Arial"/>
        <w:color w:val="AAAA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CC89" w14:textId="77777777" w:rsidR="00E75E50" w:rsidRDefault="00000000">
    <w:pPr>
      <w:tabs>
        <w:tab w:val="right" w:pos="10080"/>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89D3A56" wp14:editId="22D3D2AE">
              <wp:simplePos x="0" y="0"/>
              <wp:positionH relativeFrom="page">
                <wp:posOffset>685800</wp:posOffset>
              </wp:positionH>
              <wp:positionV relativeFrom="page">
                <wp:posOffset>9601200</wp:posOffset>
              </wp:positionV>
              <wp:extent cx="6350000" cy="12700"/>
              <wp:effectExtent l="0" t="0" r="0" b="0"/>
              <wp:wrapSquare wrapText="bothSides"/>
              <wp:docPr id="5171" name="Group 5171"/>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5172" name="Shape 5172"/>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73" name="Shape 5173"/>
                      <wps:cNvSpPr/>
                      <wps:spPr>
                        <a:xfrm>
                          <a:off x="59055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1" style="width:500pt;height:1pt;position:absolute;mso-position-horizontal-relative:page;mso-position-horizontal:absolute;margin-left:54pt;mso-position-vertical-relative:page;margin-top:756pt;" coordsize="63500,127">
              <v:shape id="Shape 5172" style="position:absolute;width:59055;height:0;left:0;top:0;" coordsize="5905500,0" path="m0,0l5905500,0">
                <v:stroke weight="1pt" endcap="flat" joinstyle="miter" miterlimit="10" on="true" color="#aaaaaa"/>
                <v:fill on="false" color="#000000" opacity="0"/>
              </v:shape>
              <v:shape id="Shape 5173" style="position:absolute;width:4445;height:0;left:59055;top:0;" coordsize="444500,0" path="m0,0l444500,0">
                <v:stroke weight="1pt" endcap="flat" joinstyle="miter" miterlimit="10" on="true" color="#aaaaaa"/>
                <v:fill on="false" color="#000000" opacity="0"/>
              </v:shape>
              <w10:wrap type="square"/>
            </v:group>
          </w:pict>
        </mc:Fallback>
      </mc:AlternateContent>
    </w:r>
    <w:r>
      <w:rPr>
        <w:rFonts w:ascii="Arial" w:eastAsia="Arial" w:hAnsi="Arial" w:cs="Arial"/>
        <w:color w:val="AAAAAA"/>
      </w:rPr>
      <w:t>© 2025 Thomson Reuters. All rights reserved.</w:t>
    </w:r>
    <w:r>
      <w:rPr>
        <w:rFonts w:ascii="Arial" w:eastAsia="Arial" w:hAnsi="Arial" w:cs="Arial"/>
        <w:color w:val="AAAAAA"/>
      </w:rPr>
      <w:tab/>
    </w:r>
    <w:r>
      <w:fldChar w:fldCharType="begin"/>
    </w:r>
    <w:r>
      <w:instrText xml:space="preserve"> PAGE   \* MERGEFORMAT </w:instrText>
    </w:r>
    <w:r>
      <w:fldChar w:fldCharType="separate"/>
    </w:r>
    <w:r>
      <w:rPr>
        <w:rFonts w:ascii="Arial" w:eastAsia="Arial" w:hAnsi="Arial" w:cs="Arial"/>
        <w:color w:val="AAAAAA"/>
      </w:rPr>
      <w:t>1</w:t>
    </w:r>
    <w:r>
      <w:rPr>
        <w:rFonts w:ascii="Arial" w:eastAsia="Arial" w:hAnsi="Arial" w:cs="Arial"/>
        <w:color w:val="AAAAA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0818" w14:textId="77777777" w:rsidR="00E75E50" w:rsidRDefault="00000000">
    <w:pPr>
      <w:tabs>
        <w:tab w:val="right" w:pos="10080"/>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46B6B8BE" wp14:editId="6ADA338D">
              <wp:simplePos x="0" y="0"/>
              <wp:positionH relativeFrom="page">
                <wp:posOffset>685800</wp:posOffset>
              </wp:positionH>
              <wp:positionV relativeFrom="page">
                <wp:posOffset>9601200</wp:posOffset>
              </wp:positionV>
              <wp:extent cx="6350000" cy="12700"/>
              <wp:effectExtent l="0" t="0" r="0" b="0"/>
              <wp:wrapSquare wrapText="bothSides"/>
              <wp:docPr id="5149" name="Group 5149"/>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5150" name="Shape 5150"/>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51" name="Shape 5151"/>
                      <wps:cNvSpPr/>
                      <wps:spPr>
                        <a:xfrm>
                          <a:off x="59055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49" style="width:500pt;height:1pt;position:absolute;mso-position-horizontal-relative:page;mso-position-horizontal:absolute;margin-left:54pt;mso-position-vertical-relative:page;margin-top:756pt;" coordsize="63500,127">
              <v:shape id="Shape 5150" style="position:absolute;width:59055;height:0;left:0;top:0;" coordsize="5905500,0" path="m0,0l5905500,0">
                <v:stroke weight="1pt" endcap="flat" joinstyle="miter" miterlimit="10" on="true" color="#aaaaaa"/>
                <v:fill on="false" color="#000000" opacity="0"/>
              </v:shape>
              <v:shape id="Shape 5151" style="position:absolute;width:4445;height:0;left:59055;top:0;" coordsize="444500,0" path="m0,0l444500,0">
                <v:stroke weight="1pt" endcap="flat" joinstyle="miter" miterlimit="10" on="true" color="#aaaaaa"/>
                <v:fill on="false" color="#000000" opacity="0"/>
              </v:shape>
              <w10:wrap type="square"/>
            </v:group>
          </w:pict>
        </mc:Fallback>
      </mc:AlternateContent>
    </w:r>
    <w:r>
      <w:rPr>
        <w:rFonts w:ascii="Arial" w:eastAsia="Arial" w:hAnsi="Arial" w:cs="Arial"/>
        <w:color w:val="AAAAAA"/>
      </w:rPr>
      <w:t>© 2025 Thomson Reuters. All rights reserved.</w:t>
    </w:r>
    <w:r>
      <w:rPr>
        <w:rFonts w:ascii="Arial" w:eastAsia="Arial" w:hAnsi="Arial" w:cs="Arial"/>
        <w:color w:val="AAAAAA"/>
      </w:rPr>
      <w:tab/>
    </w:r>
    <w:r>
      <w:fldChar w:fldCharType="begin"/>
    </w:r>
    <w:r>
      <w:instrText xml:space="preserve"> PAGE   \* MERGEFORMAT </w:instrText>
    </w:r>
    <w:r>
      <w:fldChar w:fldCharType="separate"/>
    </w:r>
    <w:r>
      <w:rPr>
        <w:rFonts w:ascii="Arial" w:eastAsia="Arial" w:hAnsi="Arial" w:cs="Arial"/>
        <w:color w:val="AAAAAA"/>
      </w:rPr>
      <w:t>1</w:t>
    </w:r>
    <w:r>
      <w:rPr>
        <w:rFonts w:ascii="Arial" w:eastAsia="Arial" w:hAnsi="Arial" w:cs="Arial"/>
        <w:color w:val="AAAA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9C71" w14:textId="77777777" w:rsidR="006A0ECC" w:rsidRDefault="006A0ECC">
      <w:pPr>
        <w:spacing w:after="0" w:line="240" w:lineRule="auto"/>
      </w:pPr>
      <w:r>
        <w:separator/>
      </w:r>
    </w:p>
  </w:footnote>
  <w:footnote w:type="continuationSeparator" w:id="0">
    <w:p w14:paraId="70F78735" w14:textId="77777777" w:rsidR="006A0ECC" w:rsidRDefault="006A0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5C28" w14:textId="77777777" w:rsidR="00E75E50"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B14D50C" wp14:editId="693E3773">
              <wp:simplePos x="0" y="0"/>
              <wp:positionH relativeFrom="page">
                <wp:posOffset>685800</wp:posOffset>
              </wp:positionH>
              <wp:positionV relativeFrom="page">
                <wp:posOffset>435610</wp:posOffset>
              </wp:positionV>
              <wp:extent cx="6400800" cy="12700"/>
              <wp:effectExtent l="0" t="0" r="0" b="0"/>
              <wp:wrapSquare wrapText="bothSides"/>
              <wp:docPr id="5180" name="Group 518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181" name="Shape 518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82" name="Shape 5182"/>
                      <wps:cNvSpPr/>
                      <wps:spPr>
                        <a:xfrm>
                          <a:off x="59563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83" name="Shape 5183"/>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84" name="Shape 5184"/>
                      <wps:cNvSpPr/>
                      <wps:spPr>
                        <a:xfrm>
                          <a:off x="59563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0" style="width:504pt;height:1.14441e-05pt;position:absolute;mso-position-horizontal-relative:page;mso-position-horizontal:absolute;margin-left:54pt;mso-position-vertical-relative:page;margin-top:34.3pt;" coordsize="64008,0">
              <v:shape id="Shape 5181" style="position:absolute;width:59563;height:0;left:0;top:0;" coordsize="5956300,0" path="m0,0l5956300,0">
                <v:stroke weight="1pt" endcap="flat" joinstyle="miter" miterlimit="10" on="true" color="#aaaaaa"/>
                <v:fill on="false" color="#000000" opacity="0"/>
              </v:shape>
              <v:shape id="Shape 5182" style="position:absolute;width:4445;height:0;left:59563;top:0;" coordsize="444500,0" path="m0,0l444500,0">
                <v:stroke weight="1pt" endcap="flat" joinstyle="miter" miterlimit="10" on="true" color="#aaaaaa"/>
                <v:fill on="false" color="#000000" opacity="0"/>
              </v:shape>
              <v:shape id="Shape 5183" style="position:absolute;width:59563;height:0;left:0;top:0;" coordsize="5956300,0" path="m0,0l5956300,0">
                <v:stroke weight="1pt" endcap="flat" joinstyle="miter" miterlimit="10" on="true" color="#aaaaaa"/>
                <v:fill on="false" color="#000000" opacity="0"/>
              </v:shape>
              <v:shape id="Shape 5184" style="position:absolute;width:4445;height:0;left:59563;top:0;" coordsize="444500,0" path="m0,0l444500,0">
                <v:stroke weight="1pt" endcap="flat" joinstyle="miter" miterlimit="10" on="true" color="#aaaaaa"/>
                <v:fill on="false" color="#000000" opacity="0"/>
              </v:shape>
              <w10:wrap type="square"/>
            </v:group>
          </w:pict>
        </mc:Fallback>
      </mc:AlternateContent>
    </w:r>
    <w:r>
      <w:rPr>
        <w:rFonts w:ascii="Arial" w:eastAsia="Arial" w:hAnsi="Arial" w:cs="Arial"/>
        <w:b/>
        <w:color w:val="555555"/>
        <w:sz w:val="18"/>
      </w:rPr>
      <w:t>Licence agreement for industrial designs: checklist, Practical Law UK Checklist...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946F" w14:textId="77777777" w:rsidR="00E75E50"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2E22DFE" wp14:editId="0A0B1C61">
              <wp:simplePos x="0" y="0"/>
              <wp:positionH relativeFrom="page">
                <wp:posOffset>685800</wp:posOffset>
              </wp:positionH>
              <wp:positionV relativeFrom="page">
                <wp:posOffset>435610</wp:posOffset>
              </wp:positionV>
              <wp:extent cx="6400800" cy="12700"/>
              <wp:effectExtent l="0" t="0" r="0" b="0"/>
              <wp:wrapSquare wrapText="bothSides"/>
              <wp:docPr id="5158" name="Group 515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159" name="Shape 515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60" name="Shape 5160"/>
                      <wps:cNvSpPr/>
                      <wps:spPr>
                        <a:xfrm>
                          <a:off x="59563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61" name="Shape 516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62" name="Shape 5162"/>
                      <wps:cNvSpPr/>
                      <wps:spPr>
                        <a:xfrm>
                          <a:off x="59563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8" style="width:504pt;height:1.14441e-05pt;position:absolute;mso-position-horizontal-relative:page;mso-position-horizontal:absolute;margin-left:54pt;mso-position-vertical-relative:page;margin-top:34.3pt;" coordsize="64008,0">
              <v:shape id="Shape 5159" style="position:absolute;width:59563;height:0;left:0;top:0;" coordsize="5956300,0" path="m0,0l5956300,0">
                <v:stroke weight="1pt" endcap="flat" joinstyle="miter" miterlimit="10" on="true" color="#aaaaaa"/>
                <v:fill on="false" color="#000000" opacity="0"/>
              </v:shape>
              <v:shape id="Shape 5160" style="position:absolute;width:4445;height:0;left:59563;top:0;" coordsize="444500,0" path="m0,0l444500,0">
                <v:stroke weight="1pt" endcap="flat" joinstyle="miter" miterlimit="10" on="true" color="#aaaaaa"/>
                <v:fill on="false" color="#000000" opacity="0"/>
              </v:shape>
              <v:shape id="Shape 5161" style="position:absolute;width:59563;height:0;left:0;top:0;" coordsize="5956300,0" path="m0,0l5956300,0">
                <v:stroke weight="1pt" endcap="flat" joinstyle="miter" miterlimit="10" on="true" color="#aaaaaa"/>
                <v:fill on="false" color="#000000" opacity="0"/>
              </v:shape>
              <v:shape id="Shape 5162" style="position:absolute;width:4445;height:0;left:59563;top:0;" coordsize="444500,0" path="m0,0l444500,0">
                <v:stroke weight="1pt" endcap="flat" joinstyle="miter" miterlimit="10" on="true" color="#aaaaaa"/>
                <v:fill on="false" color="#000000" opacity="0"/>
              </v:shape>
              <w10:wrap type="square"/>
            </v:group>
          </w:pict>
        </mc:Fallback>
      </mc:AlternateContent>
    </w:r>
    <w:r>
      <w:rPr>
        <w:rFonts w:ascii="Arial" w:eastAsia="Arial" w:hAnsi="Arial" w:cs="Arial"/>
        <w:b/>
        <w:color w:val="555555"/>
        <w:sz w:val="18"/>
      </w:rPr>
      <w:t>Licence agreement for industrial designs: checklist, Practical Law UK Checklist...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C8DD" w14:textId="77777777" w:rsidR="00E75E50"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3462418" wp14:editId="24E3801E">
              <wp:simplePos x="0" y="0"/>
              <wp:positionH relativeFrom="page">
                <wp:posOffset>685800</wp:posOffset>
              </wp:positionH>
              <wp:positionV relativeFrom="page">
                <wp:posOffset>435610</wp:posOffset>
              </wp:positionV>
              <wp:extent cx="6400800" cy="12700"/>
              <wp:effectExtent l="0" t="0" r="0" b="0"/>
              <wp:wrapSquare wrapText="bothSides"/>
              <wp:docPr id="5136" name="Group 513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137" name="Shape 5137"/>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38" name="Shape 5138"/>
                      <wps:cNvSpPr/>
                      <wps:spPr>
                        <a:xfrm>
                          <a:off x="59563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39" name="Shape 513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5140" name="Shape 5140"/>
                      <wps:cNvSpPr/>
                      <wps:spPr>
                        <a:xfrm>
                          <a:off x="5956300" y="0"/>
                          <a:ext cx="444500" cy="0"/>
                        </a:xfrm>
                        <a:custGeom>
                          <a:avLst/>
                          <a:gdLst/>
                          <a:ahLst/>
                          <a:cxnLst/>
                          <a:rect l="0" t="0" r="0" b="0"/>
                          <a:pathLst>
                            <a:path w="444500">
                              <a:moveTo>
                                <a:pt x="0" y="0"/>
                              </a:moveTo>
                              <a:lnTo>
                                <a:pt x="4445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36" style="width:504pt;height:1.14441e-05pt;position:absolute;mso-position-horizontal-relative:page;mso-position-horizontal:absolute;margin-left:54pt;mso-position-vertical-relative:page;margin-top:34.3pt;" coordsize="64008,0">
              <v:shape id="Shape 5137" style="position:absolute;width:59563;height:0;left:0;top:0;" coordsize="5956300,0" path="m0,0l5956300,0">
                <v:stroke weight="1pt" endcap="flat" joinstyle="miter" miterlimit="10" on="true" color="#aaaaaa"/>
                <v:fill on="false" color="#000000" opacity="0"/>
              </v:shape>
              <v:shape id="Shape 5138" style="position:absolute;width:4445;height:0;left:59563;top:0;" coordsize="444500,0" path="m0,0l444500,0">
                <v:stroke weight="1pt" endcap="flat" joinstyle="miter" miterlimit="10" on="true" color="#aaaaaa"/>
                <v:fill on="false" color="#000000" opacity="0"/>
              </v:shape>
              <v:shape id="Shape 5139" style="position:absolute;width:59563;height:0;left:0;top:0;" coordsize="5956300,0" path="m0,0l5956300,0">
                <v:stroke weight="1pt" endcap="flat" joinstyle="miter" miterlimit="10" on="true" color="#aaaaaa"/>
                <v:fill on="false" color="#000000" opacity="0"/>
              </v:shape>
              <v:shape id="Shape 5140" style="position:absolute;width:4445;height:0;left:59563;top:0;" coordsize="444500,0" path="m0,0l444500,0">
                <v:stroke weight="1pt" endcap="flat" joinstyle="miter" miterlimit="10" on="true" color="#aaaaaa"/>
                <v:fill on="false" color="#000000" opacity="0"/>
              </v:shape>
              <w10:wrap type="square"/>
            </v:group>
          </w:pict>
        </mc:Fallback>
      </mc:AlternateContent>
    </w:r>
    <w:r>
      <w:rPr>
        <w:rFonts w:ascii="Arial" w:eastAsia="Arial" w:hAnsi="Arial" w:cs="Arial"/>
        <w:b/>
        <w:color w:val="555555"/>
        <w:sz w:val="18"/>
      </w:rPr>
      <w:t>Licence agreement for industrial designs: checklist, Practical Law UK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85132"/>
    <w:multiLevelType w:val="hybridMultilevel"/>
    <w:tmpl w:val="5BDA1C74"/>
    <w:lvl w:ilvl="0" w:tplc="FFC6074C">
      <w:start w:val="1"/>
      <w:numFmt w:val="bullet"/>
      <w:lvlText w:val="•"/>
      <w:lvlJc w:val="left"/>
      <w:pPr>
        <w:ind w:left="4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6F5CADA6">
      <w:start w:val="1"/>
      <w:numFmt w:val="bullet"/>
      <w:lvlText w:val="o"/>
      <w:lvlJc w:val="left"/>
      <w:pPr>
        <w:ind w:left="142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701A31D6">
      <w:start w:val="1"/>
      <w:numFmt w:val="bullet"/>
      <w:lvlText w:val="▪"/>
      <w:lvlJc w:val="left"/>
      <w:pPr>
        <w:ind w:left="214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4DAEA266">
      <w:start w:val="1"/>
      <w:numFmt w:val="bullet"/>
      <w:lvlText w:val="•"/>
      <w:lvlJc w:val="left"/>
      <w:pPr>
        <w:ind w:left="286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BF98CD06">
      <w:start w:val="1"/>
      <w:numFmt w:val="bullet"/>
      <w:lvlText w:val="o"/>
      <w:lvlJc w:val="left"/>
      <w:pPr>
        <w:ind w:left="358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EECC8906">
      <w:start w:val="1"/>
      <w:numFmt w:val="bullet"/>
      <w:lvlText w:val="▪"/>
      <w:lvlJc w:val="left"/>
      <w:pPr>
        <w:ind w:left="430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527A7372">
      <w:start w:val="1"/>
      <w:numFmt w:val="bullet"/>
      <w:lvlText w:val="•"/>
      <w:lvlJc w:val="left"/>
      <w:pPr>
        <w:ind w:left="502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6E7CF026">
      <w:start w:val="1"/>
      <w:numFmt w:val="bullet"/>
      <w:lvlText w:val="o"/>
      <w:lvlJc w:val="left"/>
      <w:pPr>
        <w:ind w:left="574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826E5F6A">
      <w:start w:val="1"/>
      <w:numFmt w:val="bullet"/>
      <w:lvlText w:val="▪"/>
      <w:lvlJc w:val="left"/>
      <w:pPr>
        <w:ind w:left="6463"/>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1" w15:restartNumberingAfterBreak="0">
    <w:nsid w:val="22512F42"/>
    <w:multiLevelType w:val="hybridMultilevel"/>
    <w:tmpl w:val="84CAC55E"/>
    <w:lvl w:ilvl="0" w:tplc="279C0F54">
      <w:start w:val="1"/>
      <w:numFmt w:val="bullet"/>
      <w:lvlText w:val="•"/>
      <w:lvlJc w:val="left"/>
      <w:pPr>
        <w:ind w:left="4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507ACA1A">
      <w:start w:val="1"/>
      <w:numFmt w:val="bullet"/>
      <w:lvlText w:val="o"/>
      <w:lvlJc w:val="left"/>
      <w:pPr>
        <w:ind w:left="10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FFC23C8C">
      <w:start w:val="1"/>
      <w:numFmt w:val="bullet"/>
      <w:lvlText w:val="▪"/>
      <w:lvlJc w:val="left"/>
      <w:pPr>
        <w:ind w:left="180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23829106">
      <w:start w:val="1"/>
      <w:numFmt w:val="bullet"/>
      <w:lvlText w:val="•"/>
      <w:lvlJc w:val="left"/>
      <w:pPr>
        <w:ind w:left="252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2076D6D2">
      <w:start w:val="1"/>
      <w:numFmt w:val="bullet"/>
      <w:lvlText w:val="o"/>
      <w:lvlJc w:val="left"/>
      <w:pPr>
        <w:ind w:left="324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EA2E889C">
      <w:start w:val="1"/>
      <w:numFmt w:val="bullet"/>
      <w:lvlText w:val="▪"/>
      <w:lvlJc w:val="left"/>
      <w:pPr>
        <w:ind w:left="396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46B2ADBA">
      <w:start w:val="1"/>
      <w:numFmt w:val="bullet"/>
      <w:lvlText w:val="•"/>
      <w:lvlJc w:val="left"/>
      <w:pPr>
        <w:ind w:left="46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3C0E5E9A">
      <w:start w:val="1"/>
      <w:numFmt w:val="bullet"/>
      <w:lvlText w:val="o"/>
      <w:lvlJc w:val="left"/>
      <w:pPr>
        <w:ind w:left="540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B23AD518">
      <w:start w:val="1"/>
      <w:numFmt w:val="bullet"/>
      <w:lvlText w:val="▪"/>
      <w:lvlJc w:val="left"/>
      <w:pPr>
        <w:ind w:left="612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2" w15:restartNumberingAfterBreak="0">
    <w:nsid w:val="2AB224FE"/>
    <w:multiLevelType w:val="hybridMultilevel"/>
    <w:tmpl w:val="BB948BC6"/>
    <w:lvl w:ilvl="0" w:tplc="D79065A4">
      <w:start w:val="1"/>
      <w:numFmt w:val="bullet"/>
      <w:lvlText w:val="•"/>
      <w:lvlJc w:val="left"/>
      <w:pPr>
        <w:ind w:left="4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C1D20EAA">
      <w:start w:val="1"/>
      <w:numFmt w:val="bullet"/>
      <w:lvlText w:val="o"/>
      <w:lvlJc w:val="left"/>
      <w:pPr>
        <w:ind w:left="122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FA7E3736">
      <w:start w:val="1"/>
      <w:numFmt w:val="bullet"/>
      <w:lvlText w:val="▪"/>
      <w:lvlJc w:val="left"/>
      <w:pPr>
        <w:ind w:left="194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9C8ADAFE">
      <w:start w:val="1"/>
      <w:numFmt w:val="bullet"/>
      <w:lvlText w:val="•"/>
      <w:lvlJc w:val="left"/>
      <w:pPr>
        <w:ind w:left="266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FCE2FCDA">
      <w:start w:val="1"/>
      <w:numFmt w:val="bullet"/>
      <w:lvlText w:val="o"/>
      <w:lvlJc w:val="left"/>
      <w:pPr>
        <w:ind w:left="338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ED9634E6">
      <w:start w:val="1"/>
      <w:numFmt w:val="bullet"/>
      <w:lvlText w:val="▪"/>
      <w:lvlJc w:val="left"/>
      <w:pPr>
        <w:ind w:left="410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AED01720">
      <w:start w:val="1"/>
      <w:numFmt w:val="bullet"/>
      <w:lvlText w:val="•"/>
      <w:lvlJc w:val="left"/>
      <w:pPr>
        <w:ind w:left="482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AFA61D28">
      <w:start w:val="1"/>
      <w:numFmt w:val="bullet"/>
      <w:lvlText w:val="o"/>
      <w:lvlJc w:val="left"/>
      <w:pPr>
        <w:ind w:left="554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FA981D90">
      <w:start w:val="1"/>
      <w:numFmt w:val="bullet"/>
      <w:lvlText w:val="▪"/>
      <w:lvlJc w:val="left"/>
      <w:pPr>
        <w:ind w:left="6264"/>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3" w15:restartNumberingAfterBreak="0">
    <w:nsid w:val="37CF4571"/>
    <w:multiLevelType w:val="hybridMultilevel"/>
    <w:tmpl w:val="797626A4"/>
    <w:lvl w:ilvl="0" w:tplc="AE42B4B6">
      <w:start w:val="1"/>
      <w:numFmt w:val="bullet"/>
      <w:lvlText w:val="•"/>
      <w:lvlJc w:val="left"/>
      <w:pPr>
        <w:ind w:left="96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5130F34A">
      <w:start w:val="1"/>
      <w:numFmt w:val="bullet"/>
      <w:lvlText w:val="o"/>
      <w:lvlJc w:val="left"/>
      <w:pPr>
        <w:ind w:left="148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E2E85CDE">
      <w:start w:val="1"/>
      <w:numFmt w:val="bullet"/>
      <w:lvlText w:val="▪"/>
      <w:lvlJc w:val="left"/>
      <w:pPr>
        <w:ind w:left="220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1E96D5B0">
      <w:start w:val="1"/>
      <w:numFmt w:val="bullet"/>
      <w:lvlText w:val="•"/>
      <w:lvlJc w:val="left"/>
      <w:pPr>
        <w:ind w:left="292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575002A2">
      <w:start w:val="1"/>
      <w:numFmt w:val="bullet"/>
      <w:lvlText w:val="o"/>
      <w:lvlJc w:val="left"/>
      <w:pPr>
        <w:ind w:left="364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5CBC1974">
      <w:start w:val="1"/>
      <w:numFmt w:val="bullet"/>
      <w:lvlText w:val="▪"/>
      <w:lvlJc w:val="left"/>
      <w:pPr>
        <w:ind w:left="436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DE088F5E">
      <w:start w:val="1"/>
      <w:numFmt w:val="bullet"/>
      <w:lvlText w:val="•"/>
      <w:lvlJc w:val="left"/>
      <w:pPr>
        <w:ind w:left="508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6B2280BA">
      <w:start w:val="1"/>
      <w:numFmt w:val="bullet"/>
      <w:lvlText w:val="o"/>
      <w:lvlJc w:val="left"/>
      <w:pPr>
        <w:ind w:left="580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E80CAA66">
      <w:start w:val="1"/>
      <w:numFmt w:val="bullet"/>
      <w:lvlText w:val="▪"/>
      <w:lvlJc w:val="left"/>
      <w:pPr>
        <w:ind w:left="6526"/>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4" w15:restartNumberingAfterBreak="0">
    <w:nsid w:val="514F0B80"/>
    <w:multiLevelType w:val="hybridMultilevel"/>
    <w:tmpl w:val="DE3653AE"/>
    <w:lvl w:ilvl="0" w:tplc="8D7E8528">
      <w:start w:val="1"/>
      <w:numFmt w:val="bullet"/>
      <w:lvlText w:val="•"/>
      <w:lvlJc w:val="left"/>
      <w:pPr>
        <w:ind w:left="4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C6648D64">
      <w:start w:val="1"/>
      <w:numFmt w:val="bullet"/>
      <w:lvlText w:val="o"/>
      <w:lvlJc w:val="left"/>
      <w:pPr>
        <w:ind w:left="10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C29C8936">
      <w:start w:val="1"/>
      <w:numFmt w:val="bullet"/>
      <w:lvlText w:val="▪"/>
      <w:lvlJc w:val="left"/>
      <w:pPr>
        <w:ind w:left="180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611AA79E">
      <w:start w:val="1"/>
      <w:numFmt w:val="bullet"/>
      <w:lvlText w:val="•"/>
      <w:lvlJc w:val="left"/>
      <w:pPr>
        <w:ind w:left="252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E87C92E0">
      <w:start w:val="1"/>
      <w:numFmt w:val="bullet"/>
      <w:lvlText w:val="o"/>
      <w:lvlJc w:val="left"/>
      <w:pPr>
        <w:ind w:left="324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0922C84E">
      <w:start w:val="1"/>
      <w:numFmt w:val="bullet"/>
      <w:lvlText w:val="▪"/>
      <w:lvlJc w:val="left"/>
      <w:pPr>
        <w:ind w:left="396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D6066200">
      <w:start w:val="1"/>
      <w:numFmt w:val="bullet"/>
      <w:lvlText w:val="•"/>
      <w:lvlJc w:val="left"/>
      <w:pPr>
        <w:ind w:left="46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F7949A4E">
      <w:start w:val="1"/>
      <w:numFmt w:val="bullet"/>
      <w:lvlText w:val="o"/>
      <w:lvlJc w:val="left"/>
      <w:pPr>
        <w:ind w:left="540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426E029A">
      <w:start w:val="1"/>
      <w:numFmt w:val="bullet"/>
      <w:lvlText w:val="▪"/>
      <w:lvlJc w:val="left"/>
      <w:pPr>
        <w:ind w:left="612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5" w15:restartNumberingAfterBreak="0">
    <w:nsid w:val="51E15C50"/>
    <w:multiLevelType w:val="hybridMultilevel"/>
    <w:tmpl w:val="6F40696A"/>
    <w:lvl w:ilvl="0" w:tplc="9EF4A2DE">
      <w:start w:val="1"/>
      <w:numFmt w:val="bullet"/>
      <w:lvlText w:val="•"/>
      <w:lvlJc w:val="left"/>
      <w:pPr>
        <w:ind w:left="4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926A99A0">
      <w:start w:val="1"/>
      <w:numFmt w:val="bullet"/>
      <w:lvlText w:val="o"/>
      <w:lvlJc w:val="left"/>
      <w:pPr>
        <w:ind w:left="10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1DCA4C0E">
      <w:start w:val="1"/>
      <w:numFmt w:val="bullet"/>
      <w:lvlText w:val="▪"/>
      <w:lvlJc w:val="left"/>
      <w:pPr>
        <w:ind w:left="180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0790A29E">
      <w:start w:val="1"/>
      <w:numFmt w:val="bullet"/>
      <w:lvlText w:val="•"/>
      <w:lvlJc w:val="left"/>
      <w:pPr>
        <w:ind w:left="252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0EE819A8">
      <w:start w:val="1"/>
      <w:numFmt w:val="bullet"/>
      <w:lvlText w:val="o"/>
      <w:lvlJc w:val="left"/>
      <w:pPr>
        <w:ind w:left="324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8DD80692">
      <w:start w:val="1"/>
      <w:numFmt w:val="bullet"/>
      <w:lvlText w:val="▪"/>
      <w:lvlJc w:val="left"/>
      <w:pPr>
        <w:ind w:left="396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5B5C2B62">
      <w:start w:val="1"/>
      <w:numFmt w:val="bullet"/>
      <w:lvlText w:val="•"/>
      <w:lvlJc w:val="left"/>
      <w:pPr>
        <w:ind w:left="468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A9C0A73E">
      <w:start w:val="1"/>
      <w:numFmt w:val="bullet"/>
      <w:lvlText w:val="o"/>
      <w:lvlJc w:val="left"/>
      <w:pPr>
        <w:ind w:left="540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772691D6">
      <w:start w:val="1"/>
      <w:numFmt w:val="bullet"/>
      <w:lvlText w:val="▪"/>
      <w:lvlJc w:val="left"/>
      <w:pPr>
        <w:ind w:left="6120"/>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num w:numId="1" w16cid:durableId="1837727665">
    <w:abstractNumId w:val="2"/>
  </w:num>
  <w:num w:numId="2" w16cid:durableId="751582493">
    <w:abstractNumId w:val="3"/>
  </w:num>
  <w:num w:numId="3" w16cid:durableId="1671718261">
    <w:abstractNumId w:val="5"/>
  </w:num>
  <w:num w:numId="4" w16cid:durableId="542060975">
    <w:abstractNumId w:val="0"/>
  </w:num>
  <w:num w:numId="5" w16cid:durableId="1295987668">
    <w:abstractNumId w:val="4"/>
  </w:num>
  <w:num w:numId="6" w16cid:durableId="90433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50"/>
    <w:rsid w:val="006A0ECC"/>
    <w:rsid w:val="006B6FA3"/>
    <w:rsid w:val="00C75109"/>
    <w:rsid w:val="00E75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E128"/>
  <w15:docId w15:val="{F2F37935-A873-4FEF-AF6C-FA8FB393E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4" w:line="288" w:lineRule="auto"/>
      <w:ind w:left="10" w:hanging="10"/>
    </w:pPr>
    <w:rPr>
      <w:rFonts w:ascii="Times New Roman" w:eastAsia="Times New Roman" w:hAnsi="Times New Roman" w:cs="Times New Roman"/>
      <w:color w:val="1F1F1F"/>
      <w:sz w:val="20"/>
    </w:rPr>
  </w:style>
  <w:style w:type="paragraph" w:styleId="Heading1">
    <w:name w:val="heading 1"/>
    <w:next w:val="Normal"/>
    <w:link w:val="Heading1Char"/>
    <w:uiPriority w:val="9"/>
    <w:qFormat/>
    <w:pPr>
      <w:keepNext/>
      <w:keepLines/>
      <w:spacing w:after="470" w:line="265" w:lineRule="auto"/>
      <w:ind w:left="10" w:hanging="10"/>
      <w:outlineLvl w:val="0"/>
    </w:pPr>
    <w:rPr>
      <w:rFonts w:ascii="Times New Roman" w:eastAsia="Times New Roman" w:hAnsi="Times New Roman" w:cs="Times New Roman"/>
      <w:b/>
      <w:color w:val="3D3D3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D3D3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k.practicallaw.thomsonreuters.com/w-023-9796?originationContext=document&amp;vr=3.0&amp;rs=PLUK1.0&amp;transitionType=DocumentItem&amp;contextData=(sc.Default)" TargetMode="External"/><Relationship Id="rId13" Type="http://schemas.openxmlformats.org/officeDocument/2006/relationships/hyperlink" Target="https://uk.practicallaw.thomsonreuters.com/w-013-0603?originationContext=document&amp;vr=3.0&amp;rs=PLUK1.0&amp;transitionType=DocumentItem&amp;contextData=(sc.Default)" TargetMode="External"/><Relationship Id="rId18" Type="http://schemas.openxmlformats.org/officeDocument/2006/relationships/hyperlink" Target="https://nam02.safelinks.protection.outlook.com/?url=http%3A%2F%2Fwww.practicallaw.com%2Fw-006-9438&amp;data=04%7C01%7CLucy.Lowry%40thomsonreuters.com%7C59acd77e4bd64c8e2dde08d8b192bbbd%7C62ccb8646a1a4b5d8e1c397dec1a8258%7C0%7C0%7C637454591071694600%7CUnknown%7CTWFpbGZsb3d8eyJWIjoiMC4wLjAwMDAiLCJQIjoiV2luMzIiLCJBTiI6Ik1haWwiLCJXVCI6Mn0%3D%7C1000&amp;sdata=t8C1POolrjYB%2B8AH2iOpMk%2F0nzENHjnGI5ryqa9QcOM%3D&amp;reserved=0"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uk.practicallaw.thomsonreuters.com/0-507-0950?originationContext=document&amp;vr=3.0&amp;rs=PLUK1.0&amp;transitionType=PLDocumentLink&amp;contextData=(sc.Default)" TargetMode="External"/><Relationship Id="rId7" Type="http://schemas.openxmlformats.org/officeDocument/2006/relationships/hyperlink" Target="https://uk.practicallaw.thomsonreuters.com/w-015-8342?originationContext=document&amp;vr=3.0&amp;rs=PLUK1.0&amp;transitionType=DocumentItem&amp;contextData=(sc.Default)" TargetMode="External"/><Relationship Id="rId12" Type="http://schemas.openxmlformats.org/officeDocument/2006/relationships/hyperlink" Target="https://uk.practicallaw.thomsonreuters.com/w-034-0645?originationContext=document&amp;vr=3.0&amp;rs=PLUK1.0&amp;transitionType=DocumentItem&amp;contextData=(sc.Default)" TargetMode="External"/><Relationship Id="rId17" Type="http://schemas.openxmlformats.org/officeDocument/2006/relationships/hyperlink" Target="https://uk.practicallaw.thomsonreuters.com/w-006-9363?originationContext=document&amp;vr=3.0&amp;rs=PLUK1.0&amp;transitionType=DocumentItem&amp;contextData=(sc.Default)"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uk.practicallaw.thomsonreuters.com/w-006-9289?originationContext=document&amp;vr=3.0&amp;rs=PLUK1.0&amp;transitionType=DocumentItem&amp;contextData=(sc.Default)" TargetMode="External"/><Relationship Id="rId20" Type="http://schemas.openxmlformats.org/officeDocument/2006/relationships/hyperlink" Target="https://uk.practicallaw.thomsonreuters.com/0-507-0950?originationContext=document&amp;vr=3.0&amp;rs=PLUK1.0&amp;transitionType=PLDocumentLink&amp;contextData=(sc.Default)"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practicallaw.thomsonreuters.com/w-034-0645?originationContext=document&amp;vr=3.0&amp;rs=PLUK1.0&amp;transitionType=DocumentItem&amp;contextData=(sc.Default)" TargetMode="External"/><Relationship Id="rId24" Type="http://schemas.openxmlformats.org/officeDocument/2006/relationships/hyperlink" Target="https://uk.practicallaw.thomsonreuters.com/0-201-3388?originationContext=document&amp;vr=3.0&amp;rs=PLUK1.0&amp;transitionType=DocumentItem&amp;contextData=(sc.Default)"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uk.practicallaw.thomsonreuters.com/Browse/Home/Resources/Brexit" TargetMode="External"/><Relationship Id="rId23" Type="http://schemas.openxmlformats.org/officeDocument/2006/relationships/hyperlink" Target="https://uk.practicallaw.thomsonreuters.com/1-509-0127?originationContext=document&amp;vr=3.0&amp;rs=PLUK1.0&amp;transitionType=PLDocumentLink&amp;contextData=(sc.Default)" TargetMode="External"/><Relationship Id="rId28" Type="http://schemas.openxmlformats.org/officeDocument/2006/relationships/footer" Target="footer2.xml"/><Relationship Id="rId10" Type="http://schemas.openxmlformats.org/officeDocument/2006/relationships/hyperlink" Target="https://uk.practicallaw.thomsonreuters.com/w-029-0843?originationContext=document&amp;vr=3.0&amp;rs=PLUK1.0&amp;transitionType=DocumentItem&amp;contextData=(sc.Default)" TargetMode="External"/><Relationship Id="rId19" Type="http://schemas.openxmlformats.org/officeDocument/2006/relationships/hyperlink" Target="https://uk.practicallaw.thomsonreuters.com/w-006-9466?originationContext=document&amp;vr=3.0&amp;rs=PLUK1.0&amp;transitionType=DocumentItem&amp;contextData=(sc.Defaul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k.practicallaw.thomsonreuters.com/w-019-6282?originationContext=document&amp;vr=3.0&amp;rs=PLUK1.0&amp;transitionType=DocumentItem&amp;contextData=(sc.Default)" TargetMode="External"/><Relationship Id="rId14" Type="http://schemas.openxmlformats.org/officeDocument/2006/relationships/hyperlink" Target="https://uk.practicallaw.thomsonreuters.com/Browse/Home/Resources/Brexit" TargetMode="External"/><Relationship Id="rId22" Type="http://schemas.openxmlformats.org/officeDocument/2006/relationships/hyperlink" Target="https://uk.practicallaw.thomsonreuters.com/3-541-1486?originationContext=document&amp;vr=3.0&amp;rs=PLUK1.0&amp;transitionType=DocumentItem&amp;contextData=(sc.Default)"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2192</Words>
  <Characters>12495</Characters>
  <Application>Microsoft Office Word</Application>
  <DocSecurity>0</DocSecurity>
  <Lines>104</Lines>
  <Paragraphs>29</Paragraphs>
  <ScaleCrop>false</ScaleCrop>
  <Company>Harper James Solicitors</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2</cp:revision>
  <dcterms:created xsi:type="dcterms:W3CDTF">2025-11-28T14:50:00Z</dcterms:created>
  <dcterms:modified xsi:type="dcterms:W3CDTF">2025-11-28T14:50:00Z</dcterms:modified>
</cp:coreProperties>
</file>