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9E34" w14:textId="33C8A1E8" w:rsidR="001E44A5" w:rsidRPr="001E44A5" w:rsidRDefault="001E44A5" w:rsidP="001E44A5">
      <w:pPr>
        <w:pStyle w:val="a3"/>
        <w:jc w:val="center"/>
        <w:rPr>
          <w:rFonts w:ascii="Times New Roman" w:eastAsia="楷体" w:hAnsi="Times New Roman" w:cs="Times New Roman" w:hint="eastAsia"/>
        </w:rPr>
      </w:pPr>
      <w:r>
        <w:rPr>
          <w:rFonts w:ascii="Times New Roman" w:eastAsia="楷体" w:hAnsi="Times New Roman" w:cs="Times New Roman" w:hint="eastAsia"/>
        </w:rPr>
        <w:t>基金业绩归因分析方法演变综述</w:t>
      </w:r>
    </w:p>
    <w:p w14:paraId="295065F9" w14:textId="20C9FD42" w:rsidR="001D20DD" w:rsidRPr="00260FA3" w:rsidRDefault="001D20DD" w:rsidP="001D20DD">
      <w:pPr>
        <w:pStyle w:val="a3"/>
        <w:rPr>
          <w:rFonts w:ascii="Times New Roman" w:eastAsia="楷体" w:hAnsi="Times New Roman" w:cs="Times New Roman"/>
        </w:rPr>
      </w:pPr>
      <w:r w:rsidRPr="00260FA3">
        <w:rPr>
          <w:rFonts w:ascii="Times New Roman" w:eastAsia="楷体" w:hAnsi="Times New Roman" w:cs="Times New Roman"/>
        </w:rPr>
        <w:t>近年来许多文献都对基金业绩归因的方法进行了讨论。对业绩进行拆解可以帮助我们解释基金回报为何与基准回报不同，即超额回报的来源。</w:t>
      </w:r>
    </w:p>
    <w:p w14:paraId="47433092" w14:textId="02832111" w:rsidR="001E44A5" w:rsidRDefault="001259CD" w:rsidP="001E44A5">
      <w:pPr>
        <w:pStyle w:val="a3"/>
        <w:rPr>
          <w:rFonts w:ascii="Times New Roman" w:eastAsia="楷体" w:hAnsi="Times New Roman" w:cs="Times New Roman"/>
        </w:rPr>
      </w:pPr>
      <w:r w:rsidRPr="001E44A5">
        <w:rPr>
          <w:rFonts w:ascii="Times New Roman" w:eastAsia="楷体" w:hAnsi="Times New Roman" w:cs="Times New Roman"/>
        </w:rPr>
        <w:t xml:space="preserve">1972 </w:t>
      </w:r>
      <w:r w:rsidRPr="001E44A5">
        <w:rPr>
          <w:rFonts w:ascii="Times New Roman" w:eastAsia="楷体" w:hAnsi="Times New Roman" w:cs="Times New Roman"/>
        </w:rPr>
        <w:t>年</w:t>
      </w:r>
      <w:r w:rsidRPr="001E44A5">
        <w:rPr>
          <w:rFonts w:ascii="Times New Roman" w:eastAsia="楷体" w:hAnsi="Times New Roman" w:cs="Times New Roman"/>
        </w:rPr>
        <w:t xml:space="preserve">Eugene </w:t>
      </w:r>
      <w:proofErr w:type="spellStart"/>
      <w:r w:rsidRPr="001E44A5">
        <w:rPr>
          <w:rFonts w:ascii="Times New Roman" w:eastAsia="楷体" w:hAnsi="Times New Roman" w:cs="Times New Roman"/>
        </w:rPr>
        <w:t>Fama</w:t>
      </w:r>
      <w:proofErr w:type="spellEnd"/>
      <w:r w:rsidRPr="001E44A5">
        <w:rPr>
          <w:rFonts w:ascii="Times New Roman" w:eastAsia="楷体" w:hAnsi="Times New Roman" w:cs="Times New Roman"/>
        </w:rPr>
        <w:t xml:space="preserve"> </w:t>
      </w:r>
      <w:r>
        <w:rPr>
          <w:rFonts w:ascii="Times New Roman" w:eastAsia="楷体" w:hAnsi="Times New Roman" w:cs="Times New Roman" w:hint="eastAsia"/>
        </w:rPr>
        <w:t>提出将基金超额</w:t>
      </w:r>
      <w:r w:rsidRPr="001E44A5">
        <w:rPr>
          <w:rFonts w:ascii="Times New Roman" w:eastAsia="楷体" w:hAnsi="Times New Roman" w:cs="Times New Roman" w:hint="eastAsia"/>
        </w:rPr>
        <w:t>回</w:t>
      </w:r>
      <w:r w:rsidRPr="001E44A5">
        <w:rPr>
          <w:rFonts w:ascii="Times New Roman" w:eastAsia="楷体" w:hAnsi="Times New Roman" w:cs="Times New Roman"/>
        </w:rPr>
        <w:t>报分解为</w:t>
      </w:r>
      <w:r>
        <w:rPr>
          <w:rFonts w:ascii="Times New Roman" w:eastAsia="楷体" w:hAnsi="Times New Roman" w:cs="Times New Roman" w:hint="eastAsia"/>
        </w:rPr>
        <w:t>选股回报和择时回报</w:t>
      </w:r>
      <w:r>
        <w:rPr>
          <w:rFonts w:ascii="Times New Roman" w:eastAsia="楷体" w:hAnsi="Times New Roman" w:cs="Times New Roman" w:hint="eastAsia"/>
        </w:rPr>
        <w:t>，</w:t>
      </w:r>
      <w:r w:rsidRPr="001E44A5">
        <w:rPr>
          <w:rFonts w:ascii="Times New Roman" w:eastAsia="楷体" w:hAnsi="Times New Roman" w:cs="Times New Roman"/>
        </w:rPr>
        <w:t>即管理者在给定风险水平和</w:t>
      </w:r>
      <w:r>
        <w:rPr>
          <w:rFonts w:ascii="Times New Roman" w:eastAsia="楷体" w:hAnsi="Times New Roman" w:cs="Times New Roman" w:hint="eastAsia"/>
        </w:rPr>
        <w:t>市场</w:t>
      </w:r>
      <w:r w:rsidRPr="001E44A5">
        <w:rPr>
          <w:rFonts w:ascii="Times New Roman" w:eastAsia="楷体" w:hAnsi="Times New Roman" w:cs="Times New Roman" w:hint="eastAsia"/>
        </w:rPr>
        <w:t>下</w:t>
      </w:r>
      <w:r>
        <w:rPr>
          <w:rFonts w:ascii="Times New Roman" w:eastAsia="楷体" w:hAnsi="Times New Roman" w:cs="Times New Roman" w:hint="eastAsia"/>
        </w:rPr>
        <w:t>选出超预期回报的股票的能力和</w:t>
      </w:r>
      <w:r w:rsidRPr="001E44A5">
        <w:rPr>
          <w:rFonts w:ascii="Times New Roman" w:eastAsia="楷体" w:hAnsi="Times New Roman" w:cs="Times New Roman"/>
        </w:rPr>
        <w:t>预测市场价格走势的能力</w:t>
      </w:r>
      <w:r>
        <w:rPr>
          <w:rFonts w:ascii="Times New Roman" w:eastAsia="楷体" w:hAnsi="Times New Roman" w:cs="Times New Roman" w:hint="eastAsia"/>
        </w:rPr>
        <w:t>。此后许多文献都对基金业绩增量的归因分析进行了讨论</w:t>
      </w:r>
      <w:r w:rsidRPr="001E44A5">
        <w:rPr>
          <w:rFonts w:ascii="Times New Roman" w:eastAsia="楷体" w:hAnsi="Times New Roman" w:cs="Times New Roman" w:hint="eastAsia"/>
        </w:rPr>
        <w:t>。</w:t>
      </w:r>
      <w:r w:rsidR="001D20DD">
        <w:rPr>
          <w:rFonts w:ascii="Times New Roman" w:eastAsia="楷体" w:hAnsi="Times New Roman" w:cs="Times New Roman" w:hint="eastAsia"/>
        </w:rPr>
        <w:t>大部分的</w:t>
      </w:r>
      <w:r w:rsidR="001D20DD" w:rsidRPr="00260FA3">
        <w:rPr>
          <w:rFonts w:ascii="Times New Roman" w:eastAsia="楷体" w:hAnsi="Times New Roman" w:cs="Times New Roman"/>
        </w:rPr>
        <w:t>归因分析</w:t>
      </w:r>
      <w:r w:rsidR="001D20DD">
        <w:rPr>
          <w:rFonts w:ascii="Times New Roman" w:eastAsia="楷体" w:hAnsi="Times New Roman" w:cs="Times New Roman" w:hint="eastAsia"/>
        </w:rPr>
        <w:t>模型致力于</w:t>
      </w:r>
      <w:r w:rsidR="001D20DD" w:rsidRPr="00260FA3">
        <w:rPr>
          <w:rFonts w:ascii="Times New Roman" w:eastAsia="楷体" w:hAnsi="Times New Roman" w:cs="Times New Roman" w:hint="eastAsia"/>
        </w:rPr>
        <w:t>解</w:t>
      </w:r>
      <w:r w:rsidR="001D20DD" w:rsidRPr="00260FA3">
        <w:rPr>
          <w:rFonts w:ascii="Times New Roman" w:eastAsia="楷体" w:hAnsi="Times New Roman" w:cs="Times New Roman"/>
        </w:rPr>
        <w:t>释选股能力和市场择时中的哪一个是基金整体绩效的来源。</w:t>
      </w:r>
      <w:r w:rsidR="001D20DD" w:rsidRPr="00260FA3">
        <w:rPr>
          <w:rFonts w:ascii="Times New Roman" w:eastAsia="楷体" w:hAnsi="Times New Roman" w:cs="Times New Roman"/>
        </w:rPr>
        <w:t xml:space="preserve"> </w:t>
      </w:r>
      <w:r w:rsidR="001D20DD" w:rsidRPr="00260FA3">
        <w:rPr>
          <w:rFonts w:ascii="Times New Roman" w:eastAsia="楷体" w:hAnsi="Times New Roman" w:cs="Times New Roman"/>
        </w:rPr>
        <w:t>具体来说，归因分析会将基金经理实际持有的投资的总回报与预先确定的基准回报进行比较，并将</w:t>
      </w:r>
      <w:r w:rsidR="002A15F9">
        <w:rPr>
          <w:rFonts w:ascii="Times New Roman" w:eastAsia="楷体" w:hAnsi="Times New Roman" w:cs="Times New Roman" w:hint="eastAsia"/>
        </w:rPr>
        <w:t>这个业绩的增量</w:t>
      </w:r>
      <w:r w:rsidR="001D20DD" w:rsidRPr="00260FA3">
        <w:rPr>
          <w:rFonts w:ascii="Times New Roman" w:eastAsia="楷体" w:hAnsi="Times New Roman" w:cs="Times New Roman"/>
        </w:rPr>
        <w:t>分解为选股效应和择时效应。</w:t>
      </w:r>
    </w:p>
    <w:p w14:paraId="0C470A5F" w14:textId="01A489E8" w:rsidR="001E44A5" w:rsidRDefault="001D20DD" w:rsidP="001E44A5">
      <w:pPr>
        <w:pStyle w:val="a3"/>
        <w:rPr>
          <w:rFonts w:ascii="Times New Roman" w:eastAsia="楷体" w:hAnsi="Times New Roman" w:cs="Times New Roman"/>
        </w:rPr>
      </w:pPr>
      <w:bookmarkStart w:id="0" w:name="OLE_LINK36"/>
      <w:r w:rsidRPr="00260FA3">
        <w:rPr>
          <w:rFonts w:ascii="Times New Roman" w:eastAsia="楷体" w:hAnsi="Times New Roman" w:cs="Times New Roman"/>
        </w:rPr>
        <w:t>对基金业绩归因文献有</w:t>
      </w:r>
      <w:r w:rsidR="001E44A5">
        <w:rPr>
          <w:rFonts w:ascii="Times New Roman" w:eastAsia="楷体" w:hAnsi="Times New Roman" w:cs="Times New Roman" w:hint="eastAsia"/>
        </w:rPr>
        <w:t>两</w:t>
      </w:r>
      <w:r w:rsidRPr="00260FA3">
        <w:rPr>
          <w:rFonts w:ascii="Times New Roman" w:eastAsia="楷体" w:hAnsi="Times New Roman" w:cs="Times New Roman"/>
        </w:rPr>
        <w:t>大派别：一部分文献的归因</w:t>
      </w:r>
      <w:r w:rsidR="00236A9F">
        <w:rPr>
          <w:rFonts w:ascii="Times New Roman" w:eastAsia="楷体" w:hAnsi="Times New Roman" w:cs="Times New Roman" w:hint="eastAsia"/>
        </w:rPr>
        <w:t>分析</w:t>
      </w:r>
      <w:r w:rsidRPr="00260FA3">
        <w:rPr>
          <w:rFonts w:ascii="Times New Roman" w:eastAsia="楷体" w:hAnsi="Times New Roman" w:cs="Times New Roman"/>
        </w:rPr>
        <w:t>是</w:t>
      </w:r>
      <w:bookmarkStart w:id="1" w:name="OLE_LINK16"/>
      <w:r w:rsidRPr="00260FA3">
        <w:rPr>
          <w:rFonts w:ascii="Times New Roman" w:eastAsia="楷体" w:hAnsi="Times New Roman" w:cs="Times New Roman"/>
        </w:rPr>
        <w:t>基于基金回报或风险因子。</w:t>
      </w:r>
      <w:r w:rsidR="009F5B50">
        <w:rPr>
          <w:rFonts w:ascii="Times New Roman" w:eastAsia="楷体" w:hAnsi="Times New Roman" w:cs="Times New Roman" w:hint="eastAsia"/>
        </w:rPr>
        <w:t>通过</w:t>
      </w:r>
      <w:r w:rsidRPr="00260FA3">
        <w:rPr>
          <w:rFonts w:ascii="Times New Roman" w:eastAsia="楷体" w:hAnsi="Times New Roman" w:cs="Times New Roman"/>
        </w:rPr>
        <w:t>基金收益的时间序列数据进行</w:t>
      </w:r>
      <w:r w:rsidR="00F10D8C">
        <w:rPr>
          <w:rFonts w:ascii="Times New Roman" w:eastAsia="楷体" w:hAnsi="Times New Roman" w:cs="Times New Roman" w:hint="eastAsia"/>
        </w:rPr>
        <w:t>业绩增量</w:t>
      </w:r>
      <w:r w:rsidRPr="00260FA3">
        <w:rPr>
          <w:rFonts w:ascii="Times New Roman" w:eastAsia="楷体" w:hAnsi="Times New Roman" w:cs="Times New Roman"/>
        </w:rPr>
        <w:t>归因</w:t>
      </w:r>
      <w:bookmarkEnd w:id="1"/>
      <w:r w:rsidRPr="00260FA3">
        <w:rPr>
          <w:rFonts w:ascii="Times New Roman" w:eastAsia="楷体" w:hAnsi="Times New Roman" w:cs="Times New Roman"/>
        </w:rPr>
        <w:t>；</w:t>
      </w:r>
      <w:bookmarkStart w:id="2" w:name="OLE_LINK17"/>
      <w:r w:rsidRPr="00260FA3">
        <w:rPr>
          <w:rFonts w:ascii="Times New Roman" w:eastAsia="楷体" w:hAnsi="Times New Roman" w:cs="Times New Roman"/>
        </w:rPr>
        <w:t>另一部分是基于基金持有情况</w:t>
      </w:r>
      <w:bookmarkEnd w:id="2"/>
      <w:r w:rsidR="001E44A5">
        <w:rPr>
          <w:rFonts w:ascii="Times New Roman" w:eastAsia="楷体" w:hAnsi="Times New Roman" w:cs="Times New Roman" w:hint="eastAsia"/>
        </w:rPr>
        <w:t>，</w:t>
      </w:r>
      <w:r w:rsidR="001E44A5">
        <w:rPr>
          <w:rFonts w:ascii="Times New Roman" w:eastAsia="楷体" w:hAnsi="Times New Roman" w:cs="Times New Roman" w:hint="eastAsia"/>
        </w:rPr>
        <w:t>通过计算不同时刻基金持有情况的变化</w:t>
      </w:r>
      <w:r w:rsidR="001E44A5" w:rsidRPr="00260FA3">
        <w:rPr>
          <w:rFonts w:ascii="Times New Roman" w:eastAsia="楷体" w:hAnsi="Times New Roman" w:cs="Times New Roman"/>
        </w:rPr>
        <w:t>进行</w:t>
      </w:r>
      <w:r w:rsidR="001E44A5">
        <w:rPr>
          <w:rFonts w:ascii="Times New Roman" w:eastAsia="楷体" w:hAnsi="Times New Roman" w:cs="Times New Roman" w:hint="eastAsia"/>
        </w:rPr>
        <w:t>业绩增量</w:t>
      </w:r>
      <w:r w:rsidR="001E44A5" w:rsidRPr="00260FA3">
        <w:rPr>
          <w:rFonts w:ascii="Times New Roman" w:eastAsia="楷体" w:hAnsi="Times New Roman" w:cs="Times New Roman"/>
        </w:rPr>
        <w:t>归因</w:t>
      </w:r>
      <w:r w:rsidR="001E44A5" w:rsidRPr="00260FA3">
        <w:rPr>
          <w:rFonts w:ascii="Times New Roman" w:eastAsia="楷体" w:hAnsi="Times New Roman" w:cs="Times New Roman" w:hint="eastAsia"/>
        </w:rPr>
        <w:t>。</w:t>
      </w:r>
      <w:bookmarkStart w:id="3" w:name="OLE_LINK14"/>
    </w:p>
    <w:bookmarkEnd w:id="0"/>
    <w:p w14:paraId="376A500B" w14:textId="2E2CEB2E" w:rsidR="001E44A5" w:rsidRDefault="002A15F9" w:rsidP="001E44A5">
      <w:pPr>
        <w:pStyle w:val="a3"/>
        <w:rPr>
          <w:rFonts w:ascii="Times New Roman" w:eastAsia="楷体" w:hAnsi="Times New Roman" w:cs="Times New Roman"/>
        </w:rPr>
      </w:pPr>
      <w:r w:rsidRPr="001B3BCD">
        <w:rPr>
          <w:rFonts w:ascii="Times New Roman" w:eastAsia="楷体" w:hAnsi="Times New Roman" w:cs="Times New Roman"/>
        </w:rPr>
        <w:t>基于基金回报或风险因子</w:t>
      </w:r>
      <w:r w:rsidRPr="001B3BCD">
        <w:rPr>
          <w:rFonts w:ascii="Times New Roman" w:eastAsia="楷体" w:hAnsi="Times New Roman" w:cs="Times New Roman" w:hint="eastAsia"/>
        </w:rPr>
        <w:t>的</w:t>
      </w:r>
      <w:r w:rsidRPr="001B3BCD">
        <w:rPr>
          <w:rFonts w:ascii="Times New Roman" w:eastAsia="楷体" w:hAnsi="Times New Roman" w:cs="Times New Roman"/>
        </w:rPr>
        <w:t>归因方法</w:t>
      </w:r>
      <w:r w:rsidRPr="001B3BCD">
        <w:rPr>
          <w:rFonts w:ascii="Times New Roman" w:eastAsia="楷体" w:hAnsi="Times New Roman" w:cs="Times New Roman" w:hint="eastAsia"/>
        </w:rPr>
        <w:t>会使用</w:t>
      </w:r>
      <w:bookmarkStart w:id="4" w:name="OLE_LINK27"/>
      <w:r w:rsidRPr="001B3BCD">
        <w:rPr>
          <w:rFonts w:ascii="Times New Roman" w:eastAsia="楷体" w:hAnsi="Times New Roman" w:cs="Times New Roman"/>
        </w:rPr>
        <w:t>基金</w:t>
      </w:r>
      <w:r w:rsidRPr="001B3BCD">
        <w:rPr>
          <w:rFonts w:ascii="Times New Roman" w:eastAsia="楷体" w:hAnsi="Times New Roman" w:cs="Times New Roman" w:hint="eastAsia"/>
        </w:rPr>
        <w:t>的</w:t>
      </w:r>
      <w:r w:rsidRPr="001B3BCD">
        <w:rPr>
          <w:rFonts w:ascii="Times New Roman" w:eastAsia="楷体" w:hAnsi="Times New Roman" w:cs="Times New Roman"/>
        </w:rPr>
        <w:t>收益</w:t>
      </w:r>
      <w:bookmarkEnd w:id="4"/>
      <w:r w:rsidRPr="001B3BCD">
        <w:rPr>
          <w:rFonts w:ascii="Times New Roman" w:eastAsia="楷体" w:hAnsi="Times New Roman" w:cs="Times New Roman" w:hint="eastAsia"/>
        </w:rPr>
        <w:t>与基准收益进行对比。因为基金的收益数据相对容易获取，有大量的</w:t>
      </w:r>
      <w:r w:rsidRPr="001B3BCD">
        <w:rPr>
          <w:rFonts w:ascii="Times New Roman" w:eastAsia="楷体" w:hAnsi="Times New Roman" w:cs="Times New Roman"/>
        </w:rPr>
        <w:t>公募基金</w:t>
      </w:r>
      <w:r w:rsidRPr="001B3BCD">
        <w:rPr>
          <w:rFonts w:ascii="Times New Roman" w:eastAsia="楷体" w:hAnsi="Times New Roman" w:cs="Times New Roman"/>
        </w:rPr>
        <w:t>业绩文献</w:t>
      </w:r>
      <w:r w:rsidRPr="001B3BCD">
        <w:rPr>
          <w:rFonts w:ascii="Times New Roman" w:eastAsia="楷体" w:hAnsi="Times New Roman" w:cs="Times New Roman" w:hint="eastAsia"/>
        </w:rPr>
        <w:t>都会采取基于收益的归因模型，</w:t>
      </w:r>
      <w:r w:rsidRPr="001B3BCD">
        <w:rPr>
          <w:rFonts w:ascii="Times New Roman" w:eastAsia="楷体" w:hAnsi="Times New Roman" w:cs="Times New Roman"/>
        </w:rPr>
        <w:t>如</w:t>
      </w:r>
      <w:r w:rsidRPr="001B3BCD">
        <w:rPr>
          <w:rFonts w:ascii="Times New Roman" w:eastAsia="楷体" w:hAnsi="Times New Roman" w:cs="Times New Roman"/>
        </w:rPr>
        <w:t xml:space="preserve"> Jensen (1968) </w:t>
      </w:r>
      <w:r w:rsidRPr="001B3BCD">
        <w:rPr>
          <w:rFonts w:ascii="Times New Roman" w:eastAsia="楷体" w:hAnsi="Times New Roman" w:cs="Times New Roman" w:hint="eastAsia"/>
        </w:rPr>
        <w:t>，</w:t>
      </w:r>
      <w:r w:rsidRPr="001B3BCD">
        <w:rPr>
          <w:rFonts w:ascii="Times New Roman" w:eastAsia="楷体" w:hAnsi="Times New Roman" w:cs="Times New Roman"/>
        </w:rPr>
        <w:t xml:space="preserve">Sharpe (1992) </w:t>
      </w:r>
      <w:r w:rsidRPr="001B3BCD">
        <w:rPr>
          <w:rFonts w:ascii="Times New Roman" w:eastAsia="楷体" w:hAnsi="Times New Roman" w:cs="Times New Roman"/>
        </w:rPr>
        <w:t>和</w:t>
      </w:r>
      <w:r w:rsidRPr="001B3BCD">
        <w:rPr>
          <w:rFonts w:ascii="Times New Roman" w:eastAsia="楷体" w:hAnsi="Times New Roman" w:cs="Times New Roman"/>
        </w:rPr>
        <w:t xml:space="preserve"> Carhart (1997) </w:t>
      </w:r>
      <w:r w:rsidRPr="001B3BCD">
        <w:rPr>
          <w:rFonts w:ascii="Times New Roman" w:eastAsia="楷体" w:hAnsi="Times New Roman" w:cs="Times New Roman"/>
        </w:rPr>
        <w:t>的多因</w:t>
      </w:r>
      <w:r w:rsidRPr="001B3BCD">
        <w:rPr>
          <w:rFonts w:ascii="Times New Roman" w:eastAsia="楷体" w:hAnsi="Times New Roman" w:cs="Times New Roman" w:hint="eastAsia"/>
        </w:rPr>
        <w:t>子</w:t>
      </w:r>
      <w:r w:rsidRPr="001B3BCD">
        <w:rPr>
          <w:rFonts w:ascii="Times New Roman" w:eastAsia="楷体" w:hAnsi="Times New Roman" w:cs="Times New Roman"/>
        </w:rPr>
        <w:t>模型。</w:t>
      </w:r>
      <w:r w:rsidR="001B3BCD">
        <w:rPr>
          <w:rFonts w:ascii="Times New Roman" w:eastAsia="楷体" w:hAnsi="Times New Roman" w:cs="Times New Roman" w:hint="eastAsia"/>
        </w:rPr>
        <w:t>1</w:t>
      </w:r>
      <w:r w:rsidR="001B3BCD">
        <w:rPr>
          <w:rFonts w:ascii="Times New Roman" w:eastAsia="楷体" w:hAnsi="Times New Roman" w:cs="Times New Roman"/>
        </w:rPr>
        <w:t>993</w:t>
      </w:r>
      <w:r w:rsidR="001B3BCD">
        <w:rPr>
          <w:rFonts w:ascii="Times New Roman" w:eastAsia="楷体" w:hAnsi="Times New Roman" w:cs="Times New Roman" w:hint="eastAsia"/>
        </w:rPr>
        <w:t>年，</w:t>
      </w:r>
      <w:r w:rsidR="00D35CB7" w:rsidRPr="001B3BCD">
        <w:rPr>
          <w:rFonts w:ascii="Times New Roman" w:eastAsia="楷体" w:hAnsi="Times New Roman" w:cs="Times New Roman" w:hint="eastAsia"/>
        </w:rPr>
        <w:t>E</w:t>
      </w:r>
      <w:r w:rsidR="00D35CB7" w:rsidRPr="001B3BCD">
        <w:rPr>
          <w:rFonts w:ascii="Times New Roman" w:eastAsia="楷体" w:hAnsi="Times New Roman" w:cs="Times New Roman"/>
        </w:rPr>
        <w:t xml:space="preserve">ugene </w:t>
      </w:r>
      <w:proofErr w:type="spellStart"/>
      <w:r w:rsidR="00D35CB7" w:rsidRPr="001B3BCD">
        <w:rPr>
          <w:rFonts w:ascii="Times New Roman" w:eastAsia="楷体" w:hAnsi="Times New Roman" w:cs="Times New Roman"/>
        </w:rPr>
        <w:t>Fama</w:t>
      </w:r>
      <w:proofErr w:type="spellEnd"/>
      <w:r w:rsidR="00D35CB7" w:rsidRPr="001B3BCD">
        <w:rPr>
          <w:rFonts w:ascii="Times New Roman" w:eastAsia="楷体" w:hAnsi="Times New Roman" w:cs="Times New Roman"/>
        </w:rPr>
        <w:t>和</w:t>
      </w:r>
      <w:r w:rsidR="00D35CB7" w:rsidRPr="001B3BCD">
        <w:rPr>
          <w:rFonts w:ascii="Times New Roman" w:eastAsia="楷体" w:hAnsi="Times New Roman" w:cs="Times New Roman"/>
        </w:rPr>
        <w:t>Kenneth French</w:t>
      </w:r>
      <w:r w:rsidR="003331C4">
        <w:rPr>
          <w:rFonts w:ascii="Times New Roman" w:eastAsia="楷体" w:hAnsi="Times New Roman" w:cs="Times New Roman" w:hint="eastAsia"/>
        </w:rPr>
        <w:t>在</w:t>
      </w:r>
      <w:r w:rsidR="003331C4">
        <w:rPr>
          <w:rFonts w:ascii="Times New Roman" w:eastAsia="楷体" w:hAnsi="Times New Roman" w:cs="Times New Roman"/>
        </w:rPr>
        <w:t xml:space="preserve">CAPM </w:t>
      </w:r>
      <w:r w:rsidR="003331C4">
        <w:rPr>
          <w:rFonts w:ascii="Times New Roman" w:eastAsia="楷体" w:hAnsi="Times New Roman" w:cs="Times New Roman" w:hint="eastAsia"/>
        </w:rPr>
        <w:t>模型基础上</w:t>
      </w:r>
      <w:r w:rsidR="00D35CB7" w:rsidRPr="001B3BCD">
        <w:rPr>
          <w:rFonts w:ascii="Times New Roman" w:eastAsia="楷体" w:hAnsi="Times New Roman" w:cs="Times New Roman"/>
        </w:rPr>
        <w:t>提出了</w:t>
      </w:r>
      <w:proofErr w:type="spellStart"/>
      <w:r w:rsidR="00D35CB7" w:rsidRPr="001B3BCD">
        <w:rPr>
          <w:rFonts w:ascii="Times New Roman" w:eastAsia="楷体" w:hAnsi="Times New Roman" w:cs="Times New Roman"/>
        </w:rPr>
        <w:t>Fama</w:t>
      </w:r>
      <w:proofErr w:type="spellEnd"/>
      <w:r w:rsidR="00D35CB7" w:rsidRPr="001B3BCD">
        <w:rPr>
          <w:rFonts w:ascii="Times New Roman" w:eastAsia="楷体" w:hAnsi="Times New Roman" w:cs="Times New Roman"/>
        </w:rPr>
        <w:t>-French</w:t>
      </w:r>
      <w:r w:rsidR="00D35CB7" w:rsidRPr="001B3BCD">
        <w:rPr>
          <w:rFonts w:ascii="Times New Roman" w:eastAsia="楷体" w:hAnsi="Times New Roman" w:cs="Times New Roman"/>
        </w:rPr>
        <w:t>三因</w:t>
      </w:r>
      <w:r w:rsidR="00D35CB7" w:rsidRPr="001B3BCD">
        <w:rPr>
          <w:rFonts w:ascii="Times New Roman" w:eastAsia="楷体" w:hAnsi="Times New Roman" w:cs="Times New Roman" w:hint="eastAsia"/>
        </w:rPr>
        <w:t>子</w:t>
      </w:r>
      <w:r w:rsidR="00D35CB7" w:rsidRPr="001B3BCD">
        <w:rPr>
          <w:rFonts w:ascii="Times New Roman" w:eastAsia="楷体" w:hAnsi="Times New Roman" w:cs="Times New Roman"/>
        </w:rPr>
        <w:t>模型，包括市场</w:t>
      </w:r>
      <w:r w:rsidR="00D35CB7" w:rsidRPr="001B3BCD">
        <w:rPr>
          <w:rFonts w:ascii="Times New Roman" w:eastAsia="楷体" w:hAnsi="Times New Roman" w:cs="Times New Roman" w:hint="eastAsia"/>
        </w:rPr>
        <w:t>风险因子</w:t>
      </w:r>
      <w:r w:rsidR="00D35CB7" w:rsidRPr="001B3BCD">
        <w:rPr>
          <w:rFonts w:ascii="Times New Roman" w:eastAsia="楷体" w:hAnsi="Times New Roman" w:cs="Times New Roman"/>
        </w:rPr>
        <w:t>，规模</w:t>
      </w:r>
      <w:r w:rsidR="00D35CB7" w:rsidRPr="001B3BCD">
        <w:rPr>
          <w:rFonts w:ascii="Times New Roman" w:eastAsia="楷体" w:hAnsi="Times New Roman" w:cs="Times New Roman" w:hint="eastAsia"/>
        </w:rPr>
        <w:t>因子</w:t>
      </w:r>
      <w:r w:rsidR="00D35CB7" w:rsidRPr="001B3BCD">
        <w:rPr>
          <w:rFonts w:ascii="Times New Roman" w:eastAsia="楷体" w:hAnsi="Times New Roman" w:cs="Times New Roman"/>
        </w:rPr>
        <w:t>和价值因</w:t>
      </w:r>
      <w:r w:rsidR="00D35CB7" w:rsidRPr="001B3BCD">
        <w:rPr>
          <w:rFonts w:ascii="Times New Roman" w:eastAsia="楷体" w:hAnsi="Times New Roman" w:cs="Times New Roman" w:hint="eastAsia"/>
        </w:rPr>
        <w:t>子</w:t>
      </w:r>
      <w:r w:rsidR="00D35CB7" w:rsidRPr="001B3BCD">
        <w:rPr>
          <w:rFonts w:ascii="Times New Roman" w:eastAsia="楷体" w:hAnsi="Times New Roman" w:cs="Times New Roman"/>
        </w:rPr>
        <w:t>。</w:t>
      </w:r>
      <w:r w:rsidR="001B3BCD">
        <w:rPr>
          <w:rFonts w:ascii="Times New Roman" w:eastAsia="楷体" w:hAnsi="Times New Roman" w:cs="Times New Roman" w:hint="eastAsia"/>
        </w:rPr>
        <w:t>此后，</w:t>
      </w:r>
      <w:r w:rsidRPr="001B3BCD">
        <w:rPr>
          <w:rFonts w:ascii="Times New Roman" w:eastAsia="楷体" w:hAnsi="Times New Roman" w:cs="Times New Roman"/>
        </w:rPr>
        <w:t>Mark Carhart</w:t>
      </w:r>
      <w:r w:rsidRPr="001B3BCD">
        <w:rPr>
          <w:rFonts w:ascii="Times New Roman" w:eastAsia="楷体" w:hAnsi="Times New Roman" w:cs="Times New Roman"/>
        </w:rPr>
        <w:t>提出在</w:t>
      </w:r>
      <w:proofErr w:type="spellStart"/>
      <w:r w:rsidRPr="001B3BCD">
        <w:rPr>
          <w:rFonts w:ascii="Times New Roman" w:eastAsia="楷体" w:hAnsi="Times New Roman" w:cs="Times New Roman"/>
        </w:rPr>
        <w:t>Fama</w:t>
      </w:r>
      <w:proofErr w:type="spellEnd"/>
      <w:r w:rsidRPr="001B3BCD">
        <w:rPr>
          <w:rFonts w:ascii="Times New Roman" w:eastAsia="楷体" w:hAnsi="Times New Roman" w:cs="Times New Roman"/>
        </w:rPr>
        <w:t>-French</w:t>
      </w:r>
      <w:r w:rsidRPr="001B3BCD">
        <w:rPr>
          <w:rFonts w:ascii="Times New Roman" w:eastAsia="楷体" w:hAnsi="Times New Roman" w:cs="Times New Roman"/>
        </w:rPr>
        <w:t>三因子模型中加入</w:t>
      </w:r>
      <w:r w:rsidR="003458E0" w:rsidRPr="001B3BCD">
        <w:rPr>
          <w:rFonts w:ascii="Times New Roman" w:eastAsia="楷体" w:hAnsi="Times New Roman" w:cs="Times New Roman" w:hint="eastAsia"/>
        </w:rPr>
        <w:t>动量</w:t>
      </w:r>
      <w:r w:rsidRPr="001B3BCD">
        <w:rPr>
          <w:rFonts w:ascii="Times New Roman" w:eastAsia="楷体" w:hAnsi="Times New Roman" w:cs="Times New Roman"/>
        </w:rPr>
        <w:t>因子</w:t>
      </w:r>
      <w:r w:rsidR="00E3123A" w:rsidRPr="001B3BCD">
        <w:rPr>
          <w:rFonts w:ascii="Times New Roman" w:eastAsia="楷体" w:hAnsi="Times New Roman" w:cs="Times New Roman" w:hint="eastAsia"/>
        </w:rPr>
        <w:t>，</w:t>
      </w:r>
      <w:r w:rsidR="004B22A9">
        <w:rPr>
          <w:rFonts w:ascii="Times New Roman" w:eastAsia="楷体" w:hAnsi="Times New Roman" w:cs="Times New Roman" w:hint="eastAsia"/>
        </w:rPr>
        <w:t>得到</w:t>
      </w:r>
      <w:r w:rsidR="00E3123A" w:rsidRPr="001B3BCD">
        <w:rPr>
          <w:rFonts w:ascii="Times New Roman" w:eastAsia="楷体" w:hAnsi="Times New Roman" w:cs="Times New Roman" w:hint="eastAsia"/>
        </w:rPr>
        <w:t>新的</w:t>
      </w:r>
      <w:r w:rsidR="00E3123A" w:rsidRPr="001B3BCD">
        <w:rPr>
          <w:rFonts w:ascii="Times New Roman" w:eastAsia="楷体" w:hAnsi="Times New Roman" w:cs="Times New Roman"/>
        </w:rPr>
        <w:t>C</w:t>
      </w:r>
      <w:r w:rsidR="00E3123A" w:rsidRPr="001B3BCD">
        <w:rPr>
          <w:rFonts w:ascii="Times New Roman" w:eastAsia="楷体" w:hAnsi="Times New Roman" w:cs="Times New Roman" w:hint="eastAsia"/>
        </w:rPr>
        <w:t>arhart</w:t>
      </w:r>
      <w:r w:rsidR="00E3123A" w:rsidRPr="001B3BCD">
        <w:rPr>
          <w:rFonts w:ascii="Times New Roman" w:eastAsia="楷体" w:hAnsi="Times New Roman" w:cs="Times New Roman" w:hint="eastAsia"/>
        </w:rPr>
        <w:t>模</w:t>
      </w:r>
      <w:r w:rsidR="00E3123A" w:rsidRPr="001B3BCD">
        <w:rPr>
          <w:rFonts w:ascii="Times New Roman" w:eastAsia="楷体" w:hAnsi="Times New Roman" w:cs="Times New Roman"/>
        </w:rPr>
        <w:t>型</w:t>
      </w:r>
      <w:r w:rsidR="00E3123A" w:rsidRPr="001B3BCD">
        <w:rPr>
          <w:rFonts w:ascii="Times New Roman" w:eastAsia="楷体" w:hAnsi="Times New Roman" w:cs="Times New Roman" w:hint="eastAsia"/>
        </w:rPr>
        <w:t>，并使用模型</w:t>
      </w:r>
      <w:r w:rsidR="00D35CB7" w:rsidRPr="001B3BCD">
        <w:rPr>
          <w:rFonts w:ascii="Times New Roman" w:eastAsia="楷体" w:hAnsi="Times New Roman" w:cs="Times New Roman" w:hint="eastAsia"/>
        </w:rPr>
        <w:t>回归得到超额收</w:t>
      </w:r>
      <w:r w:rsidR="00D35CB7" w:rsidRPr="001B3BCD">
        <w:rPr>
          <w:rFonts w:ascii="Times New Roman" w:eastAsia="楷体" w:hAnsi="Times New Roman" w:cs="Times New Roman"/>
        </w:rPr>
        <w:t>益</w:t>
      </w:r>
      <w:r w:rsidR="00D35CB7" w:rsidRPr="001B3BCD">
        <w:rPr>
          <w:rFonts w:ascii="Times New Roman" w:eastAsia="楷体" w:hAnsi="Times New Roman" w:cs="Times New Roman" w:hint="eastAsia"/>
        </w:rPr>
        <w:t>alpha</w:t>
      </w:r>
      <w:r w:rsidR="00D35CB7" w:rsidRPr="001B3BCD">
        <w:rPr>
          <w:rFonts w:ascii="Times New Roman" w:eastAsia="楷体" w:hAnsi="Times New Roman" w:cs="Times New Roman" w:hint="eastAsia"/>
        </w:rPr>
        <w:t>来衡量基金</w:t>
      </w:r>
      <w:r w:rsidR="00D35CB7" w:rsidRPr="001B3BCD">
        <w:rPr>
          <w:rFonts w:ascii="Times New Roman" w:eastAsia="楷体" w:hAnsi="Times New Roman" w:cs="Times New Roman"/>
        </w:rPr>
        <w:t>经理</w:t>
      </w:r>
      <w:r w:rsidR="00D35CB7" w:rsidRPr="001B3BCD">
        <w:rPr>
          <w:rFonts w:ascii="Times New Roman" w:eastAsia="楷体" w:hAnsi="Times New Roman" w:cs="Times New Roman" w:hint="eastAsia"/>
        </w:rPr>
        <w:t>带来的业绩增量</w:t>
      </w:r>
      <w:r w:rsidR="00D35CB7" w:rsidRPr="001B3BCD">
        <w:rPr>
          <w:rFonts w:ascii="Times New Roman" w:eastAsia="楷体" w:hAnsi="Times New Roman" w:cs="Times New Roman"/>
        </w:rPr>
        <w:t>。</w:t>
      </w:r>
      <w:r w:rsidR="001B3BCD">
        <w:rPr>
          <w:rFonts w:ascii="Times New Roman" w:eastAsia="楷体" w:hAnsi="Times New Roman" w:cs="Times New Roman" w:hint="eastAsia"/>
        </w:rPr>
        <w:t>2</w:t>
      </w:r>
      <w:r w:rsidR="001B3BCD">
        <w:rPr>
          <w:rFonts w:ascii="Times New Roman" w:eastAsia="楷体" w:hAnsi="Times New Roman" w:cs="Times New Roman"/>
        </w:rPr>
        <w:t>015</w:t>
      </w:r>
      <w:r w:rsidR="001B3BCD">
        <w:rPr>
          <w:rFonts w:ascii="Times New Roman" w:eastAsia="楷体" w:hAnsi="Times New Roman" w:cs="Times New Roman" w:hint="eastAsia"/>
        </w:rPr>
        <w:t>年，</w:t>
      </w:r>
      <w:proofErr w:type="spellStart"/>
      <w:r w:rsidR="001B3BCD" w:rsidRPr="001B3BCD">
        <w:rPr>
          <w:rFonts w:ascii="Times New Roman" w:eastAsia="楷体" w:hAnsi="Times New Roman" w:cs="Times New Roman" w:hint="eastAsia"/>
        </w:rPr>
        <w:t>F</w:t>
      </w:r>
      <w:r w:rsidR="001B3BCD" w:rsidRPr="001B3BCD">
        <w:rPr>
          <w:rFonts w:ascii="Times New Roman" w:eastAsia="楷体" w:hAnsi="Times New Roman" w:cs="Times New Roman"/>
        </w:rPr>
        <w:t>ama</w:t>
      </w:r>
      <w:proofErr w:type="spellEnd"/>
      <w:r w:rsidR="001B3BCD" w:rsidRPr="001B3BCD">
        <w:rPr>
          <w:rFonts w:ascii="Times New Roman" w:eastAsia="楷体" w:hAnsi="Times New Roman" w:cs="Times New Roman"/>
        </w:rPr>
        <w:t>-French</w:t>
      </w:r>
      <w:r w:rsidR="001B3BCD">
        <w:rPr>
          <w:rFonts w:ascii="Times New Roman" w:eastAsia="楷体" w:hAnsi="Times New Roman" w:cs="Times New Roman" w:hint="eastAsia"/>
        </w:rPr>
        <w:t>在</w:t>
      </w:r>
      <w:r w:rsidR="001B3BCD" w:rsidRPr="001B3BCD">
        <w:rPr>
          <w:rFonts w:ascii="Times New Roman" w:eastAsia="楷体" w:hAnsi="Times New Roman" w:cs="Times New Roman"/>
        </w:rPr>
        <w:t>三因子模型的基础上，涵盖了盈利能力因子和投资水平因子。它综合考虑了系统风险、账面市值比、市值规模因子、盈利因子和投资因子对基金业绩的影响，能够更为全面的评价基金业绩，</w:t>
      </w:r>
      <w:bookmarkStart w:id="5" w:name="OLE_LINK35"/>
      <w:r w:rsidR="001B3BCD" w:rsidRPr="001B3BCD">
        <w:rPr>
          <w:rFonts w:ascii="Times New Roman" w:eastAsia="楷体" w:hAnsi="Times New Roman" w:cs="Times New Roman"/>
        </w:rPr>
        <w:t>并且更为有效地衡量基金通过主动投资管理取得超额收益的能力。</w:t>
      </w:r>
    </w:p>
    <w:bookmarkEnd w:id="5"/>
    <w:p w14:paraId="0D07D2F5" w14:textId="7098186E" w:rsidR="001E44A5" w:rsidRPr="001E44A5" w:rsidRDefault="0090587C" w:rsidP="001E44A5">
      <w:pPr>
        <w:pStyle w:val="a3"/>
        <w:rPr>
          <w:rFonts w:ascii="Times New Roman" w:eastAsia="楷体" w:hAnsi="Times New Roman" w:cs="Times New Roman"/>
        </w:rPr>
      </w:pPr>
      <w:r w:rsidRPr="004B22A9">
        <w:rPr>
          <w:rFonts w:ascii="Times New Roman" w:eastAsia="楷体" w:hAnsi="Times New Roman" w:cs="Times New Roman"/>
        </w:rPr>
        <w:t>关于市场择时能力，</w:t>
      </w:r>
      <w:r w:rsidRPr="004B22A9">
        <w:rPr>
          <w:rFonts w:ascii="Times New Roman" w:eastAsia="楷体" w:hAnsi="Times New Roman" w:cs="Times New Roman" w:hint="eastAsia"/>
        </w:rPr>
        <w:t>由于</w:t>
      </w:r>
      <w:r w:rsidRPr="004B22A9">
        <w:rPr>
          <w:rFonts w:ascii="Times New Roman" w:eastAsia="楷体" w:hAnsi="Times New Roman" w:cs="Times New Roman"/>
        </w:rPr>
        <w:t>所用</w:t>
      </w:r>
      <w:r w:rsidRPr="004B22A9">
        <w:rPr>
          <w:rFonts w:ascii="Times New Roman" w:eastAsia="楷体" w:hAnsi="Times New Roman" w:cs="Times New Roman" w:hint="eastAsia"/>
        </w:rPr>
        <w:t>归因分析方</w:t>
      </w:r>
      <w:r w:rsidRPr="004B22A9">
        <w:rPr>
          <w:rFonts w:ascii="Times New Roman" w:eastAsia="楷体" w:hAnsi="Times New Roman" w:cs="Times New Roman"/>
        </w:rPr>
        <w:t>法不同</w:t>
      </w:r>
      <w:r w:rsidRPr="004B22A9">
        <w:rPr>
          <w:rFonts w:ascii="Times New Roman" w:eastAsia="楷体" w:hAnsi="Times New Roman" w:cs="Times New Roman" w:hint="eastAsia"/>
        </w:rPr>
        <w:t>，</w:t>
      </w:r>
      <w:r w:rsidRPr="004B22A9">
        <w:rPr>
          <w:rFonts w:ascii="Times New Roman" w:eastAsia="楷体" w:hAnsi="Times New Roman" w:cs="Times New Roman"/>
        </w:rPr>
        <w:t>实证</w:t>
      </w:r>
      <w:r w:rsidRPr="004B22A9">
        <w:rPr>
          <w:rFonts w:ascii="Times New Roman" w:eastAsia="楷体" w:hAnsi="Times New Roman" w:cs="Times New Roman" w:hint="eastAsia"/>
        </w:rPr>
        <w:t>分析的文章结论也</w:t>
      </w:r>
      <w:r w:rsidRPr="004B22A9">
        <w:rPr>
          <w:rFonts w:ascii="Times New Roman" w:eastAsia="楷体" w:hAnsi="Times New Roman" w:cs="Times New Roman"/>
        </w:rPr>
        <w:t>不统一。</w:t>
      </w:r>
      <w:r w:rsidRPr="004B22A9">
        <w:rPr>
          <w:rFonts w:ascii="Times New Roman" w:eastAsia="楷体" w:hAnsi="Times New Roman" w:cs="Times New Roman"/>
        </w:rPr>
        <w:t xml:space="preserve"> Treynor </w:t>
      </w:r>
      <w:r w:rsidRPr="004B22A9">
        <w:rPr>
          <w:rFonts w:ascii="Times New Roman" w:eastAsia="楷体" w:hAnsi="Times New Roman" w:cs="Times New Roman"/>
        </w:rPr>
        <w:t>和</w:t>
      </w:r>
      <w:r w:rsidRPr="004B22A9">
        <w:rPr>
          <w:rFonts w:ascii="Times New Roman" w:eastAsia="楷体" w:hAnsi="Times New Roman" w:cs="Times New Roman"/>
        </w:rPr>
        <w:t xml:space="preserve"> </w:t>
      </w:r>
      <w:proofErr w:type="spellStart"/>
      <w:r w:rsidRPr="004B22A9">
        <w:rPr>
          <w:rFonts w:ascii="Times New Roman" w:eastAsia="楷体" w:hAnsi="Times New Roman" w:cs="Times New Roman"/>
        </w:rPr>
        <w:t>Mazuy</w:t>
      </w:r>
      <w:proofErr w:type="spellEnd"/>
      <w:r w:rsidRPr="004B22A9">
        <w:rPr>
          <w:rFonts w:ascii="Times New Roman" w:eastAsia="楷体" w:hAnsi="Times New Roman" w:cs="Times New Roman"/>
        </w:rPr>
        <w:t xml:space="preserve"> (1966) </w:t>
      </w:r>
      <w:r w:rsidRPr="004B22A9">
        <w:rPr>
          <w:rFonts w:ascii="Times New Roman" w:eastAsia="楷体" w:hAnsi="Times New Roman" w:cs="Times New Roman"/>
        </w:rPr>
        <w:t>以及</w:t>
      </w:r>
      <w:r w:rsidRPr="004B22A9">
        <w:rPr>
          <w:rFonts w:ascii="Times New Roman" w:eastAsia="楷体" w:hAnsi="Times New Roman" w:cs="Times New Roman"/>
        </w:rPr>
        <w:t xml:space="preserve"> </w:t>
      </w:r>
      <w:proofErr w:type="spellStart"/>
      <w:r w:rsidRPr="004B22A9">
        <w:rPr>
          <w:rFonts w:ascii="Times New Roman" w:eastAsia="楷体" w:hAnsi="Times New Roman" w:cs="Times New Roman"/>
        </w:rPr>
        <w:t>Henriksson</w:t>
      </w:r>
      <w:proofErr w:type="spellEnd"/>
      <w:r w:rsidRPr="004B22A9">
        <w:rPr>
          <w:rFonts w:ascii="Times New Roman" w:eastAsia="楷体" w:hAnsi="Times New Roman" w:cs="Times New Roman"/>
        </w:rPr>
        <w:t xml:space="preserve"> </w:t>
      </w:r>
      <w:r w:rsidRPr="004B22A9">
        <w:rPr>
          <w:rFonts w:ascii="Times New Roman" w:eastAsia="楷体" w:hAnsi="Times New Roman" w:cs="Times New Roman"/>
        </w:rPr>
        <w:t>和</w:t>
      </w:r>
      <w:r w:rsidRPr="004B22A9">
        <w:rPr>
          <w:rFonts w:ascii="Times New Roman" w:eastAsia="楷体" w:hAnsi="Times New Roman" w:cs="Times New Roman"/>
        </w:rPr>
        <w:t xml:space="preserve"> Merton (1981) </w:t>
      </w:r>
      <w:r w:rsidRPr="004B22A9">
        <w:rPr>
          <w:rFonts w:ascii="Times New Roman" w:eastAsia="楷体" w:hAnsi="Times New Roman" w:cs="Times New Roman" w:hint="eastAsia"/>
        </w:rPr>
        <w:t>两篇文章</w:t>
      </w:r>
      <w:r>
        <w:rPr>
          <w:rFonts w:ascii="Times New Roman" w:eastAsia="楷体" w:hAnsi="Times New Roman" w:cs="Times New Roman" w:hint="eastAsia"/>
        </w:rPr>
        <w:t>采用的归因分析</w:t>
      </w:r>
      <w:r w:rsidRPr="004B22A9">
        <w:rPr>
          <w:rFonts w:ascii="Times New Roman" w:eastAsia="楷体" w:hAnsi="Times New Roman" w:cs="Times New Roman"/>
        </w:rPr>
        <w:t>都是基于</w:t>
      </w:r>
      <w:r>
        <w:rPr>
          <w:rFonts w:ascii="Times New Roman" w:eastAsia="楷体" w:hAnsi="Times New Roman" w:cs="Times New Roman" w:hint="eastAsia"/>
        </w:rPr>
        <w:t>基金</w:t>
      </w:r>
      <w:r>
        <w:rPr>
          <w:rFonts w:ascii="Times New Roman" w:eastAsia="楷体" w:hAnsi="Times New Roman" w:cs="Times New Roman" w:hint="eastAsia"/>
        </w:rPr>
        <w:t>收益</w:t>
      </w:r>
      <w:r w:rsidRPr="004B22A9">
        <w:rPr>
          <w:rFonts w:ascii="Times New Roman" w:eastAsia="楷体" w:hAnsi="Times New Roman" w:cs="Times New Roman"/>
        </w:rPr>
        <w:t>，在回归模型中捕捉系统风险与</w:t>
      </w:r>
      <w:r>
        <w:rPr>
          <w:rFonts w:ascii="Times New Roman" w:eastAsia="楷体" w:hAnsi="Times New Roman" w:cs="Times New Roman" w:hint="eastAsia"/>
        </w:rPr>
        <w:t>市场风险因子</w:t>
      </w:r>
      <w:r w:rsidRPr="004B22A9">
        <w:rPr>
          <w:rFonts w:ascii="Times New Roman" w:eastAsia="楷体" w:hAnsi="Times New Roman" w:cs="Times New Roman" w:hint="eastAsia"/>
        </w:rPr>
        <w:t>之</w:t>
      </w:r>
      <w:r w:rsidRPr="004B22A9">
        <w:rPr>
          <w:rFonts w:ascii="Times New Roman" w:eastAsia="楷体" w:hAnsi="Times New Roman" w:cs="Times New Roman"/>
        </w:rPr>
        <w:t>间关系的变化。</w:t>
      </w:r>
      <w:r>
        <w:rPr>
          <w:rFonts w:ascii="Times New Roman" w:eastAsia="楷体" w:hAnsi="Times New Roman" w:cs="Times New Roman" w:hint="eastAsia"/>
        </w:rPr>
        <w:t>通过</w:t>
      </w:r>
      <w:r w:rsidRPr="004B22A9">
        <w:rPr>
          <w:rFonts w:ascii="Times New Roman" w:eastAsia="楷体" w:hAnsi="Times New Roman" w:cs="Times New Roman"/>
        </w:rPr>
        <w:t>这些</w:t>
      </w:r>
      <w:r w:rsidRPr="004B22A9">
        <w:rPr>
          <w:rFonts w:ascii="Times New Roman" w:eastAsia="楷体" w:hAnsi="Times New Roman" w:cs="Times New Roman" w:hint="eastAsia"/>
        </w:rPr>
        <w:t>归因</w:t>
      </w:r>
      <w:r>
        <w:rPr>
          <w:rFonts w:ascii="Times New Roman" w:eastAsia="楷体" w:hAnsi="Times New Roman" w:cs="Times New Roman" w:hint="eastAsia"/>
        </w:rPr>
        <w:t>分析，</w:t>
      </w:r>
      <w:r w:rsidR="009F5B50">
        <w:rPr>
          <w:rFonts w:ascii="Times New Roman" w:eastAsia="楷体" w:hAnsi="Times New Roman" w:cs="Times New Roman" w:hint="eastAsia"/>
        </w:rPr>
        <w:t>文章没有</w:t>
      </w:r>
      <w:r>
        <w:rPr>
          <w:rFonts w:ascii="Times New Roman" w:eastAsia="楷体" w:hAnsi="Times New Roman" w:cs="Times New Roman" w:hint="eastAsia"/>
        </w:rPr>
        <w:t>发现</w:t>
      </w:r>
      <w:r w:rsidRPr="004B22A9">
        <w:rPr>
          <w:rFonts w:ascii="Times New Roman" w:eastAsia="楷体" w:hAnsi="Times New Roman" w:cs="Times New Roman" w:hint="eastAsia"/>
        </w:rPr>
        <w:t>公募</w:t>
      </w:r>
      <w:r w:rsidRPr="004B22A9">
        <w:rPr>
          <w:rFonts w:ascii="Times New Roman" w:eastAsia="楷体" w:hAnsi="Times New Roman" w:cs="Times New Roman"/>
        </w:rPr>
        <w:t>基金</w:t>
      </w:r>
      <w:r w:rsidR="009F5B50">
        <w:rPr>
          <w:rFonts w:ascii="Times New Roman" w:eastAsia="楷体" w:hAnsi="Times New Roman" w:cs="Times New Roman" w:hint="eastAsia"/>
        </w:rPr>
        <w:t>存在</w:t>
      </w:r>
      <w:r w:rsidRPr="004B22A9">
        <w:rPr>
          <w:rFonts w:ascii="Times New Roman" w:eastAsia="楷体" w:hAnsi="Times New Roman" w:cs="Times New Roman"/>
        </w:rPr>
        <w:t>显着的择时能力。</w:t>
      </w:r>
      <w:r w:rsidR="000A102F">
        <w:rPr>
          <w:rFonts w:ascii="Times New Roman" w:eastAsia="楷体" w:hAnsi="Times New Roman" w:cs="Times New Roman" w:hint="eastAsia"/>
        </w:rPr>
        <w:t>事实上</w:t>
      </w:r>
      <w:r w:rsidR="00CC303C">
        <w:rPr>
          <w:rFonts w:ascii="Times New Roman" w:eastAsia="楷体" w:hAnsi="Times New Roman" w:cs="Times New Roman" w:hint="eastAsia"/>
        </w:rPr>
        <w:t>，</w:t>
      </w:r>
      <w:r w:rsidR="000A102F">
        <w:rPr>
          <w:rFonts w:ascii="Times New Roman" w:eastAsia="楷体" w:hAnsi="Times New Roman" w:cs="Times New Roman" w:hint="eastAsia"/>
        </w:rPr>
        <w:t>基于</w:t>
      </w:r>
      <w:r w:rsidR="000A102F" w:rsidRPr="001B3BCD">
        <w:rPr>
          <w:rFonts w:ascii="Times New Roman" w:eastAsia="楷体" w:hAnsi="Times New Roman" w:cs="Times New Roman" w:hint="eastAsia"/>
        </w:rPr>
        <w:t>基</w:t>
      </w:r>
      <w:r w:rsidR="000A102F" w:rsidRPr="001B3BCD">
        <w:rPr>
          <w:rFonts w:ascii="Times New Roman" w:eastAsia="楷体" w:hAnsi="Times New Roman" w:cs="Times New Roman"/>
        </w:rPr>
        <w:t>金</w:t>
      </w:r>
      <w:r w:rsidR="000A102F" w:rsidRPr="001B3BCD">
        <w:rPr>
          <w:rFonts w:ascii="Times New Roman" w:eastAsia="楷体" w:hAnsi="Times New Roman" w:cs="Times New Roman" w:hint="eastAsia"/>
        </w:rPr>
        <w:t>的</w:t>
      </w:r>
      <w:r w:rsidR="000A102F" w:rsidRPr="001B3BCD">
        <w:rPr>
          <w:rFonts w:ascii="Times New Roman" w:eastAsia="楷体" w:hAnsi="Times New Roman" w:cs="Times New Roman"/>
        </w:rPr>
        <w:t>收益</w:t>
      </w:r>
      <w:r w:rsidR="000A102F" w:rsidRPr="00260FA3">
        <w:rPr>
          <w:rFonts w:ascii="Times New Roman" w:eastAsia="楷体" w:hAnsi="Times New Roman" w:cs="Times New Roman"/>
        </w:rPr>
        <w:t>衡量择时能力</w:t>
      </w:r>
      <w:r w:rsidR="000A102F">
        <w:rPr>
          <w:rFonts w:ascii="Times New Roman" w:eastAsia="楷体" w:hAnsi="Times New Roman" w:cs="Times New Roman" w:hint="eastAsia"/>
        </w:rPr>
        <w:t>会出现许多问题</w:t>
      </w:r>
      <w:r w:rsidR="00CC303C">
        <w:rPr>
          <w:rFonts w:ascii="Times New Roman" w:eastAsia="楷体" w:hAnsi="Times New Roman" w:cs="Times New Roman" w:hint="eastAsia"/>
        </w:rPr>
        <w:t>，</w:t>
      </w:r>
      <w:r w:rsidR="000A102F">
        <w:rPr>
          <w:rFonts w:ascii="Times New Roman" w:eastAsia="楷体" w:hAnsi="Times New Roman" w:cs="Times New Roman" w:hint="eastAsia"/>
        </w:rPr>
        <w:t>例如</w:t>
      </w:r>
      <w:r w:rsidR="00CC303C">
        <w:rPr>
          <w:rFonts w:ascii="Times New Roman" w:eastAsia="楷体" w:hAnsi="Times New Roman" w:cs="Times New Roman" w:hint="eastAsia"/>
        </w:rPr>
        <w:t>：</w:t>
      </w:r>
      <w:r w:rsidR="00CC303C" w:rsidRPr="004B22A9">
        <w:rPr>
          <w:rFonts w:ascii="Times New Roman" w:eastAsia="楷体" w:hAnsi="Times New Roman" w:cs="Times New Roman"/>
        </w:rPr>
        <w:t xml:space="preserve"> </w:t>
      </w:r>
      <w:proofErr w:type="spellStart"/>
      <w:r w:rsidR="000A102F" w:rsidRPr="004B22A9">
        <w:rPr>
          <w:rFonts w:ascii="Times New Roman" w:eastAsia="楷体" w:hAnsi="Times New Roman" w:cs="Times New Roman"/>
        </w:rPr>
        <w:t>Grinblatt</w:t>
      </w:r>
      <w:proofErr w:type="spellEnd"/>
      <w:r w:rsidR="000A102F" w:rsidRPr="004B22A9">
        <w:rPr>
          <w:rFonts w:ascii="Times New Roman" w:eastAsia="楷体" w:hAnsi="Times New Roman" w:cs="Times New Roman"/>
        </w:rPr>
        <w:t xml:space="preserve"> </w:t>
      </w:r>
      <w:r w:rsidR="000A102F" w:rsidRPr="004B22A9">
        <w:rPr>
          <w:rFonts w:ascii="Times New Roman" w:eastAsia="楷体" w:hAnsi="Times New Roman" w:cs="Times New Roman"/>
        </w:rPr>
        <w:t>和</w:t>
      </w:r>
      <w:r w:rsidR="000A102F" w:rsidRPr="004B22A9">
        <w:rPr>
          <w:rFonts w:ascii="Times New Roman" w:eastAsia="楷体" w:hAnsi="Times New Roman" w:cs="Times New Roman"/>
        </w:rPr>
        <w:t xml:space="preserve"> Titman (1989b) </w:t>
      </w:r>
      <w:r w:rsidR="000A102F" w:rsidRPr="004B22A9">
        <w:rPr>
          <w:rFonts w:ascii="Times New Roman" w:eastAsia="楷体" w:hAnsi="Times New Roman" w:cs="Times New Roman"/>
        </w:rPr>
        <w:t>指出</w:t>
      </w:r>
      <w:r w:rsidR="000A102F" w:rsidRPr="004B22A9">
        <w:rPr>
          <w:rFonts w:ascii="Times New Roman" w:eastAsia="楷体" w:hAnsi="Times New Roman" w:cs="Times New Roman"/>
        </w:rPr>
        <w:t xml:space="preserve"> beta </w:t>
      </w:r>
      <w:r w:rsidR="000A102F" w:rsidRPr="004B22A9">
        <w:rPr>
          <w:rFonts w:ascii="Times New Roman" w:eastAsia="楷体" w:hAnsi="Times New Roman" w:cs="Times New Roman"/>
        </w:rPr>
        <w:t>的</w:t>
      </w:r>
      <w:r w:rsidR="00CC303C">
        <w:rPr>
          <w:rFonts w:ascii="Times New Roman" w:eastAsia="楷体" w:hAnsi="Times New Roman" w:cs="Times New Roman" w:hint="eastAsia"/>
        </w:rPr>
        <w:t>随时间的</w:t>
      </w:r>
      <w:r w:rsidR="000A102F" w:rsidRPr="004B22A9">
        <w:rPr>
          <w:rFonts w:ascii="Times New Roman" w:eastAsia="楷体" w:hAnsi="Times New Roman" w:cs="Times New Roman"/>
        </w:rPr>
        <w:t>结构变化会</w:t>
      </w:r>
      <w:r w:rsidR="000A102F">
        <w:rPr>
          <w:rFonts w:ascii="Times New Roman" w:eastAsia="楷体" w:hAnsi="Times New Roman" w:cs="Times New Roman" w:hint="eastAsia"/>
        </w:rPr>
        <w:t>导基金业绩拆分出现</w:t>
      </w:r>
      <w:r w:rsidR="000A102F" w:rsidRPr="004B22A9">
        <w:rPr>
          <w:rFonts w:ascii="Times New Roman" w:eastAsia="楷体" w:hAnsi="Times New Roman" w:cs="Times New Roman"/>
        </w:rPr>
        <w:t>偏差。</w:t>
      </w:r>
      <w:proofErr w:type="spellStart"/>
      <w:r w:rsidR="000A102F" w:rsidRPr="004B22A9">
        <w:rPr>
          <w:rFonts w:ascii="Times New Roman" w:eastAsia="楷体" w:hAnsi="Times New Roman" w:cs="Times New Roman"/>
        </w:rPr>
        <w:t>Bollen</w:t>
      </w:r>
      <w:proofErr w:type="spellEnd"/>
      <w:r w:rsidR="000A102F" w:rsidRPr="004B22A9">
        <w:rPr>
          <w:rFonts w:ascii="Times New Roman" w:eastAsia="楷体" w:hAnsi="Times New Roman" w:cs="Times New Roman"/>
        </w:rPr>
        <w:t xml:space="preserve"> </w:t>
      </w:r>
      <w:r w:rsidR="000A102F" w:rsidRPr="004B22A9">
        <w:rPr>
          <w:rFonts w:ascii="Times New Roman" w:eastAsia="楷体" w:hAnsi="Times New Roman" w:cs="Times New Roman"/>
        </w:rPr>
        <w:t>和</w:t>
      </w:r>
      <w:r w:rsidR="000A102F" w:rsidRPr="004B22A9">
        <w:rPr>
          <w:rFonts w:ascii="Times New Roman" w:eastAsia="楷体" w:hAnsi="Times New Roman" w:cs="Times New Roman"/>
        </w:rPr>
        <w:t xml:space="preserve"> </w:t>
      </w:r>
      <w:proofErr w:type="spellStart"/>
      <w:r w:rsidR="000A102F" w:rsidRPr="004B22A9">
        <w:rPr>
          <w:rFonts w:ascii="Times New Roman" w:eastAsia="楷体" w:hAnsi="Times New Roman" w:cs="Times New Roman"/>
        </w:rPr>
        <w:t>Busse</w:t>
      </w:r>
      <w:proofErr w:type="spellEnd"/>
      <w:r w:rsidR="000A102F" w:rsidRPr="004B22A9">
        <w:rPr>
          <w:rFonts w:ascii="Times New Roman" w:eastAsia="楷体" w:hAnsi="Times New Roman" w:cs="Times New Roman"/>
        </w:rPr>
        <w:t xml:space="preserve"> (2001) </w:t>
      </w:r>
      <w:r w:rsidR="000A102F">
        <w:rPr>
          <w:rFonts w:ascii="Times New Roman" w:eastAsia="楷体" w:hAnsi="Times New Roman" w:cs="Times New Roman" w:hint="eastAsia"/>
        </w:rPr>
        <w:t>也</w:t>
      </w:r>
      <w:r w:rsidR="000A102F">
        <w:rPr>
          <w:rFonts w:ascii="Times New Roman" w:eastAsia="楷体" w:hAnsi="Times New Roman" w:cs="Times New Roman" w:hint="eastAsia"/>
        </w:rPr>
        <w:t>指出</w:t>
      </w:r>
      <w:r w:rsidR="000A102F" w:rsidRPr="004B22A9">
        <w:rPr>
          <w:rFonts w:ascii="Times New Roman" w:eastAsia="楷体" w:hAnsi="Times New Roman" w:cs="Times New Roman"/>
        </w:rPr>
        <w:t>基于回报</w:t>
      </w:r>
      <w:r w:rsidR="000A102F">
        <w:rPr>
          <w:rFonts w:ascii="Times New Roman" w:eastAsia="楷体" w:hAnsi="Times New Roman" w:cs="Times New Roman" w:hint="eastAsia"/>
        </w:rPr>
        <w:t>拆解基金业绩增</w:t>
      </w:r>
      <w:r w:rsidR="000A102F">
        <w:rPr>
          <w:rFonts w:ascii="Times New Roman" w:eastAsia="楷体" w:hAnsi="Times New Roman" w:cs="Times New Roman" w:hint="eastAsia"/>
        </w:rPr>
        <w:t>量</w:t>
      </w:r>
      <w:r w:rsidR="000A102F">
        <w:rPr>
          <w:rFonts w:ascii="Times New Roman" w:eastAsia="楷体" w:hAnsi="Times New Roman" w:cs="Times New Roman" w:hint="eastAsia"/>
        </w:rPr>
        <w:t>时</w:t>
      </w:r>
      <w:r w:rsidR="000A102F">
        <w:rPr>
          <w:rFonts w:ascii="Times New Roman" w:eastAsia="楷体" w:hAnsi="Times New Roman" w:cs="Times New Roman" w:hint="eastAsia"/>
        </w:rPr>
        <w:t>，</w:t>
      </w:r>
      <w:r w:rsidR="000A102F">
        <w:rPr>
          <w:rFonts w:ascii="Times New Roman" w:eastAsia="楷体" w:hAnsi="Times New Roman" w:cs="Times New Roman" w:hint="eastAsia"/>
        </w:rPr>
        <w:t>选股能力</w:t>
      </w:r>
      <w:r w:rsidR="000A102F" w:rsidRPr="004B22A9">
        <w:rPr>
          <w:rFonts w:ascii="Times New Roman" w:eastAsia="楷体" w:hAnsi="Times New Roman" w:cs="Times New Roman"/>
        </w:rPr>
        <w:t>和</w:t>
      </w:r>
      <w:r w:rsidR="000A102F">
        <w:rPr>
          <w:rFonts w:ascii="Times New Roman" w:eastAsia="楷体" w:hAnsi="Times New Roman" w:cs="Times New Roman" w:hint="eastAsia"/>
        </w:rPr>
        <w:t>择时</w:t>
      </w:r>
      <w:r w:rsidR="000A102F" w:rsidRPr="004B22A9">
        <w:rPr>
          <w:rFonts w:ascii="Times New Roman" w:eastAsia="楷体" w:hAnsi="Times New Roman" w:cs="Times New Roman"/>
        </w:rPr>
        <w:t>能力</w:t>
      </w:r>
      <w:r w:rsidR="000A102F">
        <w:rPr>
          <w:rFonts w:ascii="Times New Roman" w:eastAsia="楷体" w:hAnsi="Times New Roman" w:cs="Times New Roman" w:hint="eastAsia"/>
        </w:rPr>
        <w:t>会出现伪</w:t>
      </w:r>
      <w:r w:rsidR="000A102F" w:rsidRPr="004B22A9">
        <w:rPr>
          <w:rFonts w:ascii="Times New Roman" w:eastAsia="楷体" w:hAnsi="Times New Roman" w:cs="Times New Roman"/>
        </w:rPr>
        <w:t>负相关关系</w:t>
      </w:r>
      <w:r w:rsidR="000A102F" w:rsidRPr="004B22A9">
        <w:rPr>
          <w:rFonts w:ascii="Times New Roman" w:eastAsia="楷体" w:hAnsi="Times New Roman" w:cs="Times New Roman"/>
        </w:rPr>
        <w:t>.</w:t>
      </w:r>
    </w:p>
    <w:p w14:paraId="379F7A1B" w14:textId="77777777" w:rsidR="001E44A5" w:rsidRDefault="002A15F9" w:rsidP="001E44A5">
      <w:pPr>
        <w:pStyle w:val="a3"/>
        <w:rPr>
          <w:rFonts w:ascii="Times New Roman" w:eastAsia="楷体" w:hAnsi="Times New Roman" w:cs="Times New Roman"/>
        </w:rPr>
      </w:pPr>
      <w:r w:rsidRPr="003331C4">
        <w:rPr>
          <w:rFonts w:ascii="Times New Roman" w:eastAsia="楷体" w:hAnsi="Times New Roman" w:cs="Times New Roman"/>
        </w:rPr>
        <w:t>另一部分是</w:t>
      </w:r>
      <w:bookmarkStart w:id="6" w:name="OLE_LINK18"/>
      <w:r w:rsidRPr="003331C4">
        <w:rPr>
          <w:rFonts w:ascii="Times New Roman" w:eastAsia="楷体" w:hAnsi="Times New Roman" w:cs="Times New Roman"/>
        </w:rPr>
        <w:t>基于基金持有情况</w:t>
      </w:r>
      <w:bookmarkEnd w:id="6"/>
      <w:r w:rsidRPr="003331C4">
        <w:rPr>
          <w:rFonts w:ascii="Times New Roman" w:eastAsia="楷体" w:hAnsi="Times New Roman" w:cs="Times New Roman" w:hint="eastAsia"/>
        </w:rPr>
        <w:t>的归因模型</w:t>
      </w:r>
      <w:r w:rsidR="00CC303C">
        <w:rPr>
          <w:rFonts w:ascii="Times New Roman" w:eastAsia="楷体" w:hAnsi="Times New Roman" w:cs="Times New Roman" w:hint="eastAsia"/>
        </w:rPr>
        <w:t>。</w:t>
      </w:r>
      <w:proofErr w:type="spellStart"/>
      <w:r w:rsidRPr="003331C4">
        <w:rPr>
          <w:rFonts w:ascii="Times New Roman" w:eastAsia="楷体" w:hAnsi="Times New Roman" w:cs="Times New Roman"/>
        </w:rPr>
        <w:t>Grinblatt</w:t>
      </w:r>
      <w:proofErr w:type="spellEnd"/>
      <w:r w:rsidRPr="003331C4">
        <w:rPr>
          <w:rFonts w:ascii="Times New Roman" w:eastAsia="楷体" w:hAnsi="Times New Roman" w:cs="Times New Roman"/>
        </w:rPr>
        <w:t xml:space="preserve"> </w:t>
      </w:r>
      <w:r w:rsidRPr="003331C4">
        <w:rPr>
          <w:rFonts w:ascii="Times New Roman" w:eastAsia="楷体" w:hAnsi="Times New Roman" w:cs="Times New Roman"/>
        </w:rPr>
        <w:t>和</w:t>
      </w:r>
      <w:r w:rsidRPr="003331C4">
        <w:rPr>
          <w:rFonts w:ascii="Times New Roman" w:eastAsia="楷体" w:hAnsi="Times New Roman" w:cs="Times New Roman"/>
        </w:rPr>
        <w:t xml:space="preserve"> Titman (1993) </w:t>
      </w:r>
      <w:r w:rsidRPr="003331C4">
        <w:rPr>
          <w:rFonts w:ascii="Times New Roman" w:eastAsia="楷体" w:hAnsi="Times New Roman" w:cs="Times New Roman"/>
        </w:rPr>
        <w:t>提出了一种最常用的方法，</w:t>
      </w:r>
      <w:r w:rsidRPr="003331C4">
        <w:rPr>
          <w:rFonts w:ascii="Times New Roman" w:eastAsia="楷体" w:hAnsi="Times New Roman" w:cs="Times New Roman" w:hint="eastAsia"/>
        </w:rPr>
        <w:t>即</w:t>
      </w:r>
      <w:r w:rsidRPr="003331C4">
        <w:rPr>
          <w:rFonts w:ascii="Times New Roman" w:eastAsia="楷体" w:hAnsi="Times New Roman" w:cs="Times New Roman"/>
        </w:rPr>
        <w:t>通过分析</w:t>
      </w:r>
      <w:r w:rsidRPr="003331C4">
        <w:rPr>
          <w:rFonts w:ascii="Times New Roman" w:eastAsia="楷体" w:hAnsi="Times New Roman" w:cs="Times New Roman" w:hint="eastAsia"/>
        </w:rPr>
        <w:t>基金持股</w:t>
      </w:r>
      <w:r w:rsidRPr="003331C4">
        <w:rPr>
          <w:rFonts w:ascii="Times New Roman" w:eastAsia="楷体" w:hAnsi="Times New Roman" w:cs="Times New Roman"/>
        </w:rPr>
        <w:t>权重的变化来衡量基金业绩。这种方法的一个主要优点是</w:t>
      </w:r>
      <w:r w:rsidR="00E3123A" w:rsidRPr="003331C4">
        <w:rPr>
          <w:rFonts w:ascii="Times New Roman" w:eastAsia="楷体" w:hAnsi="Times New Roman" w:cs="Times New Roman"/>
        </w:rPr>
        <w:t>直接计算</w:t>
      </w:r>
      <w:r w:rsidRPr="003331C4">
        <w:rPr>
          <w:rFonts w:ascii="Times New Roman" w:eastAsia="楷体" w:hAnsi="Times New Roman" w:cs="Times New Roman" w:hint="eastAsia"/>
        </w:rPr>
        <w:t>业绩增量</w:t>
      </w:r>
      <w:r w:rsidRPr="003331C4">
        <w:rPr>
          <w:rFonts w:ascii="Times New Roman" w:eastAsia="楷体" w:hAnsi="Times New Roman" w:cs="Times New Roman"/>
        </w:rPr>
        <w:t>，不依赖于基准或风险因</w:t>
      </w:r>
      <w:r w:rsidRPr="003331C4">
        <w:rPr>
          <w:rFonts w:ascii="Times New Roman" w:eastAsia="楷体" w:hAnsi="Times New Roman" w:cs="Times New Roman" w:hint="eastAsia"/>
        </w:rPr>
        <w:t>子</w:t>
      </w:r>
      <w:r w:rsidRPr="003331C4">
        <w:rPr>
          <w:rFonts w:ascii="Times New Roman" w:eastAsia="楷体" w:hAnsi="Times New Roman" w:cs="Times New Roman"/>
        </w:rPr>
        <w:t>的选择。随着时间的推移，基于基金持有情况</w:t>
      </w:r>
      <w:r w:rsidRPr="003331C4">
        <w:rPr>
          <w:rFonts w:ascii="Times New Roman" w:eastAsia="楷体" w:hAnsi="Times New Roman" w:cs="Times New Roman" w:hint="eastAsia"/>
        </w:rPr>
        <w:t>的归因模型</w:t>
      </w:r>
      <w:r w:rsidRPr="003331C4">
        <w:rPr>
          <w:rFonts w:ascii="Times New Roman" w:eastAsia="楷体" w:hAnsi="Times New Roman" w:cs="Times New Roman"/>
        </w:rPr>
        <w:t>已经</w:t>
      </w:r>
      <w:r w:rsidRPr="003331C4">
        <w:rPr>
          <w:rFonts w:ascii="Times New Roman" w:eastAsia="楷体" w:hAnsi="Times New Roman" w:cs="Times New Roman" w:hint="eastAsia"/>
        </w:rPr>
        <w:t>发展出</w:t>
      </w:r>
      <w:r w:rsidRPr="003331C4">
        <w:rPr>
          <w:rFonts w:ascii="Times New Roman" w:eastAsia="楷体" w:hAnsi="Times New Roman" w:cs="Times New Roman"/>
        </w:rPr>
        <w:t>了不同的</w:t>
      </w:r>
      <w:r w:rsidR="00F10D8C">
        <w:rPr>
          <w:rFonts w:ascii="Times New Roman" w:eastAsia="楷体" w:hAnsi="Times New Roman" w:cs="Times New Roman" w:hint="eastAsia"/>
        </w:rPr>
        <w:t>基金业绩</w:t>
      </w:r>
      <w:r w:rsidRPr="003331C4">
        <w:rPr>
          <w:rFonts w:ascii="Times New Roman" w:eastAsia="楷体" w:hAnsi="Times New Roman" w:cs="Times New Roman"/>
        </w:rPr>
        <w:t>分解</w:t>
      </w:r>
      <w:r w:rsidR="00F10D8C">
        <w:rPr>
          <w:rFonts w:ascii="Times New Roman" w:eastAsia="楷体" w:hAnsi="Times New Roman" w:cs="Times New Roman" w:hint="eastAsia"/>
        </w:rPr>
        <w:t>模型</w:t>
      </w:r>
      <w:r w:rsidRPr="003331C4">
        <w:rPr>
          <w:rFonts w:ascii="Times New Roman" w:eastAsia="楷体" w:hAnsi="Times New Roman" w:cs="Times New Roman" w:hint="eastAsia"/>
        </w:rPr>
        <w:t>。</w:t>
      </w:r>
    </w:p>
    <w:p w14:paraId="2E4124FB" w14:textId="76410666" w:rsidR="0090587C" w:rsidRDefault="002F5761" w:rsidP="001E44A5">
      <w:pPr>
        <w:pStyle w:val="a3"/>
        <w:rPr>
          <w:rFonts w:ascii="Times New Roman" w:eastAsia="楷体" w:hAnsi="Times New Roman" w:cs="Times New Roman"/>
        </w:rPr>
      </w:pPr>
      <w:proofErr w:type="spellStart"/>
      <w:r w:rsidRPr="003331C4">
        <w:rPr>
          <w:rFonts w:ascii="Times New Roman" w:eastAsia="楷体" w:hAnsi="Times New Roman" w:cs="Times New Roman"/>
        </w:rPr>
        <w:lastRenderedPageBreak/>
        <w:t>Kacperczyk</w:t>
      </w:r>
      <w:proofErr w:type="spellEnd"/>
      <w:r w:rsidRPr="003331C4">
        <w:rPr>
          <w:rFonts w:ascii="Times New Roman" w:eastAsia="楷体" w:hAnsi="Times New Roman" w:cs="Times New Roman"/>
        </w:rPr>
        <w:t xml:space="preserve"> </w:t>
      </w:r>
      <w:r w:rsidRPr="003331C4">
        <w:rPr>
          <w:rFonts w:ascii="Times New Roman" w:eastAsia="楷体" w:hAnsi="Times New Roman" w:cs="Times New Roman"/>
        </w:rPr>
        <w:t>等</w:t>
      </w:r>
      <w:r w:rsidR="00D75A1F" w:rsidRPr="003331C4">
        <w:rPr>
          <w:rFonts w:ascii="Times New Roman" w:eastAsia="楷体" w:hAnsi="Times New Roman" w:cs="Times New Roman" w:hint="eastAsia"/>
        </w:rPr>
        <w:t>人</w:t>
      </w:r>
      <w:r w:rsidRPr="003331C4">
        <w:rPr>
          <w:rFonts w:ascii="Times New Roman" w:eastAsia="楷体" w:hAnsi="Times New Roman" w:cs="Times New Roman"/>
        </w:rPr>
        <w:t xml:space="preserve"> (2008) </w:t>
      </w:r>
      <w:r w:rsidRPr="003331C4">
        <w:rPr>
          <w:rFonts w:ascii="Times New Roman" w:eastAsia="楷体" w:hAnsi="Times New Roman" w:cs="Times New Roman"/>
        </w:rPr>
        <w:t>通过衡量</w:t>
      </w:r>
      <w:r w:rsidR="004B22A9">
        <w:rPr>
          <w:rFonts w:ascii="Times New Roman" w:eastAsia="楷体" w:hAnsi="Times New Roman" w:cs="Times New Roman" w:hint="eastAsia"/>
        </w:rPr>
        <w:t>给定时间</w:t>
      </w:r>
      <w:r w:rsidRPr="003331C4">
        <w:rPr>
          <w:rFonts w:ascii="Times New Roman" w:eastAsia="楷体" w:hAnsi="Times New Roman" w:cs="Times New Roman"/>
        </w:rPr>
        <w:t>基金与期初买入并持有策略之间的</w:t>
      </w:r>
      <w:r w:rsidR="00E3123A" w:rsidRPr="003331C4">
        <w:rPr>
          <w:rFonts w:ascii="Times New Roman" w:eastAsia="楷体" w:hAnsi="Times New Roman" w:cs="Times New Roman" w:hint="eastAsia"/>
        </w:rPr>
        <w:t>收益</w:t>
      </w:r>
      <w:r w:rsidRPr="003331C4">
        <w:rPr>
          <w:rFonts w:ascii="Times New Roman" w:eastAsia="楷体" w:hAnsi="Times New Roman" w:cs="Times New Roman" w:hint="eastAsia"/>
        </w:rPr>
        <w:t>差</w:t>
      </w:r>
      <w:r w:rsidRPr="003331C4">
        <w:rPr>
          <w:rFonts w:ascii="Times New Roman" w:eastAsia="楷体" w:hAnsi="Times New Roman" w:cs="Times New Roman"/>
        </w:rPr>
        <w:t>距</w:t>
      </w:r>
      <w:r w:rsidR="003458E0" w:rsidRPr="003331C4">
        <w:rPr>
          <w:rFonts w:ascii="Times New Roman" w:eastAsia="楷体" w:hAnsi="Times New Roman" w:cs="Times New Roman" w:hint="eastAsia"/>
        </w:rPr>
        <w:t>来衡量</w:t>
      </w:r>
      <w:r w:rsidR="00E3123A" w:rsidRPr="003331C4">
        <w:rPr>
          <w:rFonts w:ascii="Times New Roman" w:eastAsia="楷体" w:hAnsi="Times New Roman" w:cs="Times New Roman" w:hint="eastAsia"/>
        </w:rPr>
        <w:t>基金</w:t>
      </w:r>
      <w:r w:rsidR="003458E0" w:rsidRPr="003331C4">
        <w:rPr>
          <w:rFonts w:ascii="Times New Roman" w:eastAsia="楷体" w:hAnsi="Times New Roman" w:cs="Times New Roman" w:hint="eastAsia"/>
        </w:rPr>
        <w:t>业绩增量</w:t>
      </w:r>
      <w:r w:rsidRPr="003331C4">
        <w:rPr>
          <w:rFonts w:ascii="Times New Roman" w:eastAsia="楷体" w:hAnsi="Times New Roman" w:cs="Times New Roman" w:hint="eastAsia"/>
        </w:rPr>
        <w:t>。</w:t>
      </w:r>
      <w:r w:rsidRPr="003331C4">
        <w:rPr>
          <w:rFonts w:ascii="Times New Roman" w:eastAsia="楷体" w:hAnsi="Times New Roman" w:cs="Times New Roman"/>
        </w:rPr>
        <w:t xml:space="preserve">Berk &amp; van </w:t>
      </w:r>
      <w:proofErr w:type="spellStart"/>
      <w:r w:rsidRPr="003331C4">
        <w:rPr>
          <w:rFonts w:ascii="Times New Roman" w:eastAsia="楷体" w:hAnsi="Times New Roman" w:cs="Times New Roman"/>
        </w:rPr>
        <w:t>Binsbergen</w:t>
      </w:r>
      <w:proofErr w:type="spellEnd"/>
      <w:r w:rsidRPr="003331C4">
        <w:rPr>
          <w:rFonts w:ascii="Times New Roman" w:eastAsia="楷体" w:hAnsi="Times New Roman" w:cs="Times New Roman"/>
        </w:rPr>
        <w:t xml:space="preserve"> (2015) </w:t>
      </w:r>
      <w:r w:rsidRPr="003331C4">
        <w:rPr>
          <w:rFonts w:ascii="Times New Roman" w:eastAsia="楷体" w:hAnsi="Times New Roman" w:cs="Times New Roman"/>
        </w:rPr>
        <w:t>通过产生的</w:t>
      </w:r>
      <w:r w:rsidR="003458E0" w:rsidRPr="003331C4">
        <w:rPr>
          <w:rFonts w:ascii="Times New Roman" w:eastAsia="楷体" w:hAnsi="Times New Roman" w:cs="Times New Roman" w:hint="eastAsia"/>
        </w:rPr>
        <w:t>绝对收益量</w:t>
      </w:r>
      <w:r w:rsidRPr="003331C4">
        <w:rPr>
          <w:rFonts w:ascii="Times New Roman" w:eastAsia="楷体" w:hAnsi="Times New Roman" w:cs="Times New Roman" w:hint="eastAsia"/>
        </w:rPr>
        <w:t>来</w:t>
      </w:r>
      <w:r w:rsidR="003458E0" w:rsidRPr="003331C4">
        <w:rPr>
          <w:rFonts w:ascii="Times New Roman" w:eastAsia="楷体" w:hAnsi="Times New Roman" w:cs="Times New Roman" w:hint="eastAsia"/>
        </w:rPr>
        <w:t>衡量基金经理的选股</w:t>
      </w:r>
      <w:r w:rsidRPr="003331C4">
        <w:rPr>
          <w:rFonts w:ascii="Times New Roman" w:eastAsia="楷体" w:hAnsi="Times New Roman" w:cs="Times New Roman"/>
        </w:rPr>
        <w:t>技能。</w:t>
      </w:r>
      <w:bookmarkEnd w:id="3"/>
    </w:p>
    <w:p w14:paraId="7F45BA31" w14:textId="2245110B" w:rsidR="00F10D8C" w:rsidRPr="00F10D8C" w:rsidRDefault="003458E0" w:rsidP="004B22A9">
      <w:pPr>
        <w:rPr>
          <w:rFonts w:ascii="Times New Roman" w:eastAsia="楷体" w:hAnsi="Times New Roman" w:cs="Times New Roman" w:hint="eastAsia"/>
          <w:kern w:val="0"/>
          <w:sz w:val="24"/>
        </w:rPr>
      </w:pPr>
      <w:r w:rsidRPr="003331C4">
        <w:rPr>
          <w:rFonts w:ascii="Times New Roman" w:eastAsia="楷体" w:hAnsi="Times New Roman" w:cs="Times New Roman" w:hint="eastAsia"/>
          <w:kern w:val="0"/>
          <w:sz w:val="24"/>
        </w:rPr>
        <w:t>还有另一种</w:t>
      </w:r>
      <w:r w:rsidR="000A102F">
        <w:rPr>
          <w:rFonts w:ascii="Times New Roman" w:eastAsia="楷体" w:hAnsi="Times New Roman" w:cs="Times New Roman" w:hint="eastAsia"/>
          <w:kern w:val="0"/>
          <w:sz w:val="24"/>
        </w:rPr>
        <w:t>常用的</w:t>
      </w:r>
      <w:r w:rsidR="0090587C" w:rsidRPr="004B22A9">
        <w:rPr>
          <w:rFonts w:ascii="Times New Roman" w:eastAsia="楷体" w:hAnsi="Times New Roman" w:cs="Times New Roman" w:hint="eastAsia"/>
          <w:kern w:val="0"/>
          <w:sz w:val="24"/>
        </w:rPr>
        <w:t>基于基金持有情况</w:t>
      </w:r>
      <w:r w:rsidRPr="003331C4">
        <w:rPr>
          <w:rFonts w:ascii="Times New Roman" w:eastAsia="楷体" w:hAnsi="Times New Roman" w:cs="Times New Roman" w:hint="eastAsia"/>
          <w:kern w:val="0"/>
          <w:sz w:val="24"/>
        </w:rPr>
        <w:t>衡量业绩增</w:t>
      </w:r>
      <w:r w:rsidR="001011BB" w:rsidRPr="003331C4">
        <w:rPr>
          <w:rFonts w:ascii="Times New Roman" w:eastAsia="楷体" w:hAnsi="Times New Roman" w:cs="Times New Roman"/>
          <w:kern w:val="0"/>
          <w:sz w:val="24"/>
        </w:rPr>
        <w:t>值</w:t>
      </w:r>
      <w:r w:rsidRPr="003331C4">
        <w:rPr>
          <w:rFonts w:ascii="Times New Roman" w:eastAsia="楷体" w:hAnsi="Times New Roman" w:cs="Times New Roman" w:hint="eastAsia"/>
          <w:kern w:val="0"/>
          <w:sz w:val="24"/>
        </w:rPr>
        <w:t>的方法</w:t>
      </w:r>
      <w:r w:rsidR="000A102F">
        <w:rPr>
          <w:rFonts w:ascii="Times New Roman" w:eastAsia="楷体" w:hAnsi="Times New Roman" w:cs="Times New Roman" w:hint="eastAsia"/>
          <w:kern w:val="0"/>
          <w:sz w:val="24"/>
        </w:rPr>
        <w:t>：</w:t>
      </w:r>
      <w:bookmarkStart w:id="7" w:name="OLE_LINK32"/>
      <w:r w:rsidR="000A102F" w:rsidRPr="003331C4">
        <w:rPr>
          <w:rFonts w:ascii="Times New Roman" w:eastAsia="楷体" w:hAnsi="Times New Roman" w:cs="Times New Roman"/>
          <w:kern w:val="0"/>
          <w:sz w:val="24"/>
        </w:rPr>
        <w:t xml:space="preserve">Brinson </w:t>
      </w:r>
      <w:r w:rsidR="000A102F">
        <w:rPr>
          <w:rFonts w:ascii="Times New Roman" w:eastAsia="楷体" w:hAnsi="Times New Roman" w:cs="Times New Roman" w:hint="eastAsia"/>
          <w:kern w:val="0"/>
          <w:sz w:val="24"/>
        </w:rPr>
        <w:t>模型</w:t>
      </w:r>
      <w:bookmarkEnd w:id="7"/>
      <w:r w:rsidR="000A102F">
        <w:rPr>
          <w:rFonts w:ascii="Times New Roman" w:eastAsia="楷体" w:hAnsi="Times New Roman" w:cs="Times New Roman" w:hint="eastAsia"/>
          <w:kern w:val="0"/>
          <w:sz w:val="24"/>
        </w:rPr>
        <w:t>。</w:t>
      </w:r>
      <w:r w:rsidR="000A102F">
        <w:rPr>
          <w:rFonts w:ascii="Times New Roman" w:eastAsia="楷体" w:hAnsi="Times New Roman" w:cs="Times New Roman" w:hint="eastAsia"/>
          <w:kern w:val="0"/>
          <w:sz w:val="24"/>
        </w:rPr>
        <w:t>该模型</w:t>
      </w:r>
      <w:r w:rsidRPr="003331C4">
        <w:rPr>
          <w:rFonts w:ascii="Times New Roman" w:eastAsia="楷体" w:hAnsi="Times New Roman" w:cs="Times New Roman" w:hint="eastAsia"/>
          <w:kern w:val="0"/>
          <w:sz w:val="24"/>
        </w:rPr>
        <w:t>使用</w:t>
      </w:r>
      <w:r w:rsidR="001011BB" w:rsidRPr="003331C4">
        <w:rPr>
          <w:rFonts w:ascii="Times New Roman" w:eastAsia="楷体" w:hAnsi="Times New Roman" w:cs="Times New Roman"/>
          <w:kern w:val="0"/>
          <w:sz w:val="24"/>
        </w:rPr>
        <w:t>相对回报</w:t>
      </w:r>
      <w:r w:rsidR="00F10D8C" w:rsidRPr="004B22A9">
        <w:rPr>
          <w:rFonts w:ascii="Times New Roman" w:eastAsia="楷体" w:hAnsi="Times New Roman" w:cs="Times New Roman" w:hint="eastAsia"/>
          <w:kern w:val="0"/>
          <w:sz w:val="24"/>
        </w:rPr>
        <w:t>拆解基金业绩</w:t>
      </w:r>
      <w:r w:rsidR="000A102F">
        <w:rPr>
          <w:rFonts w:ascii="Times New Roman" w:eastAsia="楷体" w:hAnsi="Times New Roman" w:cs="Times New Roman" w:hint="eastAsia"/>
          <w:kern w:val="0"/>
          <w:sz w:val="24"/>
        </w:rPr>
        <w:t>，</w:t>
      </w:r>
      <w:r w:rsidR="001011BB" w:rsidRPr="003331C4">
        <w:rPr>
          <w:rFonts w:ascii="Times New Roman" w:eastAsia="楷体" w:hAnsi="Times New Roman" w:cs="Times New Roman" w:hint="eastAsia"/>
          <w:kern w:val="0"/>
          <w:sz w:val="24"/>
        </w:rPr>
        <w:t>假</w:t>
      </w:r>
      <w:r w:rsidR="001011BB" w:rsidRPr="003331C4">
        <w:rPr>
          <w:rFonts w:ascii="Times New Roman" w:eastAsia="楷体" w:hAnsi="Times New Roman" w:cs="Times New Roman"/>
          <w:kern w:val="0"/>
          <w:sz w:val="24"/>
        </w:rPr>
        <w:t>设</w:t>
      </w:r>
      <w:r w:rsidR="003331C4">
        <w:rPr>
          <w:rFonts w:ascii="Times New Roman" w:eastAsia="楷体" w:hAnsi="Times New Roman" w:cs="Times New Roman" w:hint="eastAsia"/>
          <w:kern w:val="0"/>
          <w:sz w:val="24"/>
        </w:rPr>
        <w:t>基金的风格与暴露的</w:t>
      </w:r>
      <w:r w:rsidR="001011BB" w:rsidRPr="003331C4">
        <w:rPr>
          <w:rFonts w:ascii="Times New Roman" w:eastAsia="楷体" w:hAnsi="Times New Roman" w:cs="Times New Roman"/>
          <w:kern w:val="0"/>
          <w:sz w:val="24"/>
        </w:rPr>
        <w:t>风险</w:t>
      </w:r>
      <w:r w:rsidR="003331C4">
        <w:rPr>
          <w:rFonts w:ascii="Times New Roman" w:eastAsia="楷体" w:hAnsi="Times New Roman" w:cs="Times New Roman" w:hint="eastAsia"/>
          <w:kern w:val="0"/>
          <w:sz w:val="24"/>
        </w:rPr>
        <w:t>敞口</w:t>
      </w:r>
      <w:r w:rsidR="001011BB" w:rsidRPr="003331C4">
        <w:rPr>
          <w:rFonts w:ascii="Times New Roman" w:eastAsia="楷体" w:hAnsi="Times New Roman" w:cs="Times New Roman"/>
          <w:kern w:val="0"/>
          <w:sz w:val="24"/>
        </w:rPr>
        <w:t>与</w:t>
      </w:r>
      <w:r w:rsidR="00F10D8C" w:rsidRPr="004B22A9">
        <w:rPr>
          <w:rFonts w:ascii="Times New Roman" w:eastAsia="楷体" w:hAnsi="Times New Roman" w:cs="Times New Roman" w:hint="eastAsia"/>
          <w:kern w:val="0"/>
          <w:sz w:val="24"/>
        </w:rPr>
        <w:t>对应的</w:t>
      </w:r>
      <w:r w:rsidR="003331C4">
        <w:rPr>
          <w:rFonts w:ascii="Times New Roman" w:eastAsia="楷体" w:hAnsi="Times New Roman" w:cs="Times New Roman" w:hint="eastAsia"/>
          <w:kern w:val="0"/>
          <w:sz w:val="24"/>
        </w:rPr>
        <w:t>基准</w:t>
      </w:r>
      <w:r w:rsidR="001011BB" w:rsidRPr="003331C4">
        <w:rPr>
          <w:rFonts w:ascii="Times New Roman" w:eastAsia="楷体" w:hAnsi="Times New Roman" w:cs="Times New Roman"/>
          <w:kern w:val="0"/>
          <w:sz w:val="24"/>
        </w:rPr>
        <w:t>指数保持一致</w:t>
      </w:r>
      <w:r w:rsidR="000A102F">
        <w:rPr>
          <w:rFonts w:ascii="Times New Roman" w:eastAsia="楷体" w:hAnsi="Times New Roman" w:cs="Times New Roman" w:hint="eastAsia"/>
          <w:kern w:val="0"/>
          <w:sz w:val="24"/>
        </w:rPr>
        <w:t>，</w:t>
      </w:r>
      <w:r w:rsidR="00F10D8C" w:rsidRPr="004B22A9">
        <w:rPr>
          <w:rFonts w:ascii="Times New Roman" w:eastAsia="楷体" w:hAnsi="Times New Roman" w:cs="Times New Roman" w:hint="eastAsia"/>
          <w:kern w:val="0"/>
          <w:sz w:val="24"/>
        </w:rPr>
        <w:t>并</w:t>
      </w:r>
      <w:r w:rsidR="00F10D8C" w:rsidRPr="004B22A9">
        <w:rPr>
          <w:rFonts w:ascii="Times New Roman" w:eastAsia="楷体" w:hAnsi="Times New Roman" w:cs="Times New Roman"/>
          <w:kern w:val="0"/>
          <w:sz w:val="24"/>
        </w:rPr>
        <w:t>将基准指数定义为被动投资</w:t>
      </w:r>
      <w:r w:rsidR="000A102F">
        <w:rPr>
          <w:rFonts w:ascii="Times New Roman" w:eastAsia="楷体" w:hAnsi="Times New Roman" w:cs="Times New Roman" w:hint="eastAsia"/>
          <w:kern w:val="0"/>
          <w:sz w:val="24"/>
        </w:rPr>
        <w:t>。</w:t>
      </w:r>
      <w:r w:rsidR="00F10D8C" w:rsidRPr="004B22A9">
        <w:rPr>
          <w:rFonts w:ascii="Times New Roman" w:eastAsia="楷体" w:hAnsi="Times New Roman" w:cs="Times New Roman" w:hint="eastAsia"/>
          <w:kern w:val="0"/>
          <w:sz w:val="24"/>
        </w:rPr>
        <w:t>那么</w:t>
      </w:r>
      <w:r w:rsidR="00F10D8C" w:rsidRPr="004B22A9">
        <w:rPr>
          <w:rFonts w:ascii="Times New Roman" w:eastAsia="楷体" w:hAnsi="Times New Roman" w:cs="Times New Roman"/>
          <w:kern w:val="0"/>
          <w:sz w:val="24"/>
        </w:rPr>
        <w:t>基金经理进行的主动投资操作，就是进行与指数不同的投资行为，其具体行为可以分解为两个维度：</w:t>
      </w:r>
      <w:r w:rsidR="00F10D8C" w:rsidRPr="004B22A9">
        <w:rPr>
          <w:rFonts w:ascii="Times New Roman" w:eastAsia="楷体" w:hAnsi="Times New Roman" w:cs="Times New Roman" w:hint="eastAsia"/>
          <w:kern w:val="0"/>
          <w:sz w:val="24"/>
        </w:rPr>
        <w:t>第一</w:t>
      </w:r>
      <w:r w:rsidR="004B22A9" w:rsidRPr="004B22A9">
        <w:rPr>
          <w:rFonts w:ascii="Times New Roman" w:eastAsia="楷体" w:hAnsi="Times New Roman" w:cs="Times New Roman" w:hint="eastAsia"/>
          <w:kern w:val="0"/>
          <w:sz w:val="24"/>
        </w:rPr>
        <w:t>，</w:t>
      </w:r>
      <w:r w:rsidR="00F10D8C" w:rsidRPr="00F10D8C">
        <w:rPr>
          <w:rFonts w:ascii="Times New Roman" w:eastAsia="楷体" w:hAnsi="Times New Roman" w:cs="Times New Roman"/>
          <w:kern w:val="0"/>
          <w:sz w:val="24"/>
        </w:rPr>
        <w:t>在不同时间进行与基准指数不同的行业配置，重仓看好的行业，轻仓看空的行业，即行业轮动</w:t>
      </w:r>
      <w:r w:rsidR="004B22A9" w:rsidRPr="004B22A9">
        <w:rPr>
          <w:rFonts w:ascii="Times New Roman" w:eastAsia="楷体" w:hAnsi="Times New Roman" w:cs="Times New Roman" w:hint="eastAsia"/>
          <w:kern w:val="0"/>
          <w:sz w:val="24"/>
        </w:rPr>
        <w:t>；</w:t>
      </w:r>
      <w:r w:rsidR="00F10D8C" w:rsidRPr="004B22A9">
        <w:rPr>
          <w:rFonts w:ascii="Times New Roman" w:eastAsia="楷体" w:hAnsi="Times New Roman" w:cs="Times New Roman" w:hint="eastAsia"/>
          <w:kern w:val="0"/>
          <w:sz w:val="24"/>
        </w:rPr>
        <w:t>第二则是</w:t>
      </w:r>
      <w:r w:rsidR="00F10D8C" w:rsidRPr="00F10D8C">
        <w:rPr>
          <w:rFonts w:ascii="Times New Roman" w:eastAsia="楷体" w:hAnsi="Times New Roman" w:cs="Times New Roman"/>
          <w:kern w:val="0"/>
          <w:sz w:val="24"/>
        </w:rPr>
        <w:t>在具体行业内部，配置与基准不同的股票。以上的两种不同维度的主动投资操作可以</w:t>
      </w:r>
      <w:r w:rsidR="00F10D8C" w:rsidRPr="004B22A9">
        <w:rPr>
          <w:rFonts w:ascii="Times New Roman" w:eastAsia="楷体" w:hAnsi="Times New Roman" w:cs="Times New Roman" w:hint="eastAsia"/>
          <w:kern w:val="0"/>
          <w:sz w:val="24"/>
        </w:rPr>
        <w:t>将基金业绩</w:t>
      </w:r>
      <w:r w:rsidR="004B22A9" w:rsidRPr="004B22A9">
        <w:rPr>
          <w:rFonts w:ascii="Times New Roman" w:eastAsia="楷体" w:hAnsi="Times New Roman" w:cs="Times New Roman" w:hint="eastAsia"/>
          <w:kern w:val="0"/>
          <w:sz w:val="24"/>
        </w:rPr>
        <w:t>增量</w:t>
      </w:r>
      <w:r w:rsidR="00F10D8C" w:rsidRPr="004B22A9">
        <w:rPr>
          <w:rFonts w:ascii="Times New Roman" w:eastAsia="楷体" w:hAnsi="Times New Roman" w:cs="Times New Roman" w:hint="eastAsia"/>
          <w:kern w:val="0"/>
          <w:sz w:val="24"/>
        </w:rPr>
        <w:t>拆</w:t>
      </w:r>
      <w:r w:rsidR="00F10D8C" w:rsidRPr="00F10D8C">
        <w:rPr>
          <w:rFonts w:ascii="Times New Roman" w:eastAsia="楷体" w:hAnsi="Times New Roman" w:cs="Times New Roman" w:hint="eastAsia"/>
          <w:kern w:val="0"/>
          <w:sz w:val="24"/>
        </w:rPr>
        <w:t>解</w:t>
      </w:r>
      <w:r w:rsidR="00F10D8C" w:rsidRPr="004B22A9">
        <w:rPr>
          <w:rFonts w:ascii="Times New Roman" w:eastAsia="楷体" w:hAnsi="Times New Roman" w:cs="Times New Roman" w:hint="eastAsia"/>
          <w:kern w:val="0"/>
          <w:sz w:val="24"/>
        </w:rPr>
        <w:t>为</w:t>
      </w:r>
      <w:r w:rsidR="00F10D8C" w:rsidRPr="00F10D8C">
        <w:rPr>
          <w:rFonts w:ascii="Times New Roman" w:eastAsia="楷体" w:hAnsi="Times New Roman" w:cs="Times New Roman"/>
          <w:kern w:val="0"/>
          <w:sz w:val="24"/>
        </w:rPr>
        <w:t>配置效应</w:t>
      </w:r>
      <w:r w:rsidR="00F10D8C" w:rsidRPr="004B22A9">
        <w:rPr>
          <w:rFonts w:ascii="Times New Roman" w:eastAsia="楷体" w:hAnsi="Times New Roman" w:cs="Times New Roman" w:hint="eastAsia"/>
          <w:kern w:val="0"/>
          <w:sz w:val="24"/>
        </w:rPr>
        <w:t>和</w:t>
      </w:r>
      <w:r w:rsidR="00F10D8C" w:rsidRPr="00F10D8C">
        <w:rPr>
          <w:rFonts w:ascii="Times New Roman" w:eastAsia="楷体" w:hAnsi="Times New Roman" w:cs="Times New Roman"/>
          <w:kern w:val="0"/>
          <w:sz w:val="24"/>
        </w:rPr>
        <w:t>选股效应</w:t>
      </w:r>
      <w:r w:rsidR="00F10D8C" w:rsidRPr="004B22A9">
        <w:rPr>
          <w:rFonts w:ascii="Times New Roman" w:eastAsia="楷体" w:hAnsi="Times New Roman" w:cs="Times New Roman" w:hint="eastAsia"/>
          <w:kern w:val="0"/>
          <w:sz w:val="24"/>
        </w:rPr>
        <w:t>。通过</w:t>
      </w:r>
      <w:r w:rsidR="00F10D8C" w:rsidRPr="003331C4">
        <w:rPr>
          <w:rFonts w:ascii="Times New Roman" w:eastAsia="楷体" w:hAnsi="Times New Roman" w:cs="Times New Roman"/>
          <w:kern w:val="0"/>
          <w:sz w:val="24"/>
        </w:rPr>
        <w:t xml:space="preserve">Brinson </w:t>
      </w:r>
      <w:r w:rsidR="00F10D8C">
        <w:rPr>
          <w:rFonts w:ascii="Times New Roman" w:eastAsia="楷体" w:hAnsi="Times New Roman" w:cs="Times New Roman" w:hint="eastAsia"/>
          <w:kern w:val="0"/>
          <w:sz w:val="24"/>
        </w:rPr>
        <w:t>模型</w:t>
      </w:r>
      <w:r w:rsidR="00F10D8C" w:rsidRPr="004B22A9">
        <w:rPr>
          <w:rFonts w:ascii="Times New Roman" w:eastAsia="楷体" w:hAnsi="Times New Roman" w:cs="Times New Roman" w:hint="eastAsia"/>
          <w:kern w:val="0"/>
          <w:sz w:val="24"/>
        </w:rPr>
        <w:t>，</w:t>
      </w:r>
      <w:r w:rsidR="00F10D8C" w:rsidRPr="00F10D8C">
        <w:rPr>
          <w:rFonts w:ascii="Times New Roman" w:eastAsia="楷体" w:hAnsi="Times New Roman" w:cs="Times New Roman" w:hint="eastAsia"/>
          <w:kern w:val="0"/>
          <w:sz w:val="24"/>
        </w:rPr>
        <w:t>总</w:t>
      </w:r>
      <w:r w:rsidR="00F10D8C" w:rsidRPr="00F10D8C">
        <w:rPr>
          <w:rFonts w:ascii="Times New Roman" w:eastAsia="楷体" w:hAnsi="Times New Roman" w:cs="Times New Roman"/>
          <w:kern w:val="0"/>
          <w:sz w:val="24"/>
        </w:rPr>
        <w:t>的超额</w:t>
      </w:r>
      <w:r w:rsidR="00F10D8C" w:rsidRPr="004B22A9">
        <w:rPr>
          <w:rFonts w:ascii="Times New Roman" w:eastAsia="楷体" w:hAnsi="Times New Roman" w:cs="Times New Roman" w:hint="eastAsia"/>
          <w:kern w:val="0"/>
          <w:sz w:val="24"/>
        </w:rPr>
        <w:t>收益</w:t>
      </w:r>
      <w:r w:rsidR="00F10D8C" w:rsidRPr="00F10D8C">
        <w:rPr>
          <w:rFonts w:ascii="Times New Roman" w:eastAsia="楷体" w:hAnsi="Times New Roman" w:cs="Times New Roman"/>
          <w:kern w:val="0"/>
          <w:sz w:val="24"/>
        </w:rPr>
        <w:t>可以分解配置效应</w:t>
      </w:r>
      <w:r w:rsidR="00F10D8C" w:rsidRPr="00F10D8C">
        <w:rPr>
          <w:rFonts w:ascii="Times New Roman" w:eastAsia="楷体" w:hAnsi="Times New Roman" w:cs="Times New Roman"/>
          <w:kern w:val="0"/>
          <w:sz w:val="24"/>
        </w:rPr>
        <w:t>+</w:t>
      </w:r>
      <w:r w:rsidR="00F10D8C" w:rsidRPr="00F10D8C">
        <w:rPr>
          <w:rFonts w:ascii="Times New Roman" w:eastAsia="楷体" w:hAnsi="Times New Roman" w:cs="Times New Roman"/>
          <w:kern w:val="0"/>
          <w:sz w:val="24"/>
        </w:rPr>
        <w:t>选股效应</w:t>
      </w:r>
      <w:r w:rsidR="00F10D8C" w:rsidRPr="00F10D8C">
        <w:rPr>
          <w:rFonts w:ascii="Times New Roman" w:eastAsia="楷体" w:hAnsi="Times New Roman" w:cs="Times New Roman"/>
          <w:kern w:val="0"/>
          <w:sz w:val="24"/>
        </w:rPr>
        <w:t>+</w:t>
      </w:r>
      <w:r w:rsidR="004B22A9" w:rsidRPr="004B22A9">
        <w:rPr>
          <w:rFonts w:ascii="Times New Roman" w:eastAsia="楷体" w:hAnsi="Times New Roman" w:cs="Times New Roman" w:hint="eastAsia"/>
          <w:kern w:val="0"/>
          <w:sz w:val="24"/>
        </w:rPr>
        <w:t>交互</w:t>
      </w:r>
      <w:r w:rsidR="00F10D8C" w:rsidRPr="00F10D8C">
        <w:rPr>
          <w:rFonts w:ascii="Times New Roman" w:eastAsia="楷体" w:hAnsi="Times New Roman" w:cs="Times New Roman" w:hint="eastAsia"/>
          <w:kern w:val="0"/>
          <w:sz w:val="24"/>
        </w:rPr>
        <w:t>效</w:t>
      </w:r>
      <w:r w:rsidR="00F10D8C" w:rsidRPr="00F10D8C">
        <w:rPr>
          <w:rFonts w:ascii="Times New Roman" w:eastAsia="楷体" w:hAnsi="Times New Roman" w:cs="Times New Roman"/>
          <w:kern w:val="0"/>
          <w:sz w:val="24"/>
        </w:rPr>
        <w:t>应</w:t>
      </w:r>
      <w:r w:rsidR="004B22A9" w:rsidRPr="004B22A9">
        <w:rPr>
          <w:rFonts w:ascii="Times New Roman" w:eastAsia="楷体" w:hAnsi="Times New Roman" w:cs="Times New Roman" w:hint="eastAsia"/>
          <w:kern w:val="0"/>
          <w:sz w:val="24"/>
        </w:rPr>
        <w:t>。</w:t>
      </w:r>
      <w:r w:rsidR="00CC303C">
        <w:rPr>
          <w:rFonts w:ascii="Times New Roman" w:eastAsia="楷体" w:hAnsi="Times New Roman" w:cs="Times New Roman" w:hint="eastAsia"/>
          <w:kern w:val="0"/>
          <w:sz w:val="24"/>
        </w:rPr>
        <w:t>为了解决</w:t>
      </w:r>
      <w:r w:rsidR="00CC303C" w:rsidRPr="003331C4">
        <w:rPr>
          <w:rFonts w:ascii="Times New Roman" w:eastAsia="楷体" w:hAnsi="Times New Roman" w:cs="Times New Roman"/>
          <w:kern w:val="0"/>
          <w:sz w:val="24"/>
        </w:rPr>
        <w:t xml:space="preserve">Brinson </w:t>
      </w:r>
      <w:r w:rsidR="00CC303C">
        <w:rPr>
          <w:rFonts w:ascii="Times New Roman" w:eastAsia="楷体" w:hAnsi="Times New Roman" w:cs="Times New Roman" w:hint="eastAsia"/>
          <w:kern w:val="0"/>
          <w:sz w:val="24"/>
        </w:rPr>
        <w:t>模型</w:t>
      </w:r>
      <w:r w:rsidR="00CC303C">
        <w:rPr>
          <w:rFonts w:ascii="Times New Roman" w:eastAsia="楷体" w:hAnsi="Times New Roman" w:cs="Times New Roman" w:hint="eastAsia"/>
          <w:kern w:val="0"/>
          <w:sz w:val="24"/>
        </w:rPr>
        <w:t>使用算数平均的相对回报而无法处理多期收益的问题，</w:t>
      </w:r>
      <w:r w:rsidR="00CC303C" w:rsidRPr="00CC303C">
        <w:rPr>
          <w:rFonts w:ascii="Times New Roman" w:eastAsia="楷体" w:hAnsi="Times New Roman" w:cs="Times New Roman" w:hint="eastAsia"/>
          <w:kern w:val="0"/>
          <w:sz w:val="24"/>
        </w:rPr>
        <w:t>B</w:t>
      </w:r>
      <w:r w:rsidR="00CC303C" w:rsidRPr="00CC303C">
        <w:rPr>
          <w:rFonts w:ascii="Times New Roman" w:eastAsia="楷体" w:hAnsi="Times New Roman" w:cs="Times New Roman"/>
          <w:kern w:val="0"/>
          <w:sz w:val="24"/>
        </w:rPr>
        <w:t xml:space="preserve">acon </w:t>
      </w:r>
      <w:r w:rsidR="001E44A5">
        <w:rPr>
          <w:rFonts w:ascii="Times New Roman" w:eastAsia="楷体" w:hAnsi="Times New Roman" w:cs="Times New Roman" w:hint="eastAsia"/>
          <w:kern w:val="0"/>
          <w:sz w:val="24"/>
        </w:rPr>
        <w:t>在</w:t>
      </w:r>
      <w:r w:rsidR="00CC303C" w:rsidRPr="00CC303C">
        <w:rPr>
          <w:rFonts w:ascii="Times New Roman" w:eastAsia="楷体" w:hAnsi="Times New Roman" w:cs="Times New Roman"/>
          <w:kern w:val="0"/>
          <w:sz w:val="24"/>
        </w:rPr>
        <w:t>2002</w:t>
      </w:r>
      <w:r w:rsidR="001E44A5">
        <w:rPr>
          <w:rFonts w:ascii="Times New Roman" w:eastAsia="楷体" w:hAnsi="Times New Roman" w:cs="Times New Roman" w:hint="eastAsia"/>
          <w:kern w:val="0"/>
          <w:sz w:val="24"/>
        </w:rPr>
        <w:t>年</w:t>
      </w:r>
      <w:r w:rsidR="00CC303C">
        <w:rPr>
          <w:rFonts w:ascii="Times New Roman" w:eastAsia="楷体" w:hAnsi="Times New Roman" w:cs="Times New Roman" w:hint="eastAsia"/>
          <w:kern w:val="0"/>
          <w:sz w:val="24"/>
        </w:rPr>
        <w:t>提出了使用几何平均超额收益对基金业绩进行拆解。</w:t>
      </w:r>
    </w:p>
    <w:p w14:paraId="5380A71A" w14:textId="0CD4E86A" w:rsidR="00CC303C" w:rsidRDefault="00CC303C" w:rsidP="004B22A9">
      <w:pPr>
        <w:pStyle w:val="a3"/>
        <w:rPr>
          <w:rFonts w:ascii="Times New Roman" w:eastAsia="楷体" w:hAnsi="Times New Roman" w:cs="Times New Roman"/>
        </w:rPr>
      </w:pPr>
      <w:bookmarkStart w:id="8" w:name="OLE_LINK22"/>
      <w:bookmarkStart w:id="9" w:name="OLE_LINK28"/>
      <w:r>
        <w:rPr>
          <w:rFonts w:ascii="Times New Roman" w:eastAsia="楷体" w:hAnsi="Times New Roman" w:cs="Times New Roman" w:hint="eastAsia"/>
        </w:rPr>
        <w:t>此外，</w:t>
      </w:r>
      <w:r w:rsidRPr="00CC303C">
        <w:rPr>
          <w:rFonts w:ascii="Times New Roman" w:eastAsia="楷体" w:hAnsi="Times New Roman" w:cs="Times New Roman"/>
        </w:rPr>
        <w:t>Andreu</w:t>
      </w:r>
      <w:bookmarkEnd w:id="9"/>
      <w:r w:rsidRPr="00CC303C">
        <w:rPr>
          <w:rFonts w:ascii="Times New Roman" w:eastAsia="楷体" w:hAnsi="Times New Roman" w:cs="Times New Roman"/>
        </w:rPr>
        <w:t>(2018)</w:t>
      </w:r>
      <w:r>
        <w:rPr>
          <w:rFonts w:ascii="Times New Roman" w:eastAsia="楷体" w:hAnsi="Times New Roman" w:cs="Times New Roman" w:hint="eastAsia"/>
        </w:rPr>
        <w:t>使用不同时刻基金持有情况，</w:t>
      </w:r>
      <w:r w:rsidRPr="00CC303C">
        <w:rPr>
          <w:rFonts w:ascii="Times New Roman" w:eastAsia="楷体" w:hAnsi="Times New Roman" w:cs="Times New Roman" w:hint="eastAsia"/>
        </w:rPr>
        <w:t>分别从</w:t>
      </w:r>
      <w:r w:rsidRPr="00260FA3">
        <w:rPr>
          <w:rFonts w:ascii="Times New Roman" w:eastAsia="楷体" w:hAnsi="Times New Roman" w:cs="Times New Roman"/>
        </w:rPr>
        <w:t>选股能力</w:t>
      </w:r>
      <w:r>
        <w:rPr>
          <w:rFonts w:ascii="Times New Roman" w:eastAsia="楷体" w:hAnsi="Times New Roman" w:cs="Times New Roman" w:hint="eastAsia"/>
        </w:rPr>
        <w:t>和择时能力两个方面，将基金业绩拆分为四</w:t>
      </w:r>
      <w:r w:rsidR="009F5B50">
        <w:rPr>
          <w:rFonts w:ascii="Times New Roman" w:eastAsia="楷体" w:hAnsi="Times New Roman" w:cs="Times New Roman" w:hint="eastAsia"/>
        </w:rPr>
        <w:t>个</w:t>
      </w:r>
      <w:r>
        <w:rPr>
          <w:rFonts w:ascii="Times New Roman" w:eastAsia="楷体" w:hAnsi="Times New Roman" w:cs="Times New Roman" w:hint="eastAsia"/>
        </w:rPr>
        <w:t>部分。</w:t>
      </w:r>
      <w:r w:rsidRPr="00260FA3">
        <w:rPr>
          <w:rFonts w:ascii="Times New Roman" w:eastAsia="楷体" w:hAnsi="Times New Roman" w:cs="Times New Roman" w:hint="eastAsia"/>
        </w:rPr>
        <w:t>从</w:t>
      </w:r>
      <w:bookmarkStart w:id="10" w:name="OLE_LINK31"/>
      <w:r w:rsidRPr="00260FA3">
        <w:rPr>
          <w:rFonts w:ascii="Times New Roman" w:eastAsia="楷体" w:hAnsi="Times New Roman" w:cs="Times New Roman"/>
        </w:rPr>
        <w:t>选股能力</w:t>
      </w:r>
      <w:bookmarkEnd w:id="10"/>
      <w:r w:rsidRPr="00260FA3">
        <w:rPr>
          <w:rFonts w:ascii="Times New Roman" w:eastAsia="楷体" w:hAnsi="Times New Roman" w:cs="Times New Roman"/>
        </w:rPr>
        <w:t>方面拆解基金业绩得到两个部分。第一是基金经理的调仓策略：包括增持</w:t>
      </w:r>
      <w:r w:rsidRPr="00260FA3">
        <w:rPr>
          <w:rFonts w:ascii="Times New Roman" w:eastAsia="楷体" w:hAnsi="Times New Roman" w:cs="Times New Roman"/>
        </w:rPr>
        <w:t>/</w:t>
      </w:r>
      <w:r w:rsidRPr="00260FA3">
        <w:rPr>
          <w:rFonts w:ascii="Times New Roman" w:eastAsia="楷体" w:hAnsi="Times New Roman" w:cs="Times New Roman"/>
        </w:rPr>
        <w:t>减持过去具有高（低）超额回报的证券</w:t>
      </w:r>
      <w:r>
        <w:rPr>
          <w:rFonts w:ascii="Times New Roman" w:eastAsia="楷体" w:hAnsi="Times New Roman" w:cs="Times New Roman" w:hint="eastAsia"/>
        </w:rPr>
        <w:t>；</w:t>
      </w:r>
      <w:r w:rsidRPr="00260FA3">
        <w:rPr>
          <w:rFonts w:ascii="Times New Roman" w:eastAsia="楷体" w:hAnsi="Times New Roman" w:cs="Times New Roman"/>
        </w:rPr>
        <w:t>第</w:t>
      </w:r>
      <w:r>
        <w:rPr>
          <w:rFonts w:ascii="Times New Roman" w:eastAsia="楷体" w:hAnsi="Times New Roman" w:cs="Times New Roman" w:hint="eastAsia"/>
        </w:rPr>
        <w:t>二</w:t>
      </w:r>
      <w:r w:rsidRPr="00260FA3">
        <w:rPr>
          <w:rFonts w:ascii="Times New Roman" w:eastAsia="楷体" w:hAnsi="Times New Roman" w:cs="Times New Roman"/>
        </w:rPr>
        <w:t>是基金经理是否可以预测股票的超预期回报（选股）。类似的，</w:t>
      </w:r>
      <w:r w:rsidRPr="00CC303C">
        <w:rPr>
          <w:rFonts w:ascii="Times New Roman" w:eastAsia="楷体" w:hAnsi="Times New Roman" w:cs="Times New Roman"/>
        </w:rPr>
        <w:t>Andreu</w:t>
      </w:r>
      <w:r w:rsidRPr="00260FA3">
        <w:rPr>
          <w:rFonts w:ascii="Times New Roman" w:eastAsia="楷体" w:hAnsi="Times New Roman" w:cs="Times New Roman"/>
        </w:rPr>
        <w:t>从择时能力拆解基金业绩</w:t>
      </w:r>
      <w:r>
        <w:rPr>
          <w:rFonts w:ascii="Times New Roman" w:eastAsia="楷体" w:hAnsi="Times New Roman" w:cs="Times New Roman" w:hint="eastAsia"/>
        </w:rPr>
        <w:t>，</w:t>
      </w:r>
      <w:r w:rsidRPr="00260FA3">
        <w:rPr>
          <w:rFonts w:ascii="Times New Roman" w:eastAsia="楷体" w:hAnsi="Times New Roman" w:cs="Times New Roman"/>
        </w:rPr>
        <w:t>分别得到基金经理是否能预测市场回报</w:t>
      </w:r>
      <w:r w:rsidRPr="00260FA3">
        <w:rPr>
          <w:rFonts w:ascii="Times New Roman" w:eastAsia="楷体" w:hAnsi="Times New Roman" w:cs="Times New Roman"/>
        </w:rPr>
        <w:t>(</w:t>
      </w:r>
      <w:r w:rsidRPr="00260FA3">
        <w:rPr>
          <w:rFonts w:ascii="Times New Roman" w:eastAsia="楷体" w:hAnsi="Times New Roman" w:cs="Times New Roman"/>
        </w:rPr>
        <w:t>择时</w:t>
      </w:r>
      <w:r w:rsidRPr="00260FA3">
        <w:rPr>
          <w:rFonts w:ascii="Times New Roman" w:eastAsia="楷体" w:hAnsi="Times New Roman" w:cs="Times New Roman"/>
        </w:rPr>
        <w:t>)</w:t>
      </w:r>
      <w:r w:rsidRPr="00260FA3">
        <w:rPr>
          <w:rFonts w:ascii="Times New Roman" w:eastAsia="楷体" w:hAnsi="Times New Roman" w:cs="Times New Roman"/>
        </w:rPr>
        <w:t>和是否能甄别被动择时两部分。其中甄别被动择时是指基金经理是否能发现股票的</w:t>
      </w:r>
      <w:r w:rsidRPr="00260FA3">
        <w:rPr>
          <w:rFonts w:ascii="Times New Roman" w:eastAsia="楷体" w:hAnsi="Times New Roman" w:cs="Times New Roman"/>
        </w:rPr>
        <w:t>beta</w:t>
      </w:r>
      <w:r w:rsidRPr="00260FA3">
        <w:rPr>
          <w:rFonts w:ascii="Times New Roman" w:eastAsia="楷体" w:hAnsi="Times New Roman" w:cs="Times New Roman"/>
        </w:rPr>
        <w:t>与市场回报存在错位。</w:t>
      </w:r>
    </w:p>
    <w:p w14:paraId="64576555" w14:textId="65E6B2BD" w:rsidR="001259CD" w:rsidRPr="00260FA3" w:rsidRDefault="001259CD" w:rsidP="004B22A9">
      <w:pPr>
        <w:pStyle w:val="a3"/>
        <w:rPr>
          <w:rFonts w:ascii="Times New Roman" w:eastAsia="楷体" w:hAnsi="Times New Roman" w:cs="Times New Roman" w:hint="eastAsia"/>
        </w:rPr>
      </w:pPr>
      <w:proofErr w:type="spellStart"/>
      <w:r w:rsidRPr="009F5B50">
        <w:rPr>
          <w:rFonts w:ascii="Times New Roman" w:eastAsia="楷体" w:hAnsi="Times New Roman" w:cs="Times New Roman"/>
        </w:rPr>
        <w:t>Magni</w:t>
      </w:r>
      <w:proofErr w:type="spellEnd"/>
      <w:r w:rsidRPr="009F5B50">
        <w:rPr>
          <w:rFonts w:ascii="Times New Roman" w:eastAsia="楷体" w:hAnsi="Times New Roman" w:cs="Times New Roman"/>
        </w:rPr>
        <w:t>(2022)</w:t>
      </w:r>
      <w:r w:rsidR="009F5B50">
        <w:rPr>
          <w:rFonts w:ascii="Times New Roman" w:eastAsia="楷体" w:hAnsi="Times New Roman" w:cs="Times New Roman" w:hint="eastAsia"/>
        </w:rPr>
        <w:t>则</w:t>
      </w:r>
      <w:r w:rsidRPr="00260FA3">
        <w:rPr>
          <w:rFonts w:ascii="Times New Roman" w:eastAsia="楷体" w:hAnsi="Times New Roman" w:cs="Times New Roman"/>
        </w:rPr>
        <w:t>提出了一种创新方法，可以在给定评估区间内，将基金业绩分解为基金经理在不同时期做出的投资决策的贡献，以确定影响最大（和最小）的决策。作者应用</w:t>
      </w:r>
      <w:r w:rsidRPr="00260FA3">
        <w:rPr>
          <w:rFonts w:ascii="Times New Roman" w:eastAsia="楷体" w:hAnsi="Times New Roman" w:cs="Times New Roman"/>
        </w:rPr>
        <w:t xml:space="preserve"> Clean Finite Change Sensitivity Index </w:t>
      </w:r>
      <w:r w:rsidRPr="00260FA3">
        <w:rPr>
          <w:rFonts w:ascii="Times New Roman" w:eastAsia="楷体" w:hAnsi="Times New Roman" w:cs="Times New Roman"/>
        </w:rPr>
        <w:t>方法来得到投资业绩的增量以及各时期持有收益，以便将其完全分解为各个时期做出的投资决策的贡献</w:t>
      </w:r>
      <w:r>
        <w:rPr>
          <w:rFonts w:ascii="Times New Roman" w:eastAsia="楷体" w:hAnsi="Times New Roman" w:cs="Times New Roman" w:hint="eastAsia"/>
        </w:rPr>
        <w:t>。</w:t>
      </w:r>
    </w:p>
    <w:bookmarkEnd w:id="8"/>
    <w:p w14:paraId="2B1DA31B" w14:textId="456A9198" w:rsidR="009F5B50" w:rsidRDefault="009F5B50" w:rsidP="009F5B50">
      <w:pPr>
        <w:pStyle w:val="a3"/>
        <w:rPr>
          <w:rFonts w:ascii="Times New Roman" w:eastAsia="楷体" w:hAnsi="Times New Roman" w:cs="Times New Roman"/>
        </w:rPr>
      </w:pPr>
      <w:r>
        <w:rPr>
          <w:rFonts w:ascii="Times New Roman" w:eastAsia="楷体" w:hAnsi="Times New Roman" w:cs="Times New Roman" w:hint="eastAsia"/>
        </w:rPr>
        <w:t>以上，我们总结了关于现有文献中</w:t>
      </w:r>
      <w:r w:rsidRPr="00260FA3">
        <w:rPr>
          <w:rFonts w:ascii="Times New Roman" w:eastAsia="楷体" w:hAnsi="Times New Roman" w:cs="Times New Roman" w:hint="eastAsia"/>
        </w:rPr>
        <w:t>基</w:t>
      </w:r>
      <w:r w:rsidRPr="00260FA3">
        <w:rPr>
          <w:rFonts w:ascii="Times New Roman" w:eastAsia="楷体" w:hAnsi="Times New Roman" w:cs="Times New Roman"/>
        </w:rPr>
        <w:t>金业绩归因</w:t>
      </w:r>
      <w:r>
        <w:rPr>
          <w:rFonts w:ascii="Times New Roman" w:eastAsia="楷体" w:hAnsi="Times New Roman" w:cs="Times New Roman" w:hint="eastAsia"/>
        </w:rPr>
        <w:t>模型。</w:t>
      </w:r>
      <w:r w:rsidRPr="00260FA3">
        <w:rPr>
          <w:rFonts w:ascii="Times New Roman" w:eastAsia="楷体" w:hAnsi="Times New Roman" w:cs="Times New Roman"/>
        </w:rPr>
        <w:t>一部分文献的归因</w:t>
      </w:r>
      <w:r>
        <w:rPr>
          <w:rFonts w:ascii="Times New Roman" w:eastAsia="楷体" w:hAnsi="Times New Roman" w:cs="Times New Roman" w:hint="eastAsia"/>
        </w:rPr>
        <w:t>分析</w:t>
      </w:r>
      <w:r w:rsidRPr="00260FA3">
        <w:rPr>
          <w:rFonts w:ascii="Times New Roman" w:eastAsia="楷体" w:hAnsi="Times New Roman" w:cs="Times New Roman"/>
        </w:rPr>
        <w:t>是基于基金回报或风险因子。</w:t>
      </w:r>
      <w:r>
        <w:rPr>
          <w:rFonts w:ascii="Times New Roman" w:eastAsia="楷体" w:hAnsi="Times New Roman" w:cs="Times New Roman" w:hint="eastAsia"/>
        </w:rPr>
        <w:t>通过</w:t>
      </w:r>
      <w:r w:rsidRPr="00260FA3">
        <w:rPr>
          <w:rFonts w:ascii="Times New Roman" w:eastAsia="楷体" w:hAnsi="Times New Roman" w:cs="Times New Roman"/>
        </w:rPr>
        <w:t>基金收益的时间序列数据进行</w:t>
      </w:r>
      <w:r>
        <w:rPr>
          <w:rFonts w:ascii="Times New Roman" w:eastAsia="楷体" w:hAnsi="Times New Roman" w:cs="Times New Roman" w:hint="eastAsia"/>
        </w:rPr>
        <w:t>业绩增量</w:t>
      </w:r>
      <w:r w:rsidRPr="00260FA3">
        <w:rPr>
          <w:rFonts w:ascii="Times New Roman" w:eastAsia="楷体" w:hAnsi="Times New Roman" w:cs="Times New Roman"/>
        </w:rPr>
        <w:t>归因；另一部分是基于基金持有情况</w:t>
      </w:r>
      <w:r>
        <w:rPr>
          <w:rFonts w:ascii="Times New Roman" w:eastAsia="楷体" w:hAnsi="Times New Roman" w:cs="Times New Roman" w:hint="eastAsia"/>
        </w:rPr>
        <w:t>，通过计算不同时刻基金持有情况的变化</w:t>
      </w:r>
      <w:r w:rsidRPr="00260FA3">
        <w:rPr>
          <w:rFonts w:ascii="Times New Roman" w:eastAsia="楷体" w:hAnsi="Times New Roman" w:cs="Times New Roman"/>
        </w:rPr>
        <w:t>进行</w:t>
      </w:r>
      <w:r>
        <w:rPr>
          <w:rFonts w:ascii="Times New Roman" w:eastAsia="楷体" w:hAnsi="Times New Roman" w:cs="Times New Roman" w:hint="eastAsia"/>
        </w:rPr>
        <w:t>业绩增量</w:t>
      </w:r>
      <w:r w:rsidRPr="00260FA3">
        <w:rPr>
          <w:rFonts w:ascii="Times New Roman" w:eastAsia="楷体" w:hAnsi="Times New Roman" w:cs="Times New Roman"/>
        </w:rPr>
        <w:t>归因</w:t>
      </w:r>
      <w:r w:rsidRPr="00260FA3">
        <w:rPr>
          <w:rFonts w:ascii="Times New Roman" w:eastAsia="楷体" w:hAnsi="Times New Roman" w:cs="Times New Roman" w:hint="eastAsia"/>
        </w:rPr>
        <w:t>。</w:t>
      </w:r>
    </w:p>
    <w:p w14:paraId="5703C62F" w14:textId="2141C555" w:rsidR="00645109" w:rsidRDefault="00FE2E9F" w:rsidP="00645109">
      <w:pPr>
        <w:pStyle w:val="a3"/>
        <w:rPr>
          <w:rFonts w:ascii="Times New Roman" w:eastAsia="楷体" w:hAnsi="Times New Roman" w:cs="Times New Roman" w:hint="eastAsia"/>
        </w:rPr>
      </w:pPr>
      <w:r>
        <w:rPr>
          <w:rFonts w:ascii="Times New Roman" w:eastAsia="楷体" w:hAnsi="Times New Roman" w:cs="Times New Roman" w:hint="eastAsia"/>
        </w:rPr>
        <w:t>随着时间的发展，关于基金业绩归因的文献已经相对完善。讨论固收类基金与多币种基金</w:t>
      </w:r>
      <w:r w:rsidR="00645109">
        <w:rPr>
          <w:rFonts w:ascii="Times New Roman" w:eastAsia="楷体" w:hAnsi="Times New Roman" w:cs="Times New Roman" w:hint="eastAsia"/>
        </w:rPr>
        <w:t>这些细分领域</w:t>
      </w:r>
      <w:r>
        <w:rPr>
          <w:rFonts w:ascii="Times New Roman" w:eastAsia="楷体" w:hAnsi="Times New Roman" w:cs="Times New Roman" w:hint="eastAsia"/>
        </w:rPr>
        <w:t>的</w:t>
      </w:r>
      <w:r>
        <w:rPr>
          <w:rFonts w:ascii="Times New Roman" w:eastAsia="楷体" w:hAnsi="Times New Roman" w:cs="Times New Roman" w:hint="eastAsia"/>
        </w:rPr>
        <w:t>业绩归因</w:t>
      </w:r>
      <w:r w:rsidR="00645109">
        <w:rPr>
          <w:rFonts w:ascii="Times New Roman" w:eastAsia="楷体" w:hAnsi="Times New Roman" w:cs="Times New Roman" w:hint="eastAsia"/>
        </w:rPr>
        <w:t>的文献也在增加</w:t>
      </w:r>
      <w:r>
        <w:rPr>
          <w:rFonts w:ascii="Times New Roman" w:eastAsia="楷体" w:hAnsi="Times New Roman" w:cs="Times New Roman" w:hint="eastAsia"/>
        </w:rPr>
        <w:t>。而</w:t>
      </w:r>
      <w:r w:rsidR="00645109">
        <w:rPr>
          <w:rFonts w:ascii="Times New Roman" w:eastAsia="楷体" w:hAnsi="Times New Roman" w:cs="Times New Roman" w:hint="eastAsia"/>
        </w:rPr>
        <w:t>不同的</w:t>
      </w:r>
      <w:r>
        <w:rPr>
          <w:rFonts w:ascii="Times New Roman" w:eastAsia="楷体" w:hAnsi="Times New Roman" w:cs="Times New Roman" w:hint="eastAsia"/>
        </w:rPr>
        <w:t>归因分析模型</w:t>
      </w:r>
      <w:r w:rsidR="00645109">
        <w:rPr>
          <w:rFonts w:ascii="Times New Roman" w:eastAsia="楷体" w:hAnsi="Times New Roman" w:cs="Times New Roman" w:hint="eastAsia"/>
        </w:rPr>
        <w:t>有其不同的优势</w:t>
      </w:r>
      <w:r>
        <w:rPr>
          <w:rFonts w:ascii="Times New Roman" w:eastAsia="楷体" w:hAnsi="Times New Roman" w:cs="Times New Roman" w:hint="eastAsia"/>
        </w:rPr>
        <w:t>，得到的结论也不一致。</w:t>
      </w:r>
      <w:r w:rsidR="00645109" w:rsidRPr="00FE2E9F">
        <w:rPr>
          <w:rFonts w:ascii="Times New Roman" w:eastAsia="楷体" w:hAnsi="Times New Roman" w:cs="Times New Roman"/>
        </w:rPr>
        <w:t>对于复杂或动态的投资组合</w:t>
      </w:r>
      <w:r w:rsidR="00645109">
        <w:rPr>
          <w:rFonts w:ascii="Times New Roman" w:eastAsia="楷体" w:hAnsi="Times New Roman" w:cs="Times New Roman" w:hint="eastAsia"/>
        </w:rPr>
        <w:t>（</w:t>
      </w:r>
      <w:r w:rsidR="00645109" w:rsidRPr="00FE2E9F">
        <w:rPr>
          <w:rFonts w:ascii="Times New Roman" w:eastAsia="楷体" w:hAnsi="Times New Roman" w:cs="Times New Roman"/>
        </w:rPr>
        <w:t>对冲基金</w:t>
      </w:r>
      <w:r w:rsidR="00645109">
        <w:rPr>
          <w:rFonts w:ascii="Times New Roman" w:eastAsia="楷体" w:hAnsi="Times New Roman" w:cs="Times New Roman" w:hint="eastAsia"/>
        </w:rPr>
        <w:t>等</w:t>
      </w:r>
      <w:r w:rsidR="00645109">
        <w:rPr>
          <w:rFonts w:ascii="Times New Roman" w:eastAsia="楷体" w:hAnsi="Times New Roman" w:cs="Times New Roman" w:hint="eastAsia"/>
        </w:rPr>
        <w:t>），基于</w:t>
      </w:r>
      <w:r w:rsidR="00645109" w:rsidRPr="00FE2E9F">
        <w:rPr>
          <w:rFonts w:ascii="Times New Roman" w:eastAsia="楷体" w:hAnsi="Times New Roman" w:cs="Times New Roman"/>
        </w:rPr>
        <w:t>风险</w:t>
      </w:r>
      <w:r w:rsidR="00645109">
        <w:rPr>
          <w:rFonts w:ascii="Times New Roman" w:eastAsia="楷体" w:hAnsi="Times New Roman" w:cs="Times New Roman" w:hint="eastAsia"/>
        </w:rPr>
        <w:t>因子</w:t>
      </w:r>
      <w:r w:rsidR="00645109">
        <w:rPr>
          <w:rFonts w:ascii="Times New Roman" w:eastAsia="楷体" w:hAnsi="Times New Roman" w:cs="Times New Roman" w:hint="eastAsia"/>
        </w:rPr>
        <w:t>分</w:t>
      </w:r>
      <w:r w:rsidR="00645109" w:rsidRPr="00FE2E9F">
        <w:rPr>
          <w:rFonts w:ascii="Times New Roman" w:eastAsia="楷体" w:hAnsi="Times New Roman" w:cs="Times New Roman"/>
        </w:rPr>
        <w:t>解投资组合的</w:t>
      </w:r>
      <w:r w:rsidR="00645109">
        <w:rPr>
          <w:rFonts w:ascii="Times New Roman" w:eastAsia="楷体" w:hAnsi="Times New Roman" w:cs="Times New Roman" w:hint="eastAsia"/>
        </w:rPr>
        <w:t>业绩增量，</w:t>
      </w:r>
      <w:r w:rsidR="00645109" w:rsidRPr="00FE2E9F">
        <w:rPr>
          <w:rFonts w:ascii="Times New Roman" w:eastAsia="楷体" w:hAnsi="Times New Roman" w:cs="Times New Roman"/>
        </w:rPr>
        <w:t>可能比仅依赖</w:t>
      </w:r>
      <w:r w:rsidR="00645109">
        <w:rPr>
          <w:rFonts w:ascii="Times New Roman" w:eastAsia="楷体" w:hAnsi="Times New Roman" w:cs="Times New Roman" w:hint="eastAsia"/>
        </w:rPr>
        <w:t>基金回报</w:t>
      </w:r>
      <w:r w:rsidR="00645109" w:rsidRPr="00FE2E9F">
        <w:rPr>
          <w:rFonts w:ascii="Times New Roman" w:eastAsia="楷体" w:hAnsi="Times New Roman" w:cs="Times New Roman"/>
        </w:rPr>
        <w:t>的方法</w:t>
      </w:r>
      <w:r w:rsidR="00645109">
        <w:rPr>
          <w:rFonts w:ascii="Times New Roman" w:eastAsia="楷体" w:hAnsi="Times New Roman" w:cs="Times New Roman" w:hint="eastAsia"/>
        </w:rPr>
        <w:t>更有</w:t>
      </w:r>
      <w:r w:rsidR="00645109" w:rsidRPr="00FE2E9F">
        <w:rPr>
          <w:rFonts w:ascii="Times New Roman" w:eastAsia="楷体" w:hAnsi="Times New Roman" w:cs="Times New Roman"/>
        </w:rPr>
        <w:t>优势。</w:t>
      </w:r>
      <w:r w:rsidR="00645109">
        <w:rPr>
          <w:rFonts w:ascii="Times New Roman" w:eastAsia="楷体" w:hAnsi="Times New Roman" w:cs="Times New Roman" w:hint="eastAsia"/>
        </w:rPr>
        <w:t>相比于</w:t>
      </w:r>
      <w:r w:rsidR="00645109">
        <w:rPr>
          <w:rFonts w:ascii="Times New Roman" w:eastAsia="楷体" w:hAnsi="Times New Roman" w:cs="Times New Roman" w:hint="eastAsia"/>
        </w:rPr>
        <w:t>基于基金回报的</w:t>
      </w:r>
      <w:r w:rsidR="00645109">
        <w:rPr>
          <w:rFonts w:ascii="Times New Roman" w:eastAsia="楷体" w:hAnsi="Times New Roman" w:cs="Times New Roman" w:hint="eastAsia"/>
        </w:rPr>
        <w:t>业绩归因，基于基金持有情况</w:t>
      </w:r>
      <w:r w:rsidR="009F5B50">
        <w:rPr>
          <w:rFonts w:ascii="Times New Roman" w:eastAsia="楷体" w:hAnsi="Times New Roman" w:cs="Times New Roman" w:hint="eastAsia"/>
        </w:rPr>
        <w:t>的模型在</w:t>
      </w:r>
      <w:r w:rsidR="00645109">
        <w:rPr>
          <w:rFonts w:ascii="Times New Roman" w:eastAsia="楷体" w:hAnsi="Times New Roman" w:cs="Times New Roman" w:hint="eastAsia"/>
        </w:rPr>
        <w:t>衡量择时能力</w:t>
      </w:r>
      <w:r w:rsidR="009F5B50">
        <w:rPr>
          <w:rFonts w:ascii="Times New Roman" w:eastAsia="楷体" w:hAnsi="Times New Roman" w:cs="Times New Roman" w:hint="eastAsia"/>
        </w:rPr>
        <w:t>误差更小。</w:t>
      </w:r>
    </w:p>
    <w:p w14:paraId="09A75889" w14:textId="6EE2F2E4" w:rsidR="00EF3E8E" w:rsidRPr="001E44A5" w:rsidRDefault="00FE2E9F" w:rsidP="009F5B50">
      <w:pPr>
        <w:pStyle w:val="a3"/>
        <w:rPr>
          <w:rFonts w:ascii="Times New Roman" w:eastAsia="楷体" w:hAnsi="Times New Roman" w:cs="Times New Roman" w:hint="eastAsia"/>
        </w:rPr>
      </w:pPr>
      <w:r>
        <w:rPr>
          <w:rFonts w:ascii="Times New Roman" w:eastAsia="楷体" w:hAnsi="Times New Roman" w:cs="Times New Roman" w:hint="eastAsia"/>
        </w:rPr>
        <w:t>进行归因</w:t>
      </w:r>
      <w:r w:rsidR="00645109">
        <w:rPr>
          <w:rFonts w:ascii="Times New Roman" w:eastAsia="楷体" w:hAnsi="Times New Roman" w:cs="Times New Roman" w:hint="eastAsia"/>
        </w:rPr>
        <w:t>分析时，</w:t>
      </w:r>
      <w:r w:rsidR="00645109">
        <w:rPr>
          <w:rFonts w:ascii="Times New Roman" w:eastAsia="楷体" w:hAnsi="Times New Roman" w:cs="Times New Roman" w:hint="eastAsia"/>
        </w:rPr>
        <w:t>只有</w:t>
      </w:r>
      <w:r w:rsidR="00645109" w:rsidRPr="00FE2E9F">
        <w:rPr>
          <w:rFonts w:ascii="Times New Roman" w:eastAsia="楷体" w:hAnsi="Times New Roman" w:cs="Times New Roman"/>
        </w:rPr>
        <w:t>了解每个时间点的</w:t>
      </w:r>
      <w:r w:rsidR="00645109">
        <w:rPr>
          <w:rFonts w:ascii="Times New Roman" w:eastAsia="楷体" w:hAnsi="Times New Roman" w:cs="Times New Roman" w:hint="eastAsia"/>
        </w:rPr>
        <w:t>基金的</w:t>
      </w:r>
      <w:r w:rsidR="00645109" w:rsidRPr="00FE2E9F">
        <w:rPr>
          <w:rFonts w:ascii="Times New Roman" w:eastAsia="楷体" w:hAnsi="Times New Roman" w:cs="Times New Roman"/>
        </w:rPr>
        <w:t>特征</w:t>
      </w:r>
      <w:r w:rsidR="00645109">
        <w:rPr>
          <w:rFonts w:ascii="Times New Roman" w:eastAsia="楷体" w:hAnsi="Times New Roman" w:cs="Times New Roman" w:hint="eastAsia"/>
        </w:rPr>
        <w:t>，选择</w:t>
      </w:r>
      <w:r w:rsidR="00645109">
        <w:rPr>
          <w:rFonts w:ascii="Times New Roman" w:eastAsia="楷体" w:hAnsi="Times New Roman" w:cs="Times New Roman" w:hint="eastAsia"/>
        </w:rPr>
        <w:t>合适的归因模型</w:t>
      </w:r>
      <w:r w:rsidR="009F5B50">
        <w:rPr>
          <w:rFonts w:ascii="Times New Roman" w:eastAsia="楷体" w:hAnsi="Times New Roman" w:cs="Times New Roman" w:hint="eastAsia"/>
        </w:rPr>
        <w:t>以及合适的</w:t>
      </w:r>
      <w:r w:rsidR="00645109" w:rsidRPr="00260FA3">
        <w:rPr>
          <w:rFonts w:ascii="Times New Roman" w:eastAsia="楷体" w:hAnsi="Times New Roman" w:cs="Times New Roman" w:hint="eastAsia"/>
        </w:rPr>
        <w:t>基</w:t>
      </w:r>
      <w:r w:rsidR="00645109" w:rsidRPr="00260FA3">
        <w:rPr>
          <w:rFonts w:ascii="Times New Roman" w:eastAsia="楷体" w:hAnsi="Times New Roman" w:cs="Times New Roman"/>
        </w:rPr>
        <w:t>准</w:t>
      </w:r>
      <w:r w:rsidR="00645109">
        <w:rPr>
          <w:rFonts w:ascii="Times New Roman" w:eastAsia="楷体" w:hAnsi="Times New Roman" w:cs="Times New Roman" w:hint="eastAsia"/>
        </w:rPr>
        <w:t>指数</w:t>
      </w:r>
      <w:r w:rsidR="009F5B50">
        <w:rPr>
          <w:rFonts w:ascii="Times New Roman" w:eastAsia="楷体" w:hAnsi="Times New Roman" w:cs="Times New Roman" w:hint="eastAsia"/>
        </w:rPr>
        <w:t>，</w:t>
      </w:r>
      <w:r w:rsidR="00645109">
        <w:rPr>
          <w:rFonts w:ascii="Times New Roman" w:eastAsia="楷体" w:hAnsi="Times New Roman" w:cs="Times New Roman" w:hint="eastAsia"/>
        </w:rPr>
        <w:t>并且意识到基准</w:t>
      </w:r>
      <w:r w:rsidR="009F5B50">
        <w:rPr>
          <w:rFonts w:ascii="Times New Roman" w:eastAsia="楷体" w:hAnsi="Times New Roman" w:cs="Times New Roman" w:hint="eastAsia"/>
        </w:rPr>
        <w:t>指数</w:t>
      </w:r>
      <w:r w:rsidR="00645109">
        <w:rPr>
          <w:rFonts w:ascii="Times New Roman" w:eastAsia="楷体" w:hAnsi="Times New Roman" w:cs="Times New Roman" w:hint="eastAsia"/>
        </w:rPr>
        <w:t>可能</w:t>
      </w:r>
      <w:r w:rsidR="00645109" w:rsidRPr="00260FA3">
        <w:rPr>
          <w:rFonts w:ascii="Times New Roman" w:eastAsia="楷体" w:hAnsi="Times New Roman" w:cs="Times New Roman"/>
        </w:rPr>
        <w:t>随时间改变（</w:t>
      </w:r>
      <w:r w:rsidR="00645109" w:rsidRPr="00260FA3">
        <w:rPr>
          <w:rFonts w:ascii="Times New Roman" w:eastAsia="楷体" w:hAnsi="Times New Roman" w:cs="Times New Roman"/>
        </w:rPr>
        <w:t>“</w:t>
      </w:r>
      <w:r w:rsidR="00645109" w:rsidRPr="00260FA3">
        <w:rPr>
          <w:rFonts w:ascii="Times New Roman" w:eastAsia="楷体" w:hAnsi="Times New Roman" w:cs="Times New Roman"/>
        </w:rPr>
        <w:t>风格漂移</w:t>
      </w:r>
      <w:r w:rsidR="00645109" w:rsidRPr="00260FA3">
        <w:rPr>
          <w:rFonts w:ascii="Times New Roman" w:eastAsia="楷体" w:hAnsi="Times New Roman" w:cs="Times New Roman"/>
        </w:rPr>
        <w:t>”</w:t>
      </w:r>
      <w:r w:rsidR="00645109" w:rsidRPr="00260FA3">
        <w:rPr>
          <w:rFonts w:ascii="Times New Roman" w:eastAsia="楷体" w:hAnsi="Times New Roman" w:cs="Times New Roman"/>
        </w:rPr>
        <w:t>）</w:t>
      </w:r>
      <w:r w:rsidR="00645109">
        <w:rPr>
          <w:rFonts w:ascii="Times New Roman" w:eastAsia="楷体" w:hAnsi="Times New Roman" w:cs="Times New Roman" w:hint="eastAsia"/>
        </w:rPr>
        <w:t>才可以</w:t>
      </w:r>
      <w:r w:rsidR="00645109" w:rsidRPr="00FE2E9F">
        <w:rPr>
          <w:rFonts w:ascii="Times New Roman" w:eastAsia="楷体" w:hAnsi="Times New Roman" w:cs="Times New Roman" w:hint="eastAsia"/>
        </w:rPr>
        <w:t>将</w:t>
      </w:r>
      <w:r w:rsidR="00645109">
        <w:rPr>
          <w:rFonts w:ascii="Times New Roman" w:eastAsia="楷体" w:hAnsi="Times New Roman" w:cs="Times New Roman" w:hint="eastAsia"/>
        </w:rPr>
        <w:t>基金业绩增量进行更好的</w:t>
      </w:r>
      <w:r w:rsidR="00645109" w:rsidRPr="00FE2E9F">
        <w:rPr>
          <w:rFonts w:ascii="Times New Roman" w:eastAsia="楷体" w:hAnsi="Times New Roman" w:cs="Times New Roman" w:hint="eastAsia"/>
        </w:rPr>
        <w:t>归</w:t>
      </w:r>
      <w:r w:rsidR="00645109" w:rsidRPr="00FE2E9F">
        <w:rPr>
          <w:rFonts w:ascii="Times New Roman" w:eastAsia="楷体" w:hAnsi="Times New Roman" w:cs="Times New Roman"/>
        </w:rPr>
        <w:t>因</w:t>
      </w:r>
      <w:r w:rsidR="00645109">
        <w:rPr>
          <w:rFonts w:ascii="Times New Roman" w:eastAsia="楷体" w:hAnsi="Times New Roman" w:cs="Times New Roman" w:hint="eastAsia"/>
        </w:rPr>
        <w:t>分析</w:t>
      </w:r>
      <w:r w:rsidR="00645109" w:rsidRPr="00FE2E9F">
        <w:rPr>
          <w:rFonts w:ascii="Times New Roman" w:eastAsia="楷体" w:hAnsi="Times New Roman" w:cs="Times New Roman"/>
        </w:rPr>
        <w:t>。</w:t>
      </w:r>
      <w:r w:rsidR="00645109" w:rsidRPr="001B3BCD">
        <w:rPr>
          <w:rFonts w:ascii="Times New Roman" w:eastAsia="楷体" w:hAnsi="Times New Roman" w:cs="Times New Roman"/>
        </w:rPr>
        <w:t>并且更为有效地衡量基金通过主动投资管理取得超额收益的能力。</w:t>
      </w:r>
    </w:p>
    <w:sectPr w:rsidR="00EF3E8E" w:rsidRPr="001E44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FDEB9" w14:textId="77777777" w:rsidR="00DC6121" w:rsidRDefault="00DC6121" w:rsidP="004B22A9">
      <w:r>
        <w:separator/>
      </w:r>
    </w:p>
  </w:endnote>
  <w:endnote w:type="continuationSeparator" w:id="0">
    <w:p w14:paraId="72CFE62B" w14:textId="77777777" w:rsidR="00DC6121" w:rsidRDefault="00DC6121" w:rsidP="004B2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4C1DE" w14:textId="77777777" w:rsidR="00DC6121" w:rsidRDefault="00DC6121" w:rsidP="004B22A9">
      <w:r>
        <w:separator/>
      </w:r>
    </w:p>
  </w:footnote>
  <w:footnote w:type="continuationSeparator" w:id="0">
    <w:p w14:paraId="46F97EE0" w14:textId="77777777" w:rsidR="00DC6121" w:rsidRDefault="00DC6121" w:rsidP="004B22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8E"/>
    <w:rsid w:val="000A102F"/>
    <w:rsid w:val="000D3568"/>
    <w:rsid w:val="001011BB"/>
    <w:rsid w:val="001259CD"/>
    <w:rsid w:val="00182627"/>
    <w:rsid w:val="001B3BCD"/>
    <w:rsid w:val="001D20DD"/>
    <w:rsid w:val="001D74E6"/>
    <w:rsid w:val="001E44A5"/>
    <w:rsid w:val="001E736F"/>
    <w:rsid w:val="00214D60"/>
    <w:rsid w:val="00236A9F"/>
    <w:rsid w:val="00270562"/>
    <w:rsid w:val="002A15F9"/>
    <w:rsid w:val="002F5761"/>
    <w:rsid w:val="00327F0E"/>
    <w:rsid w:val="003331C4"/>
    <w:rsid w:val="003458E0"/>
    <w:rsid w:val="004545E9"/>
    <w:rsid w:val="004B0111"/>
    <w:rsid w:val="004B22A9"/>
    <w:rsid w:val="004E2E46"/>
    <w:rsid w:val="004E6BF2"/>
    <w:rsid w:val="005D2AC1"/>
    <w:rsid w:val="00645109"/>
    <w:rsid w:val="00823924"/>
    <w:rsid w:val="0087699D"/>
    <w:rsid w:val="0090587C"/>
    <w:rsid w:val="00911BBA"/>
    <w:rsid w:val="009F5B50"/>
    <w:rsid w:val="00B00800"/>
    <w:rsid w:val="00BC30C9"/>
    <w:rsid w:val="00C82B02"/>
    <w:rsid w:val="00CC303C"/>
    <w:rsid w:val="00CF04B5"/>
    <w:rsid w:val="00D35CB7"/>
    <w:rsid w:val="00D75A1F"/>
    <w:rsid w:val="00DC6121"/>
    <w:rsid w:val="00E3123A"/>
    <w:rsid w:val="00E871F3"/>
    <w:rsid w:val="00EF3E8E"/>
    <w:rsid w:val="00F10D8C"/>
    <w:rsid w:val="00FE2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4926E7"/>
  <w15:chartTrackingRefBased/>
  <w15:docId w15:val="{32A0EA15-7018-A74E-83BA-920C3103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F3E8E"/>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uiPriority w:val="99"/>
    <w:unhideWhenUsed/>
    <w:rsid w:val="004B22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22A9"/>
    <w:rPr>
      <w:sz w:val="18"/>
      <w:szCs w:val="18"/>
    </w:rPr>
  </w:style>
  <w:style w:type="paragraph" w:styleId="a6">
    <w:name w:val="footer"/>
    <w:basedOn w:val="a"/>
    <w:link w:val="a7"/>
    <w:uiPriority w:val="99"/>
    <w:unhideWhenUsed/>
    <w:rsid w:val="004B22A9"/>
    <w:pPr>
      <w:tabs>
        <w:tab w:val="center" w:pos="4153"/>
        <w:tab w:val="right" w:pos="8306"/>
      </w:tabs>
      <w:snapToGrid w:val="0"/>
      <w:jc w:val="left"/>
    </w:pPr>
    <w:rPr>
      <w:sz w:val="18"/>
      <w:szCs w:val="18"/>
    </w:rPr>
  </w:style>
  <w:style w:type="character" w:customStyle="1" w:styleId="a7">
    <w:name w:val="页脚 字符"/>
    <w:basedOn w:val="a0"/>
    <w:link w:val="a6"/>
    <w:uiPriority w:val="99"/>
    <w:rsid w:val="004B22A9"/>
    <w:rPr>
      <w:sz w:val="18"/>
      <w:szCs w:val="18"/>
    </w:rPr>
  </w:style>
  <w:style w:type="character" w:styleId="a8">
    <w:name w:val="Hyperlink"/>
    <w:basedOn w:val="a0"/>
    <w:uiPriority w:val="99"/>
    <w:semiHidden/>
    <w:unhideWhenUsed/>
    <w:rsid w:val="00FE2E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3267">
      <w:bodyDiv w:val="1"/>
      <w:marLeft w:val="0"/>
      <w:marRight w:val="0"/>
      <w:marTop w:val="0"/>
      <w:marBottom w:val="0"/>
      <w:divBdr>
        <w:top w:val="none" w:sz="0" w:space="0" w:color="auto"/>
        <w:left w:val="none" w:sz="0" w:space="0" w:color="auto"/>
        <w:bottom w:val="none" w:sz="0" w:space="0" w:color="auto"/>
        <w:right w:val="none" w:sz="0" w:space="0" w:color="auto"/>
      </w:divBdr>
      <w:divsChild>
        <w:div w:id="1884973727">
          <w:marLeft w:val="0"/>
          <w:marRight w:val="0"/>
          <w:marTop w:val="0"/>
          <w:marBottom w:val="0"/>
          <w:divBdr>
            <w:top w:val="none" w:sz="0" w:space="0" w:color="auto"/>
            <w:left w:val="none" w:sz="0" w:space="0" w:color="auto"/>
            <w:bottom w:val="none" w:sz="0" w:space="0" w:color="auto"/>
            <w:right w:val="none" w:sz="0" w:space="0" w:color="auto"/>
          </w:divBdr>
          <w:divsChild>
            <w:div w:id="8420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2198">
      <w:bodyDiv w:val="1"/>
      <w:marLeft w:val="0"/>
      <w:marRight w:val="0"/>
      <w:marTop w:val="0"/>
      <w:marBottom w:val="0"/>
      <w:divBdr>
        <w:top w:val="none" w:sz="0" w:space="0" w:color="auto"/>
        <w:left w:val="none" w:sz="0" w:space="0" w:color="auto"/>
        <w:bottom w:val="none" w:sz="0" w:space="0" w:color="auto"/>
        <w:right w:val="none" w:sz="0" w:space="0" w:color="auto"/>
      </w:divBdr>
      <w:divsChild>
        <w:div w:id="21783836">
          <w:marLeft w:val="0"/>
          <w:marRight w:val="0"/>
          <w:marTop w:val="0"/>
          <w:marBottom w:val="0"/>
          <w:divBdr>
            <w:top w:val="none" w:sz="0" w:space="0" w:color="auto"/>
            <w:left w:val="none" w:sz="0" w:space="0" w:color="auto"/>
            <w:bottom w:val="none" w:sz="0" w:space="0" w:color="auto"/>
            <w:right w:val="none" w:sz="0" w:space="0" w:color="auto"/>
          </w:divBdr>
          <w:divsChild>
            <w:div w:id="1852641651">
              <w:marLeft w:val="0"/>
              <w:marRight w:val="0"/>
              <w:marTop w:val="0"/>
              <w:marBottom w:val="0"/>
              <w:divBdr>
                <w:top w:val="none" w:sz="0" w:space="0" w:color="auto"/>
                <w:left w:val="none" w:sz="0" w:space="0" w:color="auto"/>
                <w:bottom w:val="none" w:sz="0" w:space="0" w:color="auto"/>
                <w:right w:val="none" w:sz="0" w:space="0" w:color="auto"/>
              </w:divBdr>
              <w:divsChild>
                <w:div w:id="1068768498">
                  <w:marLeft w:val="0"/>
                  <w:marRight w:val="0"/>
                  <w:marTop w:val="0"/>
                  <w:marBottom w:val="0"/>
                  <w:divBdr>
                    <w:top w:val="none" w:sz="0" w:space="0" w:color="auto"/>
                    <w:left w:val="none" w:sz="0" w:space="0" w:color="auto"/>
                    <w:bottom w:val="none" w:sz="0" w:space="0" w:color="auto"/>
                    <w:right w:val="none" w:sz="0" w:space="0" w:color="auto"/>
                  </w:divBdr>
                  <w:divsChild>
                    <w:div w:id="1368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08139">
      <w:bodyDiv w:val="1"/>
      <w:marLeft w:val="0"/>
      <w:marRight w:val="0"/>
      <w:marTop w:val="0"/>
      <w:marBottom w:val="0"/>
      <w:divBdr>
        <w:top w:val="none" w:sz="0" w:space="0" w:color="auto"/>
        <w:left w:val="none" w:sz="0" w:space="0" w:color="auto"/>
        <w:bottom w:val="none" w:sz="0" w:space="0" w:color="auto"/>
        <w:right w:val="none" w:sz="0" w:space="0" w:color="auto"/>
      </w:divBdr>
      <w:divsChild>
        <w:div w:id="1855025775">
          <w:marLeft w:val="0"/>
          <w:marRight w:val="0"/>
          <w:marTop w:val="0"/>
          <w:marBottom w:val="0"/>
          <w:divBdr>
            <w:top w:val="none" w:sz="0" w:space="0" w:color="auto"/>
            <w:left w:val="none" w:sz="0" w:space="0" w:color="auto"/>
            <w:bottom w:val="none" w:sz="0" w:space="0" w:color="auto"/>
            <w:right w:val="none" w:sz="0" w:space="0" w:color="auto"/>
          </w:divBdr>
          <w:divsChild>
            <w:div w:id="11348718">
              <w:marLeft w:val="0"/>
              <w:marRight w:val="0"/>
              <w:marTop w:val="0"/>
              <w:marBottom w:val="0"/>
              <w:divBdr>
                <w:top w:val="none" w:sz="0" w:space="0" w:color="auto"/>
                <w:left w:val="none" w:sz="0" w:space="0" w:color="auto"/>
                <w:bottom w:val="none" w:sz="0" w:space="0" w:color="auto"/>
                <w:right w:val="none" w:sz="0" w:space="0" w:color="auto"/>
              </w:divBdr>
              <w:divsChild>
                <w:div w:id="574899044">
                  <w:marLeft w:val="0"/>
                  <w:marRight w:val="0"/>
                  <w:marTop w:val="0"/>
                  <w:marBottom w:val="0"/>
                  <w:divBdr>
                    <w:top w:val="none" w:sz="0" w:space="0" w:color="auto"/>
                    <w:left w:val="none" w:sz="0" w:space="0" w:color="auto"/>
                    <w:bottom w:val="none" w:sz="0" w:space="0" w:color="auto"/>
                    <w:right w:val="none" w:sz="0" w:space="0" w:color="auto"/>
                  </w:divBdr>
                  <w:divsChild>
                    <w:div w:id="10532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67333">
      <w:bodyDiv w:val="1"/>
      <w:marLeft w:val="0"/>
      <w:marRight w:val="0"/>
      <w:marTop w:val="0"/>
      <w:marBottom w:val="0"/>
      <w:divBdr>
        <w:top w:val="none" w:sz="0" w:space="0" w:color="auto"/>
        <w:left w:val="none" w:sz="0" w:space="0" w:color="auto"/>
        <w:bottom w:val="none" w:sz="0" w:space="0" w:color="auto"/>
        <w:right w:val="none" w:sz="0" w:space="0" w:color="auto"/>
      </w:divBdr>
      <w:divsChild>
        <w:div w:id="1359819562">
          <w:marLeft w:val="0"/>
          <w:marRight w:val="0"/>
          <w:marTop w:val="0"/>
          <w:marBottom w:val="0"/>
          <w:divBdr>
            <w:top w:val="none" w:sz="0" w:space="0" w:color="auto"/>
            <w:left w:val="none" w:sz="0" w:space="0" w:color="auto"/>
            <w:bottom w:val="none" w:sz="0" w:space="0" w:color="auto"/>
            <w:right w:val="none" w:sz="0" w:space="0" w:color="auto"/>
          </w:divBdr>
          <w:divsChild>
            <w:div w:id="1513446325">
              <w:marLeft w:val="0"/>
              <w:marRight w:val="0"/>
              <w:marTop w:val="0"/>
              <w:marBottom w:val="0"/>
              <w:divBdr>
                <w:top w:val="none" w:sz="0" w:space="0" w:color="auto"/>
                <w:left w:val="none" w:sz="0" w:space="0" w:color="auto"/>
                <w:bottom w:val="none" w:sz="0" w:space="0" w:color="auto"/>
                <w:right w:val="none" w:sz="0" w:space="0" w:color="auto"/>
              </w:divBdr>
              <w:divsChild>
                <w:div w:id="14553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53443">
      <w:bodyDiv w:val="1"/>
      <w:marLeft w:val="0"/>
      <w:marRight w:val="0"/>
      <w:marTop w:val="0"/>
      <w:marBottom w:val="0"/>
      <w:divBdr>
        <w:top w:val="none" w:sz="0" w:space="0" w:color="auto"/>
        <w:left w:val="none" w:sz="0" w:space="0" w:color="auto"/>
        <w:bottom w:val="none" w:sz="0" w:space="0" w:color="auto"/>
        <w:right w:val="none" w:sz="0" w:space="0" w:color="auto"/>
      </w:divBdr>
    </w:div>
    <w:div w:id="2029136291">
      <w:bodyDiv w:val="1"/>
      <w:marLeft w:val="0"/>
      <w:marRight w:val="0"/>
      <w:marTop w:val="0"/>
      <w:marBottom w:val="0"/>
      <w:divBdr>
        <w:top w:val="none" w:sz="0" w:space="0" w:color="auto"/>
        <w:left w:val="none" w:sz="0" w:space="0" w:color="auto"/>
        <w:bottom w:val="none" w:sz="0" w:space="0" w:color="auto"/>
        <w:right w:val="none" w:sz="0" w:space="0" w:color="auto"/>
      </w:divBdr>
      <w:divsChild>
        <w:div w:id="888760203">
          <w:marLeft w:val="0"/>
          <w:marRight w:val="0"/>
          <w:marTop w:val="0"/>
          <w:marBottom w:val="0"/>
          <w:divBdr>
            <w:top w:val="none" w:sz="0" w:space="0" w:color="auto"/>
            <w:left w:val="none" w:sz="0" w:space="0" w:color="auto"/>
            <w:bottom w:val="none" w:sz="0" w:space="0" w:color="auto"/>
            <w:right w:val="none" w:sz="0" w:space="0" w:color="auto"/>
          </w:divBdr>
          <w:divsChild>
            <w:div w:id="2050449129">
              <w:marLeft w:val="0"/>
              <w:marRight w:val="0"/>
              <w:marTop w:val="0"/>
              <w:marBottom w:val="0"/>
              <w:divBdr>
                <w:top w:val="none" w:sz="0" w:space="0" w:color="auto"/>
                <w:left w:val="none" w:sz="0" w:space="0" w:color="auto"/>
                <w:bottom w:val="none" w:sz="0" w:space="0" w:color="auto"/>
                <w:right w:val="none" w:sz="0" w:space="0" w:color="auto"/>
              </w:divBdr>
              <w:divsChild>
                <w:div w:id="378281168">
                  <w:marLeft w:val="0"/>
                  <w:marRight w:val="0"/>
                  <w:marTop w:val="0"/>
                  <w:marBottom w:val="0"/>
                  <w:divBdr>
                    <w:top w:val="none" w:sz="0" w:space="0" w:color="auto"/>
                    <w:left w:val="none" w:sz="0" w:space="0" w:color="auto"/>
                    <w:bottom w:val="none" w:sz="0" w:space="0" w:color="auto"/>
                    <w:right w:val="none" w:sz="0" w:space="0" w:color="auto"/>
                  </w:divBdr>
                  <w:divsChild>
                    <w:div w:id="20693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Effie</dc:creator>
  <cp:keywords/>
  <dc:description/>
  <cp:lastModifiedBy>HAN Effie</cp:lastModifiedBy>
  <cp:revision>1</cp:revision>
  <dcterms:created xsi:type="dcterms:W3CDTF">2022-11-29T02:20:00Z</dcterms:created>
  <dcterms:modified xsi:type="dcterms:W3CDTF">2022-11-30T00:59:00Z</dcterms:modified>
</cp:coreProperties>
</file>