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aps/>
          <w:color w:val="5B6B66"/>
          <w:spacing w:val="20"/>
          <w:sz w:val="20"/>
          <w:szCs w:val="20"/>
        </w:rPr>
        <w:t xml:space="preserve">COMPETITIVE ANALYSIS</w:t>
      </w:r>
    </w:p>
    <w:p>
      <w:pPr>
        <w:spacing w:after="200"/>
      </w:pPr>
      <w:r>
        <w:rPr>
          <w:b/>
          <w:bCs/>
          <w:color w:val="1F3B57"/>
          <w:sz w:val="44"/>
          <w:szCs w:val="44"/>
        </w:rPr>
        <w:t xml:space="preserve">Your Staff Room vs QuizPulse</w:t>
      </w:r>
    </w:p>
    <w:p>
      <w:pPr>
        <w:spacing w:after="60"/>
      </w:pPr>
      <w:r>
        <w:rPr>
          <w:b/>
          <w:bCs/>
          <w:sz w:val="21"/>
          <w:szCs w:val="21"/>
        </w:rPr>
        <w:t xml:space="preserve">Date: </w:t>
      </w:r>
      <w:r>
        <w:rPr>
          <w:sz w:val="21"/>
          <w:szCs w:val="21"/>
        </w:rPr>
        <w:t xml:space="preserve">2026-08-03</w:t>
      </w:r>
    </w:p>
    <w:p>
      <w:pPr>
        <w:spacing w:after="300"/>
      </w:pPr>
      <w:r>
        <w:rPr>
          <w:b/>
          <w:bCs/>
          <w:sz w:val="21"/>
          <w:szCs w:val="21"/>
        </w:rPr>
        <w:t xml:space="preserve">Method: </w:t>
      </w:r>
      <w:r>
        <w:rPr>
          <w:sz w:val="21"/>
          <w:szCs w:val="21"/>
        </w:rPr>
        <w:t xml:space="preserve">Live site walk of </w:t>
      </w:r>
      <w:r>
        <w:rPr>
          <w:rFonts w:ascii="Consolas" w:cs="Consolas" w:eastAsia="Consolas" w:hAnsi="Consolas"/>
          <w:color w:val="9A3B2E"/>
          <w:sz w:val="20"/>
          <w:szCs w:val="20"/>
        </w:rPr>
        <w:t xml:space="preserve">yourstaffroom.com.au</w:t>
      </w:r>
      <w:r>
        <w:rPr>
          <w:sz w:val="21"/>
          <w:szCs w:val="21"/>
        </w:rPr>
        <w:t xml:space="preserve"> (all 34 pages + blog fetched and verified HTTP 200), free-account login, one real Lesson Builder generation run, source/network inspection, plus a walk of the related Payhip storefront (The Pedagogy Project). No payment made, no Inner Sanctum access — paid-tier internals are inferred from marketing copy and page scaffolding only.</w:t>
      </w:r>
    </w:p>
    <w:p>
      <w:pPr>
        <w:pBdr>
          <w:bottom w:val="single" w:color="C9D3CF" w:sz="6" w:space="1"/>
        </w:pBdr>
        <w:spacing w:after="200" w:before="200"/>
      </w:pPr>
    </w:p>
    <w:p>
      <w:pPr>
        <w:pStyle w:val="Heading1"/>
        <w:pBdr>
          <w:bottom w:val="single" w:color="2D4A3E" w:sz="6" w:space="4"/>
        </w:pBdr>
        <w:spacing w:after="160" w:before="360"/>
      </w:pPr>
      <w:r>
        <w:rPr>
          <w:b/>
          <w:bCs/>
          <w:color w:val="1F3B57"/>
          <w:sz w:val="30"/>
          <w:szCs w:val="30"/>
        </w:rPr>
        <w:t xml:space="preserve">1. Executive Summary</w:t>
      </w:r>
    </w:p>
    <w:p>
      <w:pPr>
        <w:spacing w:after="160" w:line="300"/>
      </w:pPr>
      <w:r>
        <w:rPr>
          <w:b/>
          <w:bCs/>
          <w:sz w:val="21"/>
          <w:szCs w:val="21"/>
        </w:rPr>
        <w:t xml:space="preserve">Your Staff Room (YSR)</w:t>
      </w:r>
      <w:r>
        <w:rPr>
          <w:sz w:val="21"/>
          <w:szCs w:val="21"/>
        </w:rPr>
        <w:t xml:space="preserve"> is a broad AI teacher-productivity suite for Australian K–12 educators: ~20 tools that generate documents (lesson plans, reports, behaviour plans, compliance paperwork) plus curated content banks. It is built by a single Australian teacher, runs on a lightweight static-site stack, and monetises at $12/mo individual or $2,500–7,500/yr per school.</w:t>
      </w:r>
    </w:p>
    <w:p>
      <w:pPr>
        <w:spacing w:after="160" w:line="300"/>
      </w:pPr>
      <w:r>
        <w:rPr>
          <w:b/>
          <w:bCs/>
          <w:sz w:val="21"/>
          <w:szCs w:val="21"/>
        </w:rPr>
        <w:t xml:space="preserve">QuizPulse</w:t>
      </w:r>
      <w:r>
        <w:rPr>
          <w:sz w:val="21"/>
          <w:szCs w:val="21"/>
        </w:rPr>
        <w:t xml:space="preserve"> is a deep single-loop product: push-first formative assessment — teacher sends a quiz as a real push notification, students answer with confidence ratings, teacher gets live misconception analytics.</w:t>
      </w:r>
    </w:p>
    <w:p>
      <w:pPr>
        <w:spacing w:after="160" w:line="300"/>
      </w:pPr>
      <w:r>
        <w:rPr>
          <w:b/>
          <w:bCs/>
          <w:sz w:val="21"/>
          <w:szCs w:val="21"/>
        </w:rPr>
        <w:t xml:space="preserve">They overlap on exactly one screen</w:t>
      </w:r>
      <w:r>
        <w:rPr>
          <w:sz w:val="21"/>
          <w:szCs w:val="21"/>
        </w:rPr>
        <w:t xml:space="preserve"> (YSR's thin </w:t>
      </w:r>
      <w:r>
        <w:rPr>
          <w:rFonts w:ascii="Consolas" w:cs="Consolas" w:eastAsia="Consolas" w:hAnsi="Consolas"/>
          <w:color w:val="9A3B2E"/>
          <w:sz w:val="20"/>
          <w:szCs w:val="20"/>
        </w:rPr>
        <w:t xml:space="preserve">student.html</w:t>
      </w:r>
      <w:r>
        <w:rPr>
          <w:sz w:val="21"/>
          <w:szCs w:val="21"/>
        </w:rPr>
        <w:t xml:space="preserve"> exit-ticket page), and even there the overlap is shallow. YSR is prospective (generates what a teacher </w:t>
      </w:r>
      <w:r>
        <w:rPr>
          <w:i/>
          <w:iCs/>
          <w:sz w:val="21"/>
          <w:szCs w:val="21"/>
        </w:rPr>
        <w:t xml:space="preserve">plans to do</w:t>
      </w:r>
      <w:r>
        <w:rPr>
          <w:sz w:val="21"/>
          <w:szCs w:val="21"/>
        </w:rPr>
        <w:t xml:space="preserve">); QuizPulse is retrospective (evidences what students </w:t>
      </w:r>
      <w:r>
        <w:rPr>
          <w:i/>
          <w:iCs/>
          <w:sz w:val="21"/>
          <w:szCs w:val="21"/>
        </w:rPr>
        <w:t xml:space="preserve">actually did</w:t>
      </w:r>
      <w:r>
        <w:rPr>
          <w:sz w:val="21"/>
          <w:szCs w:val="21"/>
        </w:rPr>
        <w:t xml:space="preserve">). The products are orthogonal, not head-to-head — but YSR validates several market assumptions QuizPulse depends on, and its pricing, compliance framing, and school-network warning are directly actionable intelligence.</w:t>
      </w:r>
    </w:p>
    <w:p>
      <w:pPr>
        <w:pBdr>
          <w:left w:val="single" w:color="B5482E" w:sz="24" w:space="8"/>
        </w:pBdr>
        <w:shd w:fill="FBEDE8" w:val="clear"/>
        <w:spacing w:after="200" w:line="300"/>
        <w:ind w:left="120"/>
      </w:pPr>
      <w:r>
        <w:rPr>
          <w:b/>
          <w:bCs/>
          <w:sz w:val="21"/>
          <w:szCs w:val="21"/>
        </w:rPr>
        <w:t xml:space="preserve">Verdict: </w:t>
      </w:r>
      <w:r>
        <w:rPr>
          <w:sz w:val="21"/>
          <w:szCs w:val="21"/>
        </w:rPr>
        <w:t xml:space="preserve">not a direct competitor today. It is (a) a pricing/positioning benchmark, (b) proof the compliance-evidence wedge sells, and (c) a warning about school firewalls — with one watch-item: their student loop could grow.</w:t>
      </w:r>
    </w:p>
    <w:p>
      <w:pPr>
        <w:pStyle w:val="Heading1"/>
        <w:pBdr>
          <w:bottom w:val="single" w:color="2D4A3E" w:sz="6" w:space="4"/>
        </w:pBdr>
        <w:spacing w:after="160" w:before="360"/>
      </w:pPr>
      <w:r>
        <w:rPr>
          <w:b/>
          <w:bCs/>
          <w:color w:val="1F3B57"/>
          <w:sz w:val="30"/>
          <w:szCs w:val="30"/>
        </w:rPr>
        <w:t xml:space="preserve">2. Site Inventory (Verified Live)</w:t>
      </w:r>
    </w:p>
    <w:p>
      <w:pPr>
        <w:spacing w:after="160" w:line="300"/>
      </w:pPr>
      <w:r>
        <w:rPr>
          <w:sz w:val="21"/>
          <w:szCs w:val="21"/>
        </w:rPr>
        <w:t xml:space="preserve">All pages returned HTTP 200. Page-weight figures are raw HTML size — the site is hand-authored static HTML with inline JS, one file per tool.</w:t>
      </w:r>
    </w:p>
    <w:p>
      <w:pPr>
        <w:pStyle w:val="Heading2"/>
        <w:spacing w:after="120" w:before="260"/>
      </w:pPr>
      <w:r>
        <w:rPr>
          <w:b/>
          <w:bCs/>
          <w:color w:val="2D4A3E"/>
          <w:sz w:val="24"/>
          <w:szCs w:val="24"/>
        </w:rPr>
        <w:t xml:space="preserve">Teacher AI generators (12)</w:t>
      </w:r>
    </w:p>
    <w:tbl>
      <w:tblPr>
        <w:tblW w:type="dxa" w:w="9300"/>
        <w:tblBorders>
          <w:top w:val="single" w:color="C9D3CF" w:sz="4"/>
          <w:left w:val="single" w:color="C9D3CF" w:sz="4"/>
          <w:bottom w:val="single" w:color="C9D3CF" w:sz="4"/>
          <w:right w:val="single" w:color="C9D3CF" w:sz="4"/>
          <w:insideH w:val="single" w:color="DCE3E0" w:sz="2"/>
          <w:insideV w:val="single" w:color="DCE3E0" w:sz="2"/>
        </w:tblBorders>
        <w:tblLayout w:type="fixed"/>
      </w:tblPr>
      <w:tblGrid>
        <w:gridCol w:w="2400"/>
        <w:gridCol w:w="6900"/>
      </w:tblGrid>
      <w:tr>
        <w:trPr>
          <w:tblHeader/>
        </w:trPr>
        <w:tc>
          <w:tcPr>
            <w:tcW w:type="dxa" w:w="2400"/>
            <w:shd w:fill="2D4A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900"/>
            <w:shd w:fill="2D4A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Lesson Builder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Flagship. 282 KB page. Streaming generation. Free 1/day no account</w:t>
            </w:r>
          </w:p>
        </w:tc>
      </w:tr>
      <w:tr>
        <w:tc>
          <w:tcPr>
            <w:tcW w:type="dxa" w:w="2400"/>
            <w:shd w:fill="EDF2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Term Planner</w:t>
            </w:r>
          </w:p>
        </w:tc>
        <w:tc>
          <w:tcPr>
            <w:tcW w:type="dxa" w:w="6900"/>
            <w:shd w:fill="EDF2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Full-term sequences, spaced retrieval baked in. 237 KB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Report Writer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3 comment options/student, K–12 all KLAs. 176 KB</w:t>
            </w:r>
          </w:p>
        </w:tc>
      </w:tr>
      <w:tr>
        <w:tc>
          <w:tcPr>
            <w:tcW w:type="dxa" w:w="2400"/>
            <w:shd w:fill="EDF2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Parent Communication</w:t>
            </w:r>
          </w:p>
        </w:tc>
        <w:tc>
          <w:tcPr>
            <w:tcW w:type="dxa" w:w="6900"/>
            <w:shd w:fill="EDF2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Concern / celebration / conference modes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Educator Wellbeing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Compassion-fatigue check-in (Figley, Stamm, Neff). Never stored</w:t>
            </w:r>
          </w:p>
        </w:tc>
      </w:tr>
      <w:tr>
        <w:tc>
          <w:tcPr>
            <w:tcW w:type="dxa" w:w="2400"/>
            <w:shd w:fill="EDF2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Learner Profile</w:t>
            </w:r>
          </w:p>
        </w:tc>
        <w:tc>
          <w:tcPr>
            <w:tcW w:type="dxa" w:w="6900"/>
            <w:shd w:fill="EDF2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OT + Speech Path + Ed Psych lens on a described student. 138 KB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Behaviour Support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PBS, Ross Greene CPS, polyvagal framing. 246 KB</w:t>
            </w:r>
          </w:p>
        </w:tc>
      </w:tr>
      <w:tr>
        <w:tc>
          <w:tcPr>
            <w:tcW w:type="dxa" w:w="2400"/>
            <w:shd w:fill="EDF2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Social Story Builder</w:t>
            </w:r>
          </w:p>
        </w:tc>
        <w:tc>
          <w:tcPr>
            <w:tcW w:type="dxa" w:w="6900"/>
            <w:shd w:fill="EDF2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Carol Gray framework, OT/SP implementation notes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ILP Builder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Individual Learning Plans</w:t>
            </w:r>
          </w:p>
        </w:tc>
      </w:tr>
      <w:tr>
        <w:tc>
          <w:tcPr>
            <w:tcW w:type="dxa" w:w="2400"/>
            <w:shd w:fill="EDF2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PLP Builder</w:t>
            </w:r>
          </w:p>
        </w:tc>
        <w:tc>
          <w:tcPr>
            <w:tcW w:type="dxa" w:w="6900"/>
            <w:shd w:fill="EDF2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Aboriginal &amp; Torres Strait Islander students; state frameworks (NSW mandatory, VIC Marrung etc.); AITSL 1.4/2.4/1.5 mapped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Assessment Creator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A–E rubric generation, links to class marking + Outcomes Tracker</w:t>
            </w:r>
          </w:p>
        </w:tc>
      </w:tr>
      <w:tr>
        <w:tc>
          <w:tcPr>
            <w:tcW w:type="dxa" w:w="2400"/>
            <w:shd w:fill="EDF2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PD Plan</w:t>
            </w:r>
          </w:p>
        </w:tc>
        <w:tc>
          <w:tcPr>
            <w:tcW w:type="dxa" w:w="6900"/>
            <w:shd w:fill="EDF2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Professional development planning</w:t>
            </w:r>
          </w:p>
        </w:tc>
      </w:tr>
    </w:tbl>
    <w:p>
      <w:pPr>
        <w:spacing w:after="160" w:line="300"/>
      </w:pPr>
      <w:r>
        <w:rPr>
          <w:sz w:val="21"/>
          <w:szCs w:val="21"/>
        </w:rPr>
        <w:t xml:space="preserve"/>
      </w:r>
    </w:p>
    <w:p>
      <w:pPr>
        <w:pStyle w:val="Heading2"/>
        <w:spacing w:after="120" w:before="260"/>
      </w:pPr>
      <w:r>
        <w:rPr>
          <w:b/>
          <w:bCs/>
          <w:color w:val="2D4A3E"/>
          <w:sz w:val="24"/>
          <w:szCs w:val="24"/>
        </w:rPr>
        <w:t xml:space="preserve">Records / tracking tools (4) — all Inner Sanctum-gated</w:t>
      </w:r>
    </w:p>
    <w:tbl>
      <w:tblPr>
        <w:tblW w:type="dxa" w:w="9300"/>
        <w:tblBorders>
          <w:top w:val="single" w:color="C9D3CF" w:sz="4"/>
          <w:left w:val="single" w:color="C9D3CF" w:sz="4"/>
          <w:bottom w:val="single" w:color="C9D3CF" w:sz="4"/>
          <w:right w:val="single" w:color="C9D3CF" w:sz="4"/>
          <w:insideH w:val="single" w:color="DCE3E0" w:sz="2"/>
          <w:insideV w:val="single" w:color="DCE3E0" w:sz="2"/>
        </w:tblBorders>
        <w:tblLayout w:type="fixed"/>
      </w:tblPr>
      <w:tblGrid>
        <w:gridCol w:w="2400"/>
        <w:gridCol w:w="6900"/>
      </w:tblGrid>
      <w:tr>
        <w:trPr>
          <w:tblHeader/>
        </w:trPr>
        <w:tc>
          <w:tcPr>
            <w:tcW w:type="dxa" w:w="2400"/>
            <w:shd w:fill="2D4A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900"/>
            <w:shd w:fill="2D4A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Outcomes Tracker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Per-student progress vs curriculum outcomes across term/year/stage. Pseudonym-only, enforced with a “this looks like a real name” validator</w:t>
            </w:r>
          </w:p>
        </w:tc>
      </w:tr>
      <w:tr>
        <w:tc>
          <w:tcPr>
            <w:tcW w:type="dxa" w:w="2400"/>
            <w:shd w:fill="EDF2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Differentiation View</w:t>
            </w:r>
          </w:p>
        </w:tc>
        <w:tc>
          <w:tcPr>
            <w:tcW w:type="dxa" w:w="6900"/>
            <w:shd w:fill="EDF2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Whole-class adjustment overview; reads from Tracker + Learner Profile + Behaviour + ILP + NCCD records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Student Hub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Per-student aggregation of every artefact; NCCD adjustment logging (8 domains); cascade delete</w:t>
            </w:r>
          </w:p>
        </w:tc>
      </w:tr>
      <w:tr>
        <w:tc>
          <w:tcPr>
            <w:tcW w:type="dxa" w:w="2400"/>
            <w:shd w:fill="EDF2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Timetable Builder</w:t>
            </w:r>
          </w:p>
        </w:tc>
        <w:tc>
          <w:tcPr>
            <w:tcW w:type="dxa" w:w="6900"/>
            <w:shd w:fill="EDF2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Auto-slots Phonics/Handwriting/Grammar into open time</w:t>
            </w:r>
          </w:p>
        </w:tc>
      </w:tr>
    </w:tbl>
    <w:p>
      <w:pPr>
        <w:spacing w:after="160" w:line="300"/>
      </w:pPr>
      <w:r>
        <w:rPr>
          <w:sz w:val="21"/>
          <w:szCs w:val="21"/>
        </w:rPr>
        <w:t xml:space="preserve"/>
      </w:r>
    </w:p>
    <w:p>
      <w:pPr>
        <w:pStyle w:val="Heading2"/>
        <w:spacing w:after="120" w:before="260"/>
      </w:pPr>
      <w:r>
        <w:rPr>
          <w:b/>
          <w:bCs/>
          <w:color w:val="2D4A3E"/>
          <w:sz w:val="24"/>
          <w:szCs w:val="24"/>
        </w:rPr>
        <w:t xml:space="preserve">Content banks (10) — static curriculum content, not AI</w:t>
      </w:r>
    </w:p>
    <w:p>
      <w:pPr>
        <w:spacing w:after="160" w:line="300"/>
      </w:pPr>
      <w:r>
        <w:rPr>
          <w:sz w:val="21"/>
          <w:szCs w:val="21"/>
        </w:rPr>
        <w:t xml:space="preserve">Phonics Hub (K–2 SATPIN systematic synthetic phonics, Australian-accent articulation guides, schwa handling, placement assessment), Handwriting “Daily 10” program, Number Sense Ten, Primary Numeracy Masterclasses, Secondary Numeracy Masterclasses, Secondary Numeracy Warm-Up Bank, Grammar Lesson Bank, Grammar Games Bank, Sentence Workshop, Science Lesson Bank.</w:t>
      </w:r>
    </w:p>
    <w:p>
      <w:pPr>
        <w:pStyle w:val="Heading2"/>
        <w:spacing w:after="120" w:before="260"/>
      </w:pPr>
      <w:r>
        <w:rPr>
          <w:b/>
          <w:bCs/>
          <w:color w:val="2D4A3E"/>
          <w:sz w:val="24"/>
          <w:szCs w:val="24"/>
        </w:rPr>
        <w:t xml:space="preserve">Hubs &amp; support pages</w:t>
      </w:r>
    </w:p>
    <w:p>
      <w:pPr>
        <w:spacing w:after="160" w:line="300"/>
      </w:pPr>
      <w:r>
        <w:rPr>
          <w:sz w:val="21"/>
          <w:szCs w:val="21"/>
        </w:rPr>
        <w:t xml:space="preserve">Research Hub (294 KB — curated research summaries, digests by topic/year level, feeds the Lesson Builder), NCCD Hub (adjustment levels/categories explained + L&amp;S Access Request Builder, Exam Provisions Builder, Support Needs Case Builder), Blog, Pricing, About, Privacy, Terms, Feedback, My Account.</w:t>
      </w:r>
    </w:p>
    <w:p>
      <w:pPr>
        <w:pStyle w:val="Heading2"/>
        <w:spacing w:after="120" w:before="260"/>
      </w:pPr>
      <w:r>
        <w:rPr>
          <w:b/>
          <w:bCs/>
          <w:color w:val="2D4A3E"/>
          <w:sz w:val="24"/>
          <w:szCs w:val="24"/>
        </w:rPr>
        <w:t xml:space="preserve">Unlinked-from-nav pages (found by probing)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onsolas" w:cs="Consolas" w:eastAsia="Consolas" w:hAnsi="Consolas"/>
          <w:color w:val="9A3B2E"/>
          <w:sz w:val="20"/>
          <w:szCs w:val="20"/>
        </w:rPr>
        <w:t xml:space="preserve">student.html</w:t>
      </w:r>
      <w:r>
        <w:rPr>
          <w:sz w:val="21"/>
          <w:szCs w:val="21"/>
        </w:rPr>
        <w:t xml:space="preserve"> — the student-facing page (see §6)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onsolas" w:cs="Consolas" w:eastAsia="Consolas" w:hAnsi="Consolas"/>
          <w:color w:val="9A3B2E"/>
          <w:sz w:val="20"/>
          <w:szCs w:val="20"/>
        </w:rPr>
        <w:t xml:space="preserve">student-hub.html</w:t>
      </w:r>
      <w:r>
        <w:rPr>
          <w:sz w:val="21"/>
          <w:szCs w:val="21"/>
        </w:rPr>
        <w:t xml:space="preserve"> — teacher-facing per-student records (Inner Sanctum)</w:t>
      </w:r>
    </w:p>
    <w:p>
      <w:pPr>
        <w:pStyle w:val="Heading1"/>
        <w:pBdr>
          <w:bottom w:val="single" w:color="2D4A3E" w:sz="6" w:space="4"/>
        </w:pBdr>
        <w:spacing w:after="160" w:before="360"/>
      </w:pPr>
      <w:r>
        <w:rPr>
          <w:b/>
          <w:bCs/>
          <w:color w:val="1F3B57"/>
          <w:sz w:val="30"/>
          <w:szCs w:val="30"/>
        </w:rPr>
        <w:t xml:space="preserve">3. Tech Stack &amp; Architecture</w:t>
      </w:r>
    </w:p>
    <w:tbl>
      <w:tblPr>
        <w:tblW w:type="dxa" w:w="9300"/>
        <w:tblBorders>
          <w:top w:val="single" w:color="C9D3CF" w:sz="4"/>
          <w:left w:val="single" w:color="C9D3CF" w:sz="4"/>
          <w:bottom w:val="single" w:color="C9D3CF" w:sz="4"/>
          <w:right w:val="single" w:color="C9D3CF" w:sz="4"/>
          <w:insideH w:val="single" w:color="DCE3E0" w:sz="2"/>
          <w:insideV w:val="single" w:color="DCE3E0" w:sz="2"/>
        </w:tblBorders>
        <w:tblLayout w:type="fixed"/>
      </w:tblPr>
      <w:tblGrid>
        <w:gridCol w:w="1700"/>
        <w:gridCol w:w="3800"/>
        <w:gridCol w:w="3800"/>
      </w:tblGrid>
      <w:tr>
        <w:trPr>
          <w:tblHeader/>
        </w:trPr>
        <w:tc>
          <w:tcPr>
            <w:tcW w:type="dxa" w:w="1700"/>
            <w:shd w:fill="2D4A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800"/>
            <w:shd w:fill="2D4A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YSR</w:t>
            </w:r>
          </w:p>
        </w:tc>
        <w:tc>
          <w:tcPr>
            <w:tcW w:type="dxa" w:w="3800"/>
            <w:shd w:fill="2D4A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QuizPulse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Frontend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Hand-authored static HTML, inline JS/CSS, one file per tool (up to 282 KB)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React + Vite SPA</w:t>
            </w:r>
          </w:p>
        </w:tc>
      </w:tr>
      <w:tr>
        <w:tc>
          <w:tcPr>
            <w:tcW w:type="dxa" w:w="1700"/>
            <w:shd w:fill="EDF2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Hosting</w:t>
            </w:r>
          </w:p>
        </w:tc>
        <w:tc>
          <w:tcPr>
            <w:tcW w:type="dxa" w:w="3800"/>
            <w:shd w:fill="EDF2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Netlify</w:t>
            </w:r>
          </w:p>
        </w:tc>
        <w:tc>
          <w:tcPr>
            <w:tcW w:type="dxa" w:w="3800"/>
            <w:shd w:fill="EDF2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Azure Static Web Apps (Standard, linked backend)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Backend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Netlify Functions (generate-lesson, generate-lesson-stream, class-dashboard, class-join, save-session)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Azure Functions v4 (Node 22), ~50 endpoints</w:t>
            </w:r>
          </w:p>
        </w:tc>
      </w:tr>
      <w:tr>
        <w:tc>
          <w:tcPr>
            <w:tcW w:type="dxa" w:w="1700"/>
            <w:shd w:fill="EDF2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Database</w:t>
            </w:r>
          </w:p>
        </w:tc>
        <w:tc>
          <w:tcPr>
            <w:tcW w:type="dxa" w:w="3800"/>
            <w:shd w:fill="EDF2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None visible for free tier; member data lives in Memberstack member JSON (students[], savedItems{} observed on the member object)</w:t>
            </w:r>
          </w:p>
        </w:tc>
        <w:tc>
          <w:tcPr>
            <w:tcW w:type="dxa" w:w="3800"/>
            <w:shd w:fill="EDF2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Cosmos DB (11+ containers, partition-key design, TTLs)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Auth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Memberstack (email/password + Google)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Entra External ID CIAM (Microsoft, +Apple planned)</w:t>
            </w:r>
          </w:p>
        </w:tc>
      </w:tr>
      <w:tr>
        <w:tc>
          <w:tcPr>
            <w:tcW w:type="dxa" w:w="1700"/>
            <w:shd w:fill="EDF2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Payments</w:t>
            </w:r>
          </w:p>
        </w:tc>
        <w:tc>
          <w:tcPr>
            <w:tcW w:type="dxa" w:w="3800"/>
            <w:shd w:fill="EDF2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Stripe (via Memberstack)</w:t>
            </w:r>
          </w:p>
        </w:tc>
        <w:tc>
          <w:tcPr>
            <w:tcW w:type="dxa" w:w="3800"/>
            <w:shd w:fill="EDF2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Not yet monetised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LLM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Anthropic Claude (named in privacy policy and page source)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Mock provider placeholder (v4.3.0); adapter ready for Azure OpenAI / Anthropic</w:t>
            </w:r>
          </w:p>
        </w:tc>
      </w:tr>
      <w:tr>
        <w:tc>
          <w:tcPr>
            <w:tcW w:type="dxa" w:w="1700"/>
            <w:shd w:fill="EDF2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Analytics</w:t>
            </w:r>
          </w:p>
        </w:tc>
        <w:tc>
          <w:tcPr>
            <w:tcW w:type="dxa" w:w="3800"/>
            <w:shd w:fill="EDF2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GA4 + Plausible + Netlify RUM</w:t>
            </w:r>
          </w:p>
        </w:tc>
        <w:tc>
          <w:tcPr>
            <w:tcW w:type="dxa" w:w="3800"/>
            <w:shd w:fill="EDF2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Self-built traffic monitor (v4.4.0) — no third-party trackers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PWA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manifest.json + sw.js (3.3 KB): network-first HTML, cache-first assets, background sync. No push/notificationclick handlers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Full PWA: Web Push + VAPID, notificationclick deep-link, Background Sync offline response queue, install tracking</w:t>
            </w:r>
          </w:p>
        </w:tc>
      </w:tr>
      <w:tr>
        <w:tc>
          <w:tcPr>
            <w:tcW w:type="dxa" w:w="1700"/>
            <w:shd w:fill="EDF2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Security posture</w:t>
            </w:r>
          </w:p>
        </w:tc>
        <w:tc>
          <w:tcPr>
            <w:tcW w:type="dxa" w:w="3800"/>
            <w:shd w:fill="EDF2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Client-heavy; paid gating enforced (Inner Sanctum tools blocked server-side even when logged in)</w:t>
            </w:r>
          </w:p>
        </w:tc>
        <w:tc>
          <w:tcPr>
            <w:tcW w:type="dxa" w:w="3800"/>
            <w:shd w:fill="EDF2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Server-side authz throughout (assertScope/requireRole, 404-on-mismatch, audit log, step-up re-auth)</w:t>
            </w:r>
          </w:p>
        </w:tc>
      </w:tr>
    </w:tbl>
    <w:p>
      <w:pPr>
        <w:spacing w:after="160" w:line="300"/>
      </w:pPr>
      <w:r>
        <w:rPr>
          <w:sz w:val="21"/>
          <w:szCs w:val="21"/>
        </w:rPr>
        <w:t xml:space="preserve"/>
      </w:r>
    </w:p>
    <w:p>
      <w:pPr>
        <w:spacing w:after="160" w:line="300"/>
      </w:pPr>
      <w:r>
        <w:rPr>
          <w:b/>
          <w:bCs/>
          <w:sz w:val="21"/>
          <w:szCs w:val="21"/>
        </w:rPr>
        <w:t xml:space="preserve">Architecture read: </w:t>
      </w:r>
      <w:r>
        <w:rPr>
          <w:sz w:val="21"/>
          <w:szCs w:val="21"/>
        </w:rPr>
        <w:t xml:space="preserve">YSR is optimised for one-person shipping velocity — no build step, no framework, paste-a-page-per-tool. It works, but state lives in Memberstack JSON rather than a real database, which caps how far the records/tracking tools can scale (cross-student queries, aggregation, multi-device consistency). QuizPulse is heavier but built for a data loop YSR structurally cannot do without re-platforming.</w:t>
      </w:r>
    </w:p>
    <w:p>
      <w:pPr>
        <w:pStyle w:val="Heading1"/>
        <w:pBdr>
          <w:bottom w:val="single" w:color="2D4A3E" w:sz="6" w:space="4"/>
        </w:pBdr>
        <w:spacing w:after="160" w:before="360"/>
      </w:pPr>
      <w:r>
        <w:rPr>
          <w:b/>
          <w:bCs/>
          <w:color w:val="1F3B57"/>
          <w:sz w:val="30"/>
          <w:szCs w:val="30"/>
        </w:rPr>
        <w:t xml:space="preserve">4. Business Model &amp; Pricing</w:t>
      </w:r>
    </w:p>
    <w:p>
      <w:pPr>
        <w:pStyle w:val="Heading2"/>
        <w:spacing w:after="120" w:before="260"/>
      </w:pPr>
      <w:r>
        <w:rPr>
          <w:b/>
          <w:bCs/>
          <w:color w:val="2D4A3E"/>
          <w:sz w:val="24"/>
          <w:szCs w:val="24"/>
        </w:rPr>
        <w:t xml:space="preserve">YSR tiers</w:t>
      </w:r>
    </w:p>
    <w:tbl>
      <w:tblPr>
        <w:tblW w:type="dxa" w:w="9300"/>
        <w:tblBorders>
          <w:top w:val="single" w:color="C9D3CF" w:sz="4"/>
          <w:left w:val="single" w:color="C9D3CF" w:sz="4"/>
          <w:bottom w:val="single" w:color="C9D3CF" w:sz="4"/>
          <w:right w:val="single" w:color="C9D3CF" w:sz="4"/>
          <w:insideH w:val="single" w:color="DCE3E0" w:sz="2"/>
          <w:insideV w:val="single" w:color="DCE3E0" w:sz="2"/>
        </w:tblBorders>
        <w:tblLayout w:type="fixed"/>
      </w:tblPr>
      <w:tblGrid>
        <w:gridCol w:w="2600"/>
        <w:gridCol w:w="2200"/>
        <w:gridCol w:w="4500"/>
      </w:tblGrid>
      <w:tr>
        <w:trPr>
          <w:tblHeader/>
        </w:trPr>
        <w:tc>
          <w:tcPr>
            <w:tcW w:type="dxa" w:w="2600"/>
            <w:shd w:fill="2D4A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200"/>
            <w:shd w:fill="2D4A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4500"/>
            <w:shd w:fill="2D4A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you get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No account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Free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Lesson Builder 1/day, Report Writer 1/day, Research Hub 10/day</w:t>
            </w:r>
          </w:p>
        </w:tc>
      </w:tr>
      <w:tr>
        <w:tc>
          <w:tcPr>
            <w:tcW w:type="dxa" w:w="2600"/>
            <w:shd w:fill="EDF2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Free account</w:t>
            </w:r>
          </w:p>
        </w:tc>
        <w:tc>
          <w:tcPr>
            <w:tcW w:type="dxa" w:w="2200"/>
            <w:shd w:fill="EDF2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Free</w:t>
            </w:r>
          </w:p>
        </w:tc>
        <w:tc>
          <w:tcPr>
            <w:tcW w:type="dxa" w:w="4500"/>
            <w:shd w:fill="EDF2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2/day on core tools; 1 lifetime free generation each on Term Planner / Learner Profile / Behaviour Support / Social Story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Inner Sanctum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$12/mo or $99/yr AUD inc GST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Unlimited generations, saved searchable history, amendment/version history, year-long outcome map, report-comment dedup records, Word/PDF/spreadsheet export, monthly research digest</w:t>
            </w:r>
          </w:p>
        </w:tc>
      </w:tr>
      <w:tr>
        <w:tc>
          <w:tcPr>
            <w:tcW w:type="dxa" w:w="2600"/>
            <w:shd w:fill="EDF2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School — Small (≤20 teachers)</w:t>
            </w:r>
          </w:p>
        </w:tc>
        <w:tc>
          <w:tcPr>
            <w:tcW w:type="dxa" w:w="2200"/>
            <w:shd w:fill="EDF2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$2,500/yr</w:t>
            </w:r>
          </w:p>
        </w:tc>
        <w:tc>
          <w:tcPr>
            <w:tcW w:type="dxa" w:w="4500"/>
            <w:shd w:fill="EDF2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Everything, all staff, single invoice, 1-hr onboarding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School — Medium (21–50)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$4,500/yr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”</w:t>
            </w:r>
          </w:p>
        </w:tc>
      </w:tr>
      <w:tr>
        <w:tc>
          <w:tcPr>
            <w:tcW w:type="dxa" w:w="2600"/>
            <w:shd w:fill="EDF2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School — Large (51+)</w:t>
            </w:r>
          </w:p>
        </w:tc>
        <w:tc>
          <w:tcPr>
            <w:tcW w:type="dxa" w:w="2200"/>
            <w:shd w:fill="EDF2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$7,500/yr</w:t>
            </w:r>
          </w:p>
        </w:tc>
        <w:tc>
          <w:tcPr>
            <w:tcW w:type="dxa" w:w="4500"/>
            <w:shd w:fill="EDF2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”</w:t>
            </w:r>
          </w:p>
        </w:tc>
      </w:tr>
    </w:tbl>
    <w:p>
      <w:pPr>
        <w:spacing w:after="160" w:line="300"/>
      </w:pPr>
      <w:r>
        <w:rPr>
          <w:sz w:val="21"/>
          <w:szCs w:val="21"/>
        </w:rPr>
        <w:t xml:space="preserve"/>
      </w:r>
    </w:p>
    <w:p>
      <w:pPr>
        <w:pStyle w:val="Heading2"/>
        <w:spacing w:after="120" w:before="260"/>
      </w:pPr>
      <w:r>
        <w:rPr>
          <w:b/>
          <w:bCs/>
          <w:color w:val="2D4A3E"/>
          <w:sz w:val="24"/>
          <w:szCs w:val="24"/>
        </w:rPr>
        <w:t xml:space="preserve">Monetisation mechanics worth noting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sz w:val="21"/>
          <w:szCs w:val="21"/>
        </w:rPr>
        <w:t xml:space="preserve">Scarcity framing: </w:t>
      </w:r>
      <w:r>
        <w:rPr>
          <w:sz w:val="21"/>
          <w:szCs w:val="21"/>
        </w:rPr>
        <w:t xml:space="preserve">“$12 foundation rate for the next 10 members, then $15 — locked for life.” Classic early-stage urgency lever.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sz w:val="21"/>
          <w:szCs w:val="21"/>
        </w:rPr>
        <w:t xml:space="preserve">The retention hook is data, not features: </w:t>
      </w:r>
      <w:r>
        <w:rPr>
          <w:sz w:val="21"/>
          <w:szCs w:val="21"/>
        </w:rPr>
        <w:t xml:space="preserve">“Without Inner Sanctum, everything you build is gone when you close the tab.” Free tier is deliberately session-only; </w:t>
      </w:r>
      <w:r>
        <w:rPr>
          <w:i/>
          <w:iCs/>
          <w:sz w:val="21"/>
          <w:szCs w:val="21"/>
        </w:rPr>
        <w:t xml:space="preserve">memory</w:t>
      </w:r>
      <w:r>
        <w:rPr>
          <w:sz w:val="21"/>
          <w:szCs w:val="21"/>
        </w:rPr>
        <w:t xml:space="preserve"> is the paid product. Elegant — the AI generation itself is nearly free to give away, the saved history is the moat.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sz w:val="21"/>
          <w:szCs w:val="21"/>
        </w:rPr>
        <w:t xml:space="preserve">School plan framing: </w:t>
      </w:r>
      <w:r>
        <w:rPr>
          <w:sz w:val="21"/>
          <w:szCs w:val="21"/>
        </w:rPr>
        <w:t xml:space="preserve">“less than a single professional development day for a year of support.” Anchors against PD budgets, not software budgets. Directly reusable for QuizPulse.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sz w:val="21"/>
          <w:szCs w:val="21"/>
        </w:rPr>
        <w:t xml:space="preserve">Per-tool daily caps</w:t>
      </w:r>
      <w:r>
        <w:rPr>
          <w:sz w:val="21"/>
          <w:szCs w:val="21"/>
        </w:rPr>
        <w:t xml:space="preserve"> published transparently in a table — builds trust, bounds LLM cost.</w:t>
      </w:r>
    </w:p>
    <w:p>
      <w:pPr>
        <w:pStyle w:val="Heading2"/>
        <w:spacing w:after="120" w:before="260"/>
      </w:pPr>
      <w:r>
        <w:rPr>
          <w:b/>
          <w:bCs/>
          <w:color w:val="2D4A3E"/>
          <w:sz w:val="24"/>
          <w:szCs w:val="24"/>
        </w:rPr>
        <w:t xml:space="preserve">Traction (public counters, since 2 May 2026 — ~3 months)</w:t>
      </w:r>
    </w:p>
    <w:p>
      <w:pPr>
        <w:spacing w:after="160" w:line="300"/>
      </w:pPr>
      <w:r>
        <w:rPr>
          <w:sz w:val="21"/>
          <w:szCs w:val="21"/>
        </w:rPr>
        <w:t xml:space="preserve">361 lesson plans, 105 behaviour plans, 656 total documents, “+39 this week,” 422 hours saved (self-estimated). That is roughly a few dozen active users. Real but very early — comparable stage to QuizPulse pre-pilot. The public counters themselves are a growth tactic (social proof from day one, “anonymous counters” framing).</w:t>
      </w:r>
    </w:p>
    <w:p>
      <w:pPr>
        <w:pStyle w:val="Heading1"/>
        <w:pBdr>
          <w:bottom w:val="single" w:color="2D4A3E" w:sz="6" w:space="4"/>
        </w:pBdr>
        <w:spacing w:after="160" w:before="360"/>
      </w:pPr>
      <w:r>
        <w:rPr>
          <w:b/>
          <w:bCs/>
          <w:color w:val="1F3B57"/>
          <w:sz w:val="30"/>
          <w:szCs w:val="30"/>
        </w:rPr>
        <w:t xml:space="preserve">5. Design &amp; Positioning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sz w:val="21"/>
          <w:szCs w:val="21"/>
        </w:rPr>
        <w:t xml:space="preserve">Voice: </w:t>
      </w:r>
      <w:r>
        <w:rPr>
          <w:sz w:val="21"/>
          <w:szCs w:val="21"/>
        </w:rPr>
        <w:t xml:space="preserve">warm, teacher-to-teacher, explicitly anti-corporate. “Built by a teacher.” “Not bubble-bath advice.” “No AI-sound.” Emoji as iconography. Values page (“Three pillars”) leads with trauma-informed practice and educator wellbeing before any feature.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sz w:val="21"/>
          <w:szCs w:val="21"/>
        </w:rPr>
        <w:t xml:space="preserve">Positioning pillars: </w:t>
      </w:r>
      <w:r>
        <w:rPr>
          <w:sz w:val="21"/>
          <w:szCs w:val="21"/>
        </w:rPr>
        <w:t xml:space="preserve">(1) evidence-based/research-backed — every tool cites researchers by name (Rosenshine, Ross Greene, Porges, Perry, Bomber, Carol Gray, Figley, Stamm, Neff); (2) trauma-informed + neurodiversity-affirming — ~15 named ND profiles as first-class inputs; (3) Australian-first — all 8 states/territories, AC v9, AITSL, NCCD, “not an American or British program retrofitted.”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sz w:val="21"/>
          <w:szCs w:val="21"/>
        </w:rPr>
        <w:t xml:space="preserve">Trust posture: </w:t>
      </w:r>
      <w:r>
        <w:rPr>
          <w:sz w:val="21"/>
          <w:szCs w:val="21"/>
        </w:rPr>
        <w:t xml:space="preserve">aggressive pseudonym-only enforcement (real-name detector on student records), “never stored, never shared” on wellbeing tool, “never used to train AI models,” privacy notices per tool. They understand teacher/child-data anxiety and design for it loudly.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sz w:val="21"/>
          <w:szCs w:val="21"/>
        </w:rPr>
        <w:t xml:space="preserve">Emotional hooks: </w:t>
      </w:r>
      <w:r>
        <w:rPr>
          <w:sz w:val="21"/>
          <w:szCs w:val="21"/>
        </w:rPr>
        <w:t xml:space="preserve">daily educator mood check-in on the homepage; the Lesson Builder even takes the </w:t>
      </w:r>
      <w:r>
        <w:rPr>
          <w:i/>
          <w:iCs/>
          <w:sz w:val="21"/>
          <w:szCs w:val="21"/>
        </w:rPr>
        <w:t xml:space="preserve">teacher's</w:t>
      </w:r>
      <w:r>
        <w:rPr>
          <w:sz w:val="21"/>
          <w:szCs w:val="21"/>
        </w:rPr>
        <w:t xml:space="preserve"> current mood as a generation input. Distinctive and on-brand.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sz w:val="21"/>
          <w:szCs w:val="21"/>
        </w:rPr>
        <w:t xml:space="preserve">Weaknesses observed: </w:t>
      </w:r>
      <w:r>
        <w:rPr>
          <w:sz w:val="21"/>
          <w:szCs w:val="21"/>
        </w:rPr>
        <w:t xml:space="preserve">navigation is an overloaded flat list of ~25 links; page weights are huge (282 KB HTML); a dismissible banner admits DET/school firewalls block parts of the site (“try mobile data or home Wi-Fi”); design is template-ish in places; testimonials are unverifiable first-name-only.</w:t>
      </w:r>
    </w:p>
    <w:p>
      <w:pPr>
        <w:pStyle w:val="Heading1"/>
        <w:pBdr>
          <w:bottom w:val="single" w:color="2D4A3E" w:sz="6" w:space="4"/>
        </w:pBdr>
        <w:spacing w:after="160" w:before="360"/>
      </w:pPr>
      <w:r>
        <w:rPr>
          <w:b/>
          <w:bCs/>
          <w:color w:val="1F3B57"/>
          <w:sz w:val="30"/>
          <w:szCs w:val="30"/>
        </w:rPr>
        <w:t xml:space="preserve">6. The Student Loop — YSR's Only Overlap with QuizPulse</w:t>
      </w:r>
    </w:p>
    <w:p>
      <w:pPr>
        <w:spacing w:after="160" w:line="300"/>
      </w:pPr>
      <w:r>
        <w:rPr>
          <w:sz w:val="21"/>
          <w:szCs w:val="21"/>
        </w:rPr>
        <w:t xml:space="preserve">Verified from </w:t>
      </w:r>
      <w:r>
        <w:rPr>
          <w:rFonts w:ascii="Consolas" w:cs="Consolas" w:eastAsia="Consolas" w:hAnsi="Consolas"/>
          <w:color w:val="9A3B2E"/>
          <w:sz w:val="20"/>
          <w:szCs w:val="20"/>
        </w:rPr>
        <w:t xml:space="preserve">student.html</w:t>
      </w:r>
      <w:r>
        <w:rPr>
          <w:sz w:val="21"/>
          <w:szCs w:val="21"/>
        </w:rPr>
        <w:t xml:space="preserve"> + </w:t>
      </w:r>
      <w:r>
        <w:rPr>
          <w:rFonts w:ascii="Consolas" w:cs="Consolas" w:eastAsia="Consolas" w:hAnsi="Consolas"/>
          <w:color w:val="9A3B2E"/>
          <w:sz w:val="20"/>
          <w:szCs w:val="20"/>
        </w:rPr>
        <w:t xml:space="preserve">lesson-builder.html</w:t>
      </w:r>
      <w:r>
        <w:rPr>
          <w:sz w:val="21"/>
          <w:szCs w:val="21"/>
        </w:rPr>
        <w:t xml:space="preserve"> source: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sz w:val="21"/>
          <w:szCs w:val="21"/>
        </w:rPr>
        <w:t xml:space="preserve">Teacher picks a class in Lesson Builder → gets a share URL: </w:t>
      </w:r>
      <w:r>
        <w:rPr>
          <w:rFonts w:ascii="Consolas" w:cs="Consolas" w:eastAsia="Consolas" w:hAnsi="Consolas"/>
          <w:color w:val="9A3B2E"/>
          <w:sz w:val="20"/>
          <w:szCs w:val="20"/>
        </w:rPr>
        <w:t xml:space="preserve">student.html?class=CODE#&lt;compressed-lesson-payload&gt;</w:t>
      </w:r>
      <w:r>
        <w:rPr>
          <w:sz w:val="21"/>
          <w:szCs w:val="21"/>
        </w:rPr>
        <w:t xml:space="preserve"> (+ QR code). The lesson content rides in the URL fragment, not a database.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sz w:val="21"/>
          <w:szCs w:val="21"/>
        </w:rPr>
        <w:t xml:space="preserve">Student opens link, enters class code + nickname → </w:t>
      </w:r>
      <w:r>
        <w:rPr>
          <w:rFonts w:ascii="Consolas" w:cs="Consolas" w:eastAsia="Consolas" w:hAnsi="Consolas"/>
          <w:color w:val="9A3B2E"/>
          <w:sz w:val="20"/>
          <w:szCs w:val="20"/>
        </w:rPr>
        <w:t xml:space="preserve">/.netlify/functions/class-join</w:t>
      </w:r>
      <w:r>
        <w:rPr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sz w:val="21"/>
          <w:szCs w:val="21"/>
        </w:rPr>
        <w:t xml:space="preserve">Student reads the lesson; answers one free-text exit-ticket box (</w:t>
      </w:r>
      <w:r>
        <w:rPr>
          <w:rFonts w:ascii="Consolas" w:cs="Consolas" w:eastAsia="Consolas" w:hAnsi="Consolas"/>
          <w:color w:val="9A3B2E"/>
          <w:sz w:val="20"/>
          <w:szCs w:val="20"/>
        </w:rPr>
        <w:t xml:space="preserve">etAnswer</w:t>
      </w:r>
      <w:r>
        <w:rPr>
          <w:sz w:val="21"/>
          <w:szCs w:val="21"/>
        </w:rPr>
        <w:t xml:space="preserve">) → </w:t>
      </w:r>
      <w:r>
        <w:rPr>
          <w:rFonts w:ascii="Consolas" w:cs="Consolas" w:eastAsia="Consolas" w:hAnsi="Consolas"/>
          <w:color w:val="9A3B2E"/>
          <w:sz w:val="20"/>
          <w:szCs w:val="20"/>
        </w:rPr>
        <w:t xml:space="preserve">save-session</w:t>
      </w:r>
      <w:r>
        <w:rPr>
          <w:sz w:val="21"/>
          <w:szCs w:val="21"/>
        </w:rPr>
        <w:t xml:space="preserve">. Progress save is code+nickname based, localStorage-backed.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sz w:val="21"/>
          <w:szCs w:val="21"/>
        </w:rPr>
        <w:t xml:space="preserve">Teacher reads responses via </w:t>
      </w:r>
      <w:r>
        <w:rPr>
          <w:rFonts w:ascii="Consolas" w:cs="Consolas" w:eastAsia="Consolas" w:hAnsi="Consolas"/>
          <w:color w:val="9A3B2E"/>
          <w:sz w:val="20"/>
          <w:szCs w:val="20"/>
        </w:rPr>
        <w:t xml:space="preserve">class-dashboard?teacherId=</w:t>
      </w:r>
      <w:r>
        <w:rPr>
          <w:sz w:val="21"/>
          <w:szCs w:val="21"/>
        </w:rPr>
        <w:t xml:space="preserve">.</w:t>
      </w:r>
    </w:p>
    <w:p>
      <w:pPr>
        <w:spacing w:after="160" w:line="300"/>
      </w:pPr>
      <w:r>
        <w:rPr>
          <w:b/>
          <w:bCs/>
          <w:sz w:val="21"/>
          <w:szCs w:val="21"/>
        </w:rPr>
        <w:t xml:space="preserve">What it does NOT have: </w:t>
      </w:r>
      <w:r>
        <w:rPr>
          <w:sz w:val="21"/>
          <w:szCs w:val="21"/>
        </w:rPr>
        <w:t xml:space="preserve">push notifications (no push handler in the service worker at all), multiple choice, per-question anything, confidence capture, response timing, misconception aggregation, correctness analytics, CSV export, offline queue, duplicate-submission gating, approval/roster model. There is no student identity beyond a self-typed nickname per session.</w:t>
      </w:r>
    </w:p>
    <w:p>
      <w:pPr>
        <w:pStyle w:val="Heading2"/>
        <w:spacing w:after="120" w:before="260"/>
      </w:pPr>
      <w:r>
        <w:rPr>
          <w:b/>
          <w:bCs/>
          <w:color w:val="2D4A3E"/>
          <w:sz w:val="24"/>
          <w:szCs w:val="24"/>
        </w:rPr>
        <w:t xml:space="preserve">Feature-level comparison of the loop</w:t>
      </w:r>
    </w:p>
    <w:tbl>
      <w:tblPr>
        <w:tblW w:type="dxa" w:w="9300"/>
        <w:tblBorders>
          <w:top w:val="single" w:color="C9D3CF" w:sz="4"/>
          <w:left w:val="single" w:color="C9D3CF" w:sz="4"/>
          <w:bottom w:val="single" w:color="C9D3CF" w:sz="4"/>
          <w:right w:val="single" w:color="C9D3CF" w:sz="4"/>
          <w:insideH w:val="single" w:color="DCE3E0" w:sz="2"/>
          <w:insideV w:val="single" w:color="DCE3E0" w:sz="2"/>
        </w:tblBorders>
        <w:tblLayout w:type="fixed"/>
      </w:tblPr>
      <w:tblGrid>
        <w:gridCol w:w="2000"/>
        <w:gridCol w:w="3500"/>
        <w:gridCol w:w="3800"/>
      </w:tblGrid>
      <w:tr>
        <w:trPr>
          <w:tblHeader/>
        </w:trPr>
        <w:tc>
          <w:tcPr>
            <w:tcW w:type="dxa" w:w="2000"/>
            <w:shd w:fill="2D4A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3500"/>
            <w:shd w:fill="2D4A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YSR</w:t>
            </w:r>
          </w:p>
        </w:tc>
        <w:tc>
          <w:tcPr>
            <w:tcW w:type="dxa" w:w="3800"/>
            <w:shd w:fill="2D4A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QuizPulse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Delivery to students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Link/QR the teacher distributes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Real Web Push notification, no link sharing</w:t>
            </w:r>
          </w:p>
        </w:tc>
      </w:tr>
      <w:tr>
        <w:tc>
          <w:tcPr>
            <w:tcW w:type="dxa" w:w="2000"/>
            <w:shd w:fill="EDF2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Student join model</w:t>
            </w:r>
          </w:p>
        </w:tc>
        <w:tc>
          <w:tcPr>
            <w:tcW w:type="dxa" w:w="3500"/>
            <w:shd w:fill="EDF2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Class code + self-typed nickname, no approval</w:t>
            </w:r>
          </w:p>
        </w:tc>
        <w:tc>
          <w:tcPr>
            <w:tcW w:type="dxa" w:w="3800"/>
            <w:shd w:fill="EDF2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Join request → teacher approval, fuzzy name-list matching, device UUID identity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Question format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One free-text exit ticket per lesson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Multi-question MCQ with per-answer confidence (sure / pretty sure / guessing) + response timing</w:t>
            </w:r>
          </w:p>
        </w:tc>
      </w:tr>
      <w:tr>
        <w:tc>
          <w:tcPr>
            <w:tcW w:type="dxa" w:w="2000"/>
            <w:shd w:fill="EDF2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Analytics</w:t>
            </w:r>
          </w:p>
        </w:tc>
        <w:tc>
          <w:tcPr>
            <w:tcW w:type="dxa" w:w="3500"/>
            <w:shd w:fill="EDF2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Raw text answers on a dashboard</w:t>
            </w:r>
          </w:p>
        </w:tc>
        <w:tc>
          <w:tcPr>
            <w:tcW w:type="dxa" w:w="3800"/>
            <w:shd w:fill="EDF2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Live polled analytics: per-question correctness, four-cell confidence×correctness, misconception hero card, option distribution, per-class rates, CSV export, population benchmarking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Offline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None for submissions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Background Sync queue, resubmits when online</w:t>
            </w:r>
          </w:p>
        </w:tc>
      </w:tr>
      <w:tr>
        <w:tc>
          <w:tcPr>
            <w:tcW w:type="dxa" w:w="2000"/>
            <w:shd w:fill="EDF2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Anti-abuse</w:t>
            </w:r>
          </w:p>
        </w:tc>
        <w:tc>
          <w:tcPr>
            <w:tcW w:type="dxa" w:w="3500"/>
            <w:shd w:fill="EDF2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Nothing visible</w:t>
            </w:r>
          </w:p>
        </w:tc>
        <w:tc>
          <w:tcPr>
            <w:tcW w:type="dxa" w:w="3800"/>
            <w:shd w:fill="EDF2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Duplicate gating, closed-quiz gating, rate limits, server-side roster checks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Repeat practice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None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Spaced-repeat clones, misconception-triggered follow-up generation</w:t>
            </w:r>
          </w:p>
        </w:tc>
      </w:tr>
    </w:tbl>
    <w:p>
      <w:pPr>
        <w:spacing w:after="160" w:line="300"/>
      </w:pPr>
      <w:r>
        <w:rPr>
          <w:sz w:val="21"/>
          <w:szCs w:val="21"/>
        </w:rPr>
        <w:t xml:space="preserve"/>
      </w:r>
    </w:p>
    <w:p>
      <w:pPr>
        <w:spacing w:after="160" w:line="300"/>
      </w:pPr>
      <w:r>
        <w:rPr>
          <w:b/>
          <w:bCs/>
          <w:sz w:val="21"/>
          <w:szCs w:val="21"/>
        </w:rPr>
        <w:t xml:space="preserve">The asymmetry that matters: </w:t>
      </w:r>
      <w:r>
        <w:rPr>
          <w:sz w:val="21"/>
          <w:szCs w:val="21"/>
        </w:rPr>
        <w:t xml:space="preserve">YSR's Lesson Builder </w:t>
      </w:r>
      <w:r>
        <w:rPr>
          <w:i/>
          <w:iCs/>
          <w:sz w:val="21"/>
          <w:szCs w:val="21"/>
        </w:rPr>
        <w:t xml:space="preserve">predicts</w:t>
      </w:r>
      <w:r>
        <w:rPr>
          <w:sz w:val="21"/>
          <w:szCs w:val="21"/>
        </w:rPr>
        <w:t xml:space="preserve"> misconceptions (“watch for unequal partitions”) and prints them into a plan. QuizPulse </w:t>
      </w:r>
      <w:r>
        <w:rPr>
          <w:i/>
          <w:iCs/>
          <w:sz w:val="21"/>
          <w:szCs w:val="21"/>
        </w:rPr>
        <w:t xml:space="preserve">measures</w:t>
      </w:r>
      <w:r>
        <w:rPr>
          <w:sz w:val="21"/>
          <w:szCs w:val="21"/>
        </w:rPr>
        <w:t xml:space="preserve"> them (“17 of 24 students confidently chose unequal partitions”). Prediction vs evidence. A teacher can use both; only one closes the loop.</w:t>
      </w:r>
    </w:p>
    <w:p>
      <w:pPr>
        <w:pStyle w:val="Heading1"/>
        <w:pBdr>
          <w:bottom w:val="single" w:color="2D4A3E" w:sz="6" w:space="4"/>
        </w:pBdr>
        <w:spacing w:after="160" w:before="360"/>
      </w:pPr>
      <w:r>
        <w:rPr>
          <w:b/>
          <w:bCs/>
          <w:color w:val="1F3B57"/>
          <w:sz w:val="30"/>
          <w:szCs w:val="30"/>
        </w:rPr>
        <w:t xml:space="preserve">7. Output Quality (Verified by Running a Real Generation)</w:t>
      </w:r>
    </w:p>
    <w:p>
      <w:pPr>
        <w:spacing w:after="160" w:line="300"/>
      </w:pPr>
      <w:r>
        <w:rPr>
          <w:sz w:val="21"/>
          <w:szCs w:val="21"/>
        </w:rPr>
        <w:t xml:space="preserve">One free Lesson Builder run: Year 3, NSW, MA2-PF-01, “fractions — sharing pizza and chocolate.” ~30 s streamed. Result was genuinely good, not filler: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1"/>
          <w:szCs w:val="21"/>
        </w:rPr>
        <w:t xml:space="preserve">Correct NSW outcome code and Stage 2 framing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1"/>
          <w:szCs w:val="21"/>
        </w:rPr>
        <w:t xml:space="preserve">Real structure: Do Now → Masterclass (explicit numerator/denominator teaching with worked examples) → Flow (30–35 min choice task) → Exit Ticket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1"/>
          <w:szCs w:val="21"/>
        </w:rPr>
        <w:t xml:space="preserve">Differentiation bands that actually differ: low-floor pre-partitioned templates / wide-walls own representation / high-ceiling partition-two-ways-and-compare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1"/>
          <w:szCs w:val="21"/>
        </w:rPr>
        <w:t xml:space="preserve">A misconception re-teach written into the flow phase (unequal partitions)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sz w:val="21"/>
          <w:szCs w:val="21"/>
        </w:rPr>
        <w:t xml:space="preserve">“Audit-ready documentation”</w:t>
      </w:r>
      <w:r>
        <w:rPr>
          <w:sz w:val="21"/>
          <w:szCs w:val="21"/>
        </w:rPr>
        <w:t xml:space="preserve">: auto-mapping to AITSL standards 1.5, 2.1, 3.2, 3.3, 5.1, each with a paragraph of justification and research citations (Rosenshine 2012; Martin &amp; Evans 2021), explicitly framed as “shown to school leadership or an external reviewer without further preparation”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1"/>
          <w:szCs w:val="21"/>
        </w:rPr>
        <w:t xml:space="preserve">One weak spot: padded “Sustainability” in as a cross-curriculum priority for a fractions lesson — mild relevance stretch</w:t>
      </w:r>
    </w:p>
    <w:p>
      <w:pPr>
        <w:spacing w:after="160" w:line="300"/>
      </w:pPr>
      <w:r>
        <w:rPr>
          <w:sz w:val="21"/>
          <w:szCs w:val="21"/>
        </w:rPr>
        <w:t xml:space="preserve">The input form is equally deep: stage/year checkboxes, composite-class flag, ~15 ND profiles, free-text class context, curriculum-outcome browser, flow mode, teacher-mood selector, 1–5 lesson sequences, three output modes (programme+slides / programme / slides).</w:t>
      </w:r>
    </w:p>
    <w:p>
      <w:pPr>
        <w:spacing w:after="160" w:line="300"/>
      </w:pPr>
      <w:r>
        <w:rPr>
          <w:b/>
          <w:bCs/>
          <w:sz w:val="21"/>
          <w:szCs w:val="21"/>
        </w:rPr>
        <w:t xml:space="preserve">Takeaway: </w:t>
      </w:r>
      <w:r>
        <w:rPr>
          <w:sz w:val="21"/>
          <w:szCs w:val="21"/>
        </w:rPr>
        <w:t xml:space="preserve">this is not a thin GPT wrapper. The prompt engineering and pedagogical scaffolding are serious, and the AITSL auto-mapping is shipping on every generation.</w:t>
      </w:r>
    </w:p>
    <w:p>
      <w:pPr>
        <w:pStyle w:val="Heading1"/>
        <w:pBdr>
          <w:bottom w:val="single" w:color="2D4A3E" w:sz="6" w:space="4"/>
        </w:pBdr>
        <w:spacing w:after="160" w:before="360"/>
      </w:pPr>
      <w:r>
        <w:rPr>
          <w:b/>
          <w:bCs/>
          <w:color w:val="1F3B57"/>
          <w:sz w:val="30"/>
          <w:szCs w:val="30"/>
        </w:rPr>
        <w:t xml:space="preserve">8. The Pedagogy Project (Payhip Storefront)</w:t>
      </w:r>
    </w:p>
    <w:p>
      <w:pPr>
        <w:spacing w:after="160" w:line="300"/>
      </w:pPr>
      <w:r>
        <w:rPr>
          <w:rFonts w:ascii="Consolas" w:cs="Consolas" w:eastAsia="Consolas" w:hAnsi="Consolas"/>
          <w:color w:val="9A3B2E"/>
          <w:sz w:val="20"/>
          <w:szCs w:val="20"/>
        </w:rPr>
        <w:t xml:space="preserve">payhip.com/ThePedagogyProject</w:t>
      </w:r>
      <w:r>
        <w:rPr>
          <w:sz w:val="21"/>
          <w:szCs w:val="21"/>
        </w:rPr>
        <w:t xml:space="preserve"> — a digital-download storefront, currently 12 free “Taster” PDFs (Casual Teacher Handbook, Composite Classroom, Neurodivergent Friendly School, Self-Regulated Learning K–6, Science of Reading early literacy, refugee-family partnership toolkit, Teacher Time Audit, etc.). Sample product inspected: 3-page fillable A4 PDF, professionally written. Membership page: “Something special is coming soon in 2027.” Contact is an anonymous form; Instagram @thepedagogyproject.</w:t>
      </w:r>
    </w:p>
    <w:p>
      <w:pPr>
        <w:spacing w:after="160" w:line="300"/>
      </w:pPr>
      <w:r>
        <w:rPr>
          <w:b/>
          <w:bCs/>
          <w:sz w:val="21"/>
          <w:szCs w:val="21"/>
        </w:rPr>
        <w:t xml:space="preserve">Relationship to YSR: </w:t>
      </w:r>
      <w:r>
        <w:rPr>
          <w:sz w:val="21"/>
          <w:szCs w:val="21"/>
        </w:rPr>
        <w:t xml:space="preserve">no shared branding, no cross-links, different Instagram handles, no ABN shown. The one concrete link: </w:t>
      </w:r>
      <w:r>
        <w:rPr>
          <w:b/>
          <w:bCs/>
          <w:sz w:val="21"/>
          <w:szCs w:val="21"/>
        </w:rPr>
        <w:t xml:space="preserve">YSR's Instagram follows The Pedagogy Project's Instagram.</w:t>
      </w:r>
      <w:r>
        <w:rPr>
          <w:sz w:val="21"/>
          <w:szCs w:val="21"/>
        </w:rPr>
        <w:t xml:space="preserve"> Combined with near-identical positioning vocabulary (research-informed, neurodiversity, inclusion, composite classes, Australian K–12), same-operator or close-collaborator is plausible — but unconfirmed. Treat as circumstantial.</w:t>
      </w:r>
    </w:p>
    <w:p>
      <w:pPr>
        <w:spacing w:after="160" w:line="300"/>
      </w:pPr>
      <w:r>
        <w:rPr>
          <w:b/>
          <w:bCs/>
          <w:sz w:val="21"/>
          <w:szCs w:val="21"/>
        </w:rPr>
        <w:t xml:space="preserve">If same operator: </w:t>
      </w:r>
      <w:r>
        <w:rPr>
          <w:sz w:val="21"/>
          <w:szCs w:val="21"/>
        </w:rPr>
        <w:t xml:space="preserve">the pattern is a content + productivity ecosystem for Australian teachers — static resources (PP) + AI tools/records (YSR) — with a paid membership planned for 2027 on the content side too. Notably, </w:t>
      </w:r>
      <w:r>
        <w:rPr>
          <w:i/>
          <w:iCs/>
          <w:sz w:val="21"/>
          <w:szCs w:val="21"/>
        </w:rPr>
        <w:t xml:space="preserve">neither surface touches live student response data.</w:t>
      </w:r>
      <w:r>
        <w:rPr>
          <w:sz w:val="21"/>
          <w:szCs w:val="21"/>
        </w:rPr>
        <w:t xml:space="preserve"> The formative-assessment loop remains unoccupied ground across the whole ecosystem.</w:t>
      </w:r>
    </w:p>
    <w:p>
      <w:pPr>
        <w:pStyle w:val="Heading1"/>
        <w:pBdr>
          <w:bottom w:val="single" w:color="2D4A3E" w:sz="6" w:space="4"/>
        </w:pBdr>
        <w:spacing w:after="160" w:before="360"/>
      </w:pPr>
      <w:r>
        <w:rPr>
          <w:b/>
          <w:bCs/>
          <w:color w:val="1F3B57"/>
          <w:sz w:val="30"/>
          <w:szCs w:val="30"/>
        </w:rPr>
        <w:t xml:space="preserve">9. Full Positioning Comparison</w:t>
      </w:r>
    </w:p>
    <w:tbl>
      <w:tblPr>
        <w:tblW w:type="dxa" w:w="9300"/>
        <w:tblBorders>
          <w:top w:val="single" w:color="C9D3CF" w:sz="4"/>
          <w:left w:val="single" w:color="C9D3CF" w:sz="4"/>
          <w:bottom w:val="single" w:color="C9D3CF" w:sz="4"/>
          <w:right w:val="single" w:color="C9D3CF" w:sz="4"/>
          <w:insideH w:val="single" w:color="DCE3E0" w:sz="2"/>
          <w:insideV w:val="single" w:color="DCE3E0" w:sz="2"/>
        </w:tblBorders>
        <w:tblLayout w:type="fixed"/>
      </w:tblPr>
      <w:tblGrid>
        <w:gridCol w:w="1900"/>
        <w:gridCol w:w="3700"/>
        <w:gridCol w:w="3700"/>
      </w:tblGrid>
      <w:tr>
        <w:trPr>
          <w:tblHeader/>
        </w:trPr>
        <w:tc>
          <w:tcPr>
            <w:tcW w:type="dxa" w:w="1900"/>
            <w:shd w:fill="2D4A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700"/>
            <w:shd w:fill="2D4A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Your Staff Room</w:t>
            </w:r>
          </w:p>
        </w:tc>
        <w:tc>
          <w:tcPr>
            <w:tcW w:type="dxa" w:w="3700"/>
            <w:shd w:fill="2D4A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QuizPulse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Core job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Reduce teacher admin: generate documents, plans, reports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Close the formative loop: student responses → misconception insight</w:t>
            </w:r>
          </w:p>
        </w:tc>
      </w:tr>
      <w:tr>
        <w:tc>
          <w:tcPr>
            <w:tcW w:type="dxa" w:w="1900"/>
            <w:shd w:fill="EDF2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Direction of value</w:t>
            </w:r>
          </w:p>
        </w:tc>
        <w:tc>
          <w:tcPr>
            <w:tcW w:type="dxa" w:w="3700"/>
            <w:shd w:fill="EDF2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Teacher → paper (prospective)</w:t>
            </w:r>
          </w:p>
        </w:tc>
        <w:tc>
          <w:tcPr>
            <w:tcW w:type="dxa" w:w="3700"/>
            <w:shd w:fill="EDF2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Students → teacher (evidence)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Primary user moment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Sunday-night planning, report season, NCCD moderation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In/around the lesson: send, students respond, act on data</w:t>
            </w:r>
          </w:p>
        </w:tc>
      </w:tr>
      <w:tr>
        <w:tc>
          <w:tcPr>
            <w:tcW w:type="dxa" w:w="1900"/>
            <w:shd w:fill="EDF2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Breadth vs depth</w:t>
            </w:r>
          </w:p>
        </w:tc>
        <w:tc>
          <w:tcPr>
            <w:tcW w:type="dxa" w:w="3700"/>
            <w:shd w:fill="EDF2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~20 tools, wide and shallow-to-medium</w:t>
            </w:r>
          </w:p>
        </w:tc>
        <w:tc>
          <w:tcPr>
            <w:tcW w:type="dxa" w:w="3700"/>
            <w:shd w:fill="EDF2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1 loop, deep (push, confidence, analytics, benchmarking, evidence export)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Student contact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1 free-text exit ticket via shared link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The entire product</w:t>
            </w:r>
          </w:p>
        </w:tc>
      </w:tr>
      <w:tr>
        <w:tc>
          <w:tcPr>
            <w:tcW w:type="dxa" w:w="1900"/>
            <w:shd w:fill="EDF2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Compliance angle</w:t>
            </w:r>
          </w:p>
        </w:tc>
        <w:tc>
          <w:tcPr>
            <w:tcW w:type="dxa" w:w="3700"/>
            <w:shd w:fill="EDF2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NCCD hub, PLP/ILP, AITSL auto-mapping on generated plans, outcome tracking</w:t>
            </w:r>
          </w:p>
        </w:tc>
        <w:tc>
          <w:tcPr>
            <w:tcW w:type="dxa" w:w="3700"/>
            <w:shd w:fill="EDF2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APST/VIT evidence PDF + annual MyPD log derived from real quiz data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Student data model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Pseudonyms typed by teacher; no student identity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Device UUID, approval-gated, no accounts, no PII</w:t>
            </w:r>
          </w:p>
        </w:tc>
      </w:tr>
      <w:tr>
        <w:tc>
          <w:tcPr>
            <w:tcW w:type="dxa" w:w="1900"/>
            <w:shd w:fill="EDF2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Australian localisation</w:t>
            </w:r>
          </w:p>
        </w:tc>
        <w:tc>
          <w:tcPr>
            <w:tcW w:type="dxa" w:w="3700"/>
            <w:shd w:fill="EDF2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Extreme (per-state syllabi, accent-aware phonics, state PLP frameworks)</w:t>
            </w:r>
          </w:p>
        </w:tc>
        <w:tc>
          <w:tcPr>
            <w:tcW w:type="dxa" w:w="3700"/>
            <w:shd w:fill="EDF2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Curriculum-neutral with VIC-oriented evidence export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Team size signal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Solo teacher-founder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Solo founder</w:t>
            </w:r>
          </w:p>
        </w:tc>
      </w:tr>
      <w:tr>
        <w:tc>
          <w:tcPr>
            <w:tcW w:type="dxa" w:w="1900"/>
            <w:shd w:fill="EDF2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Maturity</w:t>
            </w:r>
          </w:p>
        </w:tc>
        <w:tc>
          <w:tcPr>
            <w:tcW w:type="dxa" w:w="3700"/>
            <w:shd w:fill="EDF2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Live, monetised, ~dozens of active users, 3 months of traction</w:t>
            </w:r>
          </w:p>
        </w:tc>
        <w:tc>
          <w:tcPr>
            <w:tcW w:type="dxa" w:w="3700"/>
            <w:shd w:fill="EDF2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Pre-pilot, unmonetised, deeper engineering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Moat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Content banks + curated research + saved-history lock-in + brand warmth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sz w:val="21"/>
                <w:szCs w:val="21"/>
              </w:rPr>
              <w:t xml:space="preserve">Push-first delivery + confidence/misconception data layer + server-side rigour</w:t>
            </w:r>
          </w:p>
        </w:tc>
      </w:tr>
    </w:tbl>
    <w:p>
      <w:pPr>
        <w:pStyle w:val="Heading1"/>
        <w:pBdr>
          <w:bottom w:val="single" w:color="2D4A3E" w:sz="6" w:space="4"/>
        </w:pBdr>
        <w:spacing w:after="160" w:before="360"/>
      </w:pPr>
      <w:r>
        <w:rPr>
          <w:b/>
          <w:bCs/>
          <w:color w:val="1F3B57"/>
          <w:sz w:val="30"/>
          <w:szCs w:val="30"/>
        </w:rPr>
        <w:t xml:space="preserve">10. Strategic Implications for QuizPulse</w:t>
      </w:r>
    </w:p>
    <w:p>
      <w:pPr>
        <w:pStyle w:val="Heading2"/>
        <w:spacing w:after="120" w:before="260"/>
      </w:pPr>
      <w:r>
        <w:rPr>
          <w:b/>
          <w:bCs/>
          <w:color w:val="2D4A3E"/>
          <w:sz w:val="24"/>
          <w:szCs w:val="24"/>
        </w:rPr>
        <w:t xml:space="preserve">What YSR validates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b/>
          <w:bCs/>
          <w:sz w:val="21"/>
          <w:szCs w:val="21"/>
        </w:rPr>
        <w:t xml:space="preserve">Australian teachers pay $12/mo for AI tooling</w:t>
      </w:r>
      <w:r>
        <w:rPr>
          <w:sz w:val="21"/>
          <w:szCs w:val="21"/>
        </w:rPr>
        <w:t xml:space="preserve"> — a live price point from the same market. $99/yr annual anchor. School plans at $2.5k–7.5k/yr framed against PD-day budgets.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b/>
          <w:bCs/>
          <w:sz w:val="21"/>
          <w:szCs w:val="21"/>
        </w:rPr>
        <w:t xml:space="preserve">Compliance evidence sells. </w:t>
      </w:r>
      <w:r>
        <w:rPr>
          <w:sz w:val="21"/>
          <w:szCs w:val="21"/>
        </w:rPr>
        <w:t xml:space="preserve">Their fastest-looking additions (NCCD Hub, PLP Builder — both tagged NEW) and the auto-AITSL mapping on every lesson are compliance plays. QuizPulse's APST/VIT export is the same wedge with a stronger claim: theirs is generated prose about intent; yours is auto-compiled evidence from real student responses. Market the difference explicitly: “evidence, not paperwork.”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b/>
          <w:bCs/>
          <w:sz w:val="21"/>
          <w:szCs w:val="21"/>
        </w:rPr>
        <w:t xml:space="preserve">Saved-history-as-moat. </w:t>
      </w:r>
      <w:r>
        <w:rPr>
          <w:sz w:val="21"/>
          <w:szCs w:val="21"/>
        </w:rPr>
        <w:t xml:space="preserve">Their free tier forgets everything on tab close; memory is the subscription. QuizPulse's equivalent lock-in is longitudinal response data — misconception history per class per topic across terms. Design pricing so the data history is the retained asset.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b/>
          <w:bCs/>
          <w:sz w:val="21"/>
          <w:szCs w:val="21"/>
        </w:rPr>
        <w:t xml:space="preserve">Trust language for a minors-adjacent product. </w:t>
      </w:r>
      <w:r>
        <w:rPr>
          <w:sz w:val="21"/>
          <w:szCs w:val="21"/>
        </w:rPr>
        <w:t xml:space="preserve">Pseudonym enforcement, “never used to train AI,” per-tool privacy notes. QuizPulse's postures (anonymous device IDs, student-fingerprint stripping, demo isolation) are already stronger than theirs — but YSR says it louder. Copy the loudness.</w:t>
      </w:r>
    </w:p>
    <w:p>
      <w:pPr>
        <w:pStyle w:val="Heading2"/>
        <w:spacing w:after="120" w:before="260"/>
      </w:pPr>
      <w:r>
        <w:rPr>
          <w:b/>
          <w:bCs/>
          <w:color w:val="2D4A3E"/>
          <w:sz w:val="24"/>
          <w:szCs w:val="24"/>
        </w:rPr>
        <w:t xml:space="preserve">What YSR warns about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b/>
          <w:bCs/>
          <w:sz w:val="21"/>
          <w:szCs w:val="21"/>
        </w:rPr>
        <w:t xml:space="preserve">School firewalls are real. </w:t>
      </w:r>
      <w:r>
        <w:rPr>
          <w:sz w:val="21"/>
          <w:szCs w:val="21"/>
        </w:rPr>
        <w:t xml:space="preserve">A live Australian ed product carries a permanent banner: DET/school networks block parts of their site. QuizPulse's entire differentiator (push notifications reaching student devices) rides on school Wi-Fi behaviour. Test push delivery on a real DET network before pilot — this is the single highest-risk external dependency, flagged by a competitor's production experience.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b/>
          <w:bCs/>
          <w:sz w:val="21"/>
          <w:szCs w:val="21"/>
        </w:rPr>
        <w:t xml:space="preserve">Breadth spreads thin. </w:t>
      </w:r>
      <w:r>
        <w:rPr>
          <w:sz w:val="21"/>
          <w:szCs w:val="21"/>
        </w:rPr>
        <w:t xml:space="preserve">~20 tools ÷ 361 lesson plans in 3 months = shallow usage per tool. Confirms the deep-single-loop strategy over tool sprawl.</w:t>
      </w:r>
    </w:p>
    <w:p>
      <w:pPr>
        <w:pStyle w:val="Heading2"/>
        <w:spacing w:after="120" w:before="260"/>
      </w:pPr>
      <w:r>
        <w:rPr>
          <w:b/>
          <w:bCs/>
          <w:color w:val="2D4A3E"/>
          <w:sz w:val="24"/>
          <w:szCs w:val="24"/>
        </w:rPr>
        <w:t xml:space="preserve">Watch-items (how YSR could become a real competitor)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1"/>
          <w:szCs w:val="21"/>
        </w:rPr>
        <w:t xml:space="preserve">If they upgrade student.html from one exit-ticket box to structured MCQ + aggregation, they'd have a crude formative loop bolted onto an established teacher audience. Their stack (Memberstack JSON as the database, no push infrastructure, no student identity model) makes the full loop a re-platform, not a feature — but a crude version is a weekend's work for them.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1"/>
          <w:szCs w:val="21"/>
        </w:rPr>
        <w:t xml:space="preserve">The 2027 Pedagogy Project membership suggests roadmap ambition. Monitor both Instagrams and the YSR blog quarterly.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sz w:val="21"/>
          <w:szCs w:val="21"/>
        </w:rPr>
        <w:t xml:space="preserve">Conversely: partnership shape exists. </w:t>
      </w:r>
      <w:r>
        <w:rPr>
          <w:sz w:val="21"/>
          <w:szCs w:val="21"/>
        </w:rPr>
        <w:t xml:space="preserve">YSR generates the lesson and predicts the misconception; QuizPulse measures whether it landed. “Export exit ticket to a real quiz” is a natural integration if the ecosystems ever meet.</w:t>
      </w:r>
    </w:p>
    <w:p>
      <w:pPr>
        <w:pStyle w:val="Heading2"/>
        <w:spacing w:after="120" w:before="260"/>
      </w:pPr>
      <w:r>
        <w:rPr>
          <w:b/>
          <w:bCs/>
          <w:color w:val="2D4A3E"/>
          <w:sz w:val="24"/>
          <w:szCs w:val="24"/>
        </w:rPr>
        <w:t xml:space="preserve">Positioning line this analysis suggests</w:t>
      </w:r>
    </w:p>
    <w:p>
      <w:pPr>
        <w:pBdr>
          <w:left w:val="single" w:color="2D4A3E" w:sz="24" w:space="8"/>
        </w:pBdr>
        <w:shd w:fill="EDF2F0" w:val="clear"/>
        <w:spacing w:after="200" w:line="300"/>
        <w:ind w:left="120"/>
      </w:pPr>
      <w:r>
        <w:rPr>
          <w:i/>
          <w:iCs/>
          <w:color w:val="1F3B57"/>
          <w:sz w:val="22"/>
          <w:szCs w:val="22"/>
        </w:rPr>
        <w:t xml:space="preserve">Planning tools tell you what should happen in your classroom. QuizPulse shows you what did — which students hold which misconception, with how much confidence, in time to fix it.</w:t>
      </w:r>
    </w:p>
    <w:p>
      <w:pPr>
        <w:pStyle w:val="Heading1"/>
        <w:pBdr>
          <w:bottom w:val="single" w:color="2D4A3E" w:sz="6" w:space="4"/>
        </w:pBdr>
        <w:spacing w:after="160" w:before="360"/>
      </w:pPr>
      <w:r>
        <w:rPr>
          <w:b/>
          <w:bCs/>
          <w:color w:val="1F3B57"/>
          <w:sz w:val="30"/>
          <w:szCs w:val="30"/>
        </w:rPr>
        <w:t xml:space="preserve">11. Evidence &amp; Caveats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1"/>
          <w:szCs w:val="21"/>
        </w:rPr>
        <w:t xml:space="preserve">All page contents, endpoints, stack details, and the generation output were observed directly on 2026-08-03. Traction counters are the site's own self-reported figures.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1"/>
          <w:szCs w:val="21"/>
        </w:rPr>
        <w:t xml:space="preserve">Inner Sanctum (paid) tool internals were NOT inspected — gating held server-side. Descriptions of paid features come from marketing copy and page scaffolding.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1"/>
          <w:szCs w:val="21"/>
        </w:rPr>
        <w:t xml:space="preserve">The YSR ↔ Pedagogy Project link rests on one Instagram follow + stylistic similarity. Unconfirmed. ABN cross-check (YSR footer: ABN 38 234 407 780) would settle it.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1"/>
          <w:szCs w:val="21"/>
        </w:rPr>
        <w:t xml:space="preserve">One free daily generation was consumed on the logged-in account; nothing purchased, nothing published.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9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2026-08-03T00:08:44.676Z</dcterms:created>
  <dcterms:modified xsi:type="dcterms:W3CDTF">2026-08-03T00:08:44.678Z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