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10" w:rsidRDefault="00663A24" w:rsidP="00FE0E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32"/>
        <w:gridCol w:w="2005"/>
        <w:gridCol w:w="1920"/>
        <w:gridCol w:w="1908"/>
      </w:tblGrid>
      <w:tr w:rsidR="00FE0E60" w:rsidTr="002F75D2">
        <w:tc>
          <w:tcPr>
            <w:tcW w:w="1885" w:type="dxa"/>
          </w:tcPr>
          <w:p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Impurity Metric</w:t>
            </w:r>
          </w:p>
        </w:tc>
        <w:tc>
          <w:tcPr>
            <w:tcW w:w="1632" w:type="dxa"/>
          </w:tcPr>
          <w:p w:rsidR="00FE0E60" w:rsidRPr="00FE0E60" w:rsidRDefault="00FE0E60" w:rsidP="002F75D2">
            <w:pPr>
              <w:jc w:val="center"/>
              <w:rPr>
                <w:b/>
              </w:rPr>
            </w:pPr>
            <w:r>
              <w:rPr>
                <w:b/>
              </w:rPr>
              <w:t>Max Depth</w:t>
            </w:r>
          </w:p>
        </w:tc>
        <w:tc>
          <w:tcPr>
            <w:tcW w:w="2005" w:type="dxa"/>
          </w:tcPr>
          <w:p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Precision</w:t>
            </w:r>
          </w:p>
        </w:tc>
        <w:tc>
          <w:tcPr>
            <w:tcW w:w="1920" w:type="dxa"/>
          </w:tcPr>
          <w:p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Recall</w:t>
            </w:r>
          </w:p>
        </w:tc>
        <w:tc>
          <w:tcPr>
            <w:tcW w:w="1908" w:type="dxa"/>
          </w:tcPr>
          <w:p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F1 Score</w:t>
            </w:r>
          </w:p>
        </w:tc>
      </w:tr>
      <w:tr w:rsidR="00FE0E60" w:rsidTr="002F75D2">
        <w:tc>
          <w:tcPr>
            <w:tcW w:w="1885" w:type="dxa"/>
            <w:vMerge w:val="restart"/>
            <w:vAlign w:val="center"/>
          </w:tcPr>
          <w:p w:rsidR="00FE0E60" w:rsidRPr="00FE0E60" w:rsidRDefault="00FE0E60" w:rsidP="002F75D2">
            <w:pPr>
              <w:jc w:val="center"/>
            </w:pPr>
            <w:r w:rsidRPr="00FE0E60">
              <w:t>Gini</w:t>
            </w:r>
            <w:r>
              <w:t xml:space="preserve"> Index</w:t>
            </w:r>
          </w:p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FE0E60">
        <w:tc>
          <w:tcPr>
            <w:tcW w:w="1885" w:type="dxa"/>
            <w:vMerge w:val="restart"/>
            <w:vAlign w:val="center"/>
          </w:tcPr>
          <w:p w:rsidR="00FE0E60" w:rsidRDefault="00FE0E60" w:rsidP="00FE0E60">
            <w:pPr>
              <w:jc w:val="center"/>
            </w:pPr>
            <w:r>
              <w:t>Entropy</w:t>
            </w:r>
          </w:p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  <w:tr w:rsidR="00FE0E60" w:rsidTr="002F75D2">
        <w:tc>
          <w:tcPr>
            <w:tcW w:w="1885" w:type="dxa"/>
            <w:vMerge/>
          </w:tcPr>
          <w:p w:rsidR="00FE0E60" w:rsidRDefault="00FE0E60" w:rsidP="002F75D2"/>
        </w:tc>
        <w:tc>
          <w:tcPr>
            <w:tcW w:w="1632" w:type="dxa"/>
          </w:tcPr>
          <w:p w:rsidR="00FE0E60" w:rsidRDefault="00FE0E60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20" w:type="dxa"/>
          </w:tcPr>
          <w:p w:rsidR="00FE0E60" w:rsidRDefault="00FE0E60" w:rsidP="002F75D2">
            <w:pPr>
              <w:jc w:val="center"/>
            </w:pPr>
          </w:p>
        </w:tc>
        <w:tc>
          <w:tcPr>
            <w:tcW w:w="1908" w:type="dxa"/>
          </w:tcPr>
          <w:p w:rsidR="00FE0E60" w:rsidRDefault="00FE0E60" w:rsidP="002F75D2">
            <w:pPr>
              <w:jc w:val="center"/>
            </w:pPr>
          </w:p>
        </w:tc>
      </w:tr>
    </w:tbl>
    <w:p w:rsidR="00FE0E60" w:rsidRPr="004E7881" w:rsidRDefault="004E7881" w:rsidP="004E7881">
      <w:pPr>
        <w:jc w:val="center"/>
        <w:rPr>
          <w:b/>
        </w:rPr>
      </w:pPr>
      <w:r w:rsidRPr="004E7881">
        <w:rPr>
          <w:b/>
        </w:rPr>
        <w:t>Table 1 – Model performance metrics for “no-recurrence-events” class</w:t>
      </w:r>
    </w:p>
    <w:p w:rsidR="008C22DF" w:rsidRDefault="008C22DF" w:rsidP="004E78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32"/>
        <w:gridCol w:w="2005"/>
        <w:gridCol w:w="1920"/>
        <w:gridCol w:w="1908"/>
      </w:tblGrid>
      <w:tr w:rsidR="004E7881" w:rsidTr="002F75D2">
        <w:tc>
          <w:tcPr>
            <w:tcW w:w="1885" w:type="dxa"/>
          </w:tcPr>
          <w:p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Impurity Metric</w:t>
            </w:r>
          </w:p>
        </w:tc>
        <w:tc>
          <w:tcPr>
            <w:tcW w:w="1632" w:type="dxa"/>
          </w:tcPr>
          <w:p w:rsidR="004E7881" w:rsidRPr="00FE0E60" w:rsidRDefault="004E7881" w:rsidP="002F75D2">
            <w:pPr>
              <w:jc w:val="center"/>
              <w:rPr>
                <w:b/>
              </w:rPr>
            </w:pPr>
            <w:r>
              <w:rPr>
                <w:b/>
              </w:rPr>
              <w:t>Max Depth</w:t>
            </w:r>
          </w:p>
        </w:tc>
        <w:tc>
          <w:tcPr>
            <w:tcW w:w="2005" w:type="dxa"/>
          </w:tcPr>
          <w:p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Precision</w:t>
            </w:r>
          </w:p>
        </w:tc>
        <w:tc>
          <w:tcPr>
            <w:tcW w:w="1920" w:type="dxa"/>
          </w:tcPr>
          <w:p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Recall</w:t>
            </w:r>
          </w:p>
        </w:tc>
        <w:tc>
          <w:tcPr>
            <w:tcW w:w="1908" w:type="dxa"/>
          </w:tcPr>
          <w:p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F1 Score</w:t>
            </w:r>
          </w:p>
        </w:tc>
      </w:tr>
      <w:tr w:rsidR="004E7881" w:rsidTr="002F75D2">
        <w:tc>
          <w:tcPr>
            <w:tcW w:w="1885" w:type="dxa"/>
            <w:vMerge w:val="restart"/>
            <w:vAlign w:val="center"/>
          </w:tcPr>
          <w:p w:rsidR="004E7881" w:rsidRPr="00FE0E60" w:rsidRDefault="004E7881" w:rsidP="002F75D2">
            <w:pPr>
              <w:jc w:val="center"/>
            </w:pPr>
            <w:r w:rsidRPr="00FE0E60">
              <w:t>Gini</w:t>
            </w:r>
            <w:r>
              <w:t xml:space="preserve"> Index</w:t>
            </w:r>
          </w:p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 w:val="restart"/>
            <w:vAlign w:val="center"/>
          </w:tcPr>
          <w:p w:rsidR="004E7881" w:rsidRDefault="004E7881" w:rsidP="002F75D2">
            <w:pPr>
              <w:jc w:val="center"/>
            </w:pPr>
            <w:r>
              <w:t>Entropy</w:t>
            </w:r>
          </w:p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  <w:tr w:rsidR="004E7881" w:rsidTr="002F75D2">
        <w:tc>
          <w:tcPr>
            <w:tcW w:w="1885" w:type="dxa"/>
            <w:vMerge/>
          </w:tcPr>
          <w:p w:rsidR="004E7881" w:rsidRDefault="004E7881" w:rsidP="002F75D2"/>
        </w:tc>
        <w:tc>
          <w:tcPr>
            <w:tcW w:w="1632" w:type="dxa"/>
          </w:tcPr>
          <w:p w:rsidR="004E7881" w:rsidRDefault="004E7881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20" w:type="dxa"/>
          </w:tcPr>
          <w:p w:rsidR="004E7881" w:rsidRDefault="004E7881" w:rsidP="002F75D2">
            <w:pPr>
              <w:jc w:val="center"/>
            </w:pPr>
          </w:p>
        </w:tc>
        <w:tc>
          <w:tcPr>
            <w:tcW w:w="1908" w:type="dxa"/>
          </w:tcPr>
          <w:p w:rsidR="004E7881" w:rsidRDefault="004E7881" w:rsidP="002F75D2">
            <w:pPr>
              <w:jc w:val="center"/>
            </w:pPr>
          </w:p>
        </w:tc>
      </w:tr>
    </w:tbl>
    <w:p w:rsidR="004E7881" w:rsidRPr="004E7881" w:rsidRDefault="004E7881" w:rsidP="004E7881">
      <w:pPr>
        <w:jc w:val="center"/>
        <w:rPr>
          <w:b/>
        </w:rPr>
      </w:pPr>
      <w:r w:rsidRPr="004E7881">
        <w:rPr>
          <w:b/>
        </w:rPr>
        <w:t xml:space="preserve">Table </w:t>
      </w:r>
      <w:r>
        <w:rPr>
          <w:b/>
        </w:rPr>
        <w:t>2</w:t>
      </w:r>
      <w:r w:rsidRPr="004E7881">
        <w:rPr>
          <w:b/>
        </w:rPr>
        <w:t xml:space="preserve"> – Model performance metrics for “recurrence-events” class</w:t>
      </w:r>
    </w:p>
    <w:p w:rsidR="004E7881" w:rsidRDefault="004E7881" w:rsidP="004E7881"/>
    <w:p w:rsidR="004E7881" w:rsidRDefault="008C22DF" w:rsidP="008C22DF">
      <w:r>
        <w:t>Question 1</w:t>
      </w:r>
      <w:r w:rsidR="00B55BAC">
        <w:t xml:space="preserve"> (1 point)</w:t>
      </w:r>
      <w:r>
        <w:t xml:space="preserve">: Based upon the model performance metrics, which class value is </w:t>
      </w:r>
      <w:proofErr w:type="spellStart"/>
      <w:r>
        <w:t>DecisionTreeClassifier</w:t>
      </w:r>
      <w:proofErr w:type="spellEnd"/>
      <w:r>
        <w:t xml:space="preserve"> </w:t>
      </w:r>
      <w:r w:rsidR="00BB1B33" w:rsidRPr="00BB1B33">
        <w:rPr>
          <w:b/>
        </w:rPr>
        <w:t>“</w:t>
      </w:r>
      <w:r w:rsidRPr="00BB1B33">
        <w:rPr>
          <w:b/>
        </w:rPr>
        <w:t>better</w:t>
      </w:r>
      <w:r w:rsidR="00BB1B33" w:rsidRPr="00BB1B33">
        <w:rPr>
          <w:b/>
        </w:rPr>
        <w:t>”</w:t>
      </w:r>
      <w:r>
        <w:t xml:space="preserve"> at predicting? Be sure to specifically mention the metric(s) you’re using to quantify your findings.</w:t>
      </w:r>
    </w:p>
    <w:p w:rsidR="008C22DF" w:rsidRDefault="008C22DF" w:rsidP="008C22DF"/>
    <w:p w:rsidR="003D6A71" w:rsidRDefault="003D6A71" w:rsidP="008C22DF">
      <w:r>
        <w:t>&lt;your answer goes here&gt;</w:t>
      </w:r>
    </w:p>
    <w:p w:rsidR="003D6A71" w:rsidRDefault="003D6A71" w:rsidP="008C22DF"/>
    <w:p w:rsidR="008C22DF" w:rsidRDefault="008C22DF" w:rsidP="008C22DF">
      <w:r>
        <w:t>Question 2</w:t>
      </w:r>
      <w:r w:rsidR="00B55BAC">
        <w:t xml:space="preserve"> (1 point)</w:t>
      </w:r>
      <w:r>
        <w:t xml:space="preserve">: Which impurity metric provides higher quality predictions? </w:t>
      </w:r>
      <w:r>
        <w:t>Be sure to specifically mention the metric(s) you’re using to quantify your findings.</w:t>
      </w:r>
    </w:p>
    <w:p w:rsidR="008C22DF" w:rsidRDefault="008C22DF" w:rsidP="008C22DF"/>
    <w:p w:rsidR="003D6A71" w:rsidRDefault="003D6A71" w:rsidP="008C22DF">
      <w:r>
        <w:t>&lt;your answer goes here&gt;</w:t>
      </w:r>
    </w:p>
    <w:p w:rsidR="003D6A71" w:rsidRDefault="003D6A71" w:rsidP="00B55BAC"/>
    <w:p w:rsidR="00B55BAC" w:rsidRDefault="008C22DF" w:rsidP="00B55BAC">
      <w:r>
        <w:t>Question 3</w:t>
      </w:r>
      <w:r w:rsidR="00B55BAC">
        <w:t xml:space="preserve"> (1 point)</w:t>
      </w:r>
      <w:r>
        <w:t>: Regardless of the impurity metric, what happens as max depth increases?</w:t>
      </w:r>
      <w:r w:rsidR="00B55BAC">
        <w:t xml:space="preserve"> </w:t>
      </w:r>
      <w:r w:rsidR="00B55BAC">
        <w:t>Be sure to specifically mention the metric(s) you’re using to quantify your findings.</w:t>
      </w:r>
    </w:p>
    <w:p w:rsidR="008C22DF" w:rsidRDefault="008C22DF" w:rsidP="008C22DF"/>
    <w:p w:rsidR="003D6A71" w:rsidRDefault="003D6A71" w:rsidP="008C22DF">
      <w:r>
        <w:t>&lt;your answer goes here&gt;</w:t>
      </w:r>
    </w:p>
    <w:p w:rsidR="008C22DF" w:rsidRDefault="008C22DF" w:rsidP="008C22DF"/>
    <w:p w:rsidR="008C22DF" w:rsidRDefault="008C22DF" w:rsidP="008C22DF">
      <w:r>
        <w:t>Question 4</w:t>
      </w:r>
      <w:r w:rsidR="001B179E">
        <w:t xml:space="preserve"> (1 point)</w:t>
      </w:r>
      <w:r>
        <w:t>: Try incrementally increasing the max depth value up to 20</w:t>
      </w:r>
      <w:r w:rsidR="00663A24">
        <w:t xml:space="preserve"> for each of the impurity metrics</w:t>
      </w:r>
      <w:bookmarkStart w:id="0" w:name="_GoBack"/>
      <w:bookmarkEnd w:id="0"/>
      <w:r>
        <w:t xml:space="preserve">. What happens to the performance metrics when you do this? </w:t>
      </w:r>
      <w:r w:rsidR="00835361">
        <w:t>Why is this trend actually problematic for the model?</w:t>
      </w:r>
      <w:r w:rsidR="00D23A60">
        <w:t xml:space="preserve"> Be sure to specifically name the phenomenon that is occurring as the max depth is increased.</w:t>
      </w:r>
    </w:p>
    <w:p w:rsidR="003D6A71" w:rsidRDefault="003D6A71" w:rsidP="008C22DF"/>
    <w:p w:rsidR="003D6A71" w:rsidRDefault="003D6A71" w:rsidP="003D6A71">
      <w:r>
        <w:t>&lt;your answer goes here&gt;</w:t>
      </w:r>
    </w:p>
    <w:p w:rsidR="003D6A71" w:rsidRDefault="003D6A71" w:rsidP="008C22DF"/>
    <w:sectPr w:rsidR="003D6A71" w:rsidSect="000C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E3FCF"/>
    <w:multiLevelType w:val="hybridMultilevel"/>
    <w:tmpl w:val="D4A2E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60"/>
    <w:rsid w:val="000C70F4"/>
    <w:rsid w:val="001B179E"/>
    <w:rsid w:val="003D6A71"/>
    <w:rsid w:val="004E7881"/>
    <w:rsid w:val="005C1523"/>
    <w:rsid w:val="005D465C"/>
    <w:rsid w:val="00663A24"/>
    <w:rsid w:val="00835361"/>
    <w:rsid w:val="00893D7E"/>
    <w:rsid w:val="008C22DF"/>
    <w:rsid w:val="00A759DD"/>
    <w:rsid w:val="00A84CF2"/>
    <w:rsid w:val="00B55BAC"/>
    <w:rsid w:val="00BB1B33"/>
    <w:rsid w:val="00D23A60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AC864"/>
  <w14:defaultImageDpi w14:val="32767"/>
  <w15:chartTrackingRefBased/>
  <w15:docId w15:val="{B55996CC-3C51-F944-8624-63A1D84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Golen</dc:creator>
  <cp:keywords/>
  <dc:description/>
  <cp:lastModifiedBy>Erik Golen</cp:lastModifiedBy>
  <cp:revision>12</cp:revision>
  <dcterms:created xsi:type="dcterms:W3CDTF">2024-02-18T21:15:00Z</dcterms:created>
  <dcterms:modified xsi:type="dcterms:W3CDTF">2024-02-18T21:40:00Z</dcterms:modified>
</cp:coreProperties>
</file>