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CER-Intent</w:t>
        <w:br/>
        <w:t>6G Transport Intent Management</w:t>
      </w:r>
    </w:p>
    <w:p>
      <w:pPr>
        <w:jc w:val="center"/>
      </w:pPr>
      <w:r>
        <w:rPr>
          <w:sz w:val="32"/>
        </w:rPr>
        <w:t>Comprehensive Architectural Specification &amp; System Guide</w:t>
      </w:r>
    </w:p>
    <w:p>
      <w:r>
        <w:br w:type="page"/>
      </w:r>
    </w:p>
    <w:p>
      <w:pPr>
        <w:pStyle w:val="Heading1"/>
      </w:pPr>
      <w:r>
        <w:t>1. Executive Summary &amp; Motivation</w:t>
      </w:r>
    </w:p>
    <w:p>
      <w:r>
        <w:t xml:space="preserve">The telecommunications industry is rapidly evolving towards 6G architectures, demanding unprecedented levels of automation, resilience, and capacity. Legacy network administration relies heavily on manual Command Line Interfaces (CLI), imperative scripting, and rigid protocols spanning across heterogeneous domains. </w:t>
        <w:br/>
        <w:br/>
        <w:t xml:space="preserve">CER-Intent provides a paradigm-shifting approach: Intent-Based Networking (IBN) tailored specifically for physical transport layers (Microwave, Millimeter-Wave, and Fronthaul/Midhaul architectures). Instead of dictating *how* a configuration should occur (e.g., 'Set device X eth1 interface to 1000Base-T'), operators declare *what* the business objective is (e.g., 'Ensure ultra-low latency for URLLC traffic on the Edge Hub'). </w:t>
        <w:br/>
        <w:br/>
        <w:t>The motivation behind CER-Intent is to bridge the chasm between high-level service requests and low-level Ceragon hardware capabilities, empowering autonomous networks to self-configure, self-heal, and dynamically scale according to real-time O-RAN parameters.</w:t>
      </w:r>
    </w:p>
    <w:p>
      <w:pPr>
        <w:pStyle w:val="Heading2"/>
      </w:pPr>
      <w:r>
        <w:t>1.1 Alignment with 6G and O-RAN Architectures</w:t>
      </w:r>
    </w:p>
    <w:p>
      <w:r>
        <w:t>Modern Open Radio Access Networks (O-RAN) disaggregate base stations into Centralized Units (CU), Distributed Units (DU), and Radio Units (RU). As 6G requirements introduce massive machine-type communications (mMTC) and enhanced mobile broadband (eMBB) slicing, the underlying transport—often relying on wireless microwave links due to fiber scarcity—must be fully pliable.</w:t>
        <w:br/>
        <w:br/>
        <w:t>CER-Intent directly integrates into the Transport network slice. It orchestrates the capacity and resilience of the rings connecting Core-to-CU, the nodal trees linking CU-to-DU, and the strict point-to-point fronthaul tails connecting DU-to-RU.</w:t>
      </w:r>
    </w:p>
    <w:p>
      <w:pPr>
        <w:pStyle w:val="Heading1"/>
      </w:pPr>
      <w:r>
        <w:t>2. System Architecture &amp; Components</w:t>
      </w:r>
    </w:p>
    <w:p>
      <w:r>
        <w:t>The CER-Intent system features a fully modular, AI-assisted architecture combining strict rule-based validation with deep LLM-enabled reasoning. The core components define a pipeline from intent inception to physical hardware adaptation.</w:t>
      </w:r>
    </w:p>
    <w:p>
      <w:pPr>
        <w:pStyle w:val="Heading2"/>
      </w:pPr>
      <w:r>
        <w:t>2.1 Hybrid Intent Parsing Engine</w:t>
      </w:r>
    </w:p>
    <w:p>
      <w:r>
        <w:t>The system's ingress relies on a multi-stage parser (IntentParser). It begins by intercepting Natural Language (NL) directives from human operators. To prevent hallucinations and enforce strict telecom policies, the parser fuses LLM understanding with heuristic bounds:</w:t>
        <w:br/>
        <w:t>- Entity Extraction: Determining physical Targets (Agg-Rings, Midhaul Hubs, Tails).</w:t>
        <w:br/>
        <w:t>- Objective Categorization: Resolving unstructured text into strictly defined Domains (Capacity, Resilience, QoS, Sync, Energy, Security).</w:t>
        <w:br/>
        <w:t>- Anti-Hallucination: Employs a fail-fast mechanism (returning 400 Bad Request) if the intent is nonsensical (e.g. 'banana sandwich'), ensuring only valid RF/IP logic propagates.</w:t>
      </w:r>
    </w:p>
    <w:p>
      <w:pPr>
        <w:pStyle w:val="Heading2"/>
      </w:pPr>
      <w:r>
        <w:t>2.2 The Architect Agent &amp; Knowledge Base</w:t>
      </w:r>
    </w:p>
    <w:p>
      <w:r>
        <w:t>Once parsed, the Intent Architect Agent assumes control. It acts as the cognitive engine by referencing a local `HardwareKnowledgeBase`.</w:t>
        <w:br/>
        <w:t>This Knowledge Base holds definitive operational envelopes for Ceragon hardware, such as:</w:t>
        <w:br/>
        <w:t>- IP-50FX: Up to 112MHz channels and 2048QAM, capable of serving Aggregation Rings.</w:t>
        <w:br/>
        <w:t>- IP-20N: Dense nodal branching capabilities for Midhaul trees.</w:t>
        <w:br/>
        <w:t>- IP-20C: Remote tail architectures limited strictly to Point-to-Point setups.</w:t>
        <w:br/>
        <w:br/>
        <w:t>The Architect maps the declared intent against the valid constraints of the target hardware profiles and generates a detailed 'ArchitectPlan'. This plan outlines precise procedural strategies (like falling back to redundant links, altering modulation profiles, or enforcing IEEE 1588v2 Precision Time Protocol for Synchronization intents).</w:t>
      </w:r>
    </w:p>
    <w:p>
      <w:pPr>
        <w:pStyle w:val="Heading2"/>
      </w:pPr>
      <w:r>
        <w:t>2.3 Physical Topology Manager (Registry.py)</w:t>
      </w:r>
    </w:p>
    <w:p>
      <w:r>
        <w:t>CER-Intent maintains strict awareness of its physical boundaries. The integrated registry actively maps out a Hybrid Ring-and-Tree Architecture mirroring actual Tier-1 deployments:</w:t>
        <w:br/>
        <w:t>- Aggregation Layer: 10 Gbps IP-50FX Microwave Rings carrying massive aggregated backhaul traffic from CUs.</w:t>
        <w:br/>
        <w:t>- Midhaul Hubs: IP-20N nodes servicing DU junctions dropping off the primary ring.</w:t>
        <w:br/>
        <w:t>- Fronthaul Tails: IP-20C single-point drops ensuring latency-critical coverage for remote RUs.</w:t>
        <w:br/>
        <w:t>The strict Point-to-Point nature of wireless transport is explicitly enforced by visual and logical limiters, fundamentally ensuring that point-to-multipoint artifacts do not misrepresent the transport logic.</w:t>
      </w:r>
    </w:p>
    <w:p>
      <w:r>
        <w:br w:type="page"/>
      </w:r>
    </w:p>
    <w:p>
      <w:pPr>
        <w:pStyle w:val="Heading1"/>
      </w:pPr>
      <w:r>
        <w:t>3. Inputs, Outputs, and Telemetry Loops</w:t>
      </w:r>
    </w:p>
    <w:p>
      <w:pPr>
        <w:pStyle w:val="Heading2"/>
      </w:pPr>
      <w:r>
        <w:t>3.1 Core Inputs</w:t>
      </w:r>
    </w:p>
    <w:p>
      <w:r>
        <w:t>1. Natural Language (NL) Commands: Sent by network operators via the live Command Dashboard.</w:t>
        <w:br/>
        <w:t>2. JSON Declarations: Automated systems (like massive 6G MARL reinforcement models) directly inject JSON dicts targeting specific nodes.</w:t>
        <w:br/>
        <w:t>3. Live Telemetry: Asynchronous Socket events feed current SNR, Link Capacity utilization, and error rates into the backend to validate if intent modifications were successful over time.</w:t>
      </w:r>
    </w:p>
    <w:p>
      <w:pPr>
        <w:pStyle w:val="Heading2"/>
      </w:pPr>
      <w:r>
        <w:t>3.2 Execution Outputs</w:t>
      </w:r>
    </w:p>
    <w:p>
      <w:r>
        <w:t>On successful authorization, CER-Intent propagates 'ConfigActions'. These actions contain strict key-value dictionaries translatable into NETCONF/YANG payloads.</w:t>
        <w:br/>
        <w:t>- Outputs update the simulated Device State JSON records.</w:t>
        <w:br/>
        <w:t>- Real-time visual updates on the SVG map (e.g., link colors switching to indicate 'Degraded' capabilities or updated QoS queues).</w:t>
        <w:br/>
        <w:t>- Audit Trails: Emitting success or failure logs dynamically accessible via REST.</w:t>
      </w:r>
    </w:p>
    <w:p>
      <w:pPr>
        <w:pStyle w:val="Heading1"/>
      </w:pPr>
      <w:r>
        <w:t>4. Supported Network Intent Domains</w:t>
      </w:r>
    </w:p>
    <w:p>
      <w:pPr>
        <w:pStyle w:val="Heading3"/>
      </w:pPr>
      <w:r>
        <w:t>4.* Capacity (eMBB)</w:t>
      </w:r>
    </w:p>
    <w:p>
      <w:r>
        <w:t>Allocates massive bandwidth pipes by adjusting ACM profiles (e.g., locking higher modulation) and unlocking broader channels. Crucial for massive throughput scenarios in dense 6G clusters.</w:t>
      </w:r>
    </w:p>
    <w:p>
      <w:pPr>
        <w:pStyle w:val="Heading3"/>
      </w:pPr>
      <w:r>
        <w:t>4.* Resilience (URLLC)</w:t>
      </w:r>
    </w:p>
    <w:p>
      <w:r>
        <w:t>Focuses on maintaining uptime by activating 1+1 HSB (Hot Standby) physical radio protection or Space Diversity. Aims to achieve 99.999% availability.</w:t>
      </w:r>
    </w:p>
    <w:p>
      <w:pPr>
        <w:pStyle w:val="Heading3"/>
      </w:pPr>
      <w:r>
        <w:t>4.* QoS / Slicing</w:t>
      </w:r>
    </w:p>
    <w:p>
      <w:r>
        <w:t>Partitions traffic physically or virtually. For example, reserving strict Expedited Forwarding (EF) queues for low-latency Core-to-CU links while deprioritizing best-effort traffic.</w:t>
      </w:r>
    </w:p>
    <w:p>
      <w:pPr>
        <w:pStyle w:val="Heading3"/>
      </w:pPr>
      <w:r>
        <w:t>4.* Energy Management</w:t>
      </w:r>
    </w:p>
    <w:p>
      <w:r>
        <w:t>As 6G demands severe power reductions, CER-Intent allows deep-sleep toggles or TX power backoff during minimal load off-peak hours.</w:t>
      </w:r>
    </w:p>
    <w:p>
      <w:pPr>
        <w:pStyle w:val="Heading3"/>
      </w:pPr>
      <w:r>
        <w:t>4.* Security &amp; Sync</w:t>
      </w:r>
    </w:p>
    <w:p>
      <w:r>
        <w:t>Mandates 256-bit MACsec payload encryption on exposed Fronthaul links, while tuning strict SyncE / PTP profiles ensuring time-phase alignment between DUs and RUs.</w:t>
      </w:r>
    </w:p>
    <w:p>
      <w:r>
        <w:br w:type="page"/>
      </w:r>
    </w:p>
    <w:p>
      <w:pPr>
        <w:pStyle w:val="Heading1"/>
      </w:pPr>
      <w:r>
        <w:t>5. Real-Time Dashboard Mechanics</w:t>
      </w:r>
    </w:p>
    <w:p>
      <w:r>
        <w:t>The system provides a responsive Vanilla JS and SVG-based UI designed to handle sprawling 32+ node topologies effortlessly.</w:t>
        <w:br/>
        <w:t>- Zoom and Pan: Using mathematical scaling techniques, operators navigate massive rings and fronthaul chains seamlessly via wheel zoom and drag manipulation.</w:t>
        <w:br/>
        <w:t>- Role-Based Filtering: Differentiates external O-RAN blocks (rendered muted grey) from Ceragon transport hubs (rendered dynamically to show telemetry status).</w:t>
        <w:br/>
        <w:t>- Continuous Socket Stream: The interface doesn't poll aggressively. Instead, it relies on WebSocket events to inject 'intent_drift' warnings or status completions instantaneously.</w:t>
      </w:r>
    </w:p>
    <w:p>
      <w:pPr>
        <w:pStyle w:val="Heading1"/>
      </w:pPr>
      <w:r>
        <w:t>6. Towards Zero-Touch Autonomy</w:t>
      </w:r>
    </w:p>
    <w:p>
      <w:r>
        <w:t>CER-Intent serves as the bridge between human abstraction, reinforcement-learning-driven optimization models (like MARL), and physical Ceragon RF transport logic. By enforcing strict hierarchical topologies and hybrid fail-fast parsers, the system guarantees that high-level 6G business intents are translated into safe, deployable hardware configurations without human micromanagement.</w:t>
      </w:r>
    </w:p>
    <w:p>
      <w:r>
        <w:br w:type="page"/>
      </w:r>
    </w:p>
    <w:p>
      <w:pPr>
        <w:pStyle w:val="Heading1"/>
      </w:pPr>
      <w:r>
        <w:t>7. Complete Intent Lifecycle (The 5-Stage Pipeline)</w:t>
      </w:r>
    </w:p>
    <w:p>
      <w:pPr>
        <w:pStyle w:val="Heading3"/>
      </w:pPr>
      <w:r>
        <w:t>1. Ingestion &amp; Pre-Parsing</w:t>
      </w:r>
    </w:p>
    <w:p>
      <w:pPr>
        <w:spacing w:after="240"/>
      </w:pPr>
      <w:r>
        <w:t>Natural language is received via WebSockets or REST. The heuristic IntentParser first checks for 'banana sandwich' style adversarial prompts. It filters intent against a strictly validated schema containing known nodes inside the active network topology.</w:t>
      </w:r>
    </w:p>
    <w:p>
      <w:pPr>
        <w:pStyle w:val="Heading3"/>
      </w:pPr>
      <w:r>
        <w:t>2. Hybrid LLM + Rule Parsing</w:t>
      </w:r>
    </w:p>
    <w:p>
      <w:pPr>
        <w:spacing w:after="240"/>
      </w:pPr>
      <w:r>
        <w:t>Using local heuristics first, the parser isolates target scopes ('sector-north', 'mw-agg-1'). It categorizes the objective. If the intent is highly novel (e.g. 'Optimize all backhaul links during the rain fade event tonight'), it offloads interpretation to the LLM agent via zero-shot prompt translation.</w:t>
      </w:r>
    </w:p>
    <w:p>
      <w:pPr>
        <w:pStyle w:val="Heading3"/>
      </w:pPr>
      <w:r>
        <w:t>3. Knowledge Base Profiling</w:t>
      </w:r>
    </w:p>
    <w:p>
      <w:pPr>
        <w:spacing w:after="240"/>
      </w:pPr>
      <w:r>
        <w:t>The parsed intent binds against the physical constraints derived from local hardware profiles (IP-20N, IP-50FX). It validates capabilities: Can the link actually support 112MHz channels? Does the radio natively support XPIC?</w:t>
      </w:r>
    </w:p>
    <w:p>
      <w:pPr>
        <w:pStyle w:val="Heading3"/>
      </w:pPr>
      <w:r>
        <w:t>4. Architectural Plan Formulation</w:t>
      </w:r>
    </w:p>
    <w:p>
      <w:pPr>
        <w:spacing w:after="240"/>
      </w:pPr>
      <w:r>
        <w:t>The 'Architect Agent' leverages the Strategy module. It pulls relevant telemetry from the Assurance Engine, formulates a strategy (eMBB scale-up, URLLC strict dropping), and proposes an explicit architectural change, marked for user approval ('AWAITING_APPROVAL').</w:t>
      </w:r>
    </w:p>
    <w:p>
      <w:pPr>
        <w:pStyle w:val="Heading3"/>
      </w:pPr>
      <w:r>
        <w:t>5. Configuration Dispatch</w:t>
      </w:r>
    </w:p>
    <w:p>
      <w:pPr>
        <w:spacing w:after="240"/>
      </w:pPr>
      <w:r>
        <w:t>Once granted human approval, the NETCONF/YANG translation layers build XML configurations. The Reconciler injects the XML into the respective equipment and immediately watches the Telemetry loop to detect 'Intent Drift'.</w:t>
      </w:r>
    </w:p>
    <w:p>
      <w:r>
        <w:br w:type="page"/>
      </w:r>
    </w:p>
    <w:p>
      <w:pPr>
        <w:pStyle w:val="Heading1"/>
      </w:pPr>
      <w:r>
        <w:t>8. API Definitions &amp; Schemas</w:t>
      </w:r>
    </w:p>
    <w:p>
      <w:r>
        <w:t>CER-Intent exposes a fully structured REST and SocketIO asynchronous API to integrate smoothly with external OSS/BSS layers or Deep Reinforcement Learning (MARL) nodes.</w:t>
      </w:r>
    </w:p>
    <w:p>
      <w:r>
        <w:t>POST /api/v1/intent : Submits new declarative rules.</w:t>
        <w:br/>
        <w:t>GET /api/v1/topology : Retrieves the real-time calculated mesh.</w:t>
        <w:br/>
        <w:t>POST /api/v1/intents/&lt;id&gt;/approve : Re-instantiates workflow after human-in-the-loop validation.</w:t>
      </w:r>
    </w:p>
    <w:p>
      <w:r>
        <w:br w:type="page"/>
      </w:r>
    </w:p>
    <w:p>
      <w:pPr>
        <w:pStyle w:val="Heading1"/>
      </w:pPr>
      <w:r>
        <w:t>9. Concluding Remarks</w:t>
      </w:r>
    </w:p>
    <w:p>
      <w:r>
        <w:t>Extensively documented, thoroughly simulated, and mathematically rigorous, the CER-Intent system provides an unprecedented framework for the upcoming 6G telecommunications migration. By adopting a strict Hybrid Ring-and-Tree network architecture and relying on immutable physical device constraints, it ensures reliable deployment of abstract intents.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