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 Architect: The Cognitive Future of 6G Transport</w:t>
      </w:r>
    </w:p>
    <w:p>
      <w:pPr>
        <w:jc w:val="center"/>
      </w:pPr>
      <w:r>
        <w:t>Technical Whitepaper</w:t>
      </w:r>
    </w:p>
    <w:p>
      <w:pPr>
        <w:jc w:val="center"/>
      </w:pPr>
      <w:r>
        <w:t>V2.0 | Advanced Intent Lifecycle Management</w:t>
      </w:r>
    </w:p>
    <w:p>
      <w:r>
        <w:br w:type="page"/>
      </w:r>
    </w:p>
    <w:p>
      <w:pPr>
        <w:pStyle w:val="Heading1"/>
      </w:pPr>
      <w:r>
        <w:t>1. Executive Summary</w:t>
      </w:r>
    </w:p>
    <w:p>
      <w:r>
        <w:t>The transition to 6G network architectures introduces unprecedented complexity in the transport domain. Legacy management paradigms, characterized by manual CLI interactions and static Multi-Radio Multi-Channel (MRMC) script selection, are insufficient for the dynamic, slice-oriented nature of next-generation backhaul. This whitepaper presents the "Intent Architect" platform—a cognitive intent management solution that abstracts hardware complexity into actionable, high-level business logic. By utilizing a hybrid LLM-and-rule reasoning engine, the platform enables zero-touch configuration, hardware-aware fallback strategies, and continuous closed-loop reconciliation.</w:t>
      </w:r>
    </w:p>
    <w:p>
      <w:pPr>
        <w:pStyle w:val="Heading1"/>
      </w:pPr>
      <w:r>
        <w:t>2. The Microwave Intent Gap</w:t>
      </w:r>
    </w:p>
    <w:p>
      <w:r>
        <w:t>Microwave and Millimeter-wave (mmWave) transport has traditionally been the "dark corner" of automation. While core networks migrated to NFV and SDN, transport remained siloed. Key challenges included:</w:t>
      </w:r>
    </w:p>
    <w:p>
      <w:pPr>
        <w:pStyle w:val="ListBullet"/>
      </w:pPr>
      <w:r>
        <w:rPr>
          <w:b/>
        </w:rPr>
        <w:t>Configuration Rigidity:</w:t>
      </w:r>
      <w:r>
        <w:t xml:space="preserve"> Selecting from thousands of possible MRMC scripts (Modulation, Bandwidth, Power) for specific link distances.</w:t>
      </w:r>
    </w:p>
    <w:p>
      <w:pPr>
        <w:pStyle w:val="ListBullet"/>
      </w:pPr>
      <w:r>
        <w:rPr>
          <w:b/>
        </w:rPr>
        <w:t>Capability Heterogeneity:</w:t>
      </w:r>
      <w:r>
        <w:t xml:space="preserve"> Diverse hardware generations (e.g., Ceragon IP-20C vs IP-50FX) support vastly different features like Space Diversity (SD) or XPIC.</w:t>
      </w:r>
    </w:p>
    <w:p>
      <w:pPr>
        <w:pStyle w:val="ListBullet"/>
      </w:pPr>
      <w:r>
        <w:rPr>
          <w:b/>
        </w:rPr>
        <w:t>Atmospheric Dynamics:</w:t>
      </w:r>
      <w:r>
        <w:t xml:space="preserve"> Unlike fiber, wireless transport is subject to rain fade and SNR fluctuations, requiring real-time intent awareness to maintain SLA.</w:t>
      </w:r>
    </w:p>
    <w:p>
      <w:pPr>
        <w:pStyle w:val="Heading1"/>
      </w:pPr>
      <w:r>
        <w:t>3. The Intent Architect Framework</w:t>
      </w:r>
    </w:p>
    <w:p>
      <w:r>
        <w:t>The CER-Intent system introduces the "Architect" layer—a reasoning node that sits between the operator and the device adapters. It is not merely a translator; it is a constraint-solver.</w:t>
      </w:r>
    </w:p>
    <w:p>
      <w:pPr>
        <w:pStyle w:val="Heading2"/>
      </w:pPr>
      <w:r>
        <w:t>3.1 The Cognitive Logic Unit</w:t>
      </w:r>
    </w:p>
    <w:p>
      <w:r>
        <w:t>The Architect utilizes a Hardware Knowledge Base (HKB) to understand the DNA of every node. When an Intent is received (e.g., "Maximize reliability on sector-north"), the Architect does not just look for a script; it performs a multi-variable search for the optimal Protection, Modulation, and QoS Marking scheme appropriate for the specific hardware revision found at that site.</w:t>
      </w:r>
    </w:p>
    <w:p>
      <w:pPr>
        <w:pStyle w:val="Heading1"/>
      </w:pPr>
      <w:r>
        <w:t>4. Hardware-Aware Constraint Solving</w:t>
      </w:r>
    </w:p>
    <w:p>
      <w:r>
        <w:t>A critical feature of the solution is its ability to handle "Impossible" requests gracefully through Intelligent Reconciliation.</w:t>
      </w:r>
    </w:p>
    <w:p>
      <w:pPr>
        <w:pStyle w:val="Heading2"/>
      </w:pPr>
      <w:r>
        <w:t>4.1 Automated Fallback Mechanisms</w:t>
      </w:r>
    </w:p>
    <w:p>
      <w:r>
        <w:t>Traditional systems reject a configuration if the hardware does not support it. Intent Architect implements "Graceful Strategy Degradation." For example, if "Space Diversity" (SD) is requested for an IP-20C device (which lacks the structural hardware for SD), the Architect evaluates the "Intent Goal" (Reliability) and automatically reconciles the request to a 1+1 Hot Standby (HSB) configuration. The operator is notified via a Reasoning Trace, but the service is never blocked by technical constraints.</w:t>
      </w:r>
    </w:p>
    <w:p>
      <w:pPr>
        <w:pStyle w:val="Heading1"/>
      </w:pPr>
      <w:r>
        <w:t>5. Multi-Domain Intelligence</w:t>
      </w:r>
    </w:p>
    <w:p>
      <w:r>
        <w:t>The solution synchronizes four critical transport domains in a single intent lifecycle:</w:t>
      </w:r>
    </w:p>
    <w:tbl>
      <w:tblPr>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Metric</w:t>
            </w:r>
          </w:p>
        </w:tc>
        <w:tc>
          <w:tcPr>
            <w:tcW w:type="dxa" w:w="2880"/>
          </w:tcPr>
          <w:p>
            <w:r>
              <w:t>Implementation</w:t>
            </w:r>
          </w:p>
        </w:tc>
      </w:tr>
      <w:tr>
        <w:tc>
          <w:tcPr>
            <w:tcW w:type="dxa" w:w="2880"/>
          </w:tcPr>
          <w:p>
            <w:r>
              <w:t>Capacity</w:t>
            </w:r>
          </w:p>
        </w:tc>
        <w:tc>
          <w:tcPr>
            <w:tcW w:type="dxa" w:w="2880"/>
          </w:tcPr>
          <w:p>
            <w:r>
              <w:t>Gbps / MHz</w:t>
            </w:r>
          </w:p>
        </w:tc>
        <w:tc>
          <w:tcPr>
            <w:tcW w:type="dxa" w:w="2880"/>
          </w:tcPr>
          <w:p>
            <w:r>
              <w:t>MRMC Strategy Selection</w:t>
            </w:r>
          </w:p>
        </w:tc>
      </w:tr>
      <w:tr>
        <w:tc>
          <w:tcPr>
            <w:tcW w:type="dxa" w:w="2880"/>
          </w:tcPr>
          <w:p>
            <w:r>
              <w:t>Resilience</w:t>
            </w:r>
          </w:p>
        </w:tc>
        <w:tc>
          <w:tcPr>
            <w:tcW w:type="dxa" w:w="2880"/>
          </w:tcPr>
          <w:p>
            <w:r>
              <w:t>Availability (%)</w:t>
            </w:r>
          </w:p>
        </w:tc>
        <w:tc>
          <w:tcPr>
            <w:tcW w:type="dxa" w:w="2880"/>
          </w:tcPr>
          <w:p>
            <w:r>
              <w:t>HSB / SD / FD Protection</w:t>
            </w:r>
          </w:p>
        </w:tc>
      </w:tr>
      <w:tr>
        <w:tc>
          <w:tcPr>
            <w:tcW w:type="dxa" w:w="2880"/>
          </w:tcPr>
          <w:p>
            <w:r>
              <w:t>Slicing</w:t>
            </w:r>
          </w:p>
        </w:tc>
        <w:tc>
          <w:tcPr>
            <w:tcW w:type="dxa" w:w="2880"/>
          </w:tcPr>
          <w:p>
            <w:r>
              <w:t>VLAN / Priority</w:t>
            </w:r>
          </w:p>
        </w:tc>
        <w:tc>
          <w:tcPr>
            <w:tcW w:type="dxa" w:w="2880"/>
          </w:tcPr>
          <w:p>
            <w:r>
              <w:t>Queue Management &amp; Shaping</w:t>
            </w:r>
          </w:p>
        </w:tc>
      </w:tr>
    </w:tbl>
    <w:p>
      <w:r>
        <w:br w:type="page"/>
      </w:r>
    </w:p>
    <w:p>
      <w:pPr>
        <w:pStyle w:val="Heading1"/>
      </w:pPr>
      <w:r>
        <w:t>6. The Translation Pipeline</w:t>
      </w:r>
    </w:p>
    <w:p>
      <w:r>
        <w:t>Translation is performed via a three-stage pipeline: Parser → Validator → Translator. By decoupling these stages, the system supports both legacy rule-based keyword matching and advanced Gemini-LLM natural language processing (NLP). The output is a series of DeviceConfig objects that are then mapped to RFC 6241 NETCONF XML or CER-Private RESTCONF payloads.</w:t>
      </w:r>
    </w:p>
    <w:p>
      <w:pPr>
        <w:pStyle w:val="Heading1"/>
      </w:pPr>
      <w:r>
        <w:t>7. Closed-Loop Assurance &amp; Drift</w:t>
      </w:r>
    </w:p>
    <w:p>
      <w:r>
        <w:t>Configuration is only half the battle. Intent Architect implements a "State-to-Intent" feedback loop. A background "Reconciler" service continuously monitors telemetry (SNR, Throughput, Protection State). If the applied state "drifts" from the operator's intent—due to a hardware failover or atmospheric conditions—the system emits a "Drift Alert" and can be configured to autonomously remediate the delta.</w:t>
      </w:r>
    </w:p>
    <w:p>
      <w:pPr>
        <w:pStyle w:val="Heading2"/>
      </w:pPr>
      <w:r>
        <w:t>7.1 Optimization (No-Op) Checks</w:t>
      </w:r>
    </w:p>
    <w:p>
      <w:r>
        <w:t>To satisfy large-scale performance requirements, the system includes a state-aware redundancy check. The Reconciler compares the current device configuration against the proposed intent. If they match, the system logs a "State Optimal" event and avoids unnecessary write cycles to the device flash memory.</w:t>
      </w:r>
    </w:p>
    <w:p>
      <w:pPr>
        <w:pStyle w:val="Heading1"/>
      </w:pPr>
      <w:r>
        <w:t>8. Resilient Offline Architecture</w:t>
      </w:r>
    </w:p>
    <w:p>
      <w:r>
        <w:t>In critical infrastructure monitoring, reliance on external CDNs or Cloud assets is a security risk. Intent Architect is "Offline-By-Default." All dashboard components, including the custom Native SVG Topology Engine, are served directly from the local Python backend. This ensures the situational awareness of the operator is maintained during total network isolation or in air-gapped field deployments.</w:t>
      </w:r>
    </w:p>
    <w:p>
      <w:pPr>
        <w:pStyle w:val="Heading1"/>
      </w:pPr>
      <w:r>
        <w:t>9. Security, Audit, and Governance</w:t>
      </w:r>
    </w:p>
    <w:p>
      <w:r>
        <w:t>Every intent follows a "Human-in-the-Loop" (HITL) workflow. The Architect generates a Plan, identifies potential hazards (Conflict Detection), and presents the Plan to the operator for final approval. All actions—including automatic fallbacks—are recorded in an immutable, append-only Audit Log for forensic analysis.</w:t>
      </w:r>
    </w:p>
    <w:p>
      <w:pPr>
        <w:pStyle w:val="Heading1"/>
      </w:pPr>
      <w:r>
        <w:t>10. Roadmap &amp; Conclusion</w:t>
      </w:r>
    </w:p>
    <w:p>
      <w:r>
        <w:t>The future of CER-Intent involves deep integration with O-RAN SMO and Near-RT RIC interfaces. By providing a "Northbound Intent Interface," we enable the next decade of transport automation. In conclusion, the Intent Architect transforms transport nodes from mere radios into intelligent, intent-aware components of the 6G ecosystem.</w:t>
      </w:r>
    </w:p>
    <w:p>
      <w:pPr>
        <w:jc w:val="center"/>
      </w:pPr>
      <w:r>
        <w:br/>
        <w:t>© 2026 Ceragon Experimental Lab — 6G Transport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