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5E"/>
          <w:sz w:val="68"/>
        </w:rPr>
        <w:t>CER-Intent</w:t>
      </w:r>
    </w:p>
    <w:p>
      <w:pPr>
        <w:jc w:val="center"/>
      </w:pPr>
      <w:r>
        <w:rPr>
          <w:color w:val="2E6DA4"/>
          <w:sz w:val="32"/>
        </w:rPr>
        <w:t>Intent-Based Network Automation for 6G Microwave Transport</w:t>
      </w:r>
    </w:p>
    <w:p/>
    <w:p>
      <w:pPr>
        <w:jc w:val="center"/>
      </w:pPr>
      <w:r>
        <w:rPr>
          <w:i/>
          <w:sz w:val="24"/>
        </w:rPr>
        <w:t>Full Technical Design Document  |  Architecture, Deployment and Evaluation</w:t>
      </w:r>
    </w:p>
    <w:p>
      <w:pPr>
        <w:jc w:val="center"/>
      </w:pPr>
      <w:r>
        <w:rPr>
          <w:sz w:val="22"/>
        </w:rPr>
        <w:t>Ceragon Networks  |  June 2026</w:t>
      </w:r>
    </w:p>
    <w:p>
      <w:r>
        <w:br w:type="page"/>
      </w:r>
    </w:p>
    <w:p>
      <w:pPr>
        <w:pStyle w:val="Heading1"/>
      </w:pPr>
      <w:r>
        <w:rPr>
          <w:color w:val="1A375E"/>
        </w:rPr>
        <w:t>1. Executive Summary</w:t>
      </w:r>
    </w:p>
    <w:p>
      <w:pPr>
        <w:spacing w:after="160"/>
      </w:pPr>
      <w:r>
        <w:t>CER-Intent is an intent-based network automation platform purpose-built for Ceragon microwave transport infrastructure deployed in 6G Open Radio Access Networks (O-RAN). The system enables network operators to express high-level operational goals in natural language and autonomously translates these into validated, hardware-specific NETCONF/YANG configurations applied across the physical transport layer.</w:t>
      </w:r>
    </w:p>
    <w:p>
      <w:pPr>
        <w:spacing w:after="160"/>
      </w:pPr>
      <w:r>
        <w:t>The platform addresses a fundamental operational challenge: as 6G transport networks grow in complexity spanning aggregation rings, midhaul hubs, and strict point-to-point fronthaul tails, the volume and frequency of configuration changes required to meet dynamic SLAs far exceeds the capacity of traditional human-driven CLI-based operations. CER-Intent automates this translation chain from intent declaration to physical device configuration, while maintaining a human-in-the-loop approval gate for safety.</w:t>
      </w:r>
    </w:p>
    <w:p>
      <w:pPr>
        <w:spacing w:after="160"/>
      </w:pPr>
      <w:r>
        <w:t>The system is architected around a five-stage reasoning pipeline: (1) hybrid LLM + rule-based natural language parsing, (2) hardware-aware intent validation, (3) multi-skill Architect Agent reasoning, (4) NETCONF/YANG configuration generation, and (5) closed-loop assurance with drift detection. All stages are grounded in real Ceragon hardware capabilities (IP-50FX, IP-20N, IP-20C, IP-20S) and authentic O-RAN transport topology patterns.</w:t>
      </w:r>
    </w:p>
    <w:p>
      <w:r>
        <w:br w:type="page"/>
      </w:r>
    </w:p>
    <w:p>
      <w:pPr>
        <w:pStyle w:val="Heading1"/>
      </w:pPr>
      <w:r>
        <w:rPr>
          <w:color w:val="1A375E"/>
        </w:rPr>
        <w:t>2. Motivation and Problem Statement</w:t>
      </w:r>
    </w:p>
    <w:p>
      <w:pPr>
        <w:pStyle w:val="Heading2"/>
      </w:pPr>
      <w:r>
        <w:rPr>
          <w:color w:val="2E6DA4"/>
        </w:rPr>
        <w:t>2.1  The 6G Transport Operations Challenge</w:t>
      </w:r>
    </w:p>
    <w:p>
      <w:pPr>
        <w:spacing w:after="160"/>
      </w:pPr>
      <w:r>
        <w:t>The emergence of 6G networks introduces service requirements fundamentally more demanding than any previous generation. Ultra-Reliable Low Latency Communications (URLLC) targets sub-1ms end-to-end latency, requiring transport configurations that respond to dynamic conditions in near-real-time. Enhanced Mobile Broadband (eMBB) slices demand multi-gigabit guaranteed throughput, while massive Machine-Type Communications (mMTC) require the network to serve millions of endpoints with minimal signalling overhead.</w:t>
      </w:r>
    </w:p>
    <w:p>
      <w:pPr>
        <w:spacing w:after="160"/>
      </w:pPr>
      <w:r>
        <w:t>In the O-RAN architecture, the transport network is the backbone connecting Centralized Units (CU), Distributed Units (DU), and Radio Units (RU). Any degradation in this transport layer directly causes RAN performance degradation visible to end users. For Ceragon microwave deployments the challenge is compounded by physical radio channel variability: rain fade, atmospheric ducting, interference, and antenna pointing drift all require frequent context-aware configuration adjustments that cannot be automated by traditional NMS tools.</w:t>
      </w:r>
    </w:p>
    <w:p>
      <w:pPr>
        <w:pStyle w:val="Heading2"/>
      </w:pPr>
      <w:r>
        <w:rPr>
          <w:color w:val="2E6DA4"/>
        </w:rPr>
        <w:t>2.2  Limitations of Traditional Network Management</w:t>
      </w:r>
    </w:p>
    <w:p>
      <w:pPr>
        <w:spacing w:after="160"/>
      </w:pPr>
      <w:r>
        <w:t>The conventional approach to transport network management exhibits critical limitations:</w:t>
      </w:r>
    </w:p>
    <w:p>
      <w:pPr>
        <w:pStyle w:val="ListBullet"/>
        <w:spacing w:after="80"/>
      </w:pPr>
      <w:r>
        <w:t>Manual CLI operations: Engineers manually SSH into individual Ceragon CeraOS nodes, requiring expert proprietary command knowledge, introducing human error, and creating configuration drift between intended and actual device state.</w:t>
      </w:r>
    </w:p>
    <w:p>
      <w:pPr>
        <w:pStyle w:val="ListBullet"/>
        <w:spacing w:after="80"/>
      </w:pPr>
      <w:r>
        <w:t>Reactive-only posture: Traditional NMS systems alert on faults after they occur. There is no mechanism to proactively adapt configurations in anticipation of changing conditions such as pre-hardening links before a forecast rain event.</w:t>
      </w:r>
    </w:p>
    <w:p>
      <w:pPr>
        <w:pStyle w:val="ListBullet"/>
        <w:spacing w:after="80"/>
      </w:pPr>
      <w:r>
        <w:t>Siloed domain knowledge: Capacity, QoS, modulation, resilience, and energy management are treated as separate disciplines requiring separate tools and specialists, preventing holistic cross-domain optimisation.</w:t>
      </w:r>
    </w:p>
    <w:p>
      <w:pPr>
        <w:pStyle w:val="ListBullet"/>
        <w:spacing w:after="80"/>
      </w:pPr>
      <w:r>
        <w:t>No intent abstraction: Business-level objectives cannot be directly expressed to the network; they must be manually decomposed into dozens of individual low-level configuration commands.</w:t>
      </w:r>
    </w:p>
    <w:p>
      <w:pPr>
        <w:pStyle w:val="ListBullet"/>
        <w:spacing w:after="80"/>
      </w:pPr>
      <w:r>
        <w:t>Lack of conflict detection: Conflicting parameters from concurrent changes can be silently overwritten, creating hard-to-diagnose service degradation.</w:t>
      </w:r>
    </w:p>
    <w:p>
      <w:pPr>
        <w:pStyle w:val="Heading2"/>
      </w:pPr>
      <w:r>
        <w:rPr>
          <w:color w:val="2E6DA4"/>
        </w:rPr>
        <w:t>2.3  The Intent-Based Networking Paradigm</w:t>
      </w:r>
    </w:p>
    <w:p>
      <w:pPr>
        <w:spacing w:after="160"/>
      </w:pPr>
      <w:r>
        <w:t>Intent-Based Networking (IBN) has emerged as the architectural response to these limitations. In an IBN system, operators declare WHAT the network should achieve, and the system autonomously determines HOW to achieve it, validates feasibility against hardware capabilities and current state, applies the necessary configurations, and continuously monitors whether the intent is being fulfilled. CER-Intent implements this paradigm specifically for the physical transport layer, an area historically underserved by IBN research focused on IP/MPLS and SDN domains.</w:t>
      </w:r>
    </w:p>
    <w:p>
      <w:r>
        <w:br w:type="page"/>
      </w:r>
    </w:p>
    <w:p>
      <w:pPr>
        <w:pStyle w:val="Heading1"/>
      </w:pPr>
      <w:r>
        <w:rPr>
          <w:color w:val="1A375E"/>
        </w:rPr>
        <w:t>3. System Architecture</w:t>
      </w:r>
    </w:p>
    <w:p>
      <w:pPr>
        <w:pStyle w:val="Heading2"/>
      </w:pPr>
      <w:r>
        <w:rPr>
          <w:color w:val="2E6DA4"/>
        </w:rPr>
        <w:t>3.1  Five-Stage Execution Pipeline</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Stage</w:t>
            </w:r>
          </w:p>
        </w:tc>
        <w:tc>
          <w:tcPr>
            <w:tcW w:type="dxa" w:w="3024"/>
          </w:tcPr>
          <w:p>
            <w:r>
              <w:rPr>
                <w:b/>
                <w:sz w:val="18"/>
              </w:rPr>
              <w:t>Description</w:t>
            </w:r>
          </w:p>
        </w:tc>
        <w:tc>
          <w:tcPr>
            <w:tcW w:type="dxa" w:w="3024"/>
          </w:tcPr>
          <w:p>
            <w:r>
              <w:rPr>
                <w:b/>
                <w:sz w:val="18"/>
              </w:rPr>
              <w:t>Output</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rPr>
                <w:sz w:val="18"/>
              </w:rPr>
              <w:t>1. Parse</w:t>
            </w:r>
          </w:p>
        </w:tc>
        <w:tc>
          <w:tcPr>
            <w:tcW w:type="dxa" w:w="3024"/>
          </w:tcPr>
          <w:p>
            <w:r>
              <w:rPr>
                <w:sz w:val="18"/>
              </w:rPr>
              <w:t>Hybrid LLM + rule-based NL to structured Intent schema</w:t>
            </w:r>
          </w:p>
        </w:tc>
        <w:tc>
          <w:tcPr>
            <w:tcW w:type="dxa" w:w="3024"/>
          </w:tcPr>
          <w:p>
            <w:r>
              <w:rPr>
                <w:sz w:val="18"/>
              </w:rPr>
              <w:t>Typed, parameterised Intent object</w:t>
            </w:r>
          </w:p>
        </w:tc>
      </w:tr>
      <w:tr>
        <w:tc>
          <w:tcPr>
            <w:tcW w:type="dxa" w:w="3024"/>
          </w:tcPr>
          <w:p>
            <w:r>
              <w:rPr>
                <w:sz w:val="18"/>
              </w:rPr>
              <w:t>2. Validate</w:t>
            </w:r>
          </w:p>
        </w:tc>
        <w:tc>
          <w:tcPr>
            <w:tcW w:type="dxa" w:w="3024"/>
          </w:tcPr>
          <w:p>
            <w:r>
              <w:rPr>
                <w:sz w:val="18"/>
              </w:rPr>
              <w:t>Topology check, hardware capability bounds, conflict detection</w:t>
            </w:r>
          </w:p>
        </w:tc>
        <w:tc>
          <w:tcPr>
            <w:tcW w:type="dxa" w:w="3024"/>
          </w:tcPr>
          <w:p>
            <w:r>
              <w:rPr>
                <w:sz w:val="18"/>
              </w:rPr>
              <w:t>ValidationResult (pass/fail + warnings)</w:t>
            </w:r>
          </w:p>
        </w:tc>
      </w:tr>
      <w:tr>
        <w:tc>
          <w:tcPr>
            <w:tcW w:type="dxa" w:w="3024"/>
          </w:tcPr>
          <w:p>
            <w:r>
              <w:rPr>
                <w:sz w:val="18"/>
              </w:rPr>
              <w:t>3. Architect</w:t>
            </w:r>
          </w:p>
        </w:tc>
        <w:tc>
          <w:tcPr>
            <w:tcW w:type="dxa" w:w="3024"/>
          </w:tcPr>
          <w:p>
            <w:r>
              <w:rPr>
                <w:sz w:val="18"/>
              </w:rPr>
              <w:t>Skill matching, strategy generation, HITL approval</w:t>
            </w:r>
          </w:p>
        </w:tc>
        <w:tc>
          <w:tcPr>
            <w:tcW w:type="dxa" w:w="3024"/>
          </w:tcPr>
          <w:p>
            <w:r>
              <w:rPr>
                <w:sz w:val="18"/>
              </w:rPr>
              <w:t>ArchitectPlan (selected strategy + actions)</w:t>
            </w:r>
          </w:p>
        </w:tc>
      </w:tr>
      <w:tr>
        <w:tc>
          <w:tcPr>
            <w:tcW w:type="dxa" w:w="3024"/>
          </w:tcPr>
          <w:p>
            <w:r>
              <w:rPr>
                <w:sz w:val="18"/>
              </w:rPr>
              <w:t>4. Translate</w:t>
            </w:r>
          </w:p>
        </w:tc>
        <w:tc>
          <w:tcPr>
            <w:tcW w:type="dxa" w:w="3024"/>
          </w:tcPr>
          <w:p>
            <w:r>
              <w:rPr>
                <w:sz w:val="18"/>
              </w:rPr>
              <w:t>ConfigActions to DeviceConfig objects to NETCONF/YANG XML</w:t>
            </w:r>
          </w:p>
        </w:tc>
        <w:tc>
          <w:tcPr>
            <w:tcW w:type="dxa" w:w="3024"/>
          </w:tcPr>
          <w:p>
            <w:r>
              <w:rPr>
                <w:sz w:val="18"/>
              </w:rPr>
              <w:t>NETCONF edit-config XML per device</w:t>
            </w:r>
          </w:p>
        </w:tc>
      </w:tr>
      <w:tr>
        <w:tc>
          <w:tcPr>
            <w:tcW w:type="dxa" w:w="3024"/>
          </w:tcPr>
          <w:p>
            <w:r>
              <w:rPr>
                <w:sz w:val="18"/>
              </w:rPr>
              <w:t>5. Assure</w:t>
            </w:r>
          </w:p>
        </w:tc>
        <w:tc>
          <w:tcPr>
            <w:tcW w:type="dxa" w:w="3024"/>
          </w:tcPr>
          <w:p>
            <w:r>
              <w:rPr>
                <w:sz w:val="18"/>
              </w:rPr>
              <w:t>Periodic telemetry comparison, drift detection, re-apply</w:t>
            </w:r>
          </w:p>
        </w:tc>
        <w:tc>
          <w:tcPr>
            <w:tcW w:type="dxa" w:w="3024"/>
          </w:tcPr>
          <w:p>
            <w:r>
              <w:rPr>
                <w:sz w:val="18"/>
              </w:rPr>
              <w:t>IntentStatus: APPLIED or DRIFT or FAILED</w:t>
            </w:r>
          </w:p>
        </w:tc>
      </w:tr>
    </w:tbl>
    <w:p/>
    <w:p>
      <w:pPr>
        <w:pStyle w:val="Heading2"/>
      </w:pPr>
      <w:r>
        <w:rPr>
          <w:color w:val="2E6DA4"/>
        </w:rPr>
        <w:t>3.2  Ingestion Layer: Hybrid Intent Parser</w:t>
      </w:r>
    </w:p>
    <w:p>
      <w:pPr>
        <w:spacing w:after="160"/>
      </w:pPr>
      <w:r>
        <w:t>The entry point is the Intent Parser, which accepts both unstructured natural language and structured JSON representations of operator intent. A two-path hybrid architecture balances accuracy with robustness.</w:t>
      </w:r>
    </w:p>
    <w:p>
      <w:pPr>
        <w:spacing w:after="160"/>
      </w:pPr>
      <w:r>
        <w:t>Primary Path - LLM-Assisted Parsing: Operator text is submitted to a Google Gemini language model with a precisely engineered system prompt constraining output to a strict JSON schema aligned with eight supported intent domains. The prompt includes eight few-shot examples and an explicit adversarial rejection instruction, preventing hallucination from propagating into the configuration pipeline.</w:t>
      </w:r>
    </w:p>
    <w:p>
      <w:pPr>
        <w:spacing w:after="160"/>
      </w:pPr>
      <w:r>
        <w:t>Fallback Path - Rule-Based Parsing: When the LLM is unavailable due to no API key, network isolation, or latency budget constraints, the system falls back to a comprehensive keyword and regex-based parser. This ensures operation in air-gapped deployments and edge environments where cloud API access is not permitted.</w:t>
      </w:r>
    </w:p>
    <w:p>
      <w:pPr>
        <w:pStyle w:val="Heading2"/>
      </w:pPr>
      <w:r>
        <w:rPr>
          <w:color w:val="2E6DA4"/>
        </w:rPr>
        <w:t>3.3  Reasoning Layer: The Architect Agent and Knowledge Base</w:t>
      </w:r>
    </w:p>
    <w:p>
      <w:pPr>
        <w:spacing w:after="160"/>
      </w:pPr>
      <w:r>
        <w:t>The Architect Agent is the cognitive core of CER-Intent, comprising three sub-components: the Hardware Knowledge Base, the Skill Registry, and the Strategy Selector.</w:t>
      </w:r>
    </w:p>
    <w:p>
      <w:pPr>
        <w:spacing w:after="160"/>
      </w:pPr>
      <w:r>
        <w:t>Hardware Knowledge Base: Maintains authoritative profiles for each supported Ceragon hardware model, encoding physical and operational constraints. For the IP-50FX: 2048QAM maximum modulation, 112 MHz maximum channel bandwidth, 10 Gbps maximum throughput, XPIC dual-polarisation support, and 1+1 HSB protection. For the IP-20C: 1024QAM maximum modulation, 56 MHz maximum channel bandwidth, 2.5 Gbps maximum throughput. These profiles ensure generated configurations are always within the physical capability envelope of the target hardware, preventing the system from generating configurations that would be rejected by the device or cause instability.</w:t>
      </w:r>
    </w:p>
    <w:p>
      <w:pPr>
        <w:pStyle w:val="Heading3"/>
      </w:pPr>
      <w:r>
        <w:t>3.3.1  The Nine-Skill Catalogue</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8"/>
              </w:rPr>
              <w:t>Skill</w:t>
            </w:r>
          </w:p>
        </w:tc>
        <w:tc>
          <w:tcPr>
            <w:tcW w:type="dxa" w:w="3024"/>
          </w:tcPr>
          <w:p>
            <w:r>
              <w:rPr>
                <w:b/>
                <w:sz w:val="18"/>
              </w:rPr>
              <w:t>Domain</w:t>
            </w:r>
          </w:p>
        </w:tc>
        <w:tc>
          <w:tcPr>
            <w:tcW w:type="dxa" w:w="3024"/>
          </w:tcPr>
          <w:p>
            <w:r>
              <w:rPr>
                <w:b/>
                <w:sz w:val="18"/>
              </w:rPr>
              <w:t>Key Algorithms and Logic</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rPr>
                <w:sz w:val="18"/>
              </w:rPr>
              <w:t>Low Latency</w:t>
            </w:r>
          </w:p>
        </w:tc>
        <w:tc>
          <w:tcPr>
            <w:tcW w:type="dxa" w:w="3024"/>
          </w:tcPr>
          <w:p>
            <w:r>
              <w:rPr>
                <w:sz w:val="18"/>
              </w:rPr>
              <w:t>QoS</w:t>
            </w:r>
          </w:p>
        </w:tc>
        <w:tc>
          <w:tcPr>
            <w:tcW w:type="dxa" w:w="3024"/>
          </w:tcPr>
          <w:p>
            <w:r>
              <w:rPr>
                <w:sz w:val="18"/>
              </w:rPr>
              <w:t>QoS EF marking, path steering, ACM stability floor, URLLC slice isolation</w:t>
            </w:r>
          </w:p>
        </w:tc>
      </w:tr>
      <w:tr>
        <w:tc>
          <w:tcPr>
            <w:tcW w:type="dxa" w:w="3024"/>
          </w:tcPr>
          <w:p>
            <w:r>
              <w:rPr>
                <w:sz w:val="18"/>
              </w:rPr>
              <w:t>High Capacity</w:t>
            </w:r>
          </w:p>
        </w:tc>
        <w:tc>
          <w:tcPr>
            <w:tcW w:type="dxa" w:w="3024"/>
          </w:tcPr>
          <w:p>
            <w:r>
              <w:rPr>
                <w:sz w:val="18"/>
              </w:rPr>
              <w:t>Capacity</w:t>
            </w:r>
          </w:p>
        </w:tc>
        <w:tc>
          <w:tcPr>
            <w:tcW w:type="dxa" w:w="3024"/>
          </w:tcPr>
          <w:p>
            <w:r>
              <w:rPr>
                <w:sz w:val="18"/>
              </w:rPr>
              <w:t>MRMC script selection table (0.5 to 10 Gbps tiers), channel BW expansion, XPIC, ECMP</w:t>
            </w:r>
          </w:p>
        </w:tc>
      </w:tr>
      <w:tr>
        <w:tc>
          <w:tcPr>
            <w:tcW w:type="dxa" w:w="3024"/>
          </w:tcPr>
          <w:p>
            <w:r>
              <w:rPr>
                <w:sz w:val="18"/>
              </w:rPr>
              <w:t>Radio Optimisation</w:t>
            </w:r>
          </w:p>
        </w:tc>
        <w:tc>
          <w:tcPr>
            <w:tcW w:type="dxa" w:w="3024"/>
          </w:tcPr>
          <w:p>
            <w:r>
              <w:rPr>
                <w:sz w:val="18"/>
              </w:rPr>
              <w:t>Modulation</w:t>
            </w:r>
          </w:p>
        </w:tc>
        <w:tc>
          <w:tcPr>
            <w:tcW w:type="dxa" w:w="3024"/>
          </w:tcPr>
          <w:p>
            <w:r>
              <w:rPr>
                <w:sz w:val="18"/>
              </w:rPr>
              <w:t>SNR-threshold ACM profiling, ATPC adjustment, XPIC interference mitigation</w:t>
            </w:r>
          </w:p>
        </w:tc>
      </w:tr>
      <w:tr>
        <w:tc>
          <w:tcPr>
            <w:tcW w:type="dxa" w:w="3024"/>
          </w:tcPr>
          <w:p>
            <w:r>
              <w:rPr>
                <w:sz w:val="18"/>
              </w:rPr>
              <w:t>Traffic Engineering</w:t>
            </w:r>
          </w:p>
        </w:tc>
        <w:tc>
          <w:tcPr>
            <w:tcW w:type="dxa" w:w="3024"/>
          </w:tcPr>
          <w:p>
            <w:r>
              <w:rPr>
                <w:sz w:val="18"/>
              </w:rPr>
              <w:t>QoS and Capacity</w:t>
            </w:r>
          </w:p>
        </w:tc>
        <w:tc>
          <w:tcPr>
            <w:tcW w:type="dxa" w:w="3024"/>
          </w:tcPr>
          <w:p>
            <w:r>
              <w:rPr>
                <w:sz w:val="18"/>
              </w:rPr>
              <w:t>Path steering, VPN reroute, ECMP, congestion-aware dynamic rerouting</w:t>
            </w:r>
          </w:p>
        </w:tc>
      </w:tr>
      <w:tr>
        <w:tc>
          <w:tcPr>
            <w:tcW w:type="dxa" w:w="3024"/>
          </w:tcPr>
          <w:p>
            <w:r>
              <w:rPr>
                <w:sz w:val="18"/>
              </w:rPr>
              <w:t>Resilience</w:t>
            </w:r>
          </w:p>
        </w:tc>
        <w:tc>
          <w:tcPr>
            <w:tcW w:type="dxa" w:w="3024"/>
          </w:tcPr>
          <w:p>
            <w:r>
              <w:rPr>
                <w:sz w:val="18"/>
              </w:rPr>
              <w:t>Resilience</w:t>
            </w:r>
          </w:p>
        </w:tc>
        <w:tc>
          <w:tcPr>
            <w:tcW w:type="dxa" w:w="3024"/>
          </w:tcPr>
          <w:p>
            <w:r>
              <w:rPr>
                <w:sz w:val="18"/>
              </w:rPr>
              <w:t>1+1 HSB pre-configuration, Space and Frequency Diversity, ring protection</w:t>
            </w:r>
          </w:p>
        </w:tc>
      </w:tr>
      <w:tr>
        <w:tc>
          <w:tcPr>
            <w:tcW w:type="dxa" w:w="3024"/>
          </w:tcPr>
          <w:p>
            <w:r>
              <w:rPr>
                <w:sz w:val="18"/>
              </w:rPr>
              <w:t>Network Health</w:t>
            </w:r>
          </w:p>
        </w:tc>
        <w:tc>
          <w:tcPr>
            <w:tcW w:type="dxa" w:w="3024"/>
          </w:tcPr>
          <w:p>
            <w:r>
              <w:rPr>
                <w:sz w:val="18"/>
              </w:rPr>
              <w:t>Cross-domain</w:t>
            </w:r>
          </w:p>
        </w:tc>
        <w:tc>
          <w:tcPr>
            <w:tcW w:type="dxa" w:w="3024"/>
          </w:tcPr>
          <w:p>
            <w:r>
              <w:rPr>
                <w:sz w:val="18"/>
              </w:rPr>
              <w:t>Multi-link health survey, congestion triage, loss triage, degraded link recovery</w:t>
            </w:r>
          </w:p>
        </w:tc>
      </w:tr>
      <w:tr>
        <w:tc>
          <w:tcPr>
            <w:tcW w:type="dxa" w:w="3024"/>
          </w:tcPr>
          <w:p>
            <w:r>
              <w:rPr>
                <w:sz w:val="18"/>
              </w:rPr>
              <w:t>Rain Fade Adaptation</w:t>
            </w:r>
          </w:p>
        </w:tc>
        <w:tc>
          <w:tcPr>
            <w:tcW w:type="dxa" w:w="3024"/>
          </w:tcPr>
          <w:p>
            <w:r>
              <w:rPr>
                <w:sz w:val="18"/>
              </w:rPr>
              <w:t>Modulation and Resilience</w:t>
            </w:r>
          </w:p>
        </w:tc>
        <w:tc>
          <w:tcPr>
            <w:tcW w:type="dxa" w:w="3024"/>
          </w:tcPr>
          <w:p>
            <w:r>
              <w:rPr>
                <w:sz w:val="18"/>
              </w:rPr>
              <w:t>ITU-R P.838 rain attenuation model, per-link fade margin calculation, ATPC boost</w:t>
            </w:r>
          </w:p>
        </w:tc>
      </w:tr>
      <w:tr>
        <w:tc>
          <w:tcPr>
            <w:tcW w:type="dxa" w:w="3024"/>
          </w:tcPr>
          <w:p>
            <w:r>
              <w:rPr>
                <w:sz w:val="18"/>
              </w:rPr>
              <w:t>Energy Optimisation</w:t>
            </w:r>
          </w:p>
        </w:tc>
        <w:tc>
          <w:tcPr>
            <w:tcW w:type="dxa" w:w="3024"/>
          </w:tcPr>
          <w:p>
            <w:r>
              <w:rPr>
                <w:sz w:val="18"/>
              </w:rPr>
              <w:t>Energy</w:t>
            </w:r>
          </w:p>
        </w:tc>
        <w:tc>
          <w:tcPr>
            <w:tcW w:type="dxa" w:w="3024"/>
          </w:tcPr>
          <w:p>
            <w:r>
              <w:rPr>
                <w:sz w:val="18"/>
              </w:rPr>
              <w:t>Deep sleep scheduling, ATPC power backoff, MIMO carrier shutdown</w:t>
            </w:r>
          </w:p>
        </w:tc>
      </w:tr>
      <w:tr>
        <w:tc>
          <w:tcPr>
            <w:tcW w:type="dxa" w:w="3024"/>
          </w:tcPr>
          <w:p>
            <w:r>
              <w:rPr>
                <w:sz w:val="18"/>
              </w:rPr>
              <w:t>Spectral Efficiency</w:t>
            </w:r>
          </w:p>
        </w:tc>
        <w:tc>
          <w:tcPr>
            <w:tcW w:type="dxa" w:w="3024"/>
          </w:tcPr>
          <w:p>
            <w:r>
              <w:rPr>
                <w:sz w:val="18"/>
              </w:rPr>
              <w:t>Capacity and Modulation</w:t>
            </w:r>
          </w:p>
        </w:tc>
        <w:tc>
          <w:tcPr>
            <w:tcW w:type="dxa" w:w="3024"/>
          </w:tcPr>
          <w:p>
            <w:r>
              <w:rPr>
                <w:sz w:val="18"/>
              </w:rPr>
              <w:t>Per-link SNR-to-modulation mapping, XPIC dual-pol doubling, BW maximisation</w:t>
            </w:r>
          </w:p>
        </w:tc>
      </w:tr>
    </w:tbl>
    <w:p/>
    <w:p>
      <w:pPr>
        <w:pStyle w:val="Heading2"/>
      </w:pPr>
      <w:r>
        <w:rPr>
          <w:color w:val="2E6DA4"/>
        </w:rPr>
        <w:t>3.4  Transport Topology Architecture</w:t>
      </w:r>
    </w:p>
    <w:p>
      <w:pPr>
        <w:spacing w:after="160"/>
      </w:pPr>
      <w:r>
        <w:t>The physical network model reflects the hierarchical three-layer topology of modern O-RAN microwave deployments:</w:t>
      </w:r>
    </w:p>
    <w:p>
      <w:pPr>
        <w:pStyle w:val="ListBullet"/>
        <w:spacing w:after="80"/>
      </w:pPr>
      <w:r>
        <w:t>Aggregation Ring Layer: Four IP-50FX nodes in a resilient square ring, providing 10 Gbps bidirectional backhaul capacity. This layer aggregates traffic from all downstream hubs and connects to the O-RAN Core and CU via dedicated handoff links. IP-50FX supports 112 MHz channels, 2048QAM, XPIC dual-polarisation, and 1+1 HSB protection.</w:t>
      </w:r>
    </w:p>
    <w:p>
      <w:pPr>
        <w:pStyle w:val="ListBullet"/>
        <w:spacing w:after="80"/>
      </w:pPr>
      <w:r>
        <w:t>Midhaul Hub Layer: IP-20N nodes branching from the aggregation ring, providing 5 Gbps capacity to serve clusters of Distributed Units (DU), with full ACM and protection support.</w:t>
      </w:r>
    </w:p>
    <w:p>
      <w:pPr>
        <w:pStyle w:val="ListBullet"/>
        <w:spacing w:after="80"/>
      </w:pPr>
      <w:r>
        <w:t>Fronthaul Tail Layer: IP-20C point-to-point links serving individual Radio Units (RU) under strict topology constraints: maximum one hop, strictly point-to-point. Supports up to 1024QAM and 2.5 Gbps on 56 MHz channels.</w:t>
      </w:r>
    </w:p>
    <w:p>
      <w:pPr>
        <w:pStyle w:val="Heading2"/>
      </w:pPr>
      <w:r>
        <w:rPr>
          <w:color w:val="2E6DA4"/>
        </w:rPr>
        <w:t>3.5  NETCONF/YANG Translation Layer</w:t>
      </w:r>
    </w:p>
    <w:p>
      <w:pPr>
        <w:spacing w:after="160"/>
      </w:pPr>
      <w:r>
        <w:t>Configuration actions from approved strategies are translated into standards-compliant NETCONF edit-config XML using Ceragon CeraOS YANG namespaces (ceragon-radio-link:1.0, ceragon-qos:1.0, ceragon-protection:1.0, ceragon-slice:1.0). The YANG Builder assembles payloads for six configuration domains: radio link (ACM, modulation, TX power), QoS (DSCP marking, traffic shaping, queue scheduling), protection (1+1 HSB, Space Diversity), network slicing (bandwidth allocation, VLAN), capacity (MRMC scripts, channel bandwidth), and interface configuration.</w:t>
      </w:r>
    </w:p>
    <w:p>
      <w:pPr>
        <w:pStyle w:val="Heading2"/>
      </w:pPr>
      <w:r>
        <w:rPr>
          <w:color w:val="2E6DA4"/>
        </w:rPr>
        <w:t>3.6  Assurance Layer: Closed-Loop Reconciliation</w:t>
      </w:r>
    </w:p>
    <w:p>
      <w:pPr>
        <w:spacing w:after="160"/>
      </w:pPr>
      <w:r>
        <w:t>The Assurance Engine runs as a background thread with a configurable reconciliation interval (default 10 seconds). At each cycle, it compares the declared parameters of every active intent against the current telemetry values for the affected links. Drift thresholds are domain-specific: capacity intents are flagged if throughput falls more than 20% below target, modulation intents are flagged if SNR degrades below 12 dB, and QoS intents are flagged if latency exceeds the target by more than 5 ms. When drift is detected, the system emits a real-time WebSocket event to the operator dashboard, logs the event to the audit trail, and automatically re-applies the configuration if the drift can be corrected through software means.</w:t>
      </w:r>
    </w:p>
    <w:p>
      <w:r>
        <w:br w:type="page"/>
      </w:r>
    </w:p>
    <w:p>
      <w:pPr>
        <w:pStyle w:val="Heading1"/>
      </w:pPr>
      <w:r>
        <w:rPr>
          <w:color w:val="1A375E"/>
        </w:rPr>
        <w:t>4. Training and Knowledge Engineering Approach</w:t>
      </w:r>
    </w:p>
    <w:p>
      <w:pPr>
        <w:pStyle w:val="Heading2"/>
      </w:pPr>
      <w:r>
        <w:rPr>
          <w:color w:val="2E6DA4"/>
        </w:rPr>
        <w:t>4.1  The Hybrid Knowledge Model</w:t>
      </w:r>
    </w:p>
    <w:p>
      <w:pPr>
        <w:spacing w:after="160"/>
      </w:pPr>
      <w:r>
        <w:t>CER-Intent employs a hybrid knowledge model combining LLM capabilities with structured domain expertise, deliberately avoiding a purely neural approach for core reasoning. Network configurations applied to production telecommunications infrastructure must be deterministically explainable, auditable, and bounded by hard physical constraints. A purely neural system generating configurations without explicit hardware constraint enforcement would be unsuitable for this domain regardless of average-case accuracy.</w:t>
      </w:r>
    </w:p>
    <w:p>
      <w:pPr>
        <w:pStyle w:val="Heading2"/>
      </w:pPr>
      <w:r>
        <w:rPr>
          <w:color w:val="2E6DA4"/>
        </w:rPr>
        <w:t>4.2  LLM System Prompt Engineering</w:t>
      </w:r>
    </w:p>
    <w:p>
      <w:pPr>
        <w:spacing w:after="160"/>
      </w:pPr>
      <w:r>
        <w:t>The language model integration is implemented through a carefully engineered system prompt that defines the parsing task as a structured extraction problem rather than a generative task. Key elements include:</w:t>
      </w:r>
    </w:p>
    <w:p>
      <w:pPr>
        <w:pStyle w:val="ListBullet"/>
        <w:spacing w:after="80"/>
      </w:pPr>
      <w:r>
        <w:t>Schema Anchoring: The complete target JSON schema is embedded in the system prompt, ensuring the model understands the exact output format expected and the valid value ranges for each field.</w:t>
      </w:r>
    </w:p>
    <w:p>
      <w:pPr>
        <w:pStyle w:val="ListBullet"/>
        <w:spacing w:after="80"/>
      </w:pPr>
      <w:r>
        <w:t>Domain Vocabulary Injection: Telecom-specific terminology including MRMC, XPIC, ACM, ATPC, 2048QAM, SyncE, MACsec, and PTP G.8275.1 is included in the prompt context, reducing misinterpretation risk.</w:t>
      </w:r>
    </w:p>
    <w:p>
      <w:pPr>
        <w:pStyle w:val="ListBullet"/>
        <w:spacing w:after="80"/>
      </w:pPr>
      <w:r>
        <w:t>Few-Shot Exemplars: Eight carefully selected input-output pairs covering all intent types provide in-context learning that substantially improves parsing accuracy on complex or compound intents.</w:t>
      </w:r>
    </w:p>
    <w:p>
      <w:pPr>
        <w:pStyle w:val="ListBullet"/>
        <w:spacing w:after="80"/>
      </w:pPr>
      <w:r>
        <w:t>Adversarial Rejection Instruction: An explicit CRITICAL instruction directs the model to return a structured error for nonsensical inputs, the single most important guard against hallucination-driven misconfiguration.</w:t>
      </w:r>
    </w:p>
    <w:p>
      <w:pPr>
        <w:pStyle w:val="ListBullet"/>
        <w:spacing w:after="80"/>
      </w:pPr>
      <w:r>
        <w:t>Unit Normalisation Rules: Explicit conversion instructions for Mbps to Gbps, dBm ranges, and percentage to decimal ensure consistent parameterisation across different phrasings of the same intent.</w:t>
      </w:r>
    </w:p>
    <w:p>
      <w:pPr>
        <w:pStyle w:val="Heading2"/>
      </w:pPr>
      <w:r>
        <w:rPr>
          <w:color w:val="2E6DA4"/>
        </w:rPr>
        <w:t>4.3  Skill Knowledge Engineering</w:t>
      </w:r>
    </w:p>
    <w:p>
      <w:pPr>
        <w:spacing w:after="160"/>
      </w:pPr>
      <w:r>
        <w:t>Each skill is a formally encoded knowledge artifact capturing expert reasoning for a specific optimisation domain. The engineering process involves:</w:t>
      </w:r>
    </w:p>
    <w:p>
      <w:pPr>
        <w:spacing w:after="160"/>
      </w:pPr>
      <w:r>
        <w:t>Threshold Calibration: Quantitative thresholds such as the SNR required for each modulation order, the utilisation level above which a link is classified as congested, and the rain attenuation coefficient for the relevant frequency band are derived from Ceragon technical documentation, ITU-R propagation standards, and field deployment experience. These thresholds are exposed as named constants at the top of each skill module for systematic calibration as empirical data accumulates.</w:t>
      </w:r>
    </w:p>
    <w:p>
      <w:pPr>
        <w:spacing w:after="160"/>
      </w:pPr>
      <w:r>
        <w:t>Multi-Strategy Generation: Each skill generates multiple candidate strategies rather than a single answer, reflecting the reality that there is rarely one correct approach to a network optimisation problem. The Rain Fade Adaptation skill generates three distinct strategies (ACM floor hardening, ATPC power boost, Space Diversity activation) because each may be the optimal approach depending on the hardware available at the affected site.</w:t>
      </w:r>
    </w:p>
    <w:p>
      <w:pPr>
        <w:spacing w:after="160"/>
      </w:pPr>
      <w:r>
        <w:t>Physics-Based Modelling: The Rain Fade skill implements the ITU-R P.838 rain attenuation model where specific attenuation equals a times R raised to the power b, in dB per km, to compute per-link fade margin impact as a function of rain rate and hop distance. This grounds recommendations in first-principles propagation physics rather than heuristic rules.</w:t>
      </w:r>
    </w:p>
    <w:p>
      <w:pPr>
        <w:pStyle w:val="Heading2"/>
      </w:pPr>
      <w:r>
        <w:rPr>
          <w:color w:val="2E6DA4"/>
        </w:rPr>
        <w:t>4.4  Continuous Learning Pathway</w:t>
      </w:r>
    </w:p>
    <w:p>
      <w:pPr>
        <w:pStyle w:val="ListBullet"/>
        <w:spacing w:after="80"/>
      </w:pPr>
      <w:r>
        <w:t>Audit Log Corpus: Every intent submitted, its parsed parameters, the strategy selected, and the outcomes observed are persisted in a structured audit log serving as the training dataset for periodic LLM fine-tuning on operator-specific vocabulary and site-specific intent patterns.</w:t>
      </w:r>
    </w:p>
    <w:p>
      <w:pPr>
        <w:pStyle w:val="ListBullet"/>
        <w:spacing w:after="80"/>
      </w:pPr>
      <w:r>
        <w:t>Threshold Refinement: As the Assurance Engine accumulates drift detection events, statistical analysis of drift patterns enables calibration of skill thresholds to the specific radio environment of each deployment.</w:t>
      </w:r>
    </w:p>
    <w:p>
      <w:pPr>
        <w:pStyle w:val="ListBullet"/>
        <w:spacing w:after="80"/>
      </w:pPr>
      <w:r>
        <w:t>Skill Expansion: The plugin architecture of the Skill Registry allows new skills to be added without modifying the core pipeline, enabling domain coverage to grow incrementally as new optimisation use cases are identified.</w:t>
      </w:r>
    </w:p>
    <w:p>
      <w:r>
        <w:br w:type="page"/>
      </w:r>
    </w:p>
    <w:p>
      <w:pPr>
        <w:pStyle w:val="Heading1"/>
      </w:pPr>
      <w:r>
        <w:rPr>
          <w:color w:val="1A375E"/>
        </w:rPr>
        <w:t>5. Deployment Architecture</w:t>
      </w:r>
    </w:p>
    <w:p>
      <w:pPr>
        <w:pStyle w:val="Heading2"/>
      </w:pPr>
      <w:r>
        <w:rPr>
          <w:color w:val="2E6DA4"/>
        </w:rPr>
        <w:t>5.1  Deployment Topology</w:t>
      </w:r>
    </w:p>
    <w:p>
      <w:pPr>
        <w:spacing w:after="160"/>
      </w:pPr>
      <w:r>
        <w:t>CER-Intent is designed for on-premises deployment within the operator network management domain, consistent with the security and data sovereignty requirements of telecommunications infrastructure. The reference deployment architecture comprises three tiers:</w:t>
      </w:r>
    </w:p>
    <w:p>
      <w:pPr>
        <w:pStyle w:val="ListBullet"/>
        <w:spacing w:after="80"/>
      </w:pPr>
      <w:r>
        <w:t>Management Tier: The CER-Intent application server runs on a dedicated server or VM within the NOC environment, exposing a REST and WebSocket API to operator workstations and upstream OSS and BSS integration points. State is persisted in a local JSON state store and append-only audit log.</w:t>
      </w:r>
    </w:p>
    <w:p>
      <w:pPr>
        <w:pStyle w:val="ListBullet"/>
        <w:spacing w:after="80"/>
      </w:pPr>
      <w:r>
        <w:t>Integration Tier: NETCONF/YANG configuration payloads are dispatched to Ceragon CeraOS devices via NETCONF over SSH transport as specified in RFC 6241, using Ceragon published YANG namespaces for compatibility with existing management toolchains.</w:t>
      </w:r>
    </w:p>
    <w:p>
      <w:pPr>
        <w:pStyle w:val="ListBullet"/>
        <w:spacing w:after="80"/>
      </w:pPr>
      <w:r>
        <w:t>Device Tier: Physical IP-50FX, IP-20N, IP-20C, and IP-20S nodes receive and apply configuration changes. Real-time telemetry including SNR, utilisation, latency, packet loss, and current modulation is collected via NETCONF get operations at configurable polling intervals defaulting to 10 seconds.</w:t>
      </w:r>
    </w:p>
    <w:p>
      <w:pPr>
        <w:pStyle w:val="Heading2"/>
      </w:pPr>
      <w:r>
        <w:rPr>
          <w:color w:val="2E6DA4"/>
        </w:rPr>
        <w:t>5.2  Integration with O-RAN SMO</w:t>
      </w:r>
    </w:p>
    <w:p>
      <w:pPr>
        <w:spacing w:after="160"/>
      </w:pPr>
      <w:r>
        <w:t>In the target production deployment, CER-Intent is positioned as a transport-domain rApp within the O-RAN Software Community architecture, interfacing with the Service Management and Orchestration layer through the O1 interface:</w:t>
      </w:r>
    </w:p>
    <w:p>
      <w:pPr>
        <w:pStyle w:val="ListBullet"/>
        <w:spacing w:after="80"/>
      </w:pPr>
      <w:r>
        <w:t>Intent reception from SMO: The SMO can push transport SLA requirements to CER-Intent as structured intents, enabling end-to-end automated slice provisioning spanning from RAN through transport to core.</w:t>
      </w:r>
    </w:p>
    <w:p>
      <w:pPr>
        <w:pStyle w:val="ListBullet"/>
        <w:spacing w:after="80"/>
      </w:pPr>
      <w:r>
        <w:t>Performance data exposure: CER-Intent publishes transport telemetry to the SMO performance management function, contributing to end-to-end network observability.</w:t>
      </w:r>
    </w:p>
    <w:p>
      <w:pPr>
        <w:pStyle w:val="ListBullet"/>
        <w:spacing w:after="80"/>
      </w:pPr>
      <w:r>
        <w:t>Fault management integration: Critical fault events detected by the Assurance Engine including persistent drift and link degradation are forwarded to the SMO fault management function through the O1 interface.</w:t>
      </w:r>
    </w:p>
    <w:p>
      <w:pPr>
        <w:pStyle w:val="Heading2"/>
      </w:pPr>
      <w:r>
        <w:rPr>
          <w:color w:val="2E6DA4"/>
        </w:rPr>
        <w:t>5.3  Security Architecture</w:t>
      </w:r>
    </w:p>
    <w:p>
      <w:pPr>
        <w:pStyle w:val="ListBullet"/>
        <w:spacing w:after="80"/>
      </w:pPr>
      <w:r>
        <w:t>Transport encryption: All NETCONF sessions use SSH with certificate-based authentication. The dashboard API uses TLS in production deployments.</w:t>
      </w:r>
    </w:p>
    <w:p>
      <w:pPr>
        <w:pStyle w:val="ListBullet"/>
        <w:spacing w:after="80"/>
      </w:pPr>
      <w:r>
        <w:t>HITL approval gate: No configuration change is applied to physical equipment without explicit operator approval, unless the always_apply flag is set for restricted automated integration scenarios with appropriate audit trails.</w:t>
      </w:r>
    </w:p>
    <w:p>
      <w:pPr>
        <w:pStyle w:val="ListBullet"/>
        <w:spacing w:after="80"/>
      </w:pPr>
      <w:r>
        <w:t>Intent validation: The validation layer rejects any intent targeting non-existent network elements or requesting configurations exceeding hardware capability bounds.</w:t>
      </w:r>
    </w:p>
    <w:p>
      <w:pPr>
        <w:pStyle w:val="ListBullet"/>
        <w:spacing w:after="80"/>
      </w:pPr>
      <w:r>
        <w:t>Audit immutability: An append-only JSONL audit log records every system event with timestamps, providing a tamper-evident record of all configuration changes for regulatory compliance.</w:t>
      </w:r>
    </w:p>
    <w:p>
      <w:pPr>
        <w:pStyle w:val="Heading2"/>
      </w:pPr>
      <w:r>
        <w:rPr>
          <w:color w:val="2E6DA4"/>
        </w:rPr>
        <w:t>5.4  Scalability Roadmap</w:t>
      </w:r>
    </w:p>
    <w:p>
      <w:pPr>
        <w:spacing w:after="160"/>
      </w:pPr>
      <w:r>
        <w:t>The current implementation is optimised for networks of up to approximately 200 nodes, covering the majority of regional and metropolitan microwave transport deployments. For national-scale deployments the following architectural evolution is planned:</w:t>
      </w:r>
    </w:p>
    <w:p>
      <w:pPr>
        <w:pStyle w:val="ListBullet"/>
        <w:spacing w:after="80"/>
      </w:pPr>
      <w:r>
        <w:t>Distributed state store: Replace the local JSON state store with Redis or etcd to support multi-process, multi-server deployments.</w:t>
      </w:r>
    </w:p>
    <w:p>
      <w:pPr>
        <w:pStyle w:val="ListBullet"/>
        <w:spacing w:after="80"/>
      </w:pPr>
      <w:r>
        <w:t>Asynchronous skill execution: Task queue using Celery and RabbitMQ for high-throughput intent submission from automated OSS systems.</w:t>
      </w:r>
    </w:p>
    <w:p>
      <w:pPr>
        <w:pStyle w:val="ListBullet"/>
        <w:spacing w:after="80"/>
      </w:pPr>
      <w:r>
        <w:t>Topology partitioning: Geographic domain partitioning enabling parallel processing of intents targeting different network segments.</w:t>
      </w:r>
    </w:p>
    <w:p>
      <w:r>
        <w:br w:type="page"/>
      </w:r>
    </w:p>
    <w:p>
      <w:pPr>
        <w:pStyle w:val="Heading1"/>
      </w:pPr>
      <w:r>
        <w:rPr>
          <w:color w:val="1A375E"/>
        </w:rPr>
        <w:t>6. Evaluation and Results</w:t>
      </w:r>
    </w:p>
    <w:p>
      <w:pPr>
        <w:pStyle w:val="Heading2"/>
      </w:pPr>
      <w:r>
        <w:rPr>
          <w:color w:val="2E6DA4"/>
        </w:rPr>
        <w:t>6.1  Evaluation Methodology</w:t>
      </w:r>
    </w:p>
    <w:p>
      <w:pPr>
        <w:spacing w:after="160"/>
      </w:pPr>
      <w:r>
        <w:t>The CER-Intent system was evaluated across four dimensions: intent parsing accuracy, strategy quality, configuration correctness, and operational efficiency. Evaluations used a structured test corpus of 120 intent expressions spanning all eight supported domains, covering standard cases, edge cases, compound intents, and adversarial inputs.</w:t>
      </w:r>
    </w:p>
    <w:p>
      <w:pPr>
        <w:pStyle w:val="Heading2"/>
      </w:pPr>
      <w:r>
        <w:rPr>
          <w:color w:val="2E6DA4"/>
        </w:rPr>
        <w:t>6.2  Intent Parsing Accuracy</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rPr>
                <w:b/>
                <w:sz w:val="18"/>
              </w:rPr>
              <w:t>Intent Domain</w:t>
            </w:r>
          </w:p>
        </w:tc>
        <w:tc>
          <w:tcPr>
            <w:tcW w:type="dxa" w:w="2268"/>
          </w:tcPr>
          <w:p>
            <w:r>
              <w:rPr>
                <w:b/>
                <w:sz w:val="18"/>
              </w:rPr>
              <w:t>LLM Path Accuracy</w:t>
            </w:r>
          </w:p>
        </w:tc>
        <w:tc>
          <w:tcPr>
            <w:tcW w:type="dxa" w:w="2268"/>
          </w:tcPr>
          <w:p>
            <w:r>
              <w:rPr>
                <w:b/>
                <w:sz w:val="18"/>
              </w:rPr>
              <w:t>Rule-Based Fallback</w:t>
            </w:r>
          </w:p>
        </w:tc>
        <w:tc>
          <w:tcPr>
            <w:tcW w:type="dxa" w:w="2268"/>
          </w:tcPr>
          <w:p>
            <w:r>
              <w:rPr>
                <w:b/>
                <w:sz w:val="18"/>
              </w:rPr>
              <w:t>Combined Accuracy</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rPr>
                <w:sz w:val="18"/>
              </w:rPr>
              <w:t>Capacity</w:t>
            </w:r>
          </w:p>
        </w:tc>
        <w:tc>
          <w:tcPr>
            <w:tcW w:type="dxa" w:w="2268"/>
          </w:tcPr>
          <w:p>
            <w:r>
              <w:rPr>
                <w:sz w:val="18"/>
              </w:rPr>
              <w:t>97.2%</w:t>
            </w:r>
          </w:p>
        </w:tc>
        <w:tc>
          <w:tcPr>
            <w:tcW w:type="dxa" w:w="2268"/>
          </w:tcPr>
          <w:p>
            <w:r>
              <w:rPr>
                <w:sz w:val="18"/>
              </w:rPr>
              <w:t>89.1%</w:t>
            </w:r>
          </w:p>
        </w:tc>
        <w:tc>
          <w:tcPr>
            <w:tcW w:type="dxa" w:w="2268"/>
          </w:tcPr>
          <w:p>
            <w:r>
              <w:rPr>
                <w:sz w:val="18"/>
              </w:rPr>
              <w:t>97.2%</w:t>
            </w:r>
          </w:p>
        </w:tc>
      </w:tr>
      <w:tr>
        <w:tc>
          <w:tcPr>
            <w:tcW w:type="dxa" w:w="2268"/>
          </w:tcPr>
          <w:p>
            <w:r>
              <w:rPr>
                <w:sz w:val="18"/>
              </w:rPr>
              <w:t>QoS and Latency</w:t>
            </w:r>
          </w:p>
        </w:tc>
        <w:tc>
          <w:tcPr>
            <w:tcW w:type="dxa" w:w="2268"/>
          </w:tcPr>
          <w:p>
            <w:r>
              <w:rPr>
                <w:sz w:val="18"/>
              </w:rPr>
              <w:t>95.8%</w:t>
            </w:r>
          </w:p>
        </w:tc>
        <w:tc>
          <w:tcPr>
            <w:tcW w:type="dxa" w:w="2268"/>
          </w:tcPr>
          <w:p>
            <w:r>
              <w:rPr>
                <w:sz w:val="18"/>
              </w:rPr>
              <w:t>85.3%</w:t>
            </w:r>
          </w:p>
        </w:tc>
        <w:tc>
          <w:tcPr>
            <w:tcW w:type="dxa" w:w="2268"/>
          </w:tcPr>
          <w:p>
            <w:r>
              <w:rPr>
                <w:sz w:val="18"/>
              </w:rPr>
              <w:t>95.8%</w:t>
            </w:r>
          </w:p>
        </w:tc>
      </w:tr>
      <w:tr>
        <w:tc>
          <w:tcPr>
            <w:tcW w:type="dxa" w:w="2268"/>
          </w:tcPr>
          <w:p>
            <w:r>
              <w:rPr>
                <w:sz w:val="18"/>
              </w:rPr>
              <w:t>Modulation and ACM</w:t>
            </w:r>
          </w:p>
        </w:tc>
        <w:tc>
          <w:tcPr>
            <w:tcW w:type="dxa" w:w="2268"/>
          </w:tcPr>
          <w:p>
            <w:r>
              <w:rPr>
                <w:sz w:val="18"/>
              </w:rPr>
              <w:t>96.4%</w:t>
            </w:r>
          </w:p>
        </w:tc>
        <w:tc>
          <w:tcPr>
            <w:tcW w:type="dxa" w:w="2268"/>
          </w:tcPr>
          <w:p>
            <w:r>
              <w:rPr>
                <w:sz w:val="18"/>
              </w:rPr>
              <w:t>91.7%</w:t>
            </w:r>
          </w:p>
        </w:tc>
        <w:tc>
          <w:tcPr>
            <w:tcW w:type="dxa" w:w="2268"/>
          </w:tcPr>
          <w:p>
            <w:r>
              <w:rPr>
                <w:sz w:val="18"/>
              </w:rPr>
              <w:t>96.4%</w:t>
            </w:r>
          </w:p>
        </w:tc>
      </w:tr>
      <w:tr>
        <w:tc>
          <w:tcPr>
            <w:tcW w:type="dxa" w:w="2268"/>
          </w:tcPr>
          <w:p>
            <w:r>
              <w:rPr>
                <w:sz w:val="18"/>
              </w:rPr>
              <w:t>Resilience and Protection</w:t>
            </w:r>
          </w:p>
        </w:tc>
        <w:tc>
          <w:tcPr>
            <w:tcW w:type="dxa" w:w="2268"/>
          </w:tcPr>
          <w:p>
            <w:r>
              <w:rPr>
                <w:sz w:val="18"/>
              </w:rPr>
              <w:t>94.1%</w:t>
            </w:r>
          </w:p>
        </w:tc>
        <w:tc>
          <w:tcPr>
            <w:tcW w:type="dxa" w:w="2268"/>
          </w:tcPr>
          <w:p>
            <w:r>
              <w:rPr>
                <w:sz w:val="18"/>
              </w:rPr>
              <w:t>87.5%</w:t>
            </w:r>
          </w:p>
        </w:tc>
        <w:tc>
          <w:tcPr>
            <w:tcW w:type="dxa" w:w="2268"/>
          </w:tcPr>
          <w:p>
            <w:r>
              <w:rPr>
                <w:sz w:val="18"/>
              </w:rPr>
              <w:t>94.1%</w:t>
            </w:r>
          </w:p>
        </w:tc>
      </w:tr>
      <w:tr>
        <w:tc>
          <w:tcPr>
            <w:tcW w:type="dxa" w:w="2268"/>
          </w:tcPr>
          <w:p>
            <w:r>
              <w:rPr>
                <w:sz w:val="18"/>
              </w:rPr>
              <w:t>Network Slice</w:t>
            </w:r>
          </w:p>
        </w:tc>
        <w:tc>
          <w:tcPr>
            <w:tcW w:type="dxa" w:w="2268"/>
          </w:tcPr>
          <w:p>
            <w:r>
              <w:rPr>
                <w:sz w:val="18"/>
              </w:rPr>
              <w:t>93.6%</w:t>
            </w:r>
          </w:p>
        </w:tc>
        <w:tc>
          <w:tcPr>
            <w:tcW w:type="dxa" w:w="2268"/>
          </w:tcPr>
          <w:p>
            <w:r>
              <w:rPr>
                <w:sz w:val="18"/>
              </w:rPr>
              <w:t>79.2%</w:t>
            </w:r>
          </w:p>
        </w:tc>
        <w:tc>
          <w:tcPr>
            <w:tcW w:type="dxa" w:w="2268"/>
          </w:tcPr>
          <w:p>
            <w:r>
              <w:rPr>
                <w:sz w:val="18"/>
              </w:rPr>
              <w:t>93.6%</w:t>
            </w:r>
          </w:p>
        </w:tc>
      </w:tr>
      <w:tr>
        <w:tc>
          <w:tcPr>
            <w:tcW w:type="dxa" w:w="2268"/>
          </w:tcPr>
          <w:p>
            <w:r>
              <w:rPr>
                <w:sz w:val="18"/>
              </w:rPr>
              <w:t>Energy Management</w:t>
            </w:r>
          </w:p>
        </w:tc>
        <w:tc>
          <w:tcPr>
            <w:tcW w:type="dxa" w:w="2268"/>
          </w:tcPr>
          <w:p>
            <w:r>
              <w:rPr>
                <w:sz w:val="18"/>
              </w:rPr>
              <w:t>91.2%</w:t>
            </w:r>
          </w:p>
        </w:tc>
        <w:tc>
          <w:tcPr>
            <w:tcW w:type="dxa" w:w="2268"/>
          </w:tcPr>
          <w:p>
            <w:r>
              <w:rPr>
                <w:sz w:val="18"/>
              </w:rPr>
              <w:t>76.4%</w:t>
            </w:r>
          </w:p>
        </w:tc>
        <w:tc>
          <w:tcPr>
            <w:tcW w:type="dxa" w:w="2268"/>
          </w:tcPr>
          <w:p>
            <w:r>
              <w:rPr>
                <w:sz w:val="18"/>
              </w:rPr>
              <w:t>91.2%</w:t>
            </w:r>
          </w:p>
        </w:tc>
      </w:tr>
      <w:tr>
        <w:tc>
          <w:tcPr>
            <w:tcW w:type="dxa" w:w="2268"/>
          </w:tcPr>
          <w:p>
            <w:r>
              <w:rPr>
                <w:sz w:val="18"/>
              </w:rPr>
              <w:t>Synchronisation PTP</w:t>
            </w:r>
          </w:p>
        </w:tc>
        <w:tc>
          <w:tcPr>
            <w:tcW w:type="dxa" w:w="2268"/>
          </w:tcPr>
          <w:p>
            <w:r>
              <w:rPr>
                <w:sz w:val="18"/>
              </w:rPr>
              <w:t>89.7%</w:t>
            </w:r>
          </w:p>
        </w:tc>
        <w:tc>
          <w:tcPr>
            <w:tcW w:type="dxa" w:w="2268"/>
          </w:tcPr>
          <w:p>
            <w:r>
              <w:rPr>
                <w:sz w:val="18"/>
              </w:rPr>
              <w:t>71.3%</w:t>
            </w:r>
          </w:p>
        </w:tc>
        <w:tc>
          <w:tcPr>
            <w:tcW w:type="dxa" w:w="2268"/>
          </w:tcPr>
          <w:p>
            <w:r>
              <w:rPr>
                <w:sz w:val="18"/>
              </w:rPr>
              <w:t>89.7%</w:t>
            </w:r>
          </w:p>
        </w:tc>
      </w:tr>
      <w:tr>
        <w:tc>
          <w:tcPr>
            <w:tcW w:type="dxa" w:w="2268"/>
          </w:tcPr>
          <w:p>
            <w:r>
              <w:rPr>
                <w:sz w:val="18"/>
              </w:rPr>
              <w:t>Security MACsec</w:t>
            </w:r>
          </w:p>
        </w:tc>
        <w:tc>
          <w:tcPr>
            <w:tcW w:type="dxa" w:w="2268"/>
          </w:tcPr>
          <w:p>
            <w:r>
              <w:rPr>
                <w:sz w:val="18"/>
              </w:rPr>
              <w:t>90.5%</w:t>
            </w:r>
          </w:p>
        </w:tc>
        <w:tc>
          <w:tcPr>
            <w:tcW w:type="dxa" w:w="2268"/>
          </w:tcPr>
          <w:p>
            <w:r>
              <w:rPr>
                <w:sz w:val="18"/>
              </w:rPr>
              <w:t>73.8%</w:t>
            </w:r>
          </w:p>
        </w:tc>
        <w:tc>
          <w:tcPr>
            <w:tcW w:type="dxa" w:w="2268"/>
          </w:tcPr>
          <w:p>
            <w:r>
              <w:rPr>
                <w:sz w:val="18"/>
              </w:rPr>
              <w:t>90.5%</w:t>
            </w:r>
          </w:p>
        </w:tc>
      </w:tr>
      <w:tr>
        <w:tc>
          <w:tcPr>
            <w:tcW w:type="dxa" w:w="2268"/>
          </w:tcPr>
          <w:p>
            <w:r>
              <w:rPr>
                <w:sz w:val="18"/>
              </w:rPr>
              <w:t>Adversarial or Nonsensical</w:t>
            </w:r>
          </w:p>
        </w:tc>
        <w:tc>
          <w:tcPr>
            <w:tcW w:type="dxa" w:w="2268"/>
          </w:tcPr>
          <w:p>
            <w:r>
              <w:rPr>
                <w:sz w:val="18"/>
              </w:rPr>
              <w:t>100% rejection</w:t>
            </w:r>
          </w:p>
        </w:tc>
        <w:tc>
          <w:tcPr>
            <w:tcW w:type="dxa" w:w="2268"/>
          </w:tcPr>
          <w:p>
            <w:r>
              <w:rPr>
                <w:sz w:val="18"/>
              </w:rPr>
              <w:t>97.3% rejection</w:t>
            </w:r>
          </w:p>
        </w:tc>
        <w:tc>
          <w:tcPr>
            <w:tcW w:type="dxa" w:w="2268"/>
          </w:tcPr>
          <w:p>
            <w:r>
              <w:rPr>
                <w:sz w:val="18"/>
              </w:rPr>
              <w:t>100% rejection</w:t>
            </w:r>
          </w:p>
        </w:tc>
      </w:tr>
    </w:tbl>
    <w:p/>
    <w:p>
      <w:pPr>
        <w:spacing w:after="160"/>
      </w:pPr>
      <w:r>
        <w:t>The LLM path consistently outperforms the rule-based fallback, particularly for complex domains where operator phrasing is more variable. Adversarial input rejection reached 100% with the LLM path due to the explicit rejection instruction in the system prompt.</w:t>
      </w:r>
    </w:p>
    <w:p>
      <w:pPr>
        <w:pStyle w:val="Heading2"/>
      </w:pPr>
      <w:r>
        <w:rPr>
          <w:color w:val="2E6DA4"/>
        </w:rPr>
        <w:t>6.3  Strategy Quality Assessment</w:t>
      </w:r>
    </w:p>
    <w:p>
      <w:pPr>
        <w:spacing w:after="160"/>
      </w:pPr>
      <w:r>
        <w:t>Strategy quality was assessed by five experienced Ceragon network engineers reviewing generated strategies for 40 representative intents, rated on a 1 to 5 scale across three dimensions:</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rPr>
                <w:b/>
                <w:sz w:val="18"/>
              </w:rPr>
              <w:t>Assessment Dimension</w:t>
            </w:r>
          </w:p>
        </w:tc>
        <w:tc>
          <w:tcPr>
            <w:tcW w:type="dxa" w:w="2268"/>
          </w:tcPr>
          <w:p>
            <w:r>
              <w:rPr>
                <w:b/>
                <w:sz w:val="18"/>
              </w:rPr>
              <w:t>Mean Score out of 5</w:t>
            </w:r>
          </w:p>
        </w:tc>
        <w:tc>
          <w:tcPr>
            <w:tcW w:type="dxa" w:w="2268"/>
          </w:tcPr>
          <w:p>
            <w:r>
              <w:rPr>
                <w:b/>
                <w:sz w:val="18"/>
              </w:rPr>
              <w:t>Std Dev</w:t>
            </w:r>
          </w:p>
        </w:tc>
        <w:tc>
          <w:tcPr>
            <w:tcW w:type="dxa" w:w="2268"/>
          </w:tcPr>
          <w:p>
            <w:r>
              <w:rPr>
                <w:b/>
                <w:sz w:val="18"/>
              </w:rPr>
              <w:t>Notes</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rPr>
                <w:sz w:val="18"/>
              </w:rPr>
              <w:t>Technical correctness</w:t>
            </w:r>
          </w:p>
        </w:tc>
        <w:tc>
          <w:tcPr>
            <w:tcW w:type="dxa" w:w="2268"/>
          </w:tcPr>
          <w:p>
            <w:r>
              <w:rPr>
                <w:sz w:val="18"/>
              </w:rPr>
              <w:t>4.6</w:t>
            </w:r>
          </w:p>
        </w:tc>
        <w:tc>
          <w:tcPr>
            <w:tcW w:type="dxa" w:w="2268"/>
          </w:tcPr>
          <w:p>
            <w:r>
              <w:rPr>
                <w:sz w:val="18"/>
              </w:rPr>
              <w:t>0.4</w:t>
            </w:r>
          </w:p>
        </w:tc>
        <w:tc>
          <w:tcPr>
            <w:tcW w:type="dxa" w:w="2268"/>
          </w:tcPr>
          <w:p>
            <w:r>
              <w:rPr>
                <w:sz w:val="18"/>
              </w:rPr>
              <w:t>Hardware constraints correctly enforced in all cases</w:t>
            </w:r>
          </w:p>
        </w:tc>
      </w:tr>
      <w:tr>
        <w:tc>
          <w:tcPr>
            <w:tcW w:type="dxa" w:w="2268"/>
          </w:tcPr>
          <w:p>
            <w:r>
              <w:rPr>
                <w:sz w:val="18"/>
              </w:rPr>
              <w:t>Trade-off completeness</w:t>
            </w:r>
          </w:p>
        </w:tc>
        <w:tc>
          <w:tcPr>
            <w:tcW w:type="dxa" w:w="2268"/>
          </w:tcPr>
          <w:p>
            <w:r>
              <w:rPr>
                <w:sz w:val="18"/>
              </w:rPr>
              <w:t>4.2</w:t>
            </w:r>
          </w:p>
        </w:tc>
        <w:tc>
          <w:tcPr>
            <w:tcW w:type="dxa" w:w="2268"/>
          </w:tcPr>
          <w:p>
            <w:r>
              <w:rPr>
                <w:sz w:val="18"/>
              </w:rPr>
              <w:t>0.6</w:t>
            </w:r>
          </w:p>
        </w:tc>
        <w:tc>
          <w:tcPr>
            <w:tcW w:type="dxa" w:w="2268"/>
          </w:tcPr>
          <w:p>
            <w:r>
              <w:rPr>
                <w:sz w:val="18"/>
              </w:rPr>
              <w:t>Engineers found trade-off documentation comprehensive and useful</w:t>
            </w:r>
          </w:p>
        </w:tc>
      </w:tr>
      <w:tr>
        <w:tc>
          <w:tcPr>
            <w:tcW w:type="dxa" w:w="2268"/>
          </w:tcPr>
          <w:p>
            <w:r>
              <w:rPr>
                <w:sz w:val="18"/>
              </w:rPr>
              <w:t>Operational appropriateness</w:t>
            </w:r>
          </w:p>
        </w:tc>
        <w:tc>
          <w:tcPr>
            <w:tcW w:type="dxa" w:w="2268"/>
          </w:tcPr>
          <w:p>
            <w:r>
              <w:rPr>
                <w:sz w:val="18"/>
              </w:rPr>
              <w:t>4.4</w:t>
            </w:r>
          </w:p>
        </w:tc>
        <w:tc>
          <w:tcPr>
            <w:tcW w:type="dxa" w:w="2268"/>
          </w:tcPr>
          <w:p>
            <w:r>
              <w:rPr>
                <w:sz w:val="18"/>
              </w:rPr>
              <w:t>0.5</w:t>
            </w:r>
          </w:p>
        </w:tc>
        <w:tc>
          <w:tcPr>
            <w:tcW w:type="dxa" w:w="2268"/>
          </w:tcPr>
          <w:p>
            <w:r>
              <w:rPr>
                <w:sz w:val="18"/>
              </w:rPr>
              <w:t>Selected strategies matched expert preference in 88% of cases</w:t>
            </w:r>
          </w:p>
        </w:tc>
      </w:tr>
      <w:tr>
        <w:tc>
          <w:tcPr>
            <w:tcW w:type="dxa" w:w="2268"/>
          </w:tcPr>
          <w:p>
            <w:r>
              <w:rPr>
                <w:sz w:val="18"/>
              </w:rPr>
              <w:t>Confidence score calibration</w:t>
            </w:r>
          </w:p>
        </w:tc>
        <w:tc>
          <w:tcPr>
            <w:tcW w:type="dxa" w:w="2268"/>
          </w:tcPr>
          <w:p>
            <w:r>
              <w:rPr>
                <w:sz w:val="18"/>
              </w:rPr>
              <w:t>4.1</w:t>
            </w:r>
          </w:p>
        </w:tc>
        <w:tc>
          <w:tcPr>
            <w:tcW w:type="dxa" w:w="2268"/>
          </w:tcPr>
          <w:p>
            <w:r>
              <w:rPr>
                <w:sz w:val="18"/>
              </w:rPr>
              <w:t>0.7</w:t>
            </w:r>
          </w:p>
        </w:tc>
        <w:tc>
          <w:tcPr>
            <w:tcW w:type="dxa" w:w="2268"/>
          </w:tcPr>
          <w:p>
            <w:r>
              <w:rPr>
                <w:sz w:val="18"/>
              </w:rPr>
              <w:t>Confidence scores well-correlated with expert agreement levels</w:t>
            </w:r>
          </w:p>
        </w:tc>
      </w:tr>
    </w:tbl>
    <w:p/>
    <w:p>
      <w:pPr>
        <w:spacing w:after="160"/>
      </w:pPr>
      <w:r>
        <w:t>The most consistent expert feedback was that the strategy rationale, the explicit written explanation of why each approach was chosen over alternatives, was genuinely useful for operator education and accountability beyond its function as an approval aid.</w:t>
      </w:r>
    </w:p>
    <w:p>
      <w:pPr>
        <w:pStyle w:val="Heading2"/>
      </w:pPr>
      <w:r>
        <w:rPr>
          <w:color w:val="2E6DA4"/>
        </w:rPr>
        <w:t>6.4  Configuration Correctness</w:t>
      </w:r>
    </w:p>
    <w:p>
      <w:pPr>
        <w:pStyle w:val="ListBullet"/>
        <w:spacing w:after="80"/>
      </w:pPr>
      <w:r>
        <w:t>Schema validation pass rate: 100% across all 240 generated configurations (120 intents, approximately 2 strategies each on average).</w:t>
      </w:r>
    </w:p>
    <w:p>
      <w:pPr>
        <w:pStyle w:val="ListBullet"/>
        <w:spacing w:after="80"/>
      </w:pPr>
      <w:r>
        <w:t>Hardware constraint compliance: 100% ? no configuration exceeded the documented capability bounds of the target hardware model.</w:t>
      </w:r>
    </w:p>
    <w:p>
      <w:pPr>
        <w:pStyle w:val="ListBullet"/>
        <w:spacing w:after="80"/>
      </w:pPr>
      <w:r>
        <w:t>Conflict detection accuracy: 94.3% ? correctly identified all deliberate conflicts injected into the test corpus, with a false positive rate of 2.1%.</w:t>
      </w:r>
    </w:p>
    <w:p>
      <w:pPr>
        <w:pStyle w:val="Heading2"/>
      </w:pPr>
      <w:r>
        <w:rPr>
          <w:color w:val="2E6DA4"/>
        </w:rPr>
        <w:t>6.5  Operational Efficiency Comparison</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Operational Model</w:t>
            </w:r>
          </w:p>
        </w:tc>
        <w:tc>
          <w:tcPr>
            <w:tcW w:type="dxa" w:w="1814"/>
          </w:tcPr>
          <w:p>
            <w:r>
              <w:rPr>
                <w:b/>
                <w:sz w:val="18"/>
              </w:rPr>
              <w:t>Time per Change</w:t>
            </w:r>
          </w:p>
        </w:tc>
        <w:tc>
          <w:tcPr>
            <w:tcW w:type="dxa" w:w="1814"/>
          </w:tcPr>
          <w:p>
            <w:r>
              <w:rPr>
                <w:b/>
                <w:sz w:val="18"/>
              </w:rPr>
              <w:t>Error Rate</w:t>
            </w:r>
          </w:p>
        </w:tc>
        <w:tc>
          <w:tcPr>
            <w:tcW w:type="dxa" w:w="1814"/>
          </w:tcPr>
          <w:p>
            <w:r>
              <w:rPr>
                <w:b/>
                <w:sz w:val="18"/>
              </w:rPr>
              <w:t>Audit Trail</w:t>
            </w:r>
          </w:p>
        </w:tc>
        <w:tc>
          <w:tcPr>
            <w:tcW w:type="dxa" w:w="1814"/>
          </w:tcPr>
          <w:p>
            <w:r>
              <w:rPr>
                <w:b/>
                <w:sz w:val="18"/>
              </w:rPr>
              <w:t>Conflict Detection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rPr>
                <w:sz w:val="18"/>
              </w:rPr>
              <w:t>Manual CLI (baseline)</w:t>
            </w:r>
          </w:p>
        </w:tc>
        <w:tc>
          <w:tcPr>
            <w:tcW w:type="dxa" w:w="1814"/>
          </w:tcPr>
          <w:p>
            <w:r>
              <w:rPr>
                <w:sz w:val="18"/>
              </w:rPr>
              <w:t>8 to 25 minutes</w:t>
            </w:r>
          </w:p>
        </w:tc>
        <w:tc>
          <w:tcPr>
            <w:tcW w:type="dxa" w:w="1814"/>
          </w:tcPr>
          <w:p>
            <w:r>
              <w:rPr>
                <w:sz w:val="18"/>
              </w:rPr>
              <w:t>3.2%</w:t>
            </w:r>
          </w:p>
        </w:tc>
        <w:tc>
          <w:tcPr>
            <w:tcW w:type="dxa" w:w="1814"/>
          </w:tcPr>
          <w:p>
            <w:r>
              <w:rPr>
                <w:sz w:val="18"/>
              </w:rPr>
              <w:t>Manual and incomplete</w:t>
            </w:r>
          </w:p>
        </w:tc>
        <w:tc>
          <w:tcPr>
            <w:tcW w:type="dxa" w:w="1814"/>
          </w:tcPr>
          <w:p>
            <w:r>
              <w:rPr>
                <w:sz w:val="18"/>
              </w:rPr>
              <w:t>None</w:t>
            </w:r>
          </w:p>
        </w:tc>
      </w:tr>
      <w:tr>
        <w:tc>
          <w:tcPr>
            <w:tcW w:type="dxa" w:w="1814"/>
          </w:tcPr>
          <w:p>
            <w:r>
              <w:rPr>
                <w:sz w:val="18"/>
              </w:rPr>
              <w:t>Script-based automation</w:t>
            </w:r>
          </w:p>
        </w:tc>
        <w:tc>
          <w:tcPr>
            <w:tcW w:type="dxa" w:w="1814"/>
          </w:tcPr>
          <w:p>
            <w:r>
              <w:rPr>
                <w:sz w:val="18"/>
              </w:rPr>
              <w:t>2 to 5 minutes</w:t>
            </w:r>
          </w:p>
        </w:tc>
        <w:tc>
          <w:tcPr>
            <w:tcW w:type="dxa" w:w="1814"/>
          </w:tcPr>
          <w:p>
            <w:r>
              <w:rPr>
                <w:sz w:val="18"/>
              </w:rPr>
              <w:t>1.8%</w:t>
            </w:r>
          </w:p>
        </w:tc>
        <w:tc>
          <w:tcPr>
            <w:tcW w:type="dxa" w:w="1814"/>
          </w:tcPr>
          <w:p>
            <w:r>
              <w:rPr>
                <w:sz w:val="18"/>
              </w:rPr>
              <w:t>Partial log files</w:t>
            </w:r>
          </w:p>
        </w:tc>
        <w:tc>
          <w:tcPr>
            <w:tcW w:type="dxa" w:w="1814"/>
          </w:tcPr>
          <w:p>
            <w:r>
              <w:rPr>
                <w:sz w:val="18"/>
              </w:rPr>
              <w:t>None</w:t>
            </w:r>
          </w:p>
        </w:tc>
      </w:tr>
      <w:tr>
        <w:tc>
          <w:tcPr>
            <w:tcW w:type="dxa" w:w="1814"/>
          </w:tcPr>
          <w:p>
            <w:r>
              <w:rPr>
                <w:sz w:val="18"/>
              </w:rPr>
              <w:t>CER-Intent</w:t>
            </w:r>
          </w:p>
        </w:tc>
        <w:tc>
          <w:tcPr>
            <w:tcW w:type="dxa" w:w="1814"/>
          </w:tcPr>
          <w:p>
            <w:r>
              <w:rPr>
                <w:sz w:val="18"/>
              </w:rPr>
              <w:t>45 to 90 seconds</w:t>
            </w:r>
          </w:p>
        </w:tc>
        <w:tc>
          <w:tcPr>
            <w:tcW w:type="dxa" w:w="1814"/>
          </w:tcPr>
          <w:p>
            <w:r>
              <w:rPr>
                <w:sz w:val="18"/>
              </w:rPr>
              <w:t>0.1%</w:t>
            </w:r>
          </w:p>
        </w:tc>
        <w:tc>
          <w:tcPr>
            <w:tcW w:type="dxa" w:w="1814"/>
          </w:tcPr>
          <w:p>
            <w:r>
              <w:rPr>
                <w:sz w:val="18"/>
              </w:rPr>
              <w:t>Automatic and complete</w:t>
            </w:r>
          </w:p>
        </w:tc>
        <w:tc>
          <w:tcPr>
            <w:tcW w:type="dxa" w:w="1814"/>
          </w:tcPr>
          <w:p>
            <w:r>
              <w:rPr>
                <w:sz w:val="18"/>
              </w:rPr>
              <w:t>Automatic</w:t>
            </w:r>
          </w:p>
        </w:tc>
      </w:tr>
    </w:tbl>
    <w:p/>
    <w:p>
      <w:pPr>
        <w:spacing w:after="160"/>
      </w:pPr>
      <w:r>
        <w:t>CER-Intent achieves a 6 to 17 times reduction in mean time to apply configuration changes compared to manual CLI operations, and a 32 times reduction in configuration error rate. The automatic structured audit trail satisfies regulatory change management requirements without additional administrative overhead.</w:t>
      </w:r>
    </w:p>
    <w:p>
      <w:pPr>
        <w:pStyle w:val="Heading2"/>
      </w:pPr>
      <w:r>
        <w:rPr>
          <w:color w:val="2E6DA4"/>
        </w:rPr>
        <w:t>6.6  Closed-Loop Assurance Performance</w:t>
      </w:r>
    </w:p>
    <w:p>
      <w:pPr>
        <w:pStyle w:val="ListBullet"/>
        <w:spacing w:after="80"/>
      </w:pPr>
      <w:r>
        <w:t>Drift detection latency: Mean 11.3 seconds with the default 10-second reconciliation interval.</w:t>
      </w:r>
    </w:p>
    <w:p>
      <w:pPr>
        <w:pStyle w:val="ListBullet"/>
        <w:spacing w:after="80"/>
      </w:pPr>
      <w:r>
        <w:t>Drift detection accuracy: 96.8% sensitivity and 1.4% false positive rate.</w:t>
      </w:r>
    </w:p>
    <w:p>
      <w:pPr>
        <w:pStyle w:val="ListBullet"/>
        <w:spacing w:after="80"/>
      </w:pPr>
      <w:r>
        <w:t>Automatic re-application success rate: 91.2%. Failed cases required physical intervention beyond software reconfiguration scope.</w:t>
      </w:r>
    </w:p>
    <w:p>
      <w:r>
        <w:br w:type="page"/>
      </w:r>
    </w:p>
    <w:p>
      <w:pPr>
        <w:pStyle w:val="Heading1"/>
      </w:pPr>
      <w:r>
        <w:rPr>
          <w:color w:val="1A375E"/>
        </w:rPr>
        <w:t>7. Comparative Analysis</w:t>
      </w:r>
    </w:p>
    <w:p>
      <w:pPr>
        <w:pStyle w:val="Heading2"/>
      </w:pPr>
      <w:r>
        <w:rPr>
          <w:color w:val="2E6DA4"/>
        </w:rPr>
        <w:t>7.1  Comparison with Alternative Approaches</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Criterion</w:t>
            </w:r>
          </w:p>
        </w:tc>
        <w:tc>
          <w:tcPr>
            <w:tcW w:type="dxa" w:w="1814"/>
          </w:tcPr>
          <w:p>
            <w:r>
              <w:rPr>
                <w:b/>
                <w:sz w:val="18"/>
              </w:rPr>
              <w:t>CER-Intent</w:t>
            </w:r>
          </w:p>
        </w:tc>
        <w:tc>
          <w:tcPr>
            <w:tcW w:type="dxa" w:w="1814"/>
          </w:tcPr>
          <w:p>
            <w:r>
              <w:rPr>
                <w:b/>
                <w:sz w:val="18"/>
              </w:rPr>
              <w:t>Generic IBN (ONOS)</w:t>
            </w:r>
          </w:p>
        </w:tc>
        <w:tc>
          <w:tcPr>
            <w:tcW w:type="dxa" w:w="1814"/>
          </w:tcPr>
          <w:p>
            <w:r>
              <w:rPr>
                <w:b/>
                <w:sz w:val="18"/>
              </w:rPr>
              <w:t>Pure LLM Agent</w:t>
            </w:r>
          </w:p>
        </w:tc>
        <w:tc>
          <w:tcPr>
            <w:tcW w:type="dxa" w:w="1814"/>
          </w:tcPr>
          <w:p>
            <w:r>
              <w:rPr>
                <w:b/>
                <w:sz w:val="18"/>
              </w:rPr>
              <w:t>Traditional NMS</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rPr>
                <w:sz w:val="18"/>
              </w:rPr>
              <w:t>Transport domain depth</w:t>
            </w:r>
          </w:p>
        </w:tc>
        <w:tc>
          <w:tcPr>
            <w:tcW w:type="dxa" w:w="1814"/>
          </w:tcPr>
          <w:p>
            <w:r>
              <w:rPr>
                <w:sz w:val="18"/>
              </w:rPr>
              <w:t>Deep Ceragon-specific</w:t>
            </w:r>
          </w:p>
        </w:tc>
        <w:tc>
          <w:tcPr>
            <w:tcW w:type="dxa" w:w="1814"/>
          </w:tcPr>
          <w:p>
            <w:r>
              <w:rPr>
                <w:sz w:val="18"/>
              </w:rPr>
              <w:t>Shallow IP and SDN focus</w:t>
            </w:r>
          </w:p>
        </w:tc>
        <w:tc>
          <w:tcPr>
            <w:tcW w:type="dxa" w:w="1814"/>
          </w:tcPr>
          <w:p>
            <w:r>
              <w:rPr>
                <w:sz w:val="18"/>
              </w:rPr>
              <w:t>Variable</w:t>
            </w:r>
          </w:p>
        </w:tc>
        <w:tc>
          <w:tcPr>
            <w:tcW w:type="dxa" w:w="1814"/>
          </w:tcPr>
          <w:p>
            <w:r>
              <w:rPr>
                <w:sz w:val="18"/>
              </w:rPr>
              <w:t>Deep but rigid</w:t>
            </w:r>
          </w:p>
        </w:tc>
      </w:tr>
      <w:tr>
        <w:tc>
          <w:tcPr>
            <w:tcW w:type="dxa" w:w="1814"/>
          </w:tcPr>
          <w:p>
            <w:r>
              <w:rPr>
                <w:sz w:val="18"/>
              </w:rPr>
              <w:t>Hardware constraint enforcement</w:t>
            </w:r>
          </w:p>
        </w:tc>
        <w:tc>
          <w:tcPr>
            <w:tcW w:type="dxa" w:w="1814"/>
          </w:tcPr>
          <w:p>
            <w:r>
              <w:rPr>
                <w:sz w:val="18"/>
              </w:rPr>
              <w:t>Automatic via Knowledge Base</w:t>
            </w:r>
          </w:p>
        </w:tc>
        <w:tc>
          <w:tcPr>
            <w:tcW w:type="dxa" w:w="1814"/>
          </w:tcPr>
          <w:p>
            <w:r>
              <w:rPr>
                <w:sz w:val="18"/>
              </w:rPr>
              <w:t>Not present</w:t>
            </w:r>
          </w:p>
        </w:tc>
        <w:tc>
          <w:tcPr>
            <w:tcW w:type="dxa" w:w="1814"/>
          </w:tcPr>
          <w:p>
            <w:r>
              <w:rPr>
                <w:sz w:val="18"/>
              </w:rPr>
              <w:t>Probabilistic</w:t>
            </w:r>
          </w:p>
        </w:tc>
        <w:tc>
          <w:tcPr>
            <w:tcW w:type="dxa" w:w="1814"/>
          </w:tcPr>
          <w:p>
            <w:r>
              <w:rPr>
                <w:sz w:val="18"/>
              </w:rPr>
              <w:t>Manual rules</w:t>
            </w:r>
          </w:p>
        </w:tc>
      </w:tr>
      <w:tr>
        <w:tc>
          <w:tcPr>
            <w:tcW w:type="dxa" w:w="1814"/>
          </w:tcPr>
          <w:p>
            <w:r>
              <w:rPr>
                <w:sz w:val="18"/>
              </w:rPr>
              <w:t>Natural language support</w:t>
            </w:r>
          </w:p>
        </w:tc>
        <w:tc>
          <w:tcPr>
            <w:tcW w:type="dxa" w:w="1814"/>
          </w:tcPr>
          <w:p>
            <w:r>
              <w:rPr>
                <w:sz w:val="18"/>
              </w:rPr>
              <w:t>Yes via LLM plus rules</w:t>
            </w:r>
          </w:p>
        </w:tc>
        <w:tc>
          <w:tcPr>
            <w:tcW w:type="dxa" w:w="1814"/>
          </w:tcPr>
          <w:p>
            <w:r>
              <w:rPr>
                <w:sz w:val="18"/>
              </w:rPr>
              <w:t>Limited</w:t>
            </w:r>
          </w:p>
        </w:tc>
        <w:tc>
          <w:tcPr>
            <w:tcW w:type="dxa" w:w="1814"/>
          </w:tcPr>
          <w:p>
            <w:r>
              <w:rPr>
                <w:sz w:val="18"/>
              </w:rPr>
              <w:t>Yes</w:t>
            </w:r>
          </w:p>
        </w:tc>
        <w:tc>
          <w:tcPr>
            <w:tcW w:type="dxa" w:w="1814"/>
          </w:tcPr>
          <w:p>
            <w:r>
              <w:rPr>
                <w:sz w:val="18"/>
              </w:rPr>
              <w:t>No</w:t>
            </w:r>
          </w:p>
        </w:tc>
      </w:tr>
      <w:tr>
        <w:tc>
          <w:tcPr>
            <w:tcW w:type="dxa" w:w="1814"/>
          </w:tcPr>
          <w:p>
            <w:r>
              <w:rPr>
                <w:sz w:val="18"/>
              </w:rPr>
              <w:t>Physics-based modelling</w:t>
            </w:r>
          </w:p>
        </w:tc>
        <w:tc>
          <w:tcPr>
            <w:tcW w:type="dxa" w:w="1814"/>
          </w:tcPr>
          <w:p>
            <w:r>
              <w:rPr>
                <w:sz w:val="18"/>
              </w:rPr>
              <w:t>Yes ITU-R P.838</w:t>
            </w:r>
          </w:p>
        </w:tc>
        <w:tc>
          <w:tcPr>
            <w:tcW w:type="dxa" w:w="1814"/>
          </w:tcPr>
          <w:p>
            <w:r>
              <w:rPr>
                <w:sz w:val="18"/>
              </w:rPr>
              <w:t>No</w:t>
            </w:r>
          </w:p>
        </w:tc>
        <w:tc>
          <w:tcPr>
            <w:tcW w:type="dxa" w:w="1814"/>
          </w:tcPr>
          <w:p>
            <w:r>
              <w:rPr>
                <w:sz w:val="18"/>
              </w:rPr>
              <w:t>No</w:t>
            </w:r>
          </w:p>
        </w:tc>
        <w:tc>
          <w:tcPr>
            <w:tcW w:type="dxa" w:w="1814"/>
          </w:tcPr>
          <w:p>
            <w:r>
              <w:rPr>
                <w:sz w:val="18"/>
              </w:rPr>
              <w:t>No</w:t>
            </w:r>
          </w:p>
        </w:tc>
      </w:tr>
      <w:tr>
        <w:tc>
          <w:tcPr>
            <w:tcW w:type="dxa" w:w="1814"/>
          </w:tcPr>
          <w:p>
            <w:r>
              <w:rPr>
                <w:sz w:val="18"/>
              </w:rPr>
              <w:t>Multi-strategy reasoning</w:t>
            </w:r>
          </w:p>
        </w:tc>
        <w:tc>
          <w:tcPr>
            <w:tcW w:type="dxa" w:w="1814"/>
          </w:tcPr>
          <w:p>
            <w:r>
              <w:rPr>
                <w:sz w:val="18"/>
              </w:rPr>
              <w:t>Yes with 9 skills</w:t>
            </w:r>
          </w:p>
        </w:tc>
        <w:tc>
          <w:tcPr>
            <w:tcW w:type="dxa" w:w="1814"/>
          </w:tcPr>
          <w:p>
            <w:r>
              <w:rPr>
                <w:sz w:val="18"/>
              </w:rPr>
              <w:t>No</w:t>
            </w:r>
          </w:p>
        </w:tc>
        <w:tc>
          <w:tcPr>
            <w:tcW w:type="dxa" w:w="1814"/>
          </w:tcPr>
          <w:p>
            <w:r>
              <w:rPr>
                <w:sz w:val="18"/>
              </w:rPr>
              <w:t>Implicit</w:t>
            </w:r>
          </w:p>
        </w:tc>
        <w:tc>
          <w:tcPr>
            <w:tcW w:type="dxa" w:w="1814"/>
          </w:tcPr>
          <w:p>
            <w:r>
              <w:rPr>
                <w:sz w:val="18"/>
              </w:rPr>
              <w:t>No</w:t>
            </w:r>
          </w:p>
        </w:tc>
      </w:tr>
      <w:tr>
        <w:tc>
          <w:tcPr>
            <w:tcW w:type="dxa" w:w="1814"/>
          </w:tcPr>
          <w:p>
            <w:r>
              <w:rPr>
                <w:sz w:val="18"/>
              </w:rPr>
              <w:t>HITL approval gate</w:t>
            </w:r>
          </w:p>
        </w:tc>
        <w:tc>
          <w:tcPr>
            <w:tcW w:type="dxa" w:w="1814"/>
          </w:tcPr>
          <w:p>
            <w:r>
              <w:rPr>
                <w:sz w:val="18"/>
              </w:rPr>
              <w:t>Yes configurable</w:t>
            </w:r>
          </w:p>
        </w:tc>
        <w:tc>
          <w:tcPr>
            <w:tcW w:type="dxa" w:w="1814"/>
          </w:tcPr>
          <w:p>
            <w:r>
              <w:rPr>
                <w:sz w:val="18"/>
              </w:rPr>
              <w:t>Varies by system</w:t>
            </w:r>
          </w:p>
        </w:tc>
        <w:tc>
          <w:tcPr>
            <w:tcW w:type="dxa" w:w="1814"/>
          </w:tcPr>
          <w:p>
            <w:r>
              <w:rPr>
                <w:sz w:val="18"/>
              </w:rPr>
              <w:t>Typically absent</w:t>
            </w:r>
          </w:p>
        </w:tc>
        <w:tc>
          <w:tcPr>
            <w:tcW w:type="dxa" w:w="1814"/>
          </w:tcPr>
          <w:p>
            <w:r>
              <w:rPr>
                <w:sz w:val="18"/>
              </w:rPr>
              <w:t>Always required</w:t>
            </w:r>
          </w:p>
        </w:tc>
      </w:tr>
      <w:tr>
        <w:tc>
          <w:tcPr>
            <w:tcW w:type="dxa" w:w="1814"/>
          </w:tcPr>
          <w:p>
            <w:r>
              <w:rPr>
                <w:sz w:val="18"/>
              </w:rPr>
              <w:t>Closed-loop assurance</w:t>
            </w:r>
          </w:p>
        </w:tc>
        <w:tc>
          <w:tcPr>
            <w:tcW w:type="dxa" w:w="1814"/>
          </w:tcPr>
          <w:p>
            <w:r>
              <w:rPr>
                <w:sz w:val="18"/>
              </w:rPr>
              <w:t>Yes 10 second interval</w:t>
            </w:r>
          </w:p>
        </w:tc>
        <w:tc>
          <w:tcPr>
            <w:tcW w:type="dxa" w:w="1814"/>
          </w:tcPr>
          <w:p>
            <w:r>
              <w:rPr>
                <w:sz w:val="18"/>
              </w:rPr>
              <w:t>Limited</w:t>
            </w:r>
          </w:p>
        </w:tc>
        <w:tc>
          <w:tcPr>
            <w:tcW w:type="dxa" w:w="1814"/>
          </w:tcPr>
          <w:p>
            <w:r>
              <w:rPr>
                <w:sz w:val="18"/>
              </w:rPr>
              <w:t>No</w:t>
            </w:r>
          </w:p>
        </w:tc>
        <w:tc>
          <w:tcPr>
            <w:tcW w:type="dxa" w:w="1814"/>
          </w:tcPr>
          <w:p>
            <w:r>
              <w:rPr>
                <w:sz w:val="18"/>
              </w:rPr>
              <w:t>Alarm-based only</w:t>
            </w:r>
          </w:p>
        </w:tc>
      </w:tr>
      <w:tr>
        <w:tc>
          <w:tcPr>
            <w:tcW w:type="dxa" w:w="1814"/>
          </w:tcPr>
          <w:p>
            <w:r>
              <w:rPr>
                <w:sz w:val="18"/>
              </w:rPr>
              <w:t>Air-gap operation</w:t>
            </w:r>
          </w:p>
        </w:tc>
        <w:tc>
          <w:tcPr>
            <w:tcW w:type="dxa" w:w="1814"/>
          </w:tcPr>
          <w:p>
            <w:r>
              <w:rPr>
                <w:sz w:val="18"/>
              </w:rPr>
              <w:t>Yes via rule fallback</w:t>
            </w:r>
          </w:p>
        </w:tc>
        <w:tc>
          <w:tcPr>
            <w:tcW w:type="dxa" w:w="1814"/>
          </w:tcPr>
          <w:p>
            <w:r>
              <w:rPr>
                <w:sz w:val="18"/>
              </w:rPr>
              <w:t>Yes</w:t>
            </w:r>
          </w:p>
        </w:tc>
        <w:tc>
          <w:tcPr>
            <w:tcW w:type="dxa" w:w="1814"/>
          </w:tcPr>
          <w:p>
            <w:r>
              <w:rPr>
                <w:sz w:val="18"/>
              </w:rPr>
              <w:t>No</w:t>
            </w:r>
          </w:p>
        </w:tc>
        <w:tc>
          <w:tcPr>
            <w:tcW w:type="dxa" w:w="1814"/>
          </w:tcPr>
          <w:p>
            <w:r>
              <w:rPr>
                <w:sz w:val="18"/>
              </w:rPr>
              <w:t>Yes</w:t>
            </w:r>
          </w:p>
        </w:tc>
      </w:tr>
      <w:tr>
        <w:tc>
          <w:tcPr>
            <w:tcW w:type="dxa" w:w="1814"/>
          </w:tcPr>
          <w:p>
            <w:r>
              <w:rPr>
                <w:sz w:val="18"/>
              </w:rPr>
              <w:t>NETCONF/YANG output</w:t>
            </w:r>
          </w:p>
        </w:tc>
        <w:tc>
          <w:tcPr>
            <w:tcW w:type="dxa" w:w="1814"/>
          </w:tcPr>
          <w:p>
            <w:r>
              <w:rPr>
                <w:sz w:val="18"/>
              </w:rPr>
              <w:t>Yes Ceragon YANG</w:t>
            </w:r>
          </w:p>
        </w:tc>
        <w:tc>
          <w:tcPr>
            <w:tcW w:type="dxa" w:w="1814"/>
          </w:tcPr>
          <w:p>
            <w:r>
              <w:rPr>
                <w:sz w:val="18"/>
              </w:rPr>
              <w:t>Generic</w:t>
            </w:r>
          </w:p>
        </w:tc>
        <w:tc>
          <w:tcPr>
            <w:tcW w:type="dxa" w:w="1814"/>
          </w:tcPr>
          <w:p>
            <w:r>
              <w:rPr>
                <w:sz w:val="18"/>
              </w:rPr>
              <w:t>Text only</w:t>
            </w:r>
          </w:p>
        </w:tc>
        <w:tc>
          <w:tcPr>
            <w:tcW w:type="dxa" w:w="1814"/>
          </w:tcPr>
          <w:p>
            <w:r>
              <w:rPr>
                <w:sz w:val="18"/>
              </w:rPr>
              <w:t>Proprietary</w:t>
            </w:r>
          </w:p>
        </w:tc>
      </w:tr>
      <w:tr>
        <w:tc>
          <w:tcPr>
            <w:tcW w:type="dxa" w:w="1814"/>
          </w:tcPr>
          <w:p>
            <w:r>
              <w:rPr>
                <w:sz w:val="18"/>
              </w:rPr>
              <w:t>Adversarial input handling</w:t>
            </w:r>
          </w:p>
        </w:tc>
        <w:tc>
          <w:tcPr>
            <w:tcW w:type="dxa" w:w="1814"/>
          </w:tcPr>
          <w:p>
            <w:r>
              <w:rPr>
                <w:sz w:val="18"/>
              </w:rPr>
              <w:t>Explicit structured rejection</w:t>
            </w:r>
          </w:p>
        </w:tc>
        <w:tc>
          <w:tcPr>
            <w:tcW w:type="dxa" w:w="1814"/>
          </w:tcPr>
          <w:p>
            <w:r>
              <w:rPr>
                <w:sz w:val="18"/>
              </w:rPr>
              <w:t>Schema validation only</w:t>
            </w:r>
          </w:p>
        </w:tc>
        <w:tc>
          <w:tcPr>
            <w:tcW w:type="dxa" w:w="1814"/>
          </w:tcPr>
          <w:p>
            <w:r>
              <w:rPr>
                <w:sz w:val="18"/>
              </w:rPr>
              <w:t>Inconsistent</w:t>
            </w:r>
          </w:p>
        </w:tc>
        <w:tc>
          <w:tcPr>
            <w:tcW w:type="dxa" w:w="1814"/>
          </w:tcPr>
          <w:p>
            <w:r>
              <w:rPr>
                <w:sz w:val="18"/>
              </w:rPr>
              <w:t>Not applicable</w:t>
            </w:r>
          </w:p>
        </w:tc>
      </w:tr>
    </w:tbl>
    <w:p/>
    <w:p>
      <w:pPr>
        <w:pStyle w:val="Heading2"/>
      </w:pPr>
      <w:r>
        <w:rPr>
          <w:color w:val="2E6DA4"/>
        </w:rPr>
        <w:t>7.2  Positioning Within the O-RAN Ecosystem</w:t>
      </w:r>
    </w:p>
    <w:p>
      <w:pPr>
        <w:spacing w:after="160"/>
      </w:pPr>
      <w:r>
        <w:t>Within the O-RAN architecture CER-Intent occupies a unique position as a transport-domain Non-RT RIC rApp. Unlike RIC applications focused on RAN resource management such as scheduling, beamforming, and handover, CER-Intent operates on the Non-RT RIC timescale of greater than one second and interfaces with the physical transport layer below the F1, E1, and Xn interfaces. This positioning is complementary rather than competitive with existing RIC applications, extending automated network management to the transport domain that is otherwise invisible to RAN-focused RIC ecosystems.</w:t>
      </w:r>
    </w:p>
    <w:p>
      <w:r>
        <w:br w:type="page"/>
      </w:r>
    </w:p>
    <w:p>
      <w:pPr>
        <w:pStyle w:val="Heading1"/>
      </w:pPr>
      <w:r>
        <w:rPr>
          <w:color w:val="1A375E"/>
        </w:rPr>
        <w:t>8. Future Development Roadmap</w:t>
      </w:r>
    </w:p>
    <w:p>
      <w:pPr>
        <w:pStyle w:val="Heading2"/>
      </w:pPr>
      <w:r>
        <w:rPr>
          <w:color w:val="2E6DA4"/>
        </w:rPr>
        <w:t>8.1  Near-Term: 6 to 12 Months</w:t>
      </w:r>
    </w:p>
    <w:p>
      <w:pPr>
        <w:pStyle w:val="ListBullet"/>
        <w:spacing w:after="80"/>
      </w:pPr>
      <w:r>
        <w:t>O1 Interface Integration: Full O-RAN O1 implementation for bidirectional integration with the SMO, enabling automated transport SLA enforcement triggered by RAN-layer events.</w:t>
      </w:r>
    </w:p>
    <w:p>
      <w:pPr>
        <w:pStyle w:val="ListBullet"/>
        <w:spacing w:after="80"/>
      </w:pPr>
      <w:r>
        <w:t>Reinforcement Learning Loop: RL agent learning optimal strategy selection policies from historical outcome data accumulated in the audit log, improving over the static confidence scoring currently used.</w:t>
      </w:r>
    </w:p>
    <w:p>
      <w:pPr>
        <w:pStyle w:val="ListBullet"/>
        <w:spacing w:after="80"/>
      </w:pPr>
      <w:r>
        <w:t>Weather API Integration: Direct integration with meteorological data services enabling proactive rain fade adaptation triggered by forecast data rather than reactive telemetry.</w:t>
      </w:r>
    </w:p>
    <w:p>
      <w:pPr>
        <w:pStyle w:val="ListBullet"/>
        <w:spacing w:after="80"/>
      </w:pPr>
      <w:r>
        <w:t>Multi-Vendor Extension: Extend the Hardware Knowledge Base and translator layer to support additional microwave equipment vendors including Ericsson MINI-LINK and Nokia AirScale under a common intent schema.</w:t>
      </w:r>
    </w:p>
    <w:p>
      <w:pPr>
        <w:pStyle w:val="Heading2"/>
      </w:pPr>
      <w:r>
        <w:rPr>
          <w:color w:val="2E6DA4"/>
        </w:rPr>
        <w:t>8.2  Medium-Term: 12 to 24 Months</w:t>
      </w:r>
    </w:p>
    <w:p>
      <w:pPr>
        <w:pStyle w:val="ListBullet"/>
        <w:spacing w:after="80"/>
      </w:pPr>
      <w:r>
        <w:t>Federated Deployment: Multi-operator federation capability allowing transport intents to span network boundaries, enabling end-to-end SLA assurance across wholesale transport agreements.</w:t>
      </w:r>
    </w:p>
    <w:p>
      <w:pPr>
        <w:pStyle w:val="ListBullet"/>
        <w:spacing w:after="80"/>
      </w:pPr>
      <w:r>
        <w:t>Autonomous Conflict Resolution: Extend conflict detection to autonomous resolution using constraint satisfaction solvers, eliminating manual operator intervention when conflicting intents are submitted.</w:t>
      </w:r>
    </w:p>
    <w:p>
      <w:pPr>
        <w:pStyle w:val="ListBullet"/>
        <w:spacing w:after="80"/>
      </w:pPr>
      <w:r>
        <w:t>Digital Twin Integration: Integration with Ceragon network digital twin capability for intent simulation and impact assessment before physical application, reducing service disruption risk.</w:t>
      </w:r>
    </w:p>
    <w:p>
      <w:r>
        <w:br w:type="page"/>
      </w:r>
    </w:p>
    <w:p>
      <w:pPr>
        <w:pStyle w:val="Heading1"/>
      </w:pPr>
      <w:r>
        <w:rPr>
          <w:color w:val="1A375E"/>
        </w:rPr>
        <w:t>9. Conclusion</w:t>
      </w:r>
    </w:p>
    <w:p>
      <w:pPr>
        <w:spacing w:after="160"/>
      </w:pPr>
      <w:r>
        <w:t>CER-Intent represents a significant advancement in the automation of microwave transport network management for 6G O-RAN deployments. By combining the natural language understanding of large language models with the deterministic hardware constraint enforcement of structured domain knowledge, the system achieves both the usability of intent-based interaction and the reliability required for production telecommunications infrastructure.</w:t>
      </w:r>
    </w:p>
    <w:p>
      <w:pPr>
        <w:spacing w:after="160"/>
      </w:pPr>
      <w:r>
        <w:t>The evaluation results demonstrate compelling operational improvements: a 6 to 17 times reduction in configuration change latency, a 32 times reduction in error rate, and 100 percent audit trail completeness compared to the manual CLI baseline. The nine-skill Architect Agent provides multi-domain reasoning capability matching expert-level decision quality in 88 percent of evaluated cases, with explicit trade-off documentation that supports operator learning and accountability.</w:t>
      </w:r>
    </w:p>
    <w:p>
      <w:pPr>
        <w:spacing w:after="160"/>
      </w:pPr>
      <w:r>
        <w:t>The architecture ? hybrid LLM and rule parsing, hardware-grounded Knowledge Base, physics-based modelling using the ITU-R P.838 rain attenuation model, and closed-loop assurance ? establishes a reference design for intent-based management of physical-layer transport infrastructure that can be extended to multi-vendor, national-scale, and federated deployment scenarios as the 6G ecosystem matures.</w:t>
      </w:r>
    </w:p>
    <w:p>
      <w:pPr>
        <w:spacing w:after="160"/>
      </w:pPr>
      <w:r>
        <w:t>CER-Intent is not merely an automation tool: it is the foundation of a new operational paradigm in which the transport network is a first-class participant in the O-RAN closed-loop automation stack, responding dynamically to service demands, environmental conditions, and business objectives without requiring expert manual intervention for every configuration change.</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