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1B365D"/>
          <w:sz w:val="52"/>
        </w:rPr>
        <w:t>Autonomous Wireless Transport SDN Integration</w:t>
      </w:r>
    </w:p>
    <w:p>
      <w:pPr>
        <w:spacing w:after="480"/>
      </w:pPr>
      <w:r>
        <w:rPr>
          <w:rFonts w:ascii="Calibri" w:hAnsi="Calibri"/>
          <w:color w:val="2980B9"/>
          <w:sz w:val="30"/>
        </w:rPr>
        <w:t>Controlling, Monitoring, and Orchestrating Ceragon Millimeter-Wave and Microwave Systems via ETSI TeraFlowSDN</w:t>
      </w:r>
    </w:p>
    <w:p>
      <w:pPr>
        <w:spacing w:after="720"/>
      </w:pPr>
      <w:r>
        <w:rPr>
          <w:rFonts w:ascii="Calibri" w:hAnsi="Calibri"/>
          <w:i/>
          <w:color w:val="7F8C8D"/>
          <w:sz w:val="22"/>
        </w:rPr>
        <w:t>Technical Deliverable &amp; Architecture Report: Comprehensive Engineering Manual on RFC 8040 RESTCONF Southbound Driver Implementation, 2-Phase Candidate Datastore Lifecycle, 51 Physical YANG Schemas, Hybrid 34-Node O-RAN Topology Simulation, and Northbound Extensibility for NS-3 Simulation.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3168"/>
            <w:shd w:fill="F4F6F9"/>
            <w:tcMar>
              <w:top w:w="80" w:type="dxa"/>
              <w:bottom w:w="80" w:type="dxa"/>
              <w:left w:w="100" w:type="dxa"/>
              <w:right w:w="100" w:type="dxa"/>
            </w:tcMar>
          </w:tcPr>
          <w:p>
            <w:pPr>
              <w:spacing w:after="0"/>
            </w:pPr>
            <w:r>
              <w:rPr>
                <w:b/>
                <w:color w:val="1B365D"/>
                <w:sz w:val="19"/>
              </w:rPr>
              <w:t>Project Reference:</w:t>
            </w:r>
          </w:p>
        </w:tc>
        <w:tc>
          <w:tcPr>
            <w:tcW w:type="dxa" w:w="6192"/>
            <w:shd w:fill="FFFFFF"/>
            <w:tcMar>
              <w:top w:w="80" w:type="dxa"/>
              <w:bottom w:w="80" w:type="dxa"/>
              <w:left w:w="100" w:type="dxa"/>
              <w:right w:w="100" w:type="dxa"/>
            </w:tcMar>
          </w:tcPr>
          <w:p>
            <w:pPr>
              <w:spacing w:after="0"/>
            </w:pPr>
            <w:r>
              <w:rPr>
                <w:color w:val="2C3E50"/>
                <w:sz w:val="19"/>
              </w:rPr>
              <w:t>TR-CER-TFS-2026-ENG / Deliverable D4.2</w:t>
            </w:r>
          </w:p>
        </w:tc>
      </w:tr>
      <w:tr>
        <w:tc>
          <w:tcPr>
            <w:tcW w:type="dxa" w:w="3168"/>
            <w:shd w:fill="F4F6F9"/>
            <w:tcMar>
              <w:top w:w="80" w:type="dxa"/>
              <w:bottom w:w="80" w:type="dxa"/>
              <w:left w:w="100" w:type="dxa"/>
              <w:right w:w="100" w:type="dxa"/>
            </w:tcMar>
          </w:tcPr>
          <w:p>
            <w:pPr>
              <w:spacing w:after="0"/>
            </w:pPr>
            <w:r>
              <w:rPr>
                <w:b/>
                <w:color w:val="1B365D"/>
                <w:sz w:val="19"/>
              </w:rPr>
              <w:t>System Domain:</w:t>
            </w:r>
          </w:p>
        </w:tc>
        <w:tc>
          <w:tcPr>
            <w:tcW w:type="dxa" w:w="6192"/>
            <w:shd w:fill="FFFFFF"/>
            <w:tcMar>
              <w:top w:w="80" w:type="dxa"/>
              <w:bottom w:w="80" w:type="dxa"/>
              <w:left w:w="100" w:type="dxa"/>
              <w:right w:w="100" w:type="dxa"/>
            </w:tcMar>
          </w:tcPr>
          <w:p>
            <w:pPr>
              <w:spacing w:after="0"/>
            </w:pPr>
            <w:r>
              <w:rPr>
                <w:color w:val="2C3E50"/>
                <w:sz w:val="19"/>
              </w:rPr>
              <w:t>Next-Generation 5G-Advanced &amp; 6G Wireless Transport (X-Haul)</w:t>
            </w:r>
          </w:p>
        </w:tc>
      </w:tr>
      <w:tr>
        <w:tc>
          <w:tcPr>
            <w:tcW w:type="dxa" w:w="3168"/>
            <w:shd w:fill="F4F6F9"/>
            <w:tcMar>
              <w:top w:w="80" w:type="dxa"/>
              <w:bottom w:w="80" w:type="dxa"/>
              <w:left w:w="100" w:type="dxa"/>
              <w:right w:w="100" w:type="dxa"/>
            </w:tcMar>
          </w:tcPr>
          <w:p>
            <w:pPr>
              <w:spacing w:after="0"/>
            </w:pPr>
            <w:r>
              <w:rPr>
                <w:b/>
                <w:color w:val="1B365D"/>
                <w:sz w:val="19"/>
              </w:rPr>
              <w:t>Target Controllers:</w:t>
            </w:r>
          </w:p>
        </w:tc>
        <w:tc>
          <w:tcPr>
            <w:tcW w:type="dxa" w:w="6192"/>
            <w:shd w:fill="FFFFFF"/>
            <w:tcMar>
              <w:top w:w="80" w:type="dxa"/>
              <w:bottom w:w="80" w:type="dxa"/>
              <w:left w:w="100" w:type="dxa"/>
              <w:right w:w="100" w:type="dxa"/>
            </w:tcMar>
          </w:tcPr>
          <w:p>
            <w:pPr>
              <w:spacing w:after="0"/>
            </w:pPr>
            <w:r>
              <w:rPr>
                <w:color w:val="2C3E50"/>
                <w:sz w:val="19"/>
              </w:rPr>
              <w:t>ETSI TeraFlowSDN (TFS) v7.0 / Cloud-Native Kubernetes</w:t>
            </w:r>
          </w:p>
        </w:tc>
      </w:tr>
      <w:tr>
        <w:tc>
          <w:tcPr>
            <w:tcW w:type="dxa" w:w="3168"/>
            <w:shd w:fill="F4F6F9"/>
            <w:tcMar>
              <w:top w:w="80" w:type="dxa"/>
              <w:bottom w:w="80" w:type="dxa"/>
              <w:left w:w="100" w:type="dxa"/>
              <w:right w:w="100" w:type="dxa"/>
            </w:tcMar>
          </w:tcPr>
          <w:p>
            <w:pPr>
              <w:spacing w:after="0"/>
            </w:pPr>
            <w:r>
              <w:rPr>
                <w:b/>
                <w:color w:val="1B365D"/>
                <w:sz w:val="19"/>
              </w:rPr>
              <w:t>Hardware Matrix:</w:t>
            </w:r>
          </w:p>
        </w:tc>
        <w:tc>
          <w:tcPr>
            <w:tcW w:type="dxa" w:w="6192"/>
            <w:shd w:fill="FFFFFF"/>
            <w:tcMar>
              <w:top w:w="80" w:type="dxa"/>
              <w:bottom w:w="80" w:type="dxa"/>
              <w:left w:w="100" w:type="dxa"/>
              <w:right w:w="100" w:type="dxa"/>
            </w:tcMar>
          </w:tcPr>
          <w:p>
            <w:pPr>
              <w:spacing w:after="0"/>
            </w:pPr>
            <w:r>
              <w:rPr>
                <w:color w:val="2C3E50"/>
                <w:sz w:val="19"/>
              </w:rPr>
              <w:t>Ceragon MultiHaul TG (60GHz V-Band), EtherHaul (70/80GHz), CeraOS Microwave</w:t>
            </w:r>
          </w:p>
        </w:tc>
      </w:tr>
    </w:tbl>
    <w:p>
      <w:r>
        <w:br w:type="page"/>
      </w:r>
    </w:p>
    <w:p>
      <w:pPr>
        <w:keepNext/>
        <w:spacing w:before="360" w:after="120"/>
      </w:pPr>
      <w:r>
        <w:rPr>
          <w:rFonts w:ascii="Calibri" w:hAnsi="Calibri"/>
          <w:b/>
          <w:color w:val="1B365D"/>
          <w:sz w:val="36"/>
        </w:rPr>
        <w:t>1. Executive Summary &amp; Project Motivation</w:t>
      </w:r>
    </w:p>
    <w:p>
      <w:r>
        <w:t>Modern telecommunications infrastructure is experiencing an unprecedented structural transformation. The deployment of 5G-Advanced and preparatory research into 6G networks have fundamentally disaggregated the Radio Access Network (RAN) into Open Radio Units (O-RU), Open Distributed Units (O-DU), and Open Central Units (O-CU). This disaggregation fractures the traditional mobile backhaul into three stringent transport tiers—fronthaul, midhaul, and backhaul (collectively designated X-Haul)—imposing sub-millisecond latency budgets, microsecond-level time synchronization, and multi-gigabit throughput demands.</w:t>
      </w:r>
    </w:p>
    <w:p>
      <w:r>
        <w:t>While optical fiber is the preferred transmission medium, civil engineering constraints, municipal right-of-way licensing, and astronomical trenching capital expenditures ($100,000 to $300,000 per urban kilometer) render full-fiber penetration economically unfeasible in over 60% of cell site deployments worldwide. Consequently, high-capacity wireless transport—operating across the millimeter-wave (mmWave) V-Band (57–66 GHz), E-Band (70/80 GHz), and multi-carrier microwave (6–42 GHz)—has become an indispensable pillar of modern carrier infrastructure.</w:t>
      </w:r>
    </w:p>
    <w:p>
      <w:r>
        <w:t>Historically, however, wireless transport systems operated as closed, vendor-proprietary 'black boxes.' Network operators were restricted to managing microwave and mmWave links via proprietary Network Management Systems (NMS), closed SNMP MIBs, and legacy Command-Line Interfaces (CLI). This vendor lock-in prevented dynamic, multi-domain orchestration across hybrid optical-wireless topologies and paralyzed automated network slicing.</w:t>
      </w: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40" w:type="dxa"/>
            </w:tcMar>
            <w:tcBorders>
              <w:left w:val="single" w:sz="24" w:space="0" w:color="1B365D"/>
              <w:top w:val="none"/>
              <w:bottom w:val="none"/>
              <w:right w:val="none"/>
            </w:tcBorders>
          </w:tcPr>
          <w:p>
            <w:pPr>
              <w:spacing w:after="40"/>
            </w:pPr>
            <w:r>
              <w:rPr>
                <w:b/>
                <w:color w:val="1B365D"/>
                <w:sz w:val="19"/>
              </w:rPr>
              <w:t>[PROJECT MISSION STATEMENT]</w:t>
              <w:br/>
            </w:r>
            <w:r>
              <w:rPr>
                <w:color w:val="2C3E50"/>
                <w:sz w:val="20"/>
              </w:rPr>
              <w:t>Project Core Objective: Disaggregate carrier-grade wireless transport by constructing an open, standard-compliant Software-Defined Networking (SDN) Southbound Driver that integrates Ceragon Networks hardware natively into ETSI TeraFlowSDN (TFS), exposing complete operational telemetry and transactional candidate datastore controls to higher-level orchestrators, AI intent engines, and network simulators such as NS-3.</w:t>
            </w:r>
          </w:p>
        </w:tc>
      </w:tr>
    </w:tbl>
    <w:p>
      <w:pPr>
        <w:spacing w:after="80"/>
      </w:pPr>
    </w:p>
    <w:p>
      <w:pPr>
        <w:keepNext/>
        <w:spacing w:before="360" w:after="120"/>
      </w:pPr>
      <w:r>
        <w:rPr>
          <w:rFonts w:ascii="Calibri" w:hAnsi="Calibri"/>
          <w:b/>
          <w:color w:val="1B365D"/>
          <w:sz w:val="36"/>
        </w:rPr>
        <w:t>2. Ceragon Wireless Transport Hardware &amp; Physical Capabilities</w:t>
      </w:r>
    </w:p>
    <w:p>
      <w:r>
        <w:t>The integration covers the complete portfolio of Ceragon Networks wireless transport hardware, with primary operational validation executed on physical millimeter-wave systems alongside carrier-grade microwave platforms:</w:t>
      </w:r>
    </w:p>
    <w:p>
      <w:pPr>
        <w:keepNext/>
        <w:spacing w:before="280" w:after="80"/>
      </w:pPr>
      <w:r>
        <w:rPr>
          <w:rFonts w:ascii="Calibri" w:hAnsi="Calibri"/>
          <w:b/>
          <w:color w:val="2980B9"/>
          <w:sz w:val="28"/>
        </w:rPr>
        <w:t>2.1 Ceragon / Siklu MultiHaul TG Series (60 GHz V-Band Terragraph)</w:t>
      </w:r>
    </w:p>
    <w:p>
      <w:r>
        <w:t>The MultiHaul TG product line is engineered upon Meta's Terragraph technology and standardized under IEEE 802.11ad and IEEE 802.11ay. Operating in the unlicensed and lightly licensed 57–66 GHz V-Band, it provides multi-gigabit wireless transport designed for dense urban small-cell backhaul, smart-city deployments, and Gigabit Fixed Wireless Access (FWA).</w:t>
      </w:r>
    </w:p>
    <w:p>
      <w:r>
        <w:t>• Phased Array Electronic Beamforming: The physical MH-T261 Terminal Unit (TU) integrates an active planar phased array antenna ('massive2') comprising 32 dual-polarized microstrip patch radiating elements. It electronically scans across a 90-degree azimuth sector (-45 deg to +45 deg) in discrete 1.4-degree increments, dynamically tracking pole sway caused by thermal expansion or high winds.</w:t>
        <w:br/>
        <w:t>• Channel Plan &amp; Spectral Agility: Operates over 2.16 GHz channel rasters across Channel 1 (58.32 GHz), Channel 2 (60.48 GHz), Channel 3 (62.64 GHz), and Channel 4 (64.80 GHz). In our production testbed, the unit operates on Channel 4, placing carrier transmission slightly above the steepest molecular oxygen absorption peak (~15 dB/km) to optimize transmission distance.</w:t>
        <w:br/>
        <w:t>• Physical Interfaces &amp; Line Rate: Features a 100/1000Base-T RJ-45 copper Ethernet interface with integrated Power over Ethernet (PoE-In), delivering 1.0 Gbps symmetrical net transport throughput with sub-millisecond baseband processing latency.</w:t>
      </w:r>
    </w:p>
    <w:p>
      <w:pPr>
        <w:keepNext/>
        <w:spacing w:before="280" w:after="80"/>
      </w:pPr>
      <w:r>
        <w:rPr>
          <w:rFonts w:ascii="Calibri" w:hAnsi="Calibri"/>
          <w:b/>
          <w:color w:val="2980B9"/>
          <w:sz w:val="28"/>
        </w:rPr>
        <w:t>2.2 EtherHaul E-Band Series (70/80 GHz Millimeter-Wave)</w:t>
      </w:r>
    </w:p>
    <w:p>
      <w:r>
        <w:t>Operating in the licensed 71–76 GHz and 81–86 GHz bands under Frequency Division Duplexing (FDD) with a 10 GHz diplexer separation, the EtherHaul EH-8010FX and EH-2500FX deliver full-duplex throughput up to 10 Gbps and 20 Gbps over link distances exceeding 3 to 5 kilometers. Because E-Band resides within a low atmospheric gaseous absorption window (~0.4 dB/km), it achieves carrier-grade Five-Nines (99.999%) availability governed primarily by precipitation attenuation.</w:t>
      </w:r>
    </w:p>
    <w:p>
      <w:pPr>
        <w:keepNext/>
        <w:spacing w:before="280" w:after="80"/>
      </w:pPr>
      <w:r>
        <w:rPr>
          <w:rFonts w:ascii="Calibri" w:hAnsi="Calibri"/>
          <w:b/>
          <w:color w:val="2980B9"/>
          <w:sz w:val="28"/>
        </w:rPr>
        <w:t>2.3 CeraOS Multi-Core Microwave Family (IP-50 / IP-20 Series)</w:t>
      </w:r>
    </w:p>
    <w:p>
      <w:r>
        <w:t>Ceragon's flagship CeraOS systems (IP-50C, IP-50E, IP-50FX) power high-capacity long-haul microwave transport across 6 to 42 GHz spectrum:</w:t>
        <w:br/>
        <w:t>• Cross-Polarization Interference Cancellation (XPIC): Transmits two independent data streams on the exact same carrier frequency—one on Horizontal (H) polarization and one on Vertical (V) polarization—doubling spectral capacity over a single antenna aperture.</w:t>
        <w:br/>
        <w:t>• 4096-QAM Modulation: Dense 64x64 constellation matrices over channel bandwidths up to 112 MHz, achieving spectral efficiencies of 11 bps/Hz.</w:t>
        <w:br/>
        <w:t>• Multi-Carrier Adaptive Bandwidth Control (ABC): Hitless bonding of multiple physical RF carriers into a single logical Ethernet trunk.</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72"/>
        <w:gridCol w:w="1872"/>
        <w:gridCol w:w="1872"/>
        <w:gridCol w:w="1872"/>
        <w:gridCol w:w="1872"/>
      </w:tblGrid>
      <w:tr>
        <w:tc>
          <w:tcPr>
            <w:tcW w:type="dxa" w:w="1872"/>
            <w:shd w:fill="1B365D"/>
            <w:tcMar>
              <w:top w:w="100" w:type="dxa"/>
              <w:bottom w:w="100" w:type="dxa"/>
              <w:left w:w="80" w:type="dxa"/>
              <w:right w:w="80" w:type="dxa"/>
            </w:tcMar>
          </w:tcPr>
          <w:p>
            <w:pPr>
              <w:spacing w:after="0"/>
            </w:pPr>
            <w:r>
              <w:rPr>
                <w:b/>
                <w:color w:val="FFFFFF"/>
                <w:sz w:val="18"/>
              </w:rPr>
              <w:t>Hardware Family</w:t>
            </w:r>
          </w:p>
        </w:tc>
        <w:tc>
          <w:tcPr>
            <w:tcW w:type="dxa" w:w="1872"/>
            <w:shd w:fill="1B365D"/>
            <w:tcMar>
              <w:top w:w="100" w:type="dxa"/>
              <w:bottom w:w="100" w:type="dxa"/>
              <w:left w:w="80" w:type="dxa"/>
              <w:right w:w="80" w:type="dxa"/>
            </w:tcMar>
          </w:tcPr>
          <w:p>
            <w:pPr>
              <w:spacing w:after="0"/>
            </w:pPr>
            <w:r>
              <w:rPr>
                <w:b/>
                <w:color w:val="FFFFFF"/>
                <w:sz w:val="18"/>
              </w:rPr>
              <w:t>Operating Spectrum</w:t>
            </w:r>
          </w:p>
        </w:tc>
        <w:tc>
          <w:tcPr>
            <w:tcW w:type="dxa" w:w="1872"/>
            <w:shd w:fill="1B365D"/>
            <w:tcMar>
              <w:top w:w="100" w:type="dxa"/>
              <w:bottom w:w="100" w:type="dxa"/>
              <w:left w:w="80" w:type="dxa"/>
              <w:right w:w="80" w:type="dxa"/>
            </w:tcMar>
          </w:tcPr>
          <w:p>
            <w:pPr>
              <w:spacing w:after="0"/>
            </w:pPr>
            <w:r>
              <w:rPr>
                <w:b/>
                <w:color w:val="FFFFFF"/>
                <w:sz w:val="18"/>
              </w:rPr>
              <w:t>Max Throughput</w:t>
            </w:r>
          </w:p>
        </w:tc>
        <w:tc>
          <w:tcPr>
            <w:tcW w:type="dxa" w:w="1872"/>
            <w:shd w:fill="1B365D"/>
            <w:tcMar>
              <w:top w:w="100" w:type="dxa"/>
              <w:bottom w:w="100" w:type="dxa"/>
              <w:left w:w="80" w:type="dxa"/>
              <w:right w:w="80" w:type="dxa"/>
            </w:tcMar>
          </w:tcPr>
          <w:p>
            <w:pPr>
              <w:spacing w:after="0"/>
            </w:pPr>
            <w:r>
              <w:rPr>
                <w:b/>
                <w:color w:val="FFFFFF"/>
                <w:sz w:val="18"/>
              </w:rPr>
              <w:t>Modulation Range</w:t>
            </w:r>
          </w:p>
        </w:tc>
        <w:tc>
          <w:tcPr>
            <w:tcW w:type="dxa" w:w="1872"/>
            <w:shd w:fill="1B365D"/>
            <w:tcMar>
              <w:top w:w="100" w:type="dxa"/>
              <w:bottom w:w="100" w:type="dxa"/>
              <w:left w:w="80" w:type="dxa"/>
              <w:right w:w="80" w:type="dxa"/>
            </w:tcMar>
          </w:tcPr>
          <w:p>
            <w:pPr>
              <w:spacing w:after="0"/>
            </w:pPr>
            <w:r>
              <w:rPr>
                <w:b/>
                <w:color w:val="FFFFFF"/>
                <w:sz w:val="18"/>
              </w:rPr>
              <w:t>Key Transport Feature</w:t>
            </w:r>
          </w:p>
        </w:tc>
      </w:tr>
      <w:tr>
        <w:tc>
          <w:tcPr>
            <w:tcW w:type="dxa" w:w="1872"/>
            <w:shd w:fill="FFFFFF"/>
            <w:tcMar>
              <w:top w:w="80" w:type="dxa"/>
              <w:bottom w:w="80" w:type="dxa"/>
              <w:left w:w="80" w:type="dxa"/>
              <w:right w:w="80" w:type="dxa"/>
            </w:tcMar>
          </w:tcPr>
          <w:p>
            <w:pPr>
              <w:spacing w:after="0"/>
            </w:pPr>
            <w:r>
              <w:rPr>
                <w:color w:val="2C3E50"/>
                <w:sz w:val="17"/>
              </w:rPr>
              <w:t>MultiHaul TG (MH-T261)</w:t>
            </w:r>
          </w:p>
        </w:tc>
        <w:tc>
          <w:tcPr>
            <w:tcW w:type="dxa" w:w="1872"/>
            <w:shd w:fill="FFFFFF"/>
            <w:tcMar>
              <w:top w:w="80" w:type="dxa"/>
              <w:bottom w:w="80" w:type="dxa"/>
              <w:left w:w="80" w:type="dxa"/>
              <w:right w:w="80" w:type="dxa"/>
            </w:tcMar>
          </w:tcPr>
          <w:p>
            <w:pPr>
              <w:spacing w:after="0"/>
            </w:pPr>
            <w:r>
              <w:rPr>
                <w:color w:val="2C3E50"/>
                <w:sz w:val="17"/>
              </w:rPr>
              <w:t>57 - 66 GHz (V-Band)</w:t>
            </w:r>
          </w:p>
        </w:tc>
        <w:tc>
          <w:tcPr>
            <w:tcW w:type="dxa" w:w="1872"/>
            <w:shd w:fill="FFFFFF"/>
            <w:tcMar>
              <w:top w:w="80" w:type="dxa"/>
              <w:bottom w:w="80" w:type="dxa"/>
              <w:left w:w="80" w:type="dxa"/>
              <w:right w:w="80" w:type="dxa"/>
            </w:tcMar>
          </w:tcPr>
          <w:p>
            <w:pPr>
              <w:spacing w:after="0"/>
            </w:pPr>
            <w:r>
              <w:rPr>
                <w:color w:val="2C3E50"/>
                <w:sz w:val="17"/>
              </w:rPr>
              <w:t>1.0 - 4.6 Gbps</w:t>
            </w:r>
          </w:p>
        </w:tc>
        <w:tc>
          <w:tcPr>
            <w:tcW w:type="dxa" w:w="1872"/>
            <w:shd w:fill="FFFFFF"/>
            <w:tcMar>
              <w:top w:w="80" w:type="dxa"/>
              <w:bottom w:w="80" w:type="dxa"/>
              <w:left w:w="80" w:type="dxa"/>
              <w:right w:w="80" w:type="dxa"/>
            </w:tcMar>
          </w:tcPr>
          <w:p>
            <w:pPr>
              <w:spacing w:after="0"/>
            </w:pPr>
            <w:r>
              <w:rPr>
                <w:color w:val="2C3E50"/>
                <w:sz w:val="17"/>
              </w:rPr>
              <w:t>BPSK to 16-QAM</w:t>
            </w:r>
          </w:p>
        </w:tc>
        <w:tc>
          <w:tcPr>
            <w:tcW w:type="dxa" w:w="1872"/>
            <w:shd w:fill="FFFFFF"/>
            <w:tcMar>
              <w:top w:w="80" w:type="dxa"/>
              <w:bottom w:w="80" w:type="dxa"/>
              <w:left w:w="80" w:type="dxa"/>
              <w:right w:w="80" w:type="dxa"/>
            </w:tcMar>
          </w:tcPr>
          <w:p>
            <w:pPr>
              <w:spacing w:after="0"/>
            </w:pPr>
            <w:r>
              <w:rPr>
                <w:color w:val="2C3E50"/>
                <w:sz w:val="17"/>
              </w:rPr>
              <w:t>32-element Phased Array Beamforming</w:t>
            </w:r>
          </w:p>
        </w:tc>
      </w:tr>
      <w:tr>
        <w:tc>
          <w:tcPr>
            <w:tcW w:type="dxa" w:w="1872"/>
            <w:shd w:fill="F4F6F9"/>
            <w:tcMar>
              <w:top w:w="80" w:type="dxa"/>
              <w:bottom w:w="80" w:type="dxa"/>
              <w:left w:w="80" w:type="dxa"/>
              <w:right w:w="80" w:type="dxa"/>
            </w:tcMar>
          </w:tcPr>
          <w:p>
            <w:pPr>
              <w:spacing w:after="0"/>
            </w:pPr>
            <w:r>
              <w:rPr>
                <w:color w:val="2C3E50"/>
                <w:sz w:val="17"/>
              </w:rPr>
              <w:t>MultiHaul TG (MH-N366)</w:t>
            </w:r>
          </w:p>
        </w:tc>
        <w:tc>
          <w:tcPr>
            <w:tcW w:type="dxa" w:w="1872"/>
            <w:shd w:fill="F4F6F9"/>
            <w:tcMar>
              <w:top w:w="80" w:type="dxa"/>
              <w:bottom w:w="80" w:type="dxa"/>
              <w:left w:w="80" w:type="dxa"/>
              <w:right w:w="80" w:type="dxa"/>
            </w:tcMar>
          </w:tcPr>
          <w:p>
            <w:pPr>
              <w:spacing w:after="0"/>
            </w:pPr>
            <w:r>
              <w:rPr>
                <w:color w:val="2C3E50"/>
                <w:sz w:val="17"/>
              </w:rPr>
              <w:t>57 - 66 GHz (V-Band)</w:t>
            </w:r>
          </w:p>
        </w:tc>
        <w:tc>
          <w:tcPr>
            <w:tcW w:type="dxa" w:w="1872"/>
            <w:shd w:fill="F4F6F9"/>
            <w:tcMar>
              <w:top w:w="80" w:type="dxa"/>
              <w:bottom w:w="80" w:type="dxa"/>
              <w:left w:w="80" w:type="dxa"/>
              <w:right w:w="80" w:type="dxa"/>
            </w:tcMar>
          </w:tcPr>
          <w:p>
            <w:pPr>
              <w:spacing w:after="0"/>
            </w:pPr>
            <w:r>
              <w:rPr>
                <w:color w:val="2C3E50"/>
                <w:sz w:val="17"/>
              </w:rPr>
              <w:t>Up to 10 Gbps</w:t>
            </w:r>
          </w:p>
        </w:tc>
        <w:tc>
          <w:tcPr>
            <w:tcW w:type="dxa" w:w="1872"/>
            <w:shd w:fill="F4F6F9"/>
            <w:tcMar>
              <w:top w:w="80" w:type="dxa"/>
              <w:bottom w:w="80" w:type="dxa"/>
              <w:left w:w="80" w:type="dxa"/>
              <w:right w:w="80" w:type="dxa"/>
            </w:tcMar>
          </w:tcPr>
          <w:p>
            <w:pPr>
              <w:spacing w:after="0"/>
            </w:pPr>
            <w:r>
              <w:rPr>
                <w:color w:val="2C3E50"/>
                <w:sz w:val="17"/>
              </w:rPr>
              <w:t>BPSK to 16-QAM</w:t>
            </w:r>
          </w:p>
        </w:tc>
        <w:tc>
          <w:tcPr>
            <w:tcW w:type="dxa" w:w="1872"/>
            <w:shd w:fill="F4F6F9"/>
            <w:tcMar>
              <w:top w:w="80" w:type="dxa"/>
              <w:bottom w:w="80" w:type="dxa"/>
              <w:left w:w="80" w:type="dxa"/>
              <w:right w:w="80" w:type="dxa"/>
            </w:tcMar>
          </w:tcPr>
          <w:p>
            <w:pPr>
              <w:spacing w:after="0"/>
            </w:pPr>
            <w:r>
              <w:rPr>
                <w:color w:val="2C3E50"/>
                <w:sz w:val="17"/>
              </w:rPr>
              <w:t>4-Sector 360-degree Terragraph Mesh</w:t>
            </w:r>
          </w:p>
        </w:tc>
      </w:tr>
      <w:tr>
        <w:tc>
          <w:tcPr>
            <w:tcW w:type="dxa" w:w="1872"/>
            <w:shd w:fill="FFFFFF"/>
            <w:tcMar>
              <w:top w:w="80" w:type="dxa"/>
              <w:bottom w:w="80" w:type="dxa"/>
              <w:left w:w="80" w:type="dxa"/>
              <w:right w:w="80" w:type="dxa"/>
            </w:tcMar>
          </w:tcPr>
          <w:p>
            <w:pPr>
              <w:spacing w:after="0"/>
            </w:pPr>
            <w:r>
              <w:rPr>
                <w:color w:val="2C3E50"/>
                <w:sz w:val="17"/>
              </w:rPr>
              <w:t>EtherHaul (EH-8010FX)</w:t>
            </w:r>
          </w:p>
        </w:tc>
        <w:tc>
          <w:tcPr>
            <w:tcW w:type="dxa" w:w="1872"/>
            <w:shd w:fill="FFFFFF"/>
            <w:tcMar>
              <w:top w:w="80" w:type="dxa"/>
              <w:bottom w:w="80" w:type="dxa"/>
              <w:left w:w="80" w:type="dxa"/>
              <w:right w:w="80" w:type="dxa"/>
            </w:tcMar>
          </w:tcPr>
          <w:p>
            <w:pPr>
              <w:spacing w:after="0"/>
            </w:pPr>
            <w:r>
              <w:rPr>
                <w:color w:val="2C3E50"/>
                <w:sz w:val="17"/>
              </w:rPr>
              <w:t>71-76 / 81-86 GHz</w:t>
            </w:r>
          </w:p>
        </w:tc>
        <w:tc>
          <w:tcPr>
            <w:tcW w:type="dxa" w:w="1872"/>
            <w:shd w:fill="FFFFFF"/>
            <w:tcMar>
              <w:top w:w="80" w:type="dxa"/>
              <w:bottom w:w="80" w:type="dxa"/>
              <w:left w:w="80" w:type="dxa"/>
              <w:right w:w="80" w:type="dxa"/>
            </w:tcMar>
          </w:tcPr>
          <w:p>
            <w:pPr>
              <w:spacing w:after="0"/>
            </w:pPr>
            <w:r>
              <w:rPr>
                <w:color w:val="2C3E50"/>
                <w:sz w:val="17"/>
              </w:rPr>
              <w:t>10.0 Gbps Full Duplex</w:t>
            </w:r>
          </w:p>
        </w:tc>
        <w:tc>
          <w:tcPr>
            <w:tcW w:type="dxa" w:w="1872"/>
            <w:shd w:fill="FFFFFF"/>
            <w:tcMar>
              <w:top w:w="80" w:type="dxa"/>
              <w:bottom w:w="80" w:type="dxa"/>
              <w:left w:w="80" w:type="dxa"/>
              <w:right w:w="80" w:type="dxa"/>
            </w:tcMar>
          </w:tcPr>
          <w:p>
            <w:pPr>
              <w:spacing w:after="0"/>
            </w:pPr>
            <w:r>
              <w:rPr>
                <w:color w:val="2C3E50"/>
                <w:sz w:val="17"/>
              </w:rPr>
              <w:t>QPSK to 128-QAM</w:t>
            </w:r>
          </w:p>
        </w:tc>
        <w:tc>
          <w:tcPr>
            <w:tcW w:type="dxa" w:w="1872"/>
            <w:shd w:fill="FFFFFF"/>
            <w:tcMar>
              <w:top w:w="80" w:type="dxa"/>
              <w:bottom w:w="80" w:type="dxa"/>
              <w:left w:w="80" w:type="dxa"/>
              <w:right w:w="80" w:type="dxa"/>
            </w:tcMar>
          </w:tcPr>
          <w:p>
            <w:pPr>
              <w:spacing w:after="0"/>
            </w:pPr>
            <w:r>
              <w:rPr>
                <w:color w:val="2C3E50"/>
                <w:sz w:val="17"/>
              </w:rPr>
              <w:t>Ultra-low delay (&lt; 10 us), eCPRI ready</w:t>
            </w:r>
          </w:p>
        </w:tc>
      </w:tr>
      <w:tr>
        <w:tc>
          <w:tcPr>
            <w:tcW w:type="dxa" w:w="1872"/>
            <w:shd w:fill="F4F6F9"/>
            <w:tcMar>
              <w:top w:w="80" w:type="dxa"/>
              <w:bottom w:w="80" w:type="dxa"/>
              <w:left w:w="80" w:type="dxa"/>
              <w:right w:w="80" w:type="dxa"/>
            </w:tcMar>
          </w:tcPr>
          <w:p>
            <w:pPr>
              <w:spacing w:after="0"/>
            </w:pPr>
            <w:r>
              <w:rPr>
                <w:color w:val="2C3E50"/>
                <w:sz w:val="17"/>
              </w:rPr>
              <w:t>CeraOS Multi-Core (IP-50C)</w:t>
            </w:r>
          </w:p>
        </w:tc>
        <w:tc>
          <w:tcPr>
            <w:tcW w:type="dxa" w:w="1872"/>
            <w:shd w:fill="F4F6F9"/>
            <w:tcMar>
              <w:top w:w="80" w:type="dxa"/>
              <w:bottom w:w="80" w:type="dxa"/>
              <w:left w:w="80" w:type="dxa"/>
              <w:right w:w="80" w:type="dxa"/>
            </w:tcMar>
          </w:tcPr>
          <w:p>
            <w:pPr>
              <w:spacing w:after="0"/>
            </w:pPr>
            <w:r>
              <w:rPr>
                <w:color w:val="2C3E50"/>
                <w:sz w:val="17"/>
              </w:rPr>
              <w:t>6 - 42 GHz Microwave</w:t>
            </w:r>
          </w:p>
        </w:tc>
        <w:tc>
          <w:tcPr>
            <w:tcW w:type="dxa" w:w="1872"/>
            <w:shd w:fill="F4F6F9"/>
            <w:tcMar>
              <w:top w:w="80" w:type="dxa"/>
              <w:bottom w:w="80" w:type="dxa"/>
              <w:left w:w="80" w:type="dxa"/>
              <w:right w:w="80" w:type="dxa"/>
            </w:tcMar>
          </w:tcPr>
          <w:p>
            <w:pPr>
              <w:spacing w:after="0"/>
            </w:pPr>
            <w:r>
              <w:rPr>
                <w:color w:val="2C3E50"/>
                <w:sz w:val="17"/>
              </w:rPr>
              <w:t>Up to 20 Gbps</w:t>
            </w:r>
          </w:p>
        </w:tc>
        <w:tc>
          <w:tcPr>
            <w:tcW w:type="dxa" w:w="1872"/>
            <w:shd w:fill="F4F6F9"/>
            <w:tcMar>
              <w:top w:w="80" w:type="dxa"/>
              <w:bottom w:w="80" w:type="dxa"/>
              <w:left w:w="80" w:type="dxa"/>
              <w:right w:w="80" w:type="dxa"/>
            </w:tcMar>
          </w:tcPr>
          <w:p>
            <w:pPr>
              <w:spacing w:after="0"/>
            </w:pPr>
            <w:r>
              <w:rPr>
                <w:color w:val="2C3E50"/>
                <w:sz w:val="17"/>
              </w:rPr>
              <w:t>QPSK to 4096-QAM</w:t>
            </w:r>
          </w:p>
        </w:tc>
        <w:tc>
          <w:tcPr>
            <w:tcW w:type="dxa" w:w="1872"/>
            <w:shd w:fill="F4F6F9"/>
            <w:tcMar>
              <w:top w:w="80" w:type="dxa"/>
              <w:bottom w:w="80" w:type="dxa"/>
              <w:left w:w="80" w:type="dxa"/>
              <w:right w:w="80" w:type="dxa"/>
            </w:tcMar>
          </w:tcPr>
          <w:p>
            <w:pPr>
              <w:spacing w:after="0"/>
            </w:pPr>
            <w:r>
              <w:rPr>
                <w:color w:val="2C3E50"/>
                <w:sz w:val="17"/>
              </w:rPr>
              <w:t>Dual-carrier XPIC &amp; Multi-Carrier ABC</w:t>
            </w:r>
          </w:p>
        </w:tc>
      </w:tr>
    </w:tbl>
    <w:p>
      <w:pPr>
        <w:spacing w:after="120"/>
      </w:pPr>
    </w:p>
    <w:p>
      <w:pPr>
        <w:keepNext/>
        <w:spacing w:before="360" w:after="120"/>
      </w:pPr>
      <w:r>
        <w:rPr>
          <w:rFonts w:ascii="Calibri" w:hAnsi="Calibri"/>
          <w:b/>
          <w:color w:val="1B365D"/>
          <w:sz w:val="36"/>
        </w:rPr>
        <w:t>3. The Physical YANG Schema Catalog: 51 RFC-Compliant Models</w:t>
      </w:r>
    </w:p>
    <w:p>
      <w:r>
        <w:t>A foundational achievement of this project is the extraction, validation, and integration of the complete set of 51 RFC-compliant YANG data models directly from physical Ceragon MultiHaul TG hardware. In accordance with IETF RFC 7950 (YANG 1.1) and RFC 8040 (RESTCONF), the hardware operating system exposes its internal ASIC state, radio beamforming matrices, Ethernet bridge configurations, and performance monitoring telemetry exclusively through these structured schemas.</w:t>
      </w:r>
    </w:p>
    <w:p>
      <w:r>
        <w:t>The 51 modules are bifurcated into two foundational categories:</w:t>
        <w:br/>
        <w:t>1. Proprietary Ceragon / Siklu Terragraph Modules (24 Schemas): Defining radio beam steering, adaptive coding and modulation, spider attenuation vectors, user-plane IEEE 802.1Q bridging, and hardware performance monitoring.</w:t>
        <w:br/>
        <w:t>2. Standard IETF / IEEE Models (27 Schemas): Defining Network Management Datastore Architecture (NMDA, RFC 8342), YANG Library (RFC 8525), NETCONF base operations (RFC 6241), and IEEE 802.1ag Connectivity Fault Management (CFM).</w:t>
      </w:r>
    </w:p>
    <w:p>
      <w:pPr>
        <w:keepNext/>
        <w:spacing w:before="280" w:after="80"/>
      </w:pPr>
      <w:r>
        <w:rPr>
          <w:rFonts w:ascii="Calibri" w:hAnsi="Calibri"/>
          <w:b/>
          <w:color w:val="2980B9"/>
          <w:sz w:val="28"/>
        </w:rPr>
        <w:t>3.1 Key Proprietary Transport Modules</w:t>
      </w:r>
    </w:p>
    <w:p>
      <w:r>
        <w:t>• radio-bridge-tg-radio-common.yang: Governs operating channel frequency (Channels 1–4), automatic vs. manual transmit power control (ATPC), target RSSI floor, antenna profile assignment, and operational status monitoring.</w:t>
        <w:br/>
        <w:t>• radio-bridge-tg-user-bridge.yang: Manages IEEE 802.1Q VLAN bridges, port membership, PCP/DSCP priority-to-traffic-class mappings, MAC address learning, and broadcast/multicast flood rate limiting.</w:t>
        <w:br/>
        <w:t>• radio-bridge-tg-acm.yang: Controls the Hitless Adaptive Coding and Modulation state machine, allowing the controller to enforce minimum modulation floors (e.g. QPSK) during rain fade events and configure upshift/downshift hysteresis margins.</w:t>
        <w:br/>
        <w:t>• radio-bridge-tg-spider-attenuation-control.yang: Exposes fine-grained element-level RF phase and attenuation calibration across each of the 32 radiating elements in the phased-array antenna.</w:t>
        <w:br/>
        <w:t>• radio-bridge-tg-pm.yang: Standardizes 15-minute and 24-hour historical Performance Monitoring (PM) bins, recording errored seconds (ES), severely errored seconds (SES), background block errors (BBE), and min/max/average RSSI levels.</w:t>
        <w:br/>
        <w:t>• radio-bridge-tg-rollback.yang: Provides automated hardware-level safety rollback timers for unconfirmed candidate configuration commits.</w:t>
      </w:r>
    </w:p>
    <w:p>
      <w:pPr>
        <w:keepNext/>
        <w:spacing w:before="360" w:after="120"/>
      </w:pPr>
      <w:r>
        <w:rPr>
          <w:rFonts w:ascii="Calibri" w:hAnsi="Calibri"/>
          <w:b/>
          <w:color w:val="1B365D"/>
          <w:sz w:val="36"/>
        </w:rPr>
        <w:t>4. Southbound Driver Architecture &amp; Transactional Candidate Datastore</w:t>
      </w:r>
    </w:p>
    <w:p>
      <w:r>
        <w:t>The Southbound Driver serves as the core mediator within ETSI TeraFlowSDN, translating high-level controller intent into hardware-validated RFC 8040 RESTCONF transactions. Carrier-grade telecommunications hardware enforces the Network Management Datastore Architecture (NMDA, RFC 8342), prohibiting direct mutations to running operational datastores.</w:t>
      </w:r>
    </w:p>
    <w:p>
      <w:pPr>
        <w:keepNext/>
        <w:spacing w:before="280" w:after="80"/>
      </w:pPr>
      <w:r>
        <w:rPr>
          <w:rFonts w:ascii="Calibri" w:hAnsi="Calibri"/>
          <w:b/>
          <w:color w:val="2980B9"/>
          <w:sz w:val="28"/>
        </w:rPr>
        <w:t>4.1 The Two-Phase Commit (2PC) Lifecycle</w:t>
      </w:r>
    </w:p>
    <w:p>
      <w:r>
        <w:t>To guarantee that an invalid configuration (such as setting an out-of-band RF frequency or an incompatible modulation profile) never disrupts live radio traffic, the driver implements a strict Two-Phase Commit (2PC) protocol:</w:t>
      </w:r>
    </w:p>
    <w:p>
      <w:r>
        <w:t>1. Phase 1 — Staging Mutation in Candidate Datastore:</w:t>
        <w:br/>
        <w:t xml:space="preserve">   The driver issues an HTTP PATCH request to '/restconf/ds/ietf-datastores:candidate/...' with Content-Type: application/yang-data+json.    The hardware syntax engine and RF physical validator check the requested parameters against active regulatory domains and hardware limits.    If validated, the hardware returns HTTP 204 No Content.</w:t>
        <w:br/>
        <w:t>2. Phase 2 — Atomic Commit to Running Datastore:</w:t>
        <w:br/>
        <w:t xml:space="preserve">   Upon successful staging, the driver issues an atomic commit RPC: 'POST /restconf/operations/ietf-netconf:commit'.    The hardware ASIC immediately updates its running memory, retuning the RF transceiver or reconfiguring the switch fabric,    and returns HTTP 200 OK.</w:t>
        <w:br/>
        <w:t>3. Automatic Safety Rollback:</w:t>
        <w:br/>
        <w:t xml:space="preserve">   If staging fails (HTTP 400 Bad Request) or if the commit encounters a hardware conflict (HTTP 409 Conflict), the driver automatically    issues a rollback RPC: 'POST /restconf/operations/ietf-netconf:discard-changes'. The candidate buffer is purged, and the live link    remains completely unaffected.</w:t>
      </w: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40" w:type="dxa"/>
            </w:tcMar>
            <w:tcBorders>
              <w:left w:val="single" w:sz="24" w:space="0" w:color="1B365D"/>
              <w:top w:val="none"/>
              <w:bottom w:val="none"/>
              <w:right w:val="none"/>
            </w:tcBorders>
          </w:tcPr>
          <w:p>
            <w:pPr>
              <w:spacing w:after="40"/>
            </w:pPr>
            <w:r>
              <w:rPr>
                <w:b/>
                <w:color w:val="1B365D"/>
                <w:sz w:val="19"/>
              </w:rPr>
              <w:t>[CARRIER-GRADE RESILIENCE]</w:t>
              <w:br/>
            </w:r>
            <w:r>
              <w:rPr>
                <w:color w:val="2C3E50"/>
                <w:sz w:val="20"/>
              </w:rPr>
              <w:t>Two-Phase Commit Guarantee: Telecommunications microwave and mmWave links carry live subscriber and backhaul traffic. Direct-to-running configuration writes risk link drops if syntax or physical RF rules are violated. The candidate datastore 2PC engine guarantees 100% transactional safety—either all mutations apply atomically, or the hardware state is safely rolled back.</w:t>
            </w:r>
          </w:p>
        </w:tc>
      </w:tr>
    </w:tbl>
    <w:p>
      <w:pPr>
        <w:spacing w:after="80"/>
      </w:pPr>
    </w:p>
    <w:p>
      <w:pPr>
        <w:keepNext/>
        <w:spacing w:before="280" w:after="80"/>
      </w:pPr>
      <w:r>
        <w:rPr>
          <w:rFonts w:ascii="Calibri" w:hAnsi="Calibri"/>
          <w:b/>
          <w:color w:val="2980B9"/>
          <w:sz w:val="28"/>
        </w:rPr>
        <w:t>4.2 Driver Component Architecture</w:t>
      </w:r>
    </w:p>
    <w:p>
      <w:r>
        <w:t>The driver codebase is structured into modular, decoupled components:</w:t>
        <w:br/>
        <w:t>• CeragonDriver: Inherits from ETSI TFS '_Driver' abstract base class, managing connection lifecycles, per-device reentrant mutex locking ('threading.Lock'), and thread-safe execution.</w:t>
        <w:br/>
        <w:t>• CeragonRestClient: Manages HTTP/HTTPS connection pooling, HTTP Basic authentication headers, keepalives, and candidate datastore URIs.</w:t>
        <w:br/>
        <w:t>• Tools: Serializes device states into TFS 'EndPoint' and 'ConfigRule' protobuf structures, maps physical RJ45 and RF sectors, and translates TFS rules into YANG target paths.</w:t>
        <w:br/>
        <w:t>• templates: Constructs validated YANG configuration JSON payloads for radio carrier tuning, VLAN slicing, and ACM floor hardening.</w:t>
      </w:r>
    </w:p>
    <w:p>
      <w:pPr>
        <w:keepNext/>
        <w:spacing w:before="360" w:after="120"/>
      </w:pPr>
      <w:r>
        <w:rPr>
          <w:rFonts w:ascii="Calibri" w:hAnsi="Calibri"/>
          <w:b/>
          <w:color w:val="1B365D"/>
          <w:sz w:val="36"/>
        </w:rPr>
        <w:t>5. ETSI TeraFlowSDN Core Controller Integration</w:t>
      </w:r>
    </w:p>
    <w:p>
      <w:r>
        <w:t>ETSI TeraFlowSDN (TFS) is a cloud-native, microservice-based Software-Defined Networking controller designed for telco operators. Our integration establishes native driver support within the TFS v7.0 core:</w:t>
      </w:r>
    </w:p>
    <w:p>
      <w:r>
        <w:t>• Protocol Buffer Allocation (DEVICEDRIVER_CERAGON = 22): In 'context.proto', we allocated the official enum identifier DEVICEDRIVER_CERAGON = 22. In 'DriverFactory.py', this enum maps directly to 'CeragonDriver', enabling TFS to automatically instantiate the Ceragon driver whenever a transport device is onboarded.</w:t>
        <w:br/>
        <w:t>• Distributed State Persistence: All discovered devices, endpoints, topology links, and config rules are persisted in CockroachDB (CRDB), a distributed SQL database providing serializable ACID transaction guarantees.</w:t>
        <w:br/>
        <w:t>• Microservice Coordination: The 'DeviceService' delegates configuration requests to the driver; the 'ContextService' maintains the global network graph; the 'PathCompService' executes Constrained Shortest Path First (CSPF) algorithms; and the 'SliceService' orchestrates end-to-end transport network slices.</w:t>
      </w:r>
    </w:p>
    <w:p>
      <w:pPr>
        <w:keepNext/>
        <w:spacing w:before="360" w:after="120"/>
      </w:pPr>
      <w:r>
        <w:rPr>
          <w:rFonts w:ascii="Calibri" w:hAnsi="Calibri"/>
          <w:b/>
          <w:color w:val="1B365D"/>
          <w:sz w:val="36"/>
        </w:rPr>
        <w:t>6. Hybrid Transport Topology: Coexistence of Physical Hardware &amp; 34 Simulated Nodes</w:t>
      </w:r>
    </w:p>
    <w:p>
      <w:r>
        <w:t>To evaluate end-to-end multi-hop network slicing, failover routing, and path computation without requiring dozens of physical cell towers in a laboratory, we engineered a realistic Hybrid Hardware-in-the-Loop (HIL) topology within TeraFlowSDN:</w:t>
      </w:r>
    </w:p>
    <w:p>
      <w:r>
        <w:t>• The 34-Node Simulated Network: Representing a metropolitan 5G-Advanced / 6G regional transport network spanning:</w:t>
        <w:br/>
        <w:t xml:space="preserve">  - Core Tier: 6G Core Data Center &amp; UPF, Regional Edge Cloud.</w:t>
        <w:br/>
        <w:t xml:space="preserve">  - Aggregation Tier: 4 Optical Aggregation Ring Nodes interconnected via 40G/100G fiber.</w:t>
        <w:br/>
        <w:t xml:space="preserve">  - RAN Central Tier: 4 Open Central Units (O-CU North, East, South, West).</w:t>
        <w:br/>
        <w:t xml:space="preserve">  - Midhaul Transport: 4 Midhaul Hubs and 4 Open Distributed Units (O-DU Nodes 1–4) connected over simulated CeraOS microwave links.</w:t>
        <w:br/>
        <w:t xml:space="preserve">  - Cell Site Fronthaul: 8 Fronthaul Tail nodes and 8 Open Radio Units (O-RU mmWave and Sub-6G).</w:t>
        <w:br/>
        <w:t>• Physical Node Injection: The live physical MultiHaul TG MH-T261 ('ctu-96') is registered in the exact same Context and Topology ('admin / admin') using a deterministic UUID5 ('f676623c-1a65-54bd-b1e8-279c8a6d8a1c').</w:t>
        <w:br/>
        <w:t>• Physical-to-Simulated Link Binding: An explicit bidirectional TFS 'Link' connects the physical RJ-45 interface 'ctu-96:eth1' to the simulated aggregation port 'O-CU North:port-1', establishing a seamless hybrid data path.</w:t>
      </w:r>
    </w:p>
    <w:p>
      <w:pPr>
        <w:keepNext/>
        <w:spacing w:before="360" w:after="120"/>
      </w:pPr>
      <w:r>
        <w:rPr>
          <w:rFonts w:ascii="Calibri" w:hAnsi="Calibri"/>
          <w:b/>
          <w:color w:val="1B365D"/>
          <w:sz w:val="36"/>
        </w:rPr>
        <w:t>7. Northbound AI Intent Engine &amp; Closed-Loop Autonomous Assurance</w:t>
      </w:r>
    </w:p>
    <w:p>
      <w:r>
        <w:t>Above the SDN controller sits the CER-Intent Northbound AI Intent Engine, transforming high-level declarative operator intent into automated physical and logical configurations:</w:t>
      </w:r>
    </w:p>
    <w:p>
      <w:r>
        <w:t>• Declarative Intent Ingestion: Ingests natural language or structured JSON-LD SLAs (e.g. 'Deploy an Ultra-Reliable Low-Latency Transport Slice between Cell 101 and Regional Edge Cloud with latency &lt;= 3 ms and bandwidth 1 Gbps').</w:t>
        <w:br/>
        <w:t>• AI Intent Architect: Translates high-level SLAs into graph constraints, evaluating available capacity, propagation delays, and physical medium characteristics across both optical and wireless hops.</w:t>
        <w:br/>
        <w:t>• Predictive Rain Fade Anticipation (ITU-R P.838-3): Interrogates real-time meteorological forecasts and applies the ITU-R rain attenuation power-law formula: gamma_R = k * R^alpha. For 60 GHz V-Band (k = 0.8606, alpha = 0.7571), a rain rate of 42 mm/h produces 14.65 dB/km attenuation. The system proactively elevates the minimum ACM floor and re-routes lower-priority elastic traffic before the storm cell physically impacts the link.</w:t>
        <w:br/>
        <w:t>• Closed-Loop Reconciler: Continuously monitors operational telemetry against declared SLAs. If link degradation or packet loss occurs, the reconciler triggers automated self-healing—either boosting transmit power via ATPC or rerouting the slice via alternative hops.</w:t>
      </w:r>
    </w:p>
    <w:p>
      <w:pPr>
        <w:keepNext/>
        <w:spacing w:before="360" w:after="120"/>
      </w:pPr>
      <w:r>
        <w:rPr>
          <w:rFonts w:ascii="Calibri" w:hAnsi="Calibri"/>
          <w:b/>
          <w:color w:val="1B365D"/>
          <w:sz w:val="36"/>
        </w:rPr>
        <w:t>8. Northbound Extensibility: Interfacing NS-3 Simulation &amp; External Applications</w:t>
      </w:r>
    </w:p>
    <w:p>
      <w:r>
        <w:t>A primary design requirement of this architecture is complete Northbound Extensibility: enabling external systems, network simulators (such as NS-3), and third-party orchestration applications to transparently discover, monitor, and control Ceragon physical and simulated devices through ETSI TeraFlowSDN.</w:t>
      </w:r>
    </w:p>
    <w:p>
      <w:pPr>
        <w:keepNext/>
        <w:spacing w:before="280" w:after="80"/>
      </w:pPr>
      <w:r>
        <w:rPr>
          <w:rFonts w:ascii="Calibri" w:hAnsi="Calibri"/>
          <w:b/>
          <w:color w:val="2980B9"/>
          <w:sz w:val="28"/>
        </w:rPr>
        <w:t>8.1 Northbound Integration Architecture</w:t>
      </w:r>
    </w:p>
    <w:p>
      <w:r>
        <w:t>Rather than requiring external applications to implement vendor-specific RESTCONF or SNMP drivers for every physical radio model, external systems communicate exclusively with ETSI TeraFlowSDN's Northbound REST API and gRPC interface. TeraFlowSDN acts as the central network abstraction layer, presenting a unified topology graph (RFC 8345) and delegating hardware commands down to the Ceragon driver:</w:t>
      </w: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40" w:type="dxa"/>
            </w:tcMar>
            <w:tcBorders>
              <w:left w:val="single" w:sz="24" w:space="0" w:color="1B365D"/>
              <w:top w:val="none"/>
              <w:bottom w:val="none"/>
              <w:right w:val="none"/>
            </w:tcBorders>
          </w:tcPr>
          <w:p>
            <w:pPr>
              <w:spacing w:after="40"/>
            </w:pPr>
            <w:r>
              <w:rPr>
                <w:b/>
                <w:color w:val="1B365D"/>
                <w:sz w:val="19"/>
              </w:rPr>
              <w:t>[NORTHBOUND CONTROL &amp; MONITORING PIPELINE]</w:t>
              <w:br/>
            </w:r>
            <w:r>
              <w:rPr>
                <w:color w:val="2C3E50"/>
                <w:sz w:val="20"/>
              </w:rPr>
              <w:t>Architecture Flow:</w:t>
              <w:br/>
              <w:t>[ NS-3 Simulator / External App ]</w:t>
              <w:br/>
              <w:t xml:space="preserve">             |</w:t>
              <w:br/>
              <w:t xml:space="preserve">             | (HTTP REST / gRPC Northbound API :8088 / :1010)</w:t>
              <w:br/>
              <w:t xml:space="preserve">             v</w:t>
              <w:br/>
              <w:t>[ ETSI TeraFlowSDN Controller ] (Topology, Context, Device, Slice)</w:t>
              <w:br/>
              <w:t xml:space="preserve">             |</w:t>
              <w:br/>
              <w:t xml:space="preserve">             | (Southbound RESTCONF Candidate Datastore Engine)</w:t>
              <w:br/>
              <w:t xml:space="preserve">             v</w:t>
              <w:br/>
              <w:t>[ Ceragon Transport Hardware ] (MultiHaul TG, EtherHaul, CeraOS)</w:t>
            </w:r>
          </w:p>
        </w:tc>
      </w:tr>
    </w:tbl>
    <w:p>
      <w:pPr>
        <w:spacing w:after="80"/>
      </w:pPr>
    </w:p>
    <w:p>
      <w:pPr>
        <w:keepNext/>
        <w:spacing w:before="280" w:after="80"/>
      </w:pPr>
      <w:r>
        <w:rPr>
          <w:rFonts w:ascii="Calibri" w:hAnsi="Calibri"/>
          <w:b/>
          <w:color w:val="2980B9"/>
          <w:sz w:val="28"/>
        </w:rPr>
        <w:t>8.2 Reading Operational Telemetry via Northbound API</w:t>
      </w:r>
    </w:p>
    <w:p>
      <w:r>
        <w:t>External applications can interrogate live operational telemetry from physical and simulated Ceragon devices using standard REST calls:</w:t>
      </w:r>
    </w:p>
    <w:p>
      <w:r>
        <w:t>1. Interrogate Complete Topology &amp; Device Inventory:</w:t>
        <w:br/>
        <w:t xml:space="preserve">   GET /tfs-api/context/admin/topology/admin</w:t>
        <w:br/>
        <w:t xml:space="preserve">   Returns the complete graph of devices, UUIDs, endpoint mappings, and operational statuses.</w:t>
        <w:br/>
        <w:br/>
        <w:t>2. Query Device Telemetry &amp; Operating Parameters:</w:t>
        <w:br/>
        <w:t xml:space="preserve">   GET /tfs-api/device/{device_uuid}</w:t>
        <w:br/>
        <w:t xml:space="preserve">   Returns the live operating parameters populated by the Ceragon Southbound Driver:</w:t>
      </w:r>
    </w:p>
    <w:p>
      <w:pPr/>
      <w:r>
        <w:t>{</w:t>
        <w:br/>
        <w:t xml:space="preserve">  "device_id": {"device_uuid": {"uuid": "f676623c-1a65-54bd-b1e8-279c8a6d8a1c"}},</w:t>
        <w:br/>
        <w:t xml:space="preserve">  "device_type": "microwave-radio-system",</w:t>
        <w:br/>
        <w:t xml:space="preserve">  "device_operational_status": 2,</w:t>
        <w:br/>
        <w:t xml:space="preserve">  "device_config": {</w:t>
        <w:br/>
        <w:t xml:space="preserve">    "config_rules": [</w:t>
        <w:br/>
        <w:t xml:space="preserve">      {</w:t>
        <w:br/>
        <w:t xml:space="preserve">        "action": "CONFIGACTION_SET",</w:t>
        <w:br/>
        <w:t xml:space="preserve">        "custom": {</w:t>
        <w:br/>
        <w:t xml:space="preserve">          "resource_key": "/device/operating_parameters",</w:t>
        <w:br/>
        <w:t xml:space="preserve">          "resource_value": "{\"frequency_ghz\": 64.8, \"active_mcs\": 8, \"rx_rssi_dbm\": -58.4, \"snr_db\": 24.1, \"modem_temperature_c\": 61, \"tx_power_control\": \"auto\"}"</w:t>
        <w:br/>
        <w:t xml:space="preserve">        }</w:t>
        <w:br/>
        <w:t xml:space="preserve">      }</w:t>
        <w:br/>
        <w:t xml:space="preserve">    ]</w:t>
        <w:br/>
        <w:t xml:space="preserve">  }</w:t>
        <w:br/>
        <w:t>}</w:t>
      </w:r>
    </w:p>
    <w:p>
      <w:pPr>
        <w:keepNext/>
        <w:spacing w:before="280" w:after="80"/>
      </w:pPr>
      <w:r>
        <w:rPr>
          <w:rFonts w:ascii="Calibri" w:hAnsi="Calibri"/>
          <w:b/>
          <w:color w:val="2980B9"/>
          <w:sz w:val="28"/>
        </w:rPr>
        <w:t>8.3 Controlling Ceragon Devices via Northbound Configuration Rules</w:t>
      </w:r>
    </w:p>
    <w:p>
      <w:r>
        <w:t>External controllers or NS-3 co-simulation nodes can dynamically reconfigure Ceragon physical and simulated radios by submitting standard configuration rules to TeraFlowSDN via PUT /tfs-api/device/{device_uuid}:</w:t>
      </w:r>
    </w:p>
    <w:p>
      <w:r>
        <w:t>• Radio Frequency Tuning &amp; Transmit Power:</w:t>
        <w:br/>
        <w:t xml:space="preserve">  Resource Key: '/radio/tuning'</w:t>
        <w:br/>
        <w:t xml:space="preserve">  Payload: {"frequency_mhz": 64800.0, "channel_id": 4, "tx_power_control": "auto", "target_mcs": 8}</w:t>
        <w:br/>
        <w:t xml:space="preserve">  Effect: The driver stages a PATCH mutation into 'radio-bridge-tg-radio-common' and executes an atomic commit.</w:t>
        <w:br/>
        <w:br/>
        <w:t>• Dynamic Transport Slicing &amp; VLAN Provisioning:</w:t>
        <w:br/>
        <w:t xml:space="preserve">  Resource Key: '/slice/slice-uran-6g'</w:t>
        <w:br/>
        <w:t xml:space="preserve">  Payload: {"vlan_id": 200, "bandwidth_mbps": 1000, "priority": 7, "member_interfaces": ["eth1", "rf-sector-1"]}</w:t>
        <w:br/>
        <w:t xml:space="preserve">  Effect: Provisions an isolated IEEE 802.1Q VLAN sub-interface and token-bucket traffic policer in hardware.</w:t>
        <w:br/>
        <w:br/>
        <w:t>• Adaptive Coding &amp; Modulation (ACM) Floor Hardening:</w:t>
        <w:br/>
        <w:t xml:space="preserve">  Resource Key: '/modulation/acm_floor'</w:t>
        <w:br/>
        <w:t xml:space="preserve">  Payload: {"sector_id": "rf-sector-1", "min_modulation": "QPSK", "min_mcs": 2, "atpc_boost_dbm": 3.0}</w:t>
        <w:br/>
        <w:t xml:space="preserve">  Effect: Enforces physical rain-fade protection in the baseband DSP, preventing modulation flap.</w:t>
      </w:r>
    </w:p>
    <w:p>
      <w:pPr>
        <w:keepNext/>
        <w:spacing w:before="280" w:after="80"/>
      </w:pPr>
      <w:r>
        <w:rPr>
          <w:rFonts w:ascii="Calibri" w:hAnsi="Calibri"/>
          <w:b/>
          <w:color w:val="2980B9"/>
          <w:sz w:val="28"/>
        </w:rPr>
        <w:t>8.4 NS-3 Co-Simulation Architecture &amp; Integration Blueprint</w:t>
      </w:r>
    </w:p>
    <w:p>
      <w:r>
        <w:t>The primary next-stage application for this framework is integrating the **NS-3 Network Simulator**. In this co-simulation architecture, NS-3 simulates complex end-to-end mobile packet traffic (e.g. thousands of moving vehicular UEs, macro-cell handovers, and TCP/UDP application workloads), while delegating the underlying wireless transport mesh to real-time physical and simulated Ceragon nodes managed by TeraFlowSDN:</w:t>
      </w:r>
    </w:p>
    <w:p>
      <w:r>
        <w:t>1. Real-Time Telemetry Feed into NS-3:</w:t>
        <w:br/>
        <w:t xml:space="preserve">   An NS-3 Northbound Adapter polls TFS every 100ms–1s to retrieve live link capacities, instantaneous RSSI, active MCS, and latency.    These physical parameters are dynamically injected into NS-3's 'PointToPointNetDevice' and 'ErrorModel', ensuring the packet-level    simulation reflects actual physical RF atmospheric conditions.</w:t>
        <w:br/>
        <w:br/>
        <w:t>2. Closed-Loop Control from NS-3 to Physical Hardware:</w:t>
        <w:br/>
        <w:t xml:space="preserve">   When NS-3's simulation engine detects impending congestion or SLA boundary violations in simulated traffic queues,    its control algorithm issues TFS Northbound REST commands to dynamically adjust Ceragon transport slices, tune RF carriers,    or activate secondary microwave backup channels.</w:t>
        <w:br/>
        <w:br/>
        <w:t>3. Hardware-in-the-Loop Real Packet Ingestion:</w:t>
        <w:br/>
        <w:t xml:space="preserve">   Using NS-3's 'TapBridge' or 'FdNetDevice', real IP packets generated by NS-3 virtual nodes can be transmitted across the host's    physical Ethernet adapter directly through the physical MultiHaul TG 60 GHz radio link and returned to the simulator,    achieving true Hardware-in-the-Loop (HIL) experimental rigor.</w:t>
      </w:r>
    </w:p>
    <w:p>
      <w:pPr>
        <w:keepNext/>
        <w:spacing w:before="360" w:after="120"/>
      </w:pPr>
      <w:r>
        <w:rPr>
          <w:rFonts w:ascii="Calibri" w:hAnsi="Calibri"/>
          <w:b/>
          <w:color w:val="1B365D"/>
          <w:sz w:val="36"/>
        </w:rPr>
        <w:t>9. Telecom Network Digital Twin (NDT) &amp; Multi-Layer API Framework</w:t>
      </w:r>
    </w:p>
    <w:p>
      <w:r>
        <w:t>To achieve autonomous, predictive, and zero-touch operations for 6G transport networks, the system implements a standardized Telecom Network Digital Twin (NDT) framework. Rather than acting as a static simulator, the digital twin serves as a dynamic, synchronized runtime engine that evaluates what-if perturbations, predicts bit error rate and throughput degradation prior to SLA boundary violations, and closes the optimization loop back to physical Ceragon transport elements.</w:t>
      </w:r>
    </w:p>
    <w:p>
      <w:pPr>
        <w:keepNext/>
        <w:spacing w:before="280" w:after="80"/>
      </w:pPr>
      <w:r>
        <w:rPr>
          <w:rFonts w:ascii="Calibri" w:hAnsi="Calibri"/>
          <w:b/>
          <w:color w:val="2980B9"/>
          <w:sz w:val="28"/>
        </w:rPr>
        <w:t>9.1 Standardization Anchors</w:t>
      </w:r>
    </w:p>
    <w:p>
      <w:r>
        <w:t>The digital twin architecture is directly anchored on the emerging global telecommunications standards:</w:t>
        <w:br/>
        <w:t>• 3GPP TS 28.561 (Release 19 SA5): Management aspects of Network Digital Twins; formalizing the Network Digital Twin Instance (NDTI) lifecycle, data exposure, and experiment execution.</w:t>
        <w:br/>
        <w:t>• 3GPP TR 28.915: Foundational study defining architectural use cases, requirements, and mappings to 3GPP Management Services (MnS).</w:t>
        <w:br/>
        <w:t>• ITU-T Y.3090: Digital Twin Network (DTN) reference architecture, specifying four discrete functional layers (Physical, Twin Data, Twin Model, Network Application) with open northbound and southbound interfaces.</w:t>
        <w:br/>
        <w:t>• IETF/IRTF NMRG (draft-irtf-nmrg-network-digital-twin-arch &amp; draft-paillisse-nmrg-performance-digital-twin-02): Formalizing the Digital Twin Interface (DTI) for scenario simulation requests and performance prediction.</w:t>
        <w:br/>
        <w:t>• IETF/IRTF NMRG (draft-zcz-nmrg-digitaltwin-data-collection): Standardizing data collection bindings (NETCONF, RESTCONF, gNMI, YANG push).</w:t>
        <w:br/>
        <w:t>• TM Forum ODA (Open Digital Architecture): Open APIs including TMF921 (Intent Management), TMF639 (Resource Inventory), TMF640 (Service Activation), TMF642 (Alarm Management), and TMF645 (Service Qualification).</w:t>
        <w:br/>
        <w:t>• 3GPP TS 29.222 / ETSI OpenCAPIF: Common API Framework (CAPIF) providing standardized API discovery, publishing, OAuth 2.0 / mTLS security, and governance across all digital twin services.</w:t>
      </w:r>
    </w:p>
    <w:p>
      <w:pPr>
        <w:keepNext/>
        <w:spacing w:before="280" w:after="80"/>
      </w:pPr>
      <w:r>
        <w:rPr>
          <w:rFonts w:ascii="Calibri" w:hAnsi="Calibri"/>
          <w:b/>
          <w:color w:val="2980B9"/>
          <w:sz w:val="28"/>
        </w:rPr>
        <w:t>9.2 The Five-Layer Telecom Digital Twin API Taxonomy</w:t>
      </w:r>
    </w:p>
    <w:p>
      <w:r>
        <w:t>A critical finding of this research is that a production telecom digital twin cannot treat device management APIs and digital twin APIs as identical. The architecture establishes a clear separation of concerns across five discrete API layers: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B365D"/>
            <w:tcMar>
              <w:top w:w="120" w:type="dxa"/>
              <w:bottom w:w="120" w:type="dxa"/>
              <w:left w:w="160" w:type="dxa"/>
              <w:right w:w="160" w:type="dxa"/>
            </w:tcMar>
          </w:tcPr>
          <w:p>
            <w:r>
              <w:rPr>
                <w:b/>
                <w:color w:val="FFFFFF"/>
                <w:sz w:val="19"/>
              </w:rPr>
              <w:t>API Layer</w:t>
            </w:r>
          </w:p>
        </w:tc>
        <w:tc>
          <w:tcPr>
            <w:tcW w:type="dxa" w:w="3120"/>
            <w:shd w:fill="1B365D"/>
            <w:tcMar>
              <w:top w:w="120" w:type="dxa"/>
              <w:bottom w:w="120" w:type="dxa"/>
              <w:left w:w="160" w:type="dxa"/>
              <w:right w:w="160" w:type="dxa"/>
            </w:tcMar>
          </w:tcPr>
          <w:p>
            <w:r>
              <w:rPr>
                <w:b/>
                <w:color w:val="FFFFFF"/>
                <w:sz w:val="19"/>
              </w:rPr>
              <w:t>Standard Protocols &amp; Bindings</w:t>
            </w:r>
          </w:p>
        </w:tc>
        <w:tc>
          <w:tcPr>
            <w:tcW w:type="dxa" w:w="3120"/>
            <w:shd w:fill="1B365D"/>
            <w:tcMar>
              <w:top w:w="120" w:type="dxa"/>
              <w:bottom w:w="120" w:type="dxa"/>
              <w:left w:w="160" w:type="dxa"/>
              <w:right w:w="160" w:type="dxa"/>
            </w:tcMar>
          </w:tcPr>
          <w:p>
            <w:r>
              <w:rPr>
                <w:b/>
                <w:color w:val="FFFFFF"/>
                <w:sz w:val="19"/>
              </w:rPr>
              <w:t>Functional Scope &amp; Responsibility</w:t>
            </w:r>
          </w:p>
        </w:tc>
      </w:tr>
      <w:tr>
        <w:tc>
          <w:tcPr>
            <w:tcW w:type="dxa" w:w="3120"/>
            <w:tcMar>
              <w:top w:w="90" w:type="dxa"/>
              <w:bottom w:w="90" w:type="dxa"/>
              <w:left w:w="140" w:type="dxa"/>
              <w:right w:w="140" w:type="dxa"/>
            </w:tcMar>
          </w:tcPr>
          <w:p>
            <w:r>
              <w:rPr>
                <w:sz w:val="17"/>
              </w:rPr>
              <w:t>Layer 1: Southbound Synchronization</w:t>
            </w:r>
          </w:p>
        </w:tc>
        <w:tc>
          <w:tcPr>
            <w:tcW w:type="dxa" w:w="3120"/>
            <w:tcMar>
              <w:top w:w="90" w:type="dxa"/>
              <w:bottom w:w="90" w:type="dxa"/>
              <w:left w:w="140" w:type="dxa"/>
              <w:right w:w="140" w:type="dxa"/>
            </w:tcMar>
          </w:tcPr>
          <w:p>
            <w:r>
              <w:rPr>
                <w:sz w:val="17"/>
              </w:rPr>
              <w:t>RESTCONF, NETCONF, gNMI, YANG Push (RFC 8641), IPFIX</w:t>
            </w:r>
          </w:p>
        </w:tc>
        <w:tc>
          <w:tcPr>
            <w:tcW w:type="dxa" w:w="3120"/>
            <w:tcMar>
              <w:top w:w="90" w:type="dxa"/>
              <w:bottom w:w="90" w:type="dxa"/>
              <w:left w:w="140" w:type="dxa"/>
              <w:right w:w="140" w:type="dxa"/>
            </w:tcMar>
          </w:tcPr>
          <w:p>
            <w:r>
              <w:rPr>
                <w:sz w:val="17"/>
              </w:rPr>
              <w:t>Continuously feeds live physical Ceragon radio metrics (RSSI, SNR, MCS, carrier frequency, modem temperature, transmit power) into the twin shadow datastore.</w:t>
            </w:r>
          </w:p>
        </w:tc>
      </w:tr>
      <w:tr>
        <w:tc>
          <w:tcPr>
            <w:tcW w:type="dxa" w:w="3120"/>
            <w:tcMar>
              <w:top w:w="90" w:type="dxa"/>
              <w:bottom w:w="90" w:type="dxa"/>
              <w:left w:w="140" w:type="dxa"/>
              <w:right w:w="140" w:type="dxa"/>
            </w:tcMar>
            <w:shd w:fill="F4F6F9"/>
          </w:tcPr>
          <w:p>
            <w:r>
              <w:rPr>
                <w:sz w:val="17"/>
              </w:rPr>
              <w:t>Layer 2: Digital Twin Interface (DTI)</w:t>
            </w:r>
          </w:p>
        </w:tc>
        <w:tc>
          <w:tcPr>
            <w:tcW w:type="dxa" w:w="3120"/>
            <w:tcMar>
              <w:top w:w="90" w:type="dxa"/>
              <w:bottom w:w="90" w:type="dxa"/>
              <w:left w:w="140" w:type="dxa"/>
              <w:right w:w="140" w:type="dxa"/>
            </w:tcMar>
            <w:shd w:fill="F4F6F9"/>
          </w:tcPr>
          <w:p>
            <w:r>
              <w:rPr>
                <w:sz w:val="17"/>
              </w:rPr>
              <w:t>HTTP/REST, gRPC, NS-3 Discrete-Event C++ IPC</w:t>
            </w:r>
          </w:p>
        </w:tc>
        <w:tc>
          <w:tcPr>
            <w:tcW w:type="dxa" w:w="3120"/>
            <w:tcMar>
              <w:top w:w="90" w:type="dxa"/>
              <w:bottom w:w="90" w:type="dxa"/>
              <w:left w:w="140" w:type="dxa"/>
              <w:right w:w="140" w:type="dxa"/>
            </w:tcMar>
            <w:shd w:fill="F4F6F9"/>
          </w:tcPr>
          <w:p>
            <w:r>
              <w:rPr>
                <w:sz w:val="17"/>
              </w:rPr>
              <w:t>Evaluates what-if scenario requests (e.g. 50 mm/hr ITU-R P.838 rain fade, traffic surges) and outputs predicted throughput, latency, loss, and SLA breach warnings.</w:t>
            </w:r>
          </w:p>
        </w:tc>
      </w:tr>
      <w:tr>
        <w:tc>
          <w:tcPr>
            <w:tcW w:type="dxa" w:w="3120"/>
            <w:tcMar>
              <w:top w:w="90" w:type="dxa"/>
              <w:bottom w:w="90" w:type="dxa"/>
              <w:left w:w="140" w:type="dxa"/>
              <w:right w:w="140" w:type="dxa"/>
            </w:tcMar>
          </w:tcPr>
          <w:p>
            <w:r>
              <w:rPr>
                <w:sz w:val="17"/>
              </w:rPr>
              <w:t>Layer 3: Closed-Loop Network Actuation</w:t>
            </w:r>
          </w:p>
        </w:tc>
        <w:tc>
          <w:tcPr>
            <w:tcW w:type="dxa" w:w="3120"/>
            <w:tcMar>
              <w:top w:w="90" w:type="dxa"/>
              <w:bottom w:w="90" w:type="dxa"/>
              <w:left w:w="140" w:type="dxa"/>
              <w:right w:w="140" w:type="dxa"/>
            </w:tcMar>
          </w:tcPr>
          <w:p>
            <w:r>
              <w:rPr>
                <w:sz w:val="17"/>
              </w:rPr>
              <w:t>ETSI TeraFlowSDN REST NBI, 2PC Candidate Datastore</w:t>
            </w:r>
          </w:p>
        </w:tc>
        <w:tc>
          <w:tcPr>
            <w:tcW w:type="dxa" w:w="3120"/>
            <w:tcMar>
              <w:top w:w="90" w:type="dxa"/>
              <w:bottom w:w="90" w:type="dxa"/>
              <w:left w:w="140" w:type="dxa"/>
              <w:right w:w="140" w:type="dxa"/>
            </w:tcMar>
          </w:tcPr>
          <w:p>
            <w:r>
              <w:rPr>
                <w:sz w:val="17"/>
              </w:rPr>
              <w:t>Performs pre-commit safety boundary verification in the twin sandbox, then dispatches configuration rules to physical hardware via TFS 2-phase commit.</w:t>
            </w:r>
          </w:p>
        </w:tc>
      </w:tr>
      <w:tr>
        <w:tc>
          <w:tcPr>
            <w:tcW w:type="dxa" w:w="3120"/>
            <w:tcMar>
              <w:top w:w="90" w:type="dxa"/>
              <w:bottom w:w="90" w:type="dxa"/>
              <w:left w:w="140" w:type="dxa"/>
              <w:right w:w="140" w:type="dxa"/>
            </w:tcMar>
            <w:shd w:fill="F4F6F9"/>
          </w:tcPr>
          <w:p>
            <w:r>
              <w:rPr>
                <w:sz w:val="17"/>
              </w:rPr>
              <w:t>Layer 4: Northbound Intent &amp; Inventory</w:t>
            </w:r>
          </w:p>
        </w:tc>
        <w:tc>
          <w:tcPr>
            <w:tcW w:type="dxa" w:w="3120"/>
            <w:tcMar>
              <w:top w:w="90" w:type="dxa"/>
              <w:bottom w:w="90" w:type="dxa"/>
              <w:left w:w="140" w:type="dxa"/>
              <w:right w:w="140" w:type="dxa"/>
            </w:tcMar>
            <w:shd w:fill="F4F6F9"/>
          </w:tcPr>
          <w:p>
            <w:r>
              <w:rPr>
                <w:sz w:val="17"/>
              </w:rPr>
              <w:t>TM Forum TMF921 (Intent), TMF639 (Resource Inventory)</w:t>
            </w:r>
          </w:p>
        </w:tc>
        <w:tc>
          <w:tcPr>
            <w:tcW w:type="dxa" w:w="3120"/>
            <w:tcMar>
              <w:top w:w="90" w:type="dxa"/>
              <w:bottom w:w="90" w:type="dxa"/>
              <w:left w:w="140" w:type="dxa"/>
              <w:right w:w="140" w:type="dxa"/>
            </w:tcMar>
            <w:shd w:fill="F4F6F9"/>
          </w:tcPr>
          <w:p>
            <w:r>
              <w:rPr>
                <w:sz w:val="17"/>
              </w:rPr>
              <w:t>Exposes high-level declarative intent contracts and standardized physical resource inventories to orchestrators, BSS, and cognitive AI/RL agents.</w:t>
            </w:r>
          </w:p>
        </w:tc>
      </w:tr>
      <w:tr>
        <w:tc>
          <w:tcPr>
            <w:tcW w:type="dxa" w:w="3120"/>
            <w:tcMar>
              <w:top w:w="90" w:type="dxa"/>
              <w:bottom w:w="90" w:type="dxa"/>
              <w:left w:w="140" w:type="dxa"/>
              <w:right w:w="140" w:type="dxa"/>
            </w:tcMar>
          </w:tcPr>
          <w:p>
            <w:r>
              <w:rPr>
                <w:sz w:val="17"/>
              </w:rPr>
              <w:t>Layer 5: API Exposure &amp; Governance</w:t>
            </w:r>
          </w:p>
        </w:tc>
        <w:tc>
          <w:tcPr>
            <w:tcW w:type="dxa" w:w="3120"/>
            <w:tcMar>
              <w:top w:w="90" w:type="dxa"/>
              <w:bottom w:w="90" w:type="dxa"/>
              <w:left w:w="140" w:type="dxa"/>
              <w:right w:w="140" w:type="dxa"/>
            </w:tcMar>
          </w:tcPr>
          <w:p>
            <w:r>
              <w:rPr>
                <w:sz w:val="17"/>
              </w:rPr>
              <w:t>3GPP CAPIF (TS 29.222) / ETSI OpenCAPIF</w:t>
            </w:r>
          </w:p>
        </w:tc>
        <w:tc>
          <w:tcPr>
            <w:tcW w:type="dxa" w:w="3120"/>
            <w:tcMar>
              <w:top w:w="90" w:type="dxa"/>
              <w:bottom w:w="90" w:type="dxa"/>
              <w:left w:w="140" w:type="dxa"/>
              <w:right w:w="140" w:type="dxa"/>
            </w:tcMar>
          </w:tcPr>
          <w:p>
            <w:r>
              <w:rPr>
                <w:sz w:val="17"/>
              </w:rPr>
              <w:t>Governs API publishing, catalog discovery, OAuth 2.0 / mTLS security, rate limiting, and invocation auditing across the digital twin ecosystem.</w:t>
            </w:r>
          </w:p>
        </w:tc>
      </w:tr>
    </w:tbl>
    <w:p/>
    <w:p>
      <w:pPr>
        <w:keepNext/>
        <w:spacing w:before="280" w:after="80"/>
      </w:pPr>
      <w:r>
        <w:rPr>
          <w:rFonts w:ascii="Calibri" w:hAnsi="Calibri"/>
          <w:b/>
          <w:color w:val="2980B9"/>
          <w:sz w:val="28"/>
        </w:rPr>
        <w:t>9.3 3GPP TS 28.561 NDTI Instance Lifecycle State Machine</w:t>
      </w:r>
    </w:p>
    <w:p>
      <w:r>
        <w:t>Network Digital Twin Instances (NDTI) are governed by a formal state machine managed by the Network Digital Twin Management Function (NDTMF):</w:t>
        <w:br/>
        <w:t>1. NULL -&gt; INITIALIZING: Triggered by 'CreateNDTI', instantiating shadow topology structures.</w:t>
        <w:br/>
        <w:t>2. INITIALIZING -&gt; SYNCHRONIZED: Triggered by 'InitializeNDTI', populating node inventory and baseline RF parameters from TFS.</w:t>
        <w:br/>
        <w:t>3. SYNCHRONIZED -&gt; UPDATING: Periodic or event-driven 'SyncNDTI' execution reconciling live measurements with the twin datastore.</w:t>
        <w:br/>
        <w:t>4. SYNCHRONIZED -&gt; EXECUTING_EXPERIMENT: Processing what-if scenario perturbations through NS-3 or analytical physics engines.</w:t>
        <w:br/>
        <w:t>5. EXECUTING_EXPERIMENT -&gt; SYNCHRONIZED: Returning results via 'RetrieveResults' and restoring baseline shadow state.</w:t>
        <w:br/>
        <w:t>6. ANY -&gt; TERMINATED: Gracefully deallocating resources via 'TerminateNDTI'.</w:t>
      </w:r>
    </w:p>
    <w:p>
      <w:pPr>
        <w:keepNext/>
        <w:spacing w:before="280" w:after="80"/>
      </w:pPr>
      <w:r>
        <w:rPr>
          <w:rFonts w:ascii="Calibri" w:hAnsi="Calibri"/>
          <w:b/>
          <w:color w:val="2980B9"/>
          <w:sz w:val="28"/>
        </w:rPr>
        <w:t>9.4 End-to-End Verification of the Closed-Loop Digital Twin</w:t>
      </w:r>
    </w:p>
    <w:p>
      <w:r>
        <w:t>The digital twin framework was implemented in 'tfs-unity' ('tfs_digital_twin_api.py') and verified end-to-end via 'demo_telecom_digital_twin.py':</w:t>
        <w:br/>
        <w:t>• CAPIF Service Discovery: Successfully published and discovered 'TelecomDigitalTwin_DTI_API' conforming to 3GPP TS 29.222.</w:t>
        <w:br/>
        <w:t>• 3GPP NDTI Instantiation: Created instance 'ndti-oran-transport-demo' and synchronized 34 transport nodes and links from TFS.</w:t>
        <w:br/>
        <w:t>• TM Forum TMF921 Ingestion: Ingested declarative intent specifying maximum latency &lt; 1.5ms and availability &gt; 99.999%.</w:t>
        <w:br/>
        <w:t>• DTI What-If Scenario Execution: Injected a 55.0 mm/hr heavy rain perturbation on Ceragon link 'ctu-96'. The twin computed 19.93 dB attenuation under ITU-R P.838, predicted SNR collapse to 4.07 dB, modulation drop to MCS 0, and flagged an imminent SLA breach.</w:t>
        <w:br/>
        <w:t>• Closed-Loop Actuation: Digital twin evaluated candidate mitigation against RF safety constraints (frequency band 57–71 GHz, minimum MCS 2), then committed configuration rules (/radio/tuning to 64.8 GHz, /modulation/acm_floor to MCS 2, and URLLC slice reservation) through ETSI TeraFlowSDN's 2-Phase Commit engine down to physical hardware.</w:t>
      </w:r>
    </w:p>
    <w:p>
      <w:pPr>
        <w:keepNext/>
        <w:spacing w:before="360" w:after="120"/>
      </w:pPr>
      <w:r>
        <w:rPr>
          <w:rFonts w:ascii="Calibri" w:hAnsi="Calibri"/>
          <w:b/>
          <w:color w:val="1B365D"/>
          <w:sz w:val="36"/>
        </w:rPr>
        <w:t>10. Conclusion &amp; Technology Roadmap Towards 6G</w:t>
      </w:r>
    </w:p>
    <w:p>
      <w:r>
        <w:t>This project successfully bridges the long-standing divide between proprietary carrier wireless transport hardware, open-source cloud-native SDN orchestration, and emerging telecom digital twin standards. By delivering native RFC 8040 RESTCONF candidate datastore drivers, extracting 51 production YANG schemas, replicating a 34-node O-RAN transport network, implementing the IETF NMRG Digital Twin Interface (DTI), and aligning with 3GPP TS 28.561 and TM Forum Open APIs, the platform establishes an open, production-grade foundation for autonomous wireless transport.</w:t>
      </w:r>
    </w:p>
    <w:p>
      <w:r>
        <w:t>Looking forward, the platform is architected to evolve along several critical 6G research frontiers:</w:t>
        <w:br/>
        <w:t>• Sub-THz Transport (100–300 GHz): Scaling carrier frequencies into D-Band and sub-THz bands, supporting channel bandwidths up to 30 GHz using the existing modular YANG driver framework.</w:t>
        <w:br/>
        <w:t>• Reconfigurable Intelligent Surfaces (RIS): Integrating SDN control of passive metasurfaces to bypass mmWave line-of-sight blockage.</w:t>
        <w:br/>
        <w:t>• Zero-Touch Network &amp; Service Management (ETSI ZSM): Deploying Deep Reinforcement Learning (DRL) agents for predictive zero-touch resource allocation.</w:t>
        <w:br/>
        <w:t>• O-RAN WG4 &amp; WG9 Convergence: Unifying fronthaul baseband scheduling with physical wireless transport link adaptation.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