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45A93A" w14:textId="77777777" w:rsidR="00044EBB" w:rsidRPr="00BF0D2C" w:rsidRDefault="00044EBB" w:rsidP="00096750">
      <w:pPr>
        <w:spacing w:line="480" w:lineRule="auto"/>
        <w:jc w:val="center"/>
        <w:rPr>
          <w:szCs w:val="24"/>
        </w:rPr>
      </w:pPr>
      <w:r w:rsidRPr="00BF0D2C">
        <w:rPr>
          <w:b/>
          <w:color w:val="000000"/>
          <w:szCs w:val="24"/>
        </w:rPr>
        <w:t>Applying Critical Theory to Gender Inequality and Violence Against Women</w:t>
      </w:r>
    </w:p>
    <w:p w14:paraId="20737DB3" w14:textId="77777777" w:rsidR="00BB4E07" w:rsidRPr="009D0D74" w:rsidRDefault="00F428C9" w:rsidP="00096750">
      <w:pPr>
        <w:spacing w:line="480" w:lineRule="auto"/>
        <w:jc w:val="center"/>
        <w:rPr>
          <w:color w:val="000000"/>
          <w:szCs w:val="24"/>
        </w:rPr>
      </w:pPr>
      <w:r w:rsidRPr="009D0D74">
        <w:rPr>
          <w:color w:val="000000"/>
          <w:szCs w:val="24"/>
        </w:rPr>
        <w:t>Tanem Behzat</w:t>
      </w:r>
    </w:p>
    <w:p w14:paraId="1B3A7D5A" w14:textId="484718F4" w:rsidR="00F428C9" w:rsidRPr="009D0D74" w:rsidRDefault="00F428C9" w:rsidP="00096750">
      <w:pPr>
        <w:spacing w:line="480" w:lineRule="auto"/>
        <w:jc w:val="center"/>
        <w:rPr>
          <w:color w:val="000000"/>
          <w:szCs w:val="24"/>
        </w:rPr>
      </w:pPr>
      <w:r w:rsidRPr="009D0D74">
        <w:rPr>
          <w:color w:val="000000"/>
          <w:szCs w:val="24"/>
        </w:rPr>
        <w:t>Eastern Mediterranean University</w:t>
      </w:r>
    </w:p>
    <w:p w14:paraId="6E51F781" w14:textId="35352A90" w:rsidR="008F7941" w:rsidRPr="009D0D74" w:rsidRDefault="00F428C9" w:rsidP="00096750">
      <w:pPr>
        <w:spacing w:line="480" w:lineRule="auto"/>
        <w:jc w:val="center"/>
        <w:rPr>
          <w:color w:val="000000"/>
          <w:szCs w:val="24"/>
        </w:rPr>
      </w:pPr>
      <w:r w:rsidRPr="009D0D74">
        <w:rPr>
          <w:color w:val="000000"/>
          <w:szCs w:val="24"/>
        </w:rPr>
        <w:t>PSIR201</w:t>
      </w:r>
      <w:r w:rsidR="000B4AAB" w:rsidRPr="009D0D74">
        <w:rPr>
          <w:color w:val="000000"/>
          <w:szCs w:val="24"/>
        </w:rPr>
        <w:t xml:space="preserve"> -</w:t>
      </w:r>
      <w:r w:rsidRPr="009D0D74">
        <w:rPr>
          <w:color w:val="000000"/>
          <w:szCs w:val="24"/>
        </w:rPr>
        <w:t xml:space="preserve"> </w:t>
      </w:r>
      <w:r w:rsidR="008F7941" w:rsidRPr="009D0D74">
        <w:rPr>
          <w:color w:val="000000"/>
          <w:szCs w:val="24"/>
        </w:rPr>
        <w:t>Theory and Practice of International Relations</w:t>
      </w:r>
    </w:p>
    <w:p w14:paraId="5E115591" w14:textId="77777777" w:rsidR="00EE1BB9" w:rsidRPr="009D0D74" w:rsidRDefault="00F428C9" w:rsidP="00096750">
      <w:pPr>
        <w:spacing w:line="480" w:lineRule="auto"/>
        <w:jc w:val="center"/>
        <w:rPr>
          <w:color w:val="000000"/>
          <w:szCs w:val="24"/>
        </w:rPr>
      </w:pPr>
      <w:r w:rsidRPr="009D0D74">
        <w:rPr>
          <w:color w:val="000000"/>
          <w:szCs w:val="24"/>
        </w:rPr>
        <w:t xml:space="preserve">Instructor: </w:t>
      </w:r>
      <w:r w:rsidR="00EE1BB9" w:rsidRPr="009D0D74">
        <w:rPr>
          <w:color w:val="000000"/>
          <w:szCs w:val="24"/>
        </w:rPr>
        <w:t>Erol Kaymak</w:t>
      </w:r>
    </w:p>
    <w:p w14:paraId="4782E386" w14:textId="754951C7" w:rsidR="00F428C9" w:rsidRPr="009D0D74" w:rsidRDefault="00BB4E07" w:rsidP="00096750">
      <w:pPr>
        <w:spacing w:line="480" w:lineRule="auto"/>
        <w:jc w:val="center"/>
        <w:rPr>
          <w:color w:val="000000"/>
          <w:szCs w:val="24"/>
        </w:rPr>
      </w:pPr>
      <w:r w:rsidRPr="009D0D74">
        <w:rPr>
          <w:color w:val="000000"/>
          <w:szCs w:val="24"/>
        </w:rPr>
        <w:t xml:space="preserve">Due Date: </w:t>
      </w:r>
      <w:r w:rsidR="00F428C9" w:rsidRPr="009D0D74">
        <w:rPr>
          <w:color w:val="000000"/>
          <w:szCs w:val="24"/>
        </w:rPr>
        <w:t>23 December 2024</w:t>
      </w:r>
    </w:p>
    <w:p w14:paraId="7AE460B5" w14:textId="6A953103" w:rsidR="00BB4E07" w:rsidRPr="009D0D74" w:rsidRDefault="00BB4E07" w:rsidP="00096750">
      <w:pPr>
        <w:spacing w:line="480" w:lineRule="auto"/>
        <w:jc w:val="center"/>
        <w:rPr>
          <w:color w:val="000000"/>
          <w:szCs w:val="24"/>
        </w:rPr>
      </w:pPr>
      <w:r w:rsidRPr="009D0D74">
        <w:rPr>
          <w:color w:val="000000"/>
          <w:szCs w:val="24"/>
        </w:rPr>
        <w:t>Submission: lms.emu.edu.tr</w:t>
      </w:r>
    </w:p>
    <w:p w14:paraId="1243B5B6" w14:textId="0E6EB0D7" w:rsidR="00044EBB" w:rsidRPr="00BF0D2C" w:rsidRDefault="00044EBB" w:rsidP="00096750">
      <w:pPr>
        <w:spacing w:line="480" w:lineRule="auto"/>
        <w:rPr>
          <w:b/>
          <w:bCs/>
          <w:szCs w:val="24"/>
        </w:rPr>
      </w:pPr>
      <w:r w:rsidRPr="00BF0D2C">
        <w:rPr>
          <w:b/>
          <w:bCs/>
          <w:color w:val="000000"/>
          <w:szCs w:val="24"/>
        </w:rPr>
        <w:t>Introduction</w:t>
      </w:r>
    </w:p>
    <w:p w14:paraId="267CB4E3" w14:textId="63E94466" w:rsidR="00044EBB" w:rsidRPr="00BF0D2C" w:rsidRDefault="00044EBB" w:rsidP="00096750">
      <w:pPr>
        <w:spacing w:line="480" w:lineRule="auto"/>
        <w:rPr>
          <w:szCs w:val="24"/>
        </w:rPr>
      </w:pPr>
      <w:r w:rsidRPr="00BF0D2C">
        <w:rPr>
          <w:szCs w:val="24"/>
        </w:rPr>
        <w:t>Gender inequality and violence against women, deeply rooted in patriarchal systems, have been long-standing and widespread global issues for decades</w:t>
      </w:r>
      <w:r w:rsidR="00096750">
        <w:rPr>
          <w:szCs w:val="24"/>
        </w:rPr>
        <w:t xml:space="preserve"> </w:t>
      </w:r>
      <w:r w:rsidR="00096750" w:rsidRPr="00096750">
        <w:rPr>
          <w:szCs w:val="24"/>
        </w:rPr>
        <w:t>(Horkheimer &amp; Adorno, 2002)</w:t>
      </w:r>
      <w:r w:rsidRPr="00BF0D2C">
        <w:rPr>
          <w:szCs w:val="24"/>
        </w:rPr>
        <w:t>. The dramatic increase in domestic violence during the COVID-19 lockdowns highlighted the shortcomings of existing support systems for women and the enduring inequality between genders that led to a rise in gender-based violence</w:t>
      </w:r>
      <w:r w:rsidR="005376D0">
        <w:rPr>
          <w:szCs w:val="24"/>
        </w:rPr>
        <w:t xml:space="preserve"> </w:t>
      </w:r>
      <w:r w:rsidR="005376D0" w:rsidRPr="005376D0">
        <w:rPr>
          <w:szCs w:val="24"/>
        </w:rPr>
        <w:t>(United Nations, 2020)</w:t>
      </w:r>
      <w:r w:rsidRPr="00BF0D2C">
        <w:rPr>
          <w:szCs w:val="24"/>
        </w:rPr>
        <w:t>. This analysis will examine the oppressive structures sustaining gender inequality, explore potential pathways for emancipation, and reflect on broader implications for justice and transformative action using Critical Theory as a framework.</w:t>
      </w:r>
    </w:p>
    <w:p w14:paraId="4A431E88" w14:textId="6349EFAD" w:rsidR="00044EBB" w:rsidRPr="00BF0D2C" w:rsidRDefault="00044EBB" w:rsidP="00096750">
      <w:pPr>
        <w:spacing w:line="480" w:lineRule="auto"/>
        <w:rPr>
          <w:b/>
          <w:bCs/>
          <w:szCs w:val="24"/>
        </w:rPr>
      </w:pPr>
      <w:r w:rsidRPr="00BF0D2C">
        <w:rPr>
          <w:b/>
          <w:bCs/>
          <w:color w:val="000000"/>
          <w:szCs w:val="24"/>
        </w:rPr>
        <w:t>1. Identifying Oppressive Structures</w:t>
      </w:r>
    </w:p>
    <w:p w14:paraId="50D2EC23" w14:textId="75CCD186" w:rsidR="00044EBB" w:rsidRPr="00BF0D2C" w:rsidRDefault="00044EBB" w:rsidP="00096750">
      <w:pPr>
        <w:spacing w:line="480" w:lineRule="auto"/>
        <w:rPr>
          <w:szCs w:val="24"/>
        </w:rPr>
      </w:pPr>
      <w:r w:rsidRPr="00BF0D2C">
        <w:rPr>
          <w:szCs w:val="24"/>
        </w:rPr>
        <w:t>Gender inequality and violence against women stem from patriarchal structures that dominate social, economic, and political systems globally. Patriarchy, which is a system in which men maintain their dominance through power, and women remain widely marginalized, creates a suitable environment for gender-based violence</w:t>
      </w:r>
      <w:r w:rsidR="00096750">
        <w:rPr>
          <w:szCs w:val="24"/>
        </w:rPr>
        <w:t xml:space="preserve"> </w:t>
      </w:r>
      <w:r w:rsidR="00096750" w:rsidRPr="00096750">
        <w:rPr>
          <w:i/>
          <w:iCs/>
          <w:szCs w:val="24"/>
        </w:rPr>
        <w:t>(Horkheimer &amp; Adorno, 2002, p. 25</w:t>
      </w:r>
      <w:r w:rsidR="00096750" w:rsidRPr="00096750">
        <w:rPr>
          <w:i/>
          <w:iCs/>
          <w:szCs w:val="24"/>
        </w:rPr>
        <w:t>)</w:t>
      </w:r>
      <w:r w:rsidR="00096750" w:rsidRPr="00096750">
        <w:rPr>
          <w:szCs w:val="24"/>
        </w:rPr>
        <w:t>.</w:t>
      </w:r>
      <w:r w:rsidRPr="00BF0D2C">
        <w:rPr>
          <w:szCs w:val="24"/>
        </w:rPr>
        <w:t xml:space="preserve"> The striking rise in domestic violence during the COVID-19 pandemic exposed the structural issues that keep women trapped in abusive circumstances</w:t>
      </w:r>
      <w:r w:rsidR="00946773">
        <w:rPr>
          <w:szCs w:val="24"/>
        </w:rPr>
        <w:t xml:space="preserve"> </w:t>
      </w:r>
      <w:r w:rsidR="00946773" w:rsidRPr="00946773">
        <w:rPr>
          <w:szCs w:val="24"/>
        </w:rPr>
        <w:t>(World Health Organization, 2021)</w:t>
      </w:r>
      <w:r w:rsidRPr="00BF0D2C">
        <w:rPr>
          <w:szCs w:val="24"/>
        </w:rPr>
        <w:t xml:space="preserve">. Economic dependence, insufficient legal security, and societal deradicalization of gender hierarchies further promote these dynamics. Women's limited access to resources and decision-making rights creates a pattern of </w:t>
      </w:r>
      <w:r w:rsidRPr="00BF0D2C">
        <w:rPr>
          <w:szCs w:val="24"/>
        </w:rPr>
        <w:lastRenderedPageBreak/>
        <w:t>cyclical oppression, reinforcing their societal fragility.</w:t>
      </w:r>
      <w:r w:rsidRPr="00BF0D2C">
        <w:rPr>
          <w:szCs w:val="24"/>
        </w:rPr>
        <w:br/>
      </w:r>
      <w:r w:rsidRPr="00BF0D2C">
        <w:rPr>
          <w:szCs w:val="24"/>
        </w:rPr>
        <w:br/>
        <w:t>The intersectionality of race, class, and economic status intensifies inequalities</w:t>
      </w:r>
      <w:r w:rsidR="00096750">
        <w:rPr>
          <w:szCs w:val="24"/>
        </w:rPr>
        <w:t xml:space="preserve"> </w:t>
      </w:r>
      <w:r w:rsidR="00096750" w:rsidRPr="00096750">
        <w:rPr>
          <w:szCs w:val="24"/>
        </w:rPr>
        <w:t>(Fraser, 1995)</w:t>
      </w:r>
      <w:r w:rsidRPr="00BF0D2C">
        <w:rPr>
          <w:szCs w:val="24"/>
        </w:rPr>
        <w:t>. For example, women originating from marginalized communities often face multiple combined exposures to inequalities due to systemically inherent racism and economic deprivation. The rise of authoritarian populism on a global scale intensifies these issues, as a combination of regressive gender norms reinforces power structures that only favor the privileges of an elite group over collective equality.</w:t>
      </w:r>
    </w:p>
    <w:p w14:paraId="2395161F" w14:textId="12368682" w:rsidR="00044EBB" w:rsidRPr="00BF0D2C" w:rsidRDefault="00044EBB" w:rsidP="00096750">
      <w:pPr>
        <w:spacing w:line="480" w:lineRule="auto"/>
        <w:jc w:val="both"/>
        <w:rPr>
          <w:szCs w:val="24"/>
        </w:rPr>
      </w:pPr>
      <w:r w:rsidRPr="00BF0D2C">
        <w:rPr>
          <w:b/>
          <w:bCs/>
          <w:color w:val="000000"/>
          <w:szCs w:val="24"/>
        </w:rPr>
        <w:t>2. Exploring Pathways for Emancipation</w:t>
      </w:r>
    </w:p>
    <w:p w14:paraId="422BE4D4" w14:textId="78422AA0" w:rsidR="00044EBB" w:rsidRPr="00BF0D2C" w:rsidRDefault="00044EBB" w:rsidP="00096750">
      <w:pPr>
        <w:spacing w:line="480" w:lineRule="auto"/>
        <w:jc w:val="both"/>
        <w:rPr>
          <w:szCs w:val="24"/>
        </w:rPr>
      </w:pPr>
      <w:r w:rsidRPr="00BF0D2C">
        <w:rPr>
          <w:szCs w:val="24"/>
        </w:rPr>
        <w:t xml:space="preserve">Challenging patriarchal norms and establishing equitable systems prioritizing women’s safety and empowerment is essential for approaching violence against women. The path to emancipation starts with challenging societal acceptance of gender-based violence and promoting equality between genders through education </w:t>
      </w:r>
      <w:r w:rsidR="00096750" w:rsidRPr="00BF0D2C">
        <w:rPr>
          <w:szCs w:val="24"/>
        </w:rPr>
        <w:t>campaigns</w:t>
      </w:r>
      <w:r w:rsidR="00096750" w:rsidRPr="00096750">
        <w:rPr>
          <w:i/>
          <w:iCs/>
          <w:szCs w:val="24"/>
        </w:rPr>
        <w:t xml:space="preserve"> (</w:t>
      </w:r>
      <w:r w:rsidR="00096750" w:rsidRPr="00096750">
        <w:rPr>
          <w:i/>
          <w:iCs/>
          <w:szCs w:val="24"/>
        </w:rPr>
        <w:t>United Nations, 2020)</w:t>
      </w:r>
      <w:r w:rsidR="00096750">
        <w:rPr>
          <w:szCs w:val="24"/>
        </w:rPr>
        <w:t>.</w:t>
      </w:r>
      <w:r w:rsidRPr="00BF0D2C">
        <w:rPr>
          <w:szCs w:val="24"/>
        </w:rPr>
        <w:t xml:space="preserve"> School curricula should involve training on awareness of gender equality to challenge toxic masculinity and encourage respect for all genders starting from an early age. </w:t>
      </w:r>
      <w:r w:rsidRPr="00BF0D2C">
        <w:rPr>
          <w:szCs w:val="24"/>
        </w:rPr>
        <w:br/>
      </w:r>
      <w:r w:rsidRPr="00BF0D2C">
        <w:rPr>
          <w:szCs w:val="24"/>
        </w:rPr>
        <w:br/>
        <w:t xml:space="preserve">Legislative reform is vital for systemic change. </w:t>
      </w:r>
      <w:r w:rsidR="00096750">
        <w:rPr>
          <w:szCs w:val="24"/>
        </w:rPr>
        <w:t>Governments need to introduce</w:t>
      </w:r>
      <w:r w:rsidRPr="00BF0D2C">
        <w:rPr>
          <w:szCs w:val="24"/>
        </w:rPr>
        <w:t xml:space="preserve"> and implement laws on the protection of women, such as stricter punishments for domestic violence and harassment, as well as accessible legal aid for survivors of them</w:t>
      </w:r>
      <w:r w:rsidR="00096750">
        <w:rPr>
          <w:szCs w:val="24"/>
        </w:rPr>
        <w:t xml:space="preserve"> </w:t>
      </w:r>
      <w:r w:rsidR="00096750" w:rsidRPr="00096750">
        <w:rPr>
          <w:szCs w:val="24"/>
        </w:rPr>
        <w:t>(United Nations, 2020)</w:t>
      </w:r>
      <w:r w:rsidRPr="00BF0D2C">
        <w:rPr>
          <w:szCs w:val="24"/>
        </w:rPr>
        <w:t xml:space="preserve">. Providing immediate support and fostering collective action against oppression may be achieved through grassroots movements, such as community watch programs and women’s shelters. </w:t>
      </w:r>
      <w:r w:rsidRPr="00BF0D2C">
        <w:rPr>
          <w:szCs w:val="24"/>
        </w:rPr>
        <w:br/>
      </w:r>
      <w:r w:rsidRPr="00BF0D2C">
        <w:rPr>
          <w:szCs w:val="24"/>
        </w:rPr>
        <w:br/>
        <w:t>Another key pathway is financial empowerment. Women’s economic independence, which decreases their dependence on abusive partners, can be ensured through the provision of equal pay, availability of access to credit, and increased employment opportunities.  Collaborative international efforts, such as initiatives of the United Nations, can support local efforts by providing funding, resources, and global advocacy.</w:t>
      </w:r>
    </w:p>
    <w:p w14:paraId="6FA9F8A1" w14:textId="09EF736D" w:rsidR="00044EBB" w:rsidRPr="00BF0D2C" w:rsidRDefault="00044EBB" w:rsidP="00096750">
      <w:pPr>
        <w:spacing w:line="480" w:lineRule="auto"/>
        <w:jc w:val="both"/>
        <w:rPr>
          <w:b/>
          <w:bCs/>
          <w:szCs w:val="24"/>
        </w:rPr>
      </w:pPr>
      <w:r w:rsidRPr="00BF0D2C">
        <w:rPr>
          <w:b/>
          <w:bCs/>
          <w:color w:val="000000"/>
          <w:szCs w:val="24"/>
        </w:rPr>
        <w:t>3. Reflecting on Implications for Justice</w:t>
      </w:r>
    </w:p>
    <w:p w14:paraId="5376BFB2" w14:textId="7F859C8D" w:rsidR="00044EBB" w:rsidRPr="00BF0D2C" w:rsidRDefault="00044EBB" w:rsidP="00096750">
      <w:pPr>
        <w:spacing w:line="480" w:lineRule="auto"/>
        <w:jc w:val="both"/>
        <w:rPr>
          <w:szCs w:val="24"/>
        </w:rPr>
      </w:pPr>
      <w:r w:rsidRPr="00BF0D2C">
        <w:rPr>
          <w:szCs w:val="24"/>
        </w:rPr>
        <w:lastRenderedPageBreak/>
        <w:t>Justice in this context goes beyond the use of punitive measures and aims to deal with systemic inequalities. Transformative justice models focusing on healing, accountability, and societal change are vital</w:t>
      </w:r>
      <w:r w:rsidR="00096750">
        <w:rPr>
          <w:szCs w:val="24"/>
        </w:rPr>
        <w:t xml:space="preserve"> </w:t>
      </w:r>
      <w:r w:rsidR="00096750" w:rsidRPr="00096750">
        <w:rPr>
          <w:szCs w:val="24"/>
        </w:rPr>
        <w:t>(Horkheimer &amp; Adorno, 2002</w:t>
      </w:r>
      <w:proofErr w:type="gramStart"/>
      <w:r w:rsidR="00096750" w:rsidRPr="00096750">
        <w:rPr>
          <w:szCs w:val="24"/>
        </w:rPr>
        <w:t>).</w:t>
      </w:r>
      <w:r w:rsidRPr="00BF0D2C">
        <w:rPr>
          <w:szCs w:val="24"/>
        </w:rPr>
        <w:t>.</w:t>
      </w:r>
      <w:proofErr w:type="gramEnd"/>
      <w:r w:rsidRPr="00BF0D2C">
        <w:rPr>
          <w:szCs w:val="24"/>
        </w:rPr>
        <w:t xml:space="preserve"> These models that emphasize community-based solutions, and the restoration of dignity to survivors of violence, challenge the carceral approach. </w:t>
      </w:r>
      <w:r w:rsidRPr="00BF0D2C">
        <w:rPr>
          <w:szCs w:val="24"/>
        </w:rPr>
        <w:br/>
      </w:r>
      <w:r w:rsidRPr="00BF0D2C">
        <w:rPr>
          <w:szCs w:val="24"/>
        </w:rPr>
        <w:br/>
        <w:t>Critical Theory highlights the importance of universality in achieving justice</w:t>
      </w:r>
      <w:r w:rsidR="008C0E54">
        <w:rPr>
          <w:szCs w:val="24"/>
        </w:rPr>
        <w:t xml:space="preserve"> </w:t>
      </w:r>
      <w:r w:rsidR="008C0E54" w:rsidRPr="008C0E54">
        <w:rPr>
          <w:szCs w:val="24"/>
        </w:rPr>
        <w:t>(Horkheimer &amp; Adorno, 2002)</w:t>
      </w:r>
      <w:r w:rsidR="008C0E54">
        <w:rPr>
          <w:szCs w:val="24"/>
        </w:rPr>
        <w:t>.</w:t>
      </w:r>
      <w:r w:rsidRPr="00BF0D2C">
        <w:rPr>
          <w:szCs w:val="24"/>
        </w:rPr>
        <w:t xml:space="preserve"> Highlighting the specific needs of marginalized groups requires recognizing common human rights.  Through the empowerment of women and the elimination of oppressive structures, societies approach equality and dignity on a universal standard. Furthermore, through the promotion of global citizenship, individuals and nations are encouraged to view gender inequality as a shared concern that requires collective action. </w:t>
      </w:r>
    </w:p>
    <w:p w14:paraId="2A8B1480" w14:textId="071F3667" w:rsidR="00044EBB" w:rsidRPr="00BF0D2C" w:rsidRDefault="00044EBB" w:rsidP="00096750">
      <w:pPr>
        <w:spacing w:line="480" w:lineRule="auto"/>
        <w:jc w:val="both"/>
        <w:rPr>
          <w:szCs w:val="24"/>
        </w:rPr>
      </w:pPr>
      <w:r w:rsidRPr="00BF0D2C">
        <w:rPr>
          <w:b/>
          <w:bCs/>
          <w:color w:val="000000"/>
          <w:szCs w:val="24"/>
        </w:rPr>
        <w:t>4.</w:t>
      </w:r>
      <w:r w:rsidRPr="00BF0D2C">
        <w:rPr>
          <w:color w:val="000000"/>
          <w:szCs w:val="24"/>
        </w:rPr>
        <w:t xml:space="preserve"> </w:t>
      </w:r>
      <w:r w:rsidRPr="00BF0D2C">
        <w:rPr>
          <w:b/>
          <w:bCs/>
          <w:color w:val="000000"/>
          <w:szCs w:val="24"/>
        </w:rPr>
        <w:t>Incorporating Critical Theory Concepts</w:t>
      </w:r>
    </w:p>
    <w:p w14:paraId="349E42AD" w14:textId="79B9DD96" w:rsidR="00044EBB" w:rsidRPr="00BF0D2C" w:rsidRDefault="00044EBB" w:rsidP="00096750">
      <w:pPr>
        <w:spacing w:line="480" w:lineRule="auto"/>
        <w:jc w:val="both"/>
        <w:rPr>
          <w:szCs w:val="24"/>
        </w:rPr>
      </w:pPr>
      <w:r w:rsidRPr="00BF0D2C">
        <w:rPr>
          <w:szCs w:val="24"/>
        </w:rPr>
        <w:t>Critical Theory provides a framework for understanding how systemic power imbalances sustain oppression and prevent justice</w:t>
      </w:r>
      <w:r w:rsidR="00096750">
        <w:rPr>
          <w:szCs w:val="24"/>
        </w:rPr>
        <w:t xml:space="preserve"> </w:t>
      </w:r>
      <w:r w:rsidR="00096750" w:rsidRPr="00096750">
        <w:rPr>
          <w:szCs w:val="24"/>
        </w:rPr>
        <w:t>(Horkheimer &amp; Adorno, 2002)</w:t>
      </w:r>
      <w:r w:rsidRPr="00BF0D2C">
        <w:rPr>
          <w:szCs w:val="24"/>
        </w:rPr>
        <w:t>. The concept of emancipation is central to gender inequality as it involves the liberation of individuals from social constraints that limit their autonomy. Critical Theory calls for transformative action that challenges patriarchal ideologies and redesigns social structures to achieve equality.</w:t>
      </w:r>
      <w:r w:rsidRPr="00BF0D2C">
        <w:rPr>
          <w:szCs w:val="24"/>
        </w:rPr>
        <w:br/>
      </w:r>
      <w:r w:rsidRPr="00BF0D2C">
        <w:rPr>
          <w:szCs w:val="24"/>
        </w:rPr>
        <w:br/>
        <w:t>As framed by Critical Theory, justice is not merely the absence of violence but the presence of equality and equity. To achieve this vision, hegemonic ideologies that sustain gender-based violence must be challenged and transformed through inclusive and egalitarian practices.</w:t>
      </w:r>
    </w:p>
    <w:p w14:paraId="3BD1C644" w14:textId="77777777" w:rsidR="00044EBB" w:rsidRPr="00BF0D2C" w:rsidRDefault="00044EBB" w:rsidP="00096750">
      <w:pPr>
        <w:spacing w:line="480" w:lineRule="auto"/>
        <w:jc w:val="both"/>
        <w:rPr>
          <w:b/>
          <w:bCs/>
          <w:szCs w:val="24"/>
        </w:rPr>
      </w:pPr>
      <w:r w:rsidRPr="00BF0D2C">
        <w:rPr>
          <w:b/>
          <w:bCs/>
          <w:szCs w:val="24"/>
        </w:rPr>
        <w:t>Conclusion</w:t>
      </w:r>
    </w:p>
    <w:p w14:paraId="0F745C9D" w14:textId="77777777" w:rsidR="00044EBB" w:rsidRPr="00BF0D2C" w:rsidRDefault="00044EBB" w:rsidP="00096750">
      <w:pPr>
        <w:spacing w:line="480" w:lineRule="auto"/>
        <w:jc w:val="both"/>
        <w:rPr>
          <w:szCs w:val="24"/>
        </w:rPr>
      </w:pPr>
      <w:r w:rsidRPr="00BF0D2C">
        <w:rPr>
          <w:szCs w:val="24"/>
        </w:rPr>
        <w:t>In conclusion, the rise observed in domestic violence during the COVID-19 pandemic emphasizes the immediate need to challenge patriarchal structures through systemic change.  The application of Critical Theory enables us to explore the underlying causes of gender inequality and violence, providing pathways to emancipation and justice. We can promote education, legal reform, economic empowerment, and transformative justice to create a world in which all individuals are liberated from oppression and can thrive as equal members of society.</w:t>
      </w:r>
    </w:p>
    <w:p w14:paraId="0FFC9744" w14:textId="77777777" w:rsidR="00BB4E07" w:rsidRPr="00096750" w:rsidRDefault="00BB4E07" w:rsidP="00096750">
      <w:pPr>
        <w:spacing w:line="480" w:lineRule="auto"/>
        <w:jc w:val="both"/>
        <w:rPr>
          <w:b/>
          <w:bCs/>
          <w:color w:val="000000"/>
          <w:szCs w:val="24"/>
        </w:rPr>
      </w:pPr>
    </w:p>
    <w:p w14:paraId="0A9CB2CA" w14:textId="77777777" w:rsidR="00BB4E07" w:rsidRPr="00096750" w:rsidRDefault="00BB4E07" w:rsidP="00096750">
      <w:pPr>
        <w:spacing w:line="480" w:lineRule="auto"/>
        <w:jc w:val="both"/>
        <w:rPr>
          <w:b/>
          <w:bCs/>
          <w:color w:val="000000"/>
          <w:szCs w:val="24"/>
        </w:rPr>
      </w:pPr>
    </w:p>
    <w:p w14:paraId="5F294724" w14:textId="6843C300" w:rsidR="00044EBB" w:rsidRPr="00BF0D2C" w:rsidRDefault="00044EBB" w:rsidP="00096750">
      <w:pPr>
        <w:spacing w:line="480" w:lineRule="auto"/>
        <w:ind w:left="720" w:hanging="720"/>
        <w:jc w:val="both"/>
        <w:rPr>
          <w:b/>
          <w:bCs/>
          <w:szCs w:val="24"/>
          <w:lang w:val="pt-PT"/>
        </w:rPr>
      </w:pPr>
      <w:r w:rsidRPr="00BF0D2C">
        <w:rPr>
          <w:b/>
          <w:bCs/>
          <w:color w:val="000000"/>
          <w:szCs w:val="24"/>
          <w:lang w:val="pt-PT"/>
        </w:rPr>
        <w:t>References</w:t>
      </w:r>
    </w:p>
    <w:p w14:paraId="4D9B1C20" w14:textId="21BBE6A1" w:rsidR="00044EBB" w:rsidRPr="00BF0D2C" w:rsidRDefault="00C01453" w:rsidP="00096750">
      <w:pPr>
        <w:spacing w:line="480" w:lineRule="auto"/>
        <w:ind w:left="720" w:hanging="720"/>
        <w:rPr>
          <w:szCs w:val="24"/>
        </w:rPr>
      </w:pPr>
      <w:r>
        <w:rPr>
          <w:szCs w:val="24"/>
          <w:lang w:val="pt-PT"/>
        </w:rPr>
        <w:t xml:space="preserve">            </w:t>
      </w:r>
      <w:r w:rsidR="0025138E" w:rsidRPr="0025138E">
        <w:rPr>
          <w:szCs w:val="24"/>
          <w:lang w:val="pt-PT"/>
        </w:rPr>
        <w:t xml:space="preserve">Horkheimer, M., &amp; Adorno, T. W. (2002). </w:t>
      </w:r>
      <w:r w:rsidR="0025138E" w:rsidRPr="0025138E">
        <w:rPr>
          <w:i/>
          <w:iCs/>
          <w:szCs w:val="24"/>
        </w:rPr>
        <w:t>Dialectic of enlightenment: Philosophical fragments</w:t>
      </w:r>
      <w:r w:rsidR="0025138E" w:rsidRPr="0025138E">
        <w:rPr>
          <w:szCs w:val="24"/>
        </w:rPr>
        <w:t>. Stanford University Press.</w:t>
      </w:r>
      <w:r w:rsidR="00044EBB" w:rsidRPr="00BF0D2C">
        <w:rPr>
          <w:szCs w:val="24"/>
        </w:rPr>
        <w:br/>
      </w:r>
      <w:r w:rsidR="00EF4A9B" w:rsidRPr="00EF4A9B">
        <w:rPr>
          <w:szCs w:val="24"/>
        </w:rPr>
        <w:t xml:space="preserve">Fraser, N. (1995). From redistribution to recognition? Dilemmas of justice in a "post-socialist" age. </w:t>
      </w:r>
      <w:r w:rsidR="00EF4A9B" w:rsidRPr="00EF4A9B">
        <w:rPr>
          <w:i/>
          <w:iCs/>
          <w:szCs w:val="24"/>
        </w:rPr>
        <w:t>New Left Review</w:t>
      </w:r>
      <w:r w:rsidR="00EF4A9B" w:rsidRPr="00EF4A9B">
        <w:rPr>
          <w:szCs w:val="24"/>
        </w:rPr>
        <w:t>, 212, 68–93.</w:t>
      </w:r>
      <w:r w:rsidR="00044EBB" w:rsidRPr="00BF0D2C">
        <w:rPr>
          <w:szCs w:val="24"/>
        </w:rPr>
        <w:br/>
      </w:r>
      <w:r w:rsidR="00EF4A9B" w:rsidRPr="00EF4A9B">
        <w:rPr>
          <w:szCs w:val="24"/>
        </w:rPr>
        <w:t xml:space="preserve">United Nations. (2020). </w:t>
      </w:r>
      <w:r w:rsidR="00EF4A9B" w:rsidRPr="00EF4A9B">
        <w:rPr>
          <w:i/>
          <w:iCs/>
          <w:szCs w:val="24"/>
        </w:rPr>
        <w:t>The shadow pandemic: Violence against women during COVID-19</w:t>
      </w:r>
      <w:r w:rsidR="00800216">
        <w:rPr>
          <w:szCs w:val="24"/>
        </w:rPr>
        <w:t xml:space="preserve">. </w:t>
      </w:r>
      <w:hyperlink r:id="rId5" w:history="1">
        <w:r w:rsidR="00800216" w:rsidRPr="00E0117D">
          <w:rPr>
            <w:rStyle w:val="Hyperlink"/>
            <w:szCs w:val="24"/>
          </w:rPr>
          <w:t>https://www.un.org/</w:t>
        </w:r>
      </w:hyperlink>
      <w:r w:rsidR="00044EBB" w:rsidRPr="00BF0D2C">
        <w:rPr>
          <w:szCs w:val="24"/>
        </w:rPr>
        <w:br/>
      </w:r>
      <w:r w:rsidR="00A40267" w:rsidRPr="00A40267">
        <w:rPr>
          <w:szCs w:val="24"/>
        </w:rPr>
        <w:t xml:space="preserve">World Health Organization. (2021). </w:t>
      </w:r>
      <w:r w:rsidR="00A40267" w:rsidRPr="00A40267">
        <w:rPr>
          <w:i/>
          <w:iCs/>
          <w:szCs w:val="24"/>
        </w:rPr>
        <w:t>Violence against women prevalence estimates</w:t>
      </w:r>
      <w:r w:rsidR="00A40267" w:rsidRPr="00A40267">
        <w:rPr>
          <w:szCs w:val="24"/>
        </w:rPr>
        <w:t xml:space="preserve">. </w:t>
      </w:r>
      <w:hyperlink r:id="rId6" w:tgtFrame="_new" w:history="1">
        <w:r w:rsidR="00A40267" w:rsidRPr="00A40267">
          <w:rPr>
            <w:rStyle w:val="Hyperlink"/>
            <w:szCs w:val="24"/>
          </w:rPr>
          <w:t>https://www.who.int/</w:t>
        </w:r>
      </w:hyperlink>
    </w:p>
    <w:p w14:paraId="1915F2CB" w14:textId="77777777" w:rsidR="005C3594" w:rsidRDefault="005C3594" w:rsidP="00096750">
      <w:pPr>
        <w:spacing w:line="480" w:lineRule="auto"/>
      </w:pPr>
    </w:p>
    <w:sectPr w:rsidR="005C3594" w:rsidSect="00F656CE">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9E1184"/>
    <w:multiLevelType w:val="hybridMultilevel"/>
    <w:tmpl w:val="250A3572"/>
    <w:lvl w:ilvl="0" w:tplc="DCD44748">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6812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EBB"/>
    <w:rsid w:val="00044EBB"/>
    <w:rsid w:val="00096750"/>
    <w:rsid w:val="000B4AAB"/>
    <w:rsid w:val="0025138E"/>
    <w:rsid w:val="003A5C59"/>
    <w:rsid w:val="005376D0"/>
    <w:rsid w:val="005C3594"/>
    <w:rsid w:val="006C31DD"/>
    <w:rsid w:val="007C03F0"/>
    <w:rsid w:val="007F4782"/>
    <w:rsid w:val="00800216"/>
    <w:rsid w:val="008227FD"/>
    <w:rsid w:val="008C0E54"/>
    <w:rsid w:val="008F7941"/>
    <w:rsid w:val="00946773"/>
    <w:rsid w:val="009D0D74"/>
    <w:rsid w:val="00A40267"/>
    <w:rsid w:val="00A75669"/>
    <w:rsid w:val="00A865FF"/>
    <w:rsid w:val="00BB4E07"/>
    <w:rsid w:val="00BF0D2C"/>
    <w:rsid w:val="00C01453"/>
    <w:rsid w:val="00C30595"/>
    <w:rsid w:val="00EE1BB9"/>
    <w:rsid w:val="00EE221E"/>
    <w:rsid w:val="00EF4A9B"/>
    <w:rsid w:val="00F428C9"/>
    <w:rsid w:val="00F45612"/>
    <w:rsid w:val="00F656CE"/>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73256"/>
  <w15:chartTrackingRefBased/>
  <w15:docId w15:val="{5CA4FBFB-FB26-4538-AEBB-88D40DA6F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EBB"/>
    <w:pPr>
      <w:spacing w:after="200" w:line="276" w:lineRule="auto"/>
    </w:pPr>
    <w:rPr>
      <w:rFonts w:ascii="Times New Roman" w:eastAsiaTheme="minorEastAsia" w:hAnsi="Times New Roman"/>
      <w:kern w:val="0"/>
      <w:sz w:val="24"/>
      <w:lang w:val="en-US"/>
      <w14:ligatures w14:val="none"/>
    </w:rPr>
  </w:style>
  <w:style w:type="paragraph" w:styleId="Heading1">
    <w:name w:val="heading 1"/>
    <w:basedOn w:val="Normal"/>
    <w:next w:val="Normal"/>
    <w:link w:val="Heading1Char"/>
    <w:uiPriority w:val="9"/>
    <w:qFormat/>
    <w:rsid w:val="00044E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4E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E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E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E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E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4E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E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E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E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EBB"/>
    <w:rPr>
      <w:rFonts w:eastAsiaTheme="majorEastAsia" w:cstheme="majorBidi"/>
      <w:color w:val="272727" w:themeColor="text1" w:themeTint="D8"/>
    </w:rPr>
  </w:style>
  <w:style w:type="paragraph" w:styleId="Title">
    <w:name w:val="Title"/>
    <w:basedOn w:val="Normal"/>
    <w:next w:val="Normal"/>
    <w:link w:val="TitleChar"/>
    <w:uiPriority w:val="10"/>
    <w:qFormat/>
    <w:rsid w:val="00044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EBB"/>
    <w:pPr>
      <w:spacing w:before="160"/>
      <w:jc w:val="center"/>
    </w:pPr>
    <w:rPr>
      <w:i/>
      <w:iCs/>
      <w:color w:val="404040" w:themeColor="text1" w:themeTint="BF"/>
    </w:rPr>
  </w:style>
  <w:style w:type="character" w:customStyle="1" w:styleId="QuoteChar">
    <w:name w:val="Quote Char"/>
    <w:basedOn w:val="DefaultParagraphFont"/>
    <w:link w:val="Quote"/>
    <w:uiPriority w:val="29"/>
    <w:rsid w:val="00044EBB"/>
    <w:rPr>
      <w:i/>
      <w:iCs/>
      <w:color w:val="404040" w:themeColor="text1" w:themeTint="BF"/>
    </w:rPr>
  </w:style>
  <w:style w:type="paragraph" w:styleId="ListParagraph">
    <w:name w:val="List Paragraph"/>
    <w:basedOn w:val="Normal"/>
    <w:uiPriority w:val="34"/>
    <w:qFormat/>
    <w:rsid w:val="00044EBB"/>
    <w:pPr>
      <w:ind w:left="720"/>
      <w:contextualSpacing/>
    </w:pPr>
  </w:style>
  <w:style w:type="character" w:styleId="IntenseEmphasis">
    <w:name w:val="Intense Emphasis"/>
    <w:basedOn w:val="DefaultParagraphFont"/>
    <w:uiPriority w:val="21"/>
    <w:qFormat/>
    <w:rsid w:val="00044EBB"/>
    <w:rPr>
      <w:i/>
      <w:iCs/>
      <w:color w:val="2F5496" w:themeColor="accent1" w:themeShade="BF"/>
    </w:rPr>
  </w:style>
  <w:style w:type="paragraph" w:styleId="IntenseQuote">
    <w:name w:val="Intense Quote"/>
    <w:basedOn w:val="Normal"/>
    <w:next w:val="Normal"/>
    <w:link w:val="IntenseQuoteChar"/>
    <w:uiPriority w:val="30"/>
    <w:qFormat/>
    <w:rsid w:val="00044E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EBB"/>
    <w:rPr>
      <w:i/>
      <w:iCs/>
      <w:color w:val="2F5496" w:themeColor="accent1" w:themeShade="BF"/>
    </w:rPr>
  </w:style>
  <w:style w:type="character" w:styleId="IntenseReference">
    <w:name w:val="Intense Reference"/>
    <w:basedOn w:val="DefaultParagraphFont"/>
    <w:uiPriority w:val="32"/>
    <w:qFormat/>
    <w:rsid w:val="00044EBB"/>
    <w:rPr>
      <w:b/>
      <w:bCs/>
      <w:smallCaps/>
      <w:color w:val="2F5496" w:themeColor="accent1" w:themeShade="BF"/>
      <w:spacing w:val="5"/>
    </w:rPr>
  </w:style>
  <w:style w:type="character" w:styleId="Hyperlink">
    <w:name w:val="Hyperlink"/>
    <w:basedOn w:val="DefaultParagraphFont"/>
    <w:uiPriority w:val="99"/>
    <w:unhideWhenUsed/>
    <w:rsid w:val="00EF4A9B"/>
    <w:rPr>
      <w:color w:val="0563C1" w:themeColor="hyperlink"/>
      <w:u w:val="single"/>
    </w:rPr>
  </w:style>
  <w:style w:type="character" w:styleId="UnresolvedMention">
    <w:name w:val="Unresolved Mention"/>
    <w:basedOn w:val="DefaultParagraphFont"/>
    <w:uiPriority w:val="99"/>
    <w:semiHidden/>
    <w:unhideWhenUsed/>
    <w:rsid w:val="00EF4A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ho.int/" TargetMode="External"/><Relationship Id="rId5" Type="http://schemas.openxmlformats.org/officeDocument/2006/relationships/hyperlink" Target="https://www.u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879</Words>
  <Characters>5682</Characters>
  <Application>Microsoft Office Word</Application>
  <DocSecurity>0</DocSecurity>
  <Lines>84</Lines>
  <Paragraphs>24</Paragraphs>
  <ScaleCrop>false</ScaleCrop>
  <Company/>
  <LinksUpToDate>false</LinksUpToDate>
  <CharactersWithSpaces>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Tanem Behzat</dc:creator>
  <cp:keywords/>
  <dc:description/>
  <cp:lastModifiedBy>Tanem Behzat</cp:lastModifiedBy>
  <cp:revision>2</cp:revision>
  <dcterms:created xsi:type="dcterms:W3CDTF">2024-12-16T20:11:00Z</dcterms:created>
  <dcterms:modified xsi:type="dcterms:W3CDTF">2024-12-16T20:11:00Z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f3a0a82e-a554-4ab5-9bfd-aad9a4db93cf</vt:lpwstr>
  </property>
</Properties>
</file>