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Student Resources Worksheets</w:t>
      </w:r>
    </w:p>
    <w:p w:rsidR="00000000" w:rsidDel="00000000" w:rsidP="00000000" w:rsidRDefault="00000000" w:rsidRPr="00000000" w14:paraId="00000002">
      <w:pPr>
        <w:pStyle w:val="Heading1"/>
        <w:rPr/>
      </w:pPr>
      <w:r w:rsidDel="00000000" w:rsidR="00000000" w:rsidRPr="00000000">
        <w:rPr>
          <w:rtl w:val="0"/>
        </w:rPr>
        <w:t xml:space="preserve">Raw Data Charts</w:t>
      </w:r>
    </w:p>
    <w:p w:rsidR="00000000" w:rsidDel="00000000" w:rsidP="00000000" w:rsidRDefault="00000000" w:rsidRPr="00000000" w14:paraId="00000003">
      <w:pPr>
        <w:spacing w:after="0" w:lineRule="auto"/>
        <w:jc w:val="center"/>
        <w:rPr/>
      </w:pP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Below are two data charts, based on the Designing Your Project, but now focusing solely on finding your variable values. Use the appropriate one (for a thesis- or hypothesis-driven research, then choose either nonstatistical or statistical) and edit to serve your interests. For instance, you may have more claims or indicators than provided here or you may have two independent variables. Adjust the relevant tables||||accordingly. This information provides you the building blocks for performing your analysis and writing your A&amp;A. If you are having trouble, please look at the “reverse engineering” of Hannah’s example below and parts of Kevin’s excerpt as indicated.</w:t>
      </w:r>
    </w:p>
    <w:p w:rsidR="00000000" w:rsidDel="00000000" w:rsidP="00000000" w:rsidRDefault="00000000" w:rsidRPr="00000000" w14:paraId="00000005">
      <w:pPr>
        <w:spacing w:after="0" w:line="360" w:lineRule="auto"/>
        <w:jc w:val="center"/>
        <w:rPr/>
      </w:pPr>
      <w:r w:rsidDel="00000000" w:rsidR="00000000" w:rsidRPr="00000000">
        <w:rPr>
          <w:rtl w:val="0"/>
        </w:rPr>
      </w:r>
    </w:p>
    <w:p w:rsidR="00000000" w:rsidDel="00000000" w:rsidP="00000000" w:rsidRDefault="00000000" w:rsidRPr="00000000" w14:paraId="00000006">
      <w:pPr>
        <w:spacing w:after="0" w:line="360" w:lineRule="auto"/>
        <w:jc w:val="center"/>
        <w:rPr/>
      </w:pPr>
      <w:r w:rsidDel="00000000" w:rsidR="00000000" w:rsidRPr="00000000">
        <w:rPr>
          <w:rtl w:val="0"/>
        </w:rPr>
      </w:r>
    </w:p>
    <w:p w:rsidR="00000000" w:rsidDel="00000000" w:rsidP="00000000" w:rsidRDefault="00000000" w:rsidRPr="00000000" w14:paraId="00000007">
      <w:pPr>
        <w:rPr>
          <w:b w:val="1"/>
          <w:sz w:val="28"/>
          <w:szCs w:val="28"/>
          <w:u w:val="single"/>
        </w:rPr>
      </w:pPr>
      <w:r w:rsidDel="00000000" w:rsidR="00000000" w:rsidRPr="00000000">
        <w:rPr>
          <w:b w:val="1"/>
          <w:sz w:val="28"/>
          <w:szCs w:val="28"/>
          <w:u w:val="single"/>
          <w:rtl w:val="0"/>
        </w:rPr>
        <w:t xml:space="preserve">Evaluating a Thesis (Courtroom Analogy) with Qualitative, Mixed, or Quantitative Methods</w:t>
      </w:r>
    </w:p>
    <w:tbl>
      <w:tblPr>
        <w:tblStyle w:val="Table1"/>
        <w:tblW w:w="8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3"/>
        <w:gridCol w:w="6117"/>
        <w:tblGridChange w:id="0">
          <w:tblGrid>
            <w:gridCol w:w="2873"/>
            <w:gridCol w:w="6117"/>
          </w:tblGrid>
        </w:tblGridChange>
      </w:tblGrid>
      <w:tr>
        <w:trPr>
          <w:cantSplit w:val="0"/>
          <w:tblHeader w:val="0"/>
        </w:trPr>
        <w:tc>
          <w:tcPr/>
          <w:p w:rsidR="00000000" w:rsidDel="00000000" w:rsidP="00000000" w:rsidRDefault="00000000" w:rsidRPr="00000000" w14:paraId="00000008">
            <w:pPr>
              <w:spacing w:after="0" w:lineRule="auto"/>
              <w:rPr/>
            </w:pPr>
            <w:r w:rsidDel="00000000" w:rsidR="00000000" w:rsidRPr="00000000">
              <w:rPr>
                <w:rtl w:val="0"/>
              </w:rPr>
              <w:t xml:space="preserve">Claims</w:t>
            </w:r>
          </w:p>
        </w:tc>
        <w:tc>
          <w:tcPr/>
          <w:p w:rsidR="00000000" w:rsidDel="00000000" w:rsidP="00000000" w:rsidRDefault="00000000" w:rsidRPr="00000000" w14:paraId="00000009">
            <w:pPr>
              <w:spacing w:after="0" w:lineRule="auto"/>
              <w:rPr/>
            </w:pPr>
            <w:r w:rsidDel="00000000" w:rsidR="00000000" w:rsidRPr="00000000">
              <w:rPr>
                <w:rtl w:val="0"/>
              </w:rPr>
              <w:t xml:space="preserve">Evidence (Based on RD Strategy)—how you will organize depends on your RD?</w:t>
            </w:r>
          </w:p>
        </w:tc>
      </w:tr>
      <w:tr>
        <w:trPr>
          <w:cantSplit w:val="0"/>
          <w:tblHeader w:val="0"/>
        </w:trPr>
        <w:tc>
          <w:tcPr/>
          <w:p w:rsidR="00000000" w:rsidDel="00000000" w:rsidP="00000000" w:rsidRDefault="00000000" w:rsidRPr="00000000" w14:paraId="0000000A">
            <w:pPr>
              <w:spacing w:after="0" w:lineRule="auto"/>
              <w:rPr/>
            </w:pPr>
            <w:r w:rsidDel="00000000" w:rsidR="00000000" w:rsidRPr="00000000">
              <w:rPr>
                <w:rtl w:val="0"/>
              </w:rPr>
              <w:t xml:space="preserve">Subsidiary Claim 1:</w:t>
            </w:r>
          </w:p>
          <w:p w:rsidR="00000000" w:rsidDel="00000000" w:rsidP="00000000" w:rsidRDefault="00000000" w:rsidRPr="00000000" w14:paraId="0000000B">
            <w:pPr>
              <w:spacing w:after="0" w:lineRule="auto"/>
              <w:rPr/>
            </w:pPr>
            <w:r w:rsidDel="00000000" w:rsidR="00000000" w:rsidRPr="00000000">
              <w:rPr>
                <w:rtl w:val="0"/>
              </w:rPr>
            </w:r>
          </w:p>
        </w:tc>
        <w:tc>
          <w:tcPr/>
          <w:p w:rsidR="00000000" w:rsidDel="00000000" w:rsidP="00000000" w:rsidRDefault="00000000" w:rsidRPr="00000000" w14:paraId="0000000C">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0D">
            <w:pPr>
              <w:spacing w:after="0" w:lineRule="auto"/>
              <w:rPr/>
            </w:pPr>
            <w:r w:rsidDel="00000000" w:rsidR="00000000" w:rsidRPr="00000000">
              <w:rPr>
                <w:rtl w:val="0"/>
              </w:rPr>
              <w:t xml:space="preserve">Subsidiary Claim 2:</w:t>
            </w:r>
          </w:p>
          <w:p w:rsidR="00000000" w:rsidDel="00000000" w:rsidP="00000000" w:rsidRDefault="00000000" w:rsidRPr="00000000" w14:paraId="0000000E">
            <w:pPr>
              <w:spacing w:after="0" w:lineRule="auto"/>
              <w:rPr/>
            </w:pPr>
            <w:r w:rsidDel="00000000" w:rsidR="00000000" w:rsidRPr="00000000">
              <w:rPr>
                <w:rtl w:val="0"/>
              </w:rPr>
            </w:r>
          </w:p>
        </w:tc>
        <w:tc>
          <w:tcPr/>
          <w:p w:rsidR="00000000" w:rsidDel="00000000" w:rsidP="00000000" w:rsidRDefault="00000000" w:rsidRPr="00000000" w14:paraId="0000000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Rule="auto"/>
              <w:rPr/>
            </w:pPr>
            <w:r w:rsidDel="00000000" w:rsidR="00000000" w:rsidRPr="00000000">
              <w:rPr>
                <w:rtl w:val="0"/>
              </w:rPr>
              <w:t xml:space="preserve">Counter Claim 1:</w:t>
            </w:r>
          </w:p>
          <w:p w:rsidR="00000000" w:rsidDel="00000000" w:rsidP="00000000" w:rsidRDefault="00000000" w:rsidRPr="00000000" w14:paraId="00000011">
            <w:pPr>
              <w:spacing w:after="0" w:lineRule="auto"/>
              <w:rPr/>
            </w:pPr>
            <w:r w:rsidDel="00000000" w:rsidR="00000000" w:rsidRPr="00000000">
              <w:rPr>
                <w:rtl w:val="0"/>
              </w:rPr>
            </w:r>
          </w:p>
        </w:tc>
        <w:tc>
          <w:tcPr/>
          <w:p w:rsidR="00000000" w:rsidDel="00000000" w:rsidP="00000000" w:rsidRDefault="00000000" w:rsidRPr="00000000" w14:paraId="00000012">
            <w:pPr>
              <w:spacing w:after="0" w:lineRule="auto"/>
              <w:rPr/>
            </w:pPr>
            <w:r w:rsidDel="00000000" w:rsidR="00000000" w:rsidRPr="00000000">
              <w:rPr>
                <w:rtl w:val="0"/>
              </w:rPr>
            </w:r>
          </w:p>
        </w:tc>
      </w:tr>
    </w:tbl>
    <w:p w:rsidR="00000000" w:rsidDel="00000000" w:rsidP="00000000" w:rsidRDefault="00000000" w:rsidRPr="00000000" w14:paraId="00000013">
      <w:pPr>
        <w:spacing w:after="0" w:line="360" w:lineRule="auto"/>
        <w:rPr>
          <w:i w:val="1"/>
        </w:rPr>
      </w:pPr>
      <w:r w:rsidDel="00000000" w:rsidR="00000000" w:rsidRPr="00000000">
        <w:rPr>
          <w:i w:val="1"/>
          <w:rtl w:val="0"/>
        </w:rPr>
        <w:t xml:space="preserve">Adjust as needed</w:t>
      </w:r>
    </w:p>
    <w:p w:rsidR="00000000" w:rsidDel="00000000" w:rsidP="00000000" w:rsidRDefault="00000000" w:rsidRPr="00000000" w14:paraId="00000014">
      <w:pPr>
        <w:spacing w:after="0" w:lineRule="auto"/>
        <w:rPr/>
      </w:pPr>
      <w:r w:rsidDel="00000000" w:rsidR="00000000" w:rsidRPr="00000000">
        <w:rPr>
          <w:rtl w:val="0"/>
        </w:rPr>
        <w:t xml:space="preserve">Let’s reverse engineer from Hannah’s A&amp;A excerpt in Chapter 8 to figure out what one part of her data chart must have looked like. If we go back to her RD (see also web resource “Designing Your Project,” we can see that Hannah needs to find key Supreme Court cases on JWLOP in the 2000s (when the Court began to reconsider), analyze the Court’s findings, and look for influences on the justices.</w:t>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tbl>
      <w:tblPr>
        <w:tblStyle w:val="Table2"/>
        <w:tblW w:w="8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9"/>
        <w:gridCol w:w="3540"/>
        <w:gridCol w:w="3191"/>
        <w:tblGridChange w:id="0">
          <w:tblGrid>
            <w:gridCol w:w="2259"/>
            <w:gridCol w:w="3540"/>
            <w:gridCol w:w="3191"/>
          </w:tblGrid>
        </w:tblGridChange>
      </w:tblGrid>
      <w:tr>
        <w:trPr>
          <w:cantSplit w:val="0"/>
          <w:tblHeader w:val="0"/>
        </w:trPr>
        <w:tc>
          <w:tcPr>
            <w:gridSpan w:val="3"/>
          </w:tcPr>
          <w:p w:rsidR="00000000" w:rsidDel="00000000" w:rsidP="00000000" w:rsidRDefault="00000000" w:rsidRPr="00000000" w14:paraId="00000017">
            <w:pPr>
              <w:spacing w:after="0" w:lineRule="auto"/>
              <w:rPr/>
            </w:pPr>
            <w:r w:rsidDel="00000000" w:rsidR="00000000" w:rsidRPr="00000000">
              <w:rPr>
                <w:rtl w:val="0"/>
              </w:rPr>
              <w:t xml:space="preserve">Subsidiary Claim 2: </w:t>
            </w:r>
            <w:r w:rsidDel="00000000" w:rsidR="00000000" w:rsidRPr="00000000">
              <w:rPr>
                <w:sz w:val="20"/>
                <w:szCs w:val="20"/>
                <w:rtl w:val="0"/>
              </w:rPr>
              <w:t xml:space="preserve">The Court reacts incrementally to the evidence, popular desires, and legal reasoning that changes are warranted.</w:t>
            </w:r>
            <w:r w:rsidDel="00000000" w:rsidR="00000000" w:rsidRPr="00000000">
              <w:rPr>
                <w:rtl w:val="0"/>
              </w:rPr>
            </w:r>
          </w:p>
        </w:tc>
      </w:tr>
      <w:tr>
        <w:trPr>
          <w:cantSplit w:val="0"/>
          <w:tblHeader w:val="0"/>
        </w:trPr>
        <w:tc>
          <w:tcPr>
            <w:gridSpan w:val="3"/>
          </w:tcPr>
          <w:p w:rsidR="00000000" w:rsidDel="00000000" w:rsidP="00000000" w:rsidRDefault="00000000" w:rsidRPr="00000000" w14:paraId="0000001A">
            <w:pPr>
              <w:spacing w:after="0" w:lineRule="auto"/>
              <w:rPr/>
            </w:pPr>
            <w:r w:rsidDel="00000000" w:rsidR="00000000" w:rsidRPr="00000000">
              <w:rPr>
                <w:rtl w:val="0"/>
              </w:rPr>
              <w:t xml:space="preserve">Evidence (Based on RD Strategy):</w:t>
            </w:r>
          </w:p>
        </w:tc>
      </w:tr>
      <w:tr>
        <w:trPr>
          <w:cantSplit w:val="0"/>
          <w:trHeight w:val="339" w:hRule="atLeast"/>
          <w:tblHeader w:val="0"/>
        </w:trPr>
        <w:tc>
          <w:tcPr/>
          <w:p w:rsidR="00000000" w:rsidDel="00000000" w:rsidP="00000000" w:rsidRDefault="00000000" w:rsidRPr="00000000" w14:paraId="0000001D">
            <w:pPr>
              <w:spacing w:after="0" w:lineRule="auto"/>
              <w:rPr>
                <w:sz w:val="20"/>
                <w:szCs w:val="20"/>
              </w:rPr>
            </w:pPr>
            <w:r w:rsidDel="00000000" w:rsidR="00000000" w:rsidRPr="00000000">
              <w:rPr>
                <w:rtl w:val="0"/>
              </w:rPr>
              <w:t xml:space="preserve">Cases</w:t>
            </w:r>
            <w:r w:rsidDel="00000000" w:rsidR="00000000" w:rsidRPr="00000000">
              <w:rPr>
                <w:rtl w:val="0"/>
              </w:rPr>
            </w:r>
          </w:p>
        </w:tc>
        <w:tc>
          <w:tcPr/>
          <w:p w:rsidR="00000000" w:rsidDel="00000000" w:rsidP="00000000" w:rsidRDefault="00000000" w:rsidRPr="00000000" w14:paraId="0000001E">
            <w:pPr>
              <w:spacing w:after="0" w:lineRule="auto"/>
              <w:rPr/>
            </w:pPr>
            <w:r w:rsidDel="00000000" w:rsidR="00000000" w:rsidRPr="00000000">
              <w:rPr>
                <w:rtl w:val="0"/>
              </w:rPr>
              <w:t xml:space="preserve">Findings</w:t>
            </w:r>
          </w:p>
        </w:tc>
        <w:tc>
          <w:tcPr/>
          <w:p w:rsidR="00000000" w:rsidDel="00000000" w:rsidP="00000000" w:rsidRDefault="00000000" w:rsidRPr="00000000" w14:paraId="0000001F">
            <w:pPr>
              <w:spacing w:after="0" w:lineRule="auto"/>
              <w:rPr/>
            </w:pPr>
            <w:r w:rsidDel="00000000" w:rsidR="00000000" w:rsidRPr="00000000">
              <w:rPr>
                <w:rtl w:val="0"/>
              </w:rPr>
              <w:t xml:space="preserve">Influence</w:t>
            </w:r>
          </w:p>
        </w:tc>
      </w:tr>
      <w:tr>
        <w:trPr>
          <w:cantSplit w:val="0"/>
          <w:trHeight w:val="337" w:hRule="atLeast"/>
          <w:tblHeader w:val="0"/>
        </w:trPr>
        <w:tc>
          <w:tcPr/>
          <w:p w:rsidR="00000000" w:rsidDel="00000000" w:rsidP="00000000" w:rsidRDefault="00000000" w:rsidRPr="00000000" w14:paraId="00000020">
            <w:pPr>
              <w:spacing w:after="0" w:lineRule="auto"/>
              <w:rPr>
                <w:sz w:val="20"/>
                <w:szCs w:val="20"/>
              </w:rPr>
            </w:pPr>
            <w:r w:rsidDel="00000000" w:rsidR="00000000" w:rsidRPr="00000000">
              <w:rPr>
                <w:i w:val="1"/>
                <w:sz w:val="20"/>
                <w:szCs w:val="20"/>
                <w:rtl w:val="0"/>
              </w:rPr>
              <w:t xml:space="preserve">Atkins v. Virginia</w:t>
            </w:r>
            <w:r w:rsidDel="00000000" w:rsidR="00000000" w:rsidRPr="00000000">
              <w:rPr>
                <w:sz w:val="20"/>
                <w:szCs w:val="20"/>
                <w:rtl w:val="0"/>
              </w:rPr>
              <w:t xml:space="preserve"> (2002)</w:t>
            </w:r>
          </w:p>
        </w:tc>
        <w:tc>
          <w:tcPr/>
          <w:p w:rsidR="00000000" w:rsidDel="00000000" w:rsidP="00000000" w:rsidRDefault="00000000" w:rsidRPr="00000000" w14:paraId="00000021">
            <w:pPr>
              <w:spacing w:after="0" w:lineRule="auto"/>
              <w:rPr>
                <w:sz w:val="20"/>
                <w:szCs w:val="20"/>
              </w:rPr>
            </w:pPr>
            <w:r w:rsidDel="00000000" w:rsidR="00000000" w:rsidRPr="00000000">
              <w:rPr>
                <w:sz w:val="20"/>
                <w:szCs w:val="20"/>
                <w:rtl w:val="0"/>
              </w:rPr>
              <w:t xml:space="preserve">the execution of mentally retarded individuals to be in conflict with the Eighth Amendment’s prohibition of “cruel and unusual punishment”</w:t>
            </w:r>
          </w:p>
        </w:tc>
        <w:tc>
          <w:tcPr/>
          <w:p w:rsidR="00000000" w:rsidDel="00000000" w:rsidP="00000000" w:rsidRDefault="00000000" w:rsidRPr="00000000" w14:paraId="00000022">
            <w:pPr>
              <w:spacing w:after="0" w:lineRule="auto"/>
              <w:rPr>
                <w:sz w:val="20"/>
                <w:szCs w:val="20"/>
              </w:rPr>
            </w:pPr>
            <w:r w:rsidDel="00000000" w:rsidR="00000000" w:rsidRPr="00000000">
              <w:rPr>
                <w:sz w:val="20"/>
                <w:szCs w:val="20"/>
                <w:rtl w:val="0"/>
              </w:rPr>
              <w:t xml:space="preserve">** not sure where to include: see stepwise movement from Eighth Amendment to proportionality</w:t>
            </w:r>
          </w:p>
        </w:tc>
      </w:tr>
      <w:tr>
        <w:trPr>
          <w:cantSplit w:val="0"/>
          <w:trHeight w:val="337" w:hRule="atLeast"/>
          <w:tblHeader w:val="0"/>
        </w:trPr>
        <w:tc>
          <w:tcPr/>
          <w:p w:rsidR="00000000" w:rsidDel="00000000" w:rsidP="00000000" w:rsidRDefault="00000000" w:rsidRPr="00000000" w14:paraId="00000023">
            <w:pPr>
              <w:spacing w:after="0" w:lineRule="auto"/>
              <w:rPr>
                <w:sz w:val="20"/>
                <w:szCs w:val="20"/>
              </w:rPr>
            </w:pPr>
            <w:r w:rsidDel="00000000" w:rsidR="00000000" w:rsidRPr="00000000">
              <w:rPr>
                <w:i w:val="1"/>
                <w:sz w:val="20"/>
                <w:szCs w:val="20"/>
                <w:rtl w:val="0"/>
              </w:rPr>
              <w:t xml:space="preserve">Roper v. Simmons</w:t>
            </w:r>
            <w:r w:rsidDel="00000000" w:rsidR="00000000" w:rsidRPr="00000000">
              <w:rPr>
                <w:sz w:val="20"/>
                <w:szCs w:val="20"/>
                <w:rtl w:val="0"/>
              </w:rPr>
              <w:t xml:space="preserve"> (2004)</w:t>
            </w:r>
          </w:p>
        </w:tc>
        <w:tc>
          <w:tcPr/>
          <w:p w:rsidR="00000000" w:rsidDel="00000000" w:rsidP="00000000" w:rsidRDefault="00000000" w:rsidRPr="00000000" w14:paraId="00000024">
            <w:pPr>
              <w:spacing w:after="0" w:lineRule="auto"/>
              <w:rPr>
                <w:sz w:val="20"/>
                <w:szCs w:val="20"/>
              </w:rPr>
            </w:pPr>
            <w:r w:rsidDel="00000000" w:rsidR="00000000" w:rsidRPr="00000000">
              <w:rPr>
                <w:sz w:val="20"/>
                <w:szCs w:val="20"/>
                <w:rtl w:val="0"/>
              </w:rPr>
              <w:t xml:space="preserve">Also Eighth Amendment. Juveniles aren’t psychologically the same as adults</w:t>
            </w:r>
          </w:p>
        </w:tc>
        <w:tc>
          <w:tcPr/>
          <w:p w:rsidR="00000000" w:rsidDel="00000000" w:rsidP="00000000" w:rsidRDefault="00000000" w:rsidRPr="00000000" w14:paraId="00000025">
            <w:pPr>
              <w:spacing w:after="0" w:lineRule="auto"/>
              <w:rPr>
                <w:sz w:val="20"/>
                <w:szCs w:val="20"/>
              </w:rPr>
            </w:pPr>
            <w:r w:rsidDel="00000000" w:rsidR="00000000" w:rsidRPr="00000000">
              <w:rPr>
                <w:sz w:val="20"/>
                <w:szCs w:val="20"/>
                <w:rtl w:val="0"/>
              </w:rPr>
              <w:t xml:space="preserve">Important element of proportionality is the nature of youth and who </w:t>
            </w:r>
            <w:r w:rsidDel="00000000" w:rsidR="00000000" w:rsidRPr="00000000">
              <w:rPr>
                <w:i w:val="1"/>
                <w:sz w:val="20"/>
                <w:szCs w:val="20"/>
                <w:rtl w:val="0"/>
              </w:rPr>
              <w:t xml:space="preserve">these youth</w:t>
            </w:r>
            <w:r w:rsidDel="00000000" w:rsidR="00000000" w:rsidRPr="00000000">
              <w:rPr>
                <w:sz w:val="20"/>
                <w:szCs w:val="20"/>
                <w:rtl w:val="0"/>
              </w:rPr>
              <w:t xml:space="preserve"> are.</w:t>
            </w:r>
          </w:p>
        </w:tc>
      </w:tr>
      <w:tr>
        <w:trPr>
          <w:cantSplit w:val="0"/>
          <w:trHeight w:val="337" w:hRule="atLeast"/>
          <w:tblHeader w:val="0"/>
        </w:trPr>
        <w:tc>
          <w:tcPr/>
          <w:p w:rsidR="00000000" w:rsidDel="00000000" w:rsidP="00000000" w:rsidRDefault="00000000" w:rsidRPr="00000000" w14:paraId="00000026">
            <w:pPr>
              <w:spacing w:after="0" w:lineRule="auto"/>
              <w:rPr>
                <w:i w:val="1"/>
                <w:sz w:val="20"/>
                <w:szCs w:val="20"/>
              </w:rPr>
            </w:pPr>
            <w:r w:rsidDel="00000000" w:rsidR="00000000" w:rsidRPr="00000000">
              <w:rPr>
                <w:i w:val="1"/>
                <w:sz w:val="20"/>
                <w:szCs w:val="20"/>
                <w:rtl w:val="0"/>
              </w:rPr>
              <w:t xml:space="preserve">Kennedy v. Louisiana</w:t>
            </w:r>
            <w:r w:rsidDel="00000000" w:rsidR="00000000" w:rsidRPr="00000000">
              <w:rPr>
                <w:sz w:val="20"/>
                <w:szCs w:val="20"/>
                <w:rtl w:val="0"/>
              </w:rPr>
              <w:t xml:space="preserve"> (2008)</w:t>
            </w:r>
            <w:r w:rsidDel="00000000" w:rsidR="00000000" w:rsidRPr="00000000">
              <w:rPr>
                <w:rtl w:val="0"/>
              </w:rPr>
            </w:r>
          </w:p>
        </w:tc>
        <w:tc>
          <w:tcPr/>
          <w:p w:rsidR="00000000" w:rsidDel="00000000" w:rsidP="00000000" w:rsidRDefault="00000000" w:rsidRPr="00000000" w14:paraId="00000027">
            <w:pPr>
              <w:spacing w:after="0" w:lineRule="auto"/>
              <w:rPr>
                <w:sz w:val="20"/>
                <w:szCs w:val="20"/>
              </w:rPr>
            </w:pPr>
            <w:r w:rsidDel="00000000" w:rsidR="00000000" w:rsidRPr="00000000">
              <w:rPr>
                <w:sz w:val="20"/>
                <w:szCs w:val="20"/>
                <w:rtl w:val="0"/>
              </w:rPr>
              <w:t xml:space="preserve">Proportionality violated when convicted is a juvenile</w:t>
            </w:r>
          </w:p>
        </w:tc>
        <w:tc>
          <w:tcPr/>
          <w:p w:rsidR="00000000" w:rsidDel="00000000" w:rsidP="00000000" w:rsidRDefault="00000000" w:rsidRPr="00000000" w14:paraId="00000028">
            <w:pPr>
              <w:spacing w:after="0" w:lineRule="auto"/>
              <w:rPr>
                <w:sz w:val="20"/>
                <w:szCs w:val="20"/>
              </w:rPr>
            </w:pPr>
            <w:r w:rsidDel="00000000" w:rsidR="00000000" w:rsidRPr="00000000">
              <w:rPr>
                <w:sz w:val="20"/>
                <w:szCs w:val="20"/>
                <w:rtl w:val="0"/>
              </w:rPr>
              <w:t xml:space="preserve">Interview subjects confirm the importance of this stepwise legal strategy.</w:t>
            </w:r>
          </w:p>
        </w:tc>
      </w:tr>
      <w:tr>
        <w:trPr>
          <w:cantSplit w:val="0"/>
          <w:trHeight w:val="110" w:hRule="atLeast"/>
          <w:tblHeader w:val="0"/>
        </w:trPr>
        <w:tc>
          <w:tcPr/>
          <w:p w:rsidR="00000000" w:rsidDel="00000000" w:rsidP="00000000" w:rsidRDefault="00000000" w:rsidRPr="00000000" w14:paraId="00000029">
            <w:pPr>
              <w:spacing w:after="0" w:lineRule="auto"/>
              <w:rPr>
                <w:sz w:val="20"/>
                <w:szCs w:val="20"/>
              </w:rPr>
            </w:pPr>
            <w:r w:rsidDel="00000000" w:rsidR="00000000" w:rsidRPr="00000000">
              <w:rPr>
                <w:i w:val="1"/>
                <w:sz w:val="20"/>
                <w:szCs w:val="20"/>
                <w:rtl w:val="0"/>
              </w:rPr>
              <w:t xml:space="preserve">Graham v. Florida</w:t>
            </w:r>
            <w:r w:rsidDel="00000000" w:rsidR="00000000" w:rsidRPr="00000000">
              <w:rPr>
                <w:sz w:val="20"/>
                <w:szCs w:val="20"/>
                <w:rtl w:val="0"/>
              </w:rPr>
              <w:t xml:space="preserve"> (2010)</w:t>
            </w:r>
          </w:p>
        </w:tc>
        <w:tc>
          <w:tcPr/>
          <w:p w:rsidR="00000000" w:rsidDel="00000000" w:rsidP="00000000" w:rsidRDefault="00000000" w:rsidRPr="00000000" w14:paraId="0000002A">
            <w:pPr>
              <w:spacing w:after="0" w:lineRule="auto"/>
              <w:rPr>
                <w:sz w:val="20"/>
                <w:szCs w:val="20"/>
              </w:rPr>
            </w:pPr>
            <w:r w:rsidDel="00000000" w:rsidR="00000000" w:rsidRPr="00000000">
              <w:rPr>
                <w:sz w:val="20"/>
                <w:szCs w:val="20"/>
                <w:rtl w:val="0"/>
              </w:rPr>
              <w:t xml:space="preserve">Unconstitutional to give life without parole sentences to nonhomicide crimes</w:t>
            </w:r>
          </w:p>
        </w:tc>
        <w:tc>
          <w:tcPr/>
          <w:p w:rsidR="00000000" w:rsidDel="00000000" w:rsidP="00000000" w:rsidRDefault="00000000" w:rsidRPr="00000000" w14:paraId="0000002B">
            <w:pPr>
              <w:spacing w:after="0" w:lineRule="auto"/>
              <w:rPr>
                <w:sz w:val="20"/>
                <w:szCs w:val="20"/>
              </w:rPr>
            </w:pPr>
            <w:r w:rsidDel="00000000" w:rsidR="00000000" w:rsidRPr="00000000">
              <w:rPr>
                <w:rtl w:val="0"/>
              </w:rPr>
            </w:r>
          </w:p>
        </w:tc>
      </w:tr>
      <w:tr>
        <w:trPr>
          <w:cantSplit w:val="0"/>
          <w:trHeight w:val="110" w:hRule="atLeast"/>
          <w:tblHeader w:val="0"/>
        </w:trPr>
        <w:tc>
          <w:tcPr/>
          <w:p w:rsidR="00000000" w:rsidDel="00000000" w:rsidP="00000000" w:rsidRDefault="00000000" w:rsidRPr="00000000" w14:paraId="0000002C">
            <w:pPr>
              <w:spacing w:after="0" w:lineRule="auto"/>
              <w:rPr>
                <w:sz w:val="20"/>
                <w:szCs w:val="20"/>
              </w:rPr>
            </w:pPr>
            <w:r w:rsidDel="00000000" w:rsidR="00000000" w:rsidRPr="00000000">
              <w:rPr>
                <w:i w:val="1"/>
                <w:sz w:val="20"/>
                <w:szCs w:val="20"/>
                <w:rtl w:val="0"/>
              </w:rPr>
              <w:t xml:space="preserve">Miller v. Alabama </w:t>
            </w:r>
            <w:r w:rsidDel="00000000" w:rsidR="00000000" w:rsidRPr="00000000">
              <w:rPr>
                <w:sz w:val="20"/>
                <w:szCs w:val="20"/>
                <w:rtl w:val="0"/>
              </w:rPr>
              <w:t xml:space="preserve">(2012)</w:t>
            </w:r>
          </w:p>
        </w:tc>
        <w:tc>
          <w:tcPr/>
          <w:p w:rsidR="00000000" w:rsidDel="00000000" w:rsidP="00000000" w:rsidRDefault="00000000" w:rsidRPr="00000000" w14:paraId="0000002D">
            <w:pPr>
              <w:spacing w:after="0" w:lineRule="auto"/>
              <w:rPr>
                <w:sz w:val="20"/>
                <w:szCs w:val="20"/>
              </w:rPr>
            </w:pPr>
            <w:r w:rsidDel="00000000" w:rsidR="00000000" w:rsidRPr="00000000">
              <w:rPr>
                <w:sz w:val="20"/>
                <w:szCs w:val="20"/>
                <w:rtl w:val="0"/>
              </w:rPr>
              <w:t xml:space="preserve">“mismatches between the culpability of a class of offenders and the severity of a penalty”</w:t>
            </w:r>
          </w:p>
        </w:tc>
        <w:tc>
          <w:tcPr/>
          <w:p w:rsidR="00000000" w:rsidDel="00000000" w:rsidP="00000000" w:rsidRDefault="00000000" w:rsidRPr="00000000" w14:paraId="0000002E">
            <w:pPr>
              <w:spacing w:after="0" w:lineRule="auto"/>
              <w:rPr>
                <w:sz w:val="20"/>
                <w:szCs w:val="20"/>
              </w:rPr>
            </w:pPr>
            <w:r w:rsidDel="00000000" w:rsidR="00000000" w:rsidRPr="00000000">
              <w:rPr>
                <w:sz w:val="20"/>
                <w:szCs w:val="20"/>
                <w:rtl w:val="0"/>
              </w:rPr>
              <w:t xml:space="preserve">“youth is more than a chronological fact,” p. 8. Concerned specifically with maturity, peer pressure, and character development. Youth are more able to change behavior patterns than adults.</w:t>
            </w:r>
          </w:p>
        </w:tc>
      </w:tr>
      <w:tr>
        <w:trPr>
          <w:cantSplit w:val="0"/>
          <w:trHeight w:val="110" w:hRule="atLeast"/>
          <w:tblHeader w:val="0"/>
        </w:trPr>
        <w:tc>
          <w:tcPr/>
          <w:p w:rsidR="00000000" w:rsidDel="00000000" w:rsidP="00000000" w:rsidRDefault="00000000" w:rsidRPr="00000000" w14:paraId="0000002F">
            <w:pPr>
              <w:spacing w:after="0" w:lineRule="auto"/>
              <w:rPr>
                <w:sz w:val="20"/>
                <w:szCs w:val="20"/>
              </w:rPr>
            </w:pPr>
            <w:r w:rsidDel="00000000" w:rsidR="00000000" w:rsidRPr="00000000">
              <w:rPr>
                <w:i w:val="1"/>
                <w:sz w:val="20"/>
                <w:szCs w:val="20"/>
                <w:rtl w:val="0"/>
              </w:rPr>
              <w:t xml:space="preserve">Montgomery</w:t>
            </w:r>
            <w:r w:rsidDel="00000000" w:rsidR="00000000" w:rsidRPr="00000000">
              <w:rPr>
                <w:sz w:val="20"/>
                <w:szCs w:val="20"/>
                <w:rtl w:val="0"/>
              </w:rPr>
              <w:t xml:space="preserve"> </w:t>
            </w:r>
            <w:r w:rsidDel="00000000" w:rsidR="00000000" w:rsidRPr="00000000">
              <w:rPr>
                <w:i w:val="1"/>
                <w:sz w:val="20"/>
                <w:szCs w:val="20"/>
                <w:rtl w:val="0"/>
              </w:rPr>
              <w:t xml:space="preserve">v. Louisiana</w:t>
            </w:r>
            <w:r w:rsidDel="00000000" w:rsidR="00000000" w:rsidRPr="00000000">
              <w:rPr>
                <w:sz w:val="20"/>
                <w:szCs w:val="20"/>
                <w:rtl w:val="0"/>
              </w:rPr>
              <w:t xml:space="preserve"> (2016)</w:t>
            </w:r>
          </w:p>
        </w:tc>
        <w:tc>
          <w:tcPr/>
          <w:p w:rsidR="00000000" w:rsidDel="00000000" w:rsidP="00000000" w:rsidRDefault="00000000" w:rsidRPr="00000000" w14:paraId="00000030">
            <w:pPr>
              <w:spacing w:after="0" w:lineRule="auto"/>
              <w:rPr>
                <w:sz w:val="20"/>
                <w:szCs w:val="20"/>
              </w:rPr>
            </w:pPr>
            <w:r w:rsidDel="00000000" w:rsidR="00000000" w:rsidRPr="00000000">
              <w:rPr>
                <w:sz w:val="20"/>
                <w:szCs w:val="20"/>
                <w:rtl w:val="0"/>
              </w:rPr>
              <w:t xml:space="preserve">Also asking Court to consider how culpable a juvenile offender really is, especially given the problems they suffer from</w:t>
            </w:r>
          </w:p>
        </w:tc>
        <w:tc>
          <w:tcPr/>
          <w:p w:rsidR="00000000" w:rsidDel="00000000" w:rsidP="00000000" w:rsidRDefault="00000000" w:rsidRPr="00000000" w14:paraId="00000031">
            <w:pPr>
              <w:spacing w:after="0" w:lineRule="auto"/>
              <w:rPr>
                <w:sz w:val="20"/>
                <w:szCs w:val="20"/>
              </w:rPr>
            </w:pPr>
            <w:r w:rsidDel="00000000" w:rsidR="00000000" w:rsidRPr="00000000">
              <w:rPr>
                <w:sz w:val="20"/>
                <w:szCs w:val="20"/>
                <w:rtl w:val="0"/>
              </w:rPr>
              <w:t xml:space="preserve">Sociological studies by this time show consensus on the many terrible personal and social conditions the vast majority of those given JLWOP experience (e.g., Mallett: learning problems, mental health disorders, substance abuse).</w:t>
            </w:r>
            <w:bookmarkStart w:colFirst="0" w:colLast="0" w:name="bookmark=id.mzsgilcbz5u2" w:id="0"/>
            <w:bookmarkEnd w:id="0"/>
            <w:r w:rsidDel="00000000" w:rsidR="00000000" w:rsidRPr="00000000">
              <w:rPr>
                <w:rtl w:val="0"/>
              </w:rPr>
            </w:r>
          </w:p>
        </w:tc>
      </w:tr>
    </w:tbl>
    <w:p w:rsidR="00000000" w:rsidDel="00000000" w:rsidP="00000000" w:rsidRDefault="00000000" w:rsidRPr="00000000" w14:paraId="00000032">
      <w:pPr>
        <w:spacing w:after="0" w:lineRule="auto"/>
        <w:rPr/>
      </w:pPr>
      <w:r w:rsidDel="00000000" w:rsidR="00000000" w:rsidRPr="00000000">
        <w:rPr>
          <w:rtl w:val="0"/>
        </w:rPr>
        <w:t xml:space="preserve">What does the reverse engineering of Hannah’s case study show? She could have been even more systematic (see my asterisks above) in presenting the information. Her subclaim asserts that she needs to show the development of the legal strategy and its interaction with not only academic studies but also lower court rulings, briefs, and public opinion. I know that given the other requirements in Hannah’s semester-long course, all that was too much to do. Still, when you follow a systematic laying out of the evidence you can see what you have done and what you still have to or should do. For the highest quality, be as systematic and complete as possible.</w:t>
      </w:r>
    </w:p>
    <w:p w:rsidR="00000000" w:rsidDel="00000000" w:rsidP="00000000" w:rsidRDefault="00000000" w:rsidRPr="00000000" w14:paraId="00000033">
      <w:pPr>
        <w:spacing w:after="0" w:line="360" w:lineRule="auto"/>
        <w:rPr/>
      </w:pPr>
      <w:r w:rsidDel="00000000" w:rsidR="00000000" w:rsidRPr="00000000">
        <w:rPr>
          <w:rtl w:val="0"/>
        </w:rPr>
      </w:r>
    </w:p>
    <w:p w:rsidR="00000000" w:rsidDel="00000000" w:rsidP="00000000" w:rsidRDefault="00000000" w:rsidRPr="00000000" w14:paraId="00000034">
      <w:pPr>
        <w:spacing w:after="0" w:line="360" w:lineRule="auto"/>
        <w:rPr/>
      </w:pPr>
      <w:r w:rsidDel="00000000" w:rsidR="00000000" w:rsidRPr="00000000">
        <w:rPr>
          <w:rtl w:val="0"/>
        </w:rPr>
      </w:r>
    </w:p>
    <w:p w:rsidR="00000000" w:rsidDel="00000000" w:rsidP="00000000" w:rsidRDefault="00000000" w:rsidRPr="00000000" w14:paraId="00000035">
      <w:pPr>
        <w:spacing w:after="0" w:lineRule="auto"/>
        <w:rPr>
          <w:sz w:val="28"/>
          <w:szCs w:val="28"/>
        </w:rPr>
      </w:pPr>
      <w:r w:rsidDel="00000000" w:rsidR="00000000" w:rsidRPr="00000000">
        <w:rPr>
          <w:b w:val="1"/>
          <w:sz w:val="28"/>
          <w:szCs w:val="28"/>
          <w:u w:val="single"/>
          <w:rtl w:val="0"/>
        </w:rPr>
        <w:t xml:space="preserve">Hypothesis Testing (Medical Analogy) with Case Studies, Qualitative, Mixed, and Numeric (Nonstatistical) Methods</w:t>
      </w:r>
      <w:r w:rsidDel="00000000" w:rsidR="00000000" w:rsidRPr="00000000">
        <w:rPr>
          <w:rtl w:val="0"/>
        </w:rPr>
      </w:r>
    </w:p>
    <w:p w:rsidR="00000000" w:rsidDel="00000000" w:rsidP="00000000" w:rsidRDefault="00000000" w:rsidRPr="00000000" w14:paraId="00000036">
      <w:pPr>
        <w:spacing w:after="0" w:lineRule="auto"/>
        <w:rPr>
          <w:i w:val="1"/>
        </w:rPr>
      </w:pPr>
      <w:r w:rsidDel="00000000" w:rsidR="00000000" w:rsidRPr="00000000">
        <w:rPr>
          <w:rtl w:val="0"/>
        </w:rPr>
        <w:t xml:space="preserve">Note: If you are not able to use your RD to guide your determination of the values, then you need to rethink your research design. You should be able to walk through the steps as Kevin did to figure out the values of the variable whether they are quantitative or qualitative. </w:t>
      </w:r>
      <w:r w:rsidDel="00000000" w:rsidR="00000000" w:rsidRPr="00000000">
        <w:rPr>
          <w:i w:val="1"/>
          <w:rtl w:val="0"/>
        </w:rPr>
        <w:t xml:space="preserve">See Chapter 8 Table 8.2 for Kevin’s example. (His ultimate calculations are also based on Table 8.1.) </w:t>
      </w:r>
    </w:p>
    <w:tbl>
      <w:tblPr>
        <w:tblStyle w:val="Table3"/>
        <w:tblW w:w="8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3684"/>
        <w:gridCol w:w="3700"/>
        <w:tblGridChange w:id="0">
          <w:tblGrid>
            <w:gridCol w:w="1606"/>
            <w:gridCol w:w="3684"/>
            <w:gridCol w:w="3700"/>
          </w:tblGrid>
        </w:tblGridChange>
      </w:tblGrid>
      <w:tr>
        <w:trPr>
          <w:cantSplit w:val="0"/>
          <w:tblHeader w:val="0"/>
        </w:trPr>
        <w:tc>
          <w:tcPr>
            <w:gridSpan w:val="3"/>
            <w:shd w:fill="auto" w:val="clear"/>
          </w:tcPr>
          <w:p w:rsidR="00000000" w:rsidDel="00000000" w:rsidP="00000000" w:rsidRDefault="00000000" w:rsidRPr="00000000" w14:paraId="00000037">
            <w:pPr>
              <w:spacing w:after="0" w:line="360" w:lineRule="auto"/>
              <w:rPr>
                <w:b w:val="1"/>
              </w:rPr>
            </w:pPr>
            <w:r w:rsidDel="00000000" w:rsidR="00000000" w:rsidRPr="00000000">
              <w:rPr>
                <w:b w:val="1"/>
                <w:rtl w:val="0"/>
              </w:rPr>
              <w:t xml:space="preserve">Hypothesis:  </w:t>
            </w:r>
          </w:p>
        </w:tc>
      </w:tr>
      <w:tr>
        <w:trPr>
          <w:cantSplit w:val="0"/>
          <w:tblHeader w:val="0"/>
        </w:trPr>
        <w:tc>
          <w:tcPr>
            <w:shd w:fill="auto" w:val="clear"/>
          </w:tcPr>
          <w:p w:rsidR="00000000" w:rsidDel="00000000" w:rsidP="00000000" w:rsidRDefault="00000000" w:rsidRPr="00000000" w14:paraId="0000003A">
            <w:pPr>
              <w:spacing w:after="0" w:line="360" w:lineRule="auto"/>
              <w:rPr/>
            </w:pPr>
            <w:r w:rsidDel="00000000" w:rsidR="00000000" w:rsidRPr="00000000">
              <w:rPr>
                <w:rtl w:val="0"/>
              </w:rPr>
              <w:t xml:space="preserve">Variables</w:t>
            </w:r>
          </w:p>
        </w:tc>
        <w:tc>
          <w:tcPr>
            <w:shd w:fill="auto" w:val="clear"/>
          </w:tcPr>
          <w:p w:rsidR="00000000" w:rsidDel="00000000" w:rsidP="00000000" w:rsidRDefault="00000000" w:rsidRPr="00000000" w14:paraId="0000003B">
            <w:pPr>
              <w:spacing w:after="0" w:line="360" w:lineRule="auto"/>
              <w:rPr/>
            </w:pPr>
            <w:r w:rsidDel="00000000" w:rsidR="00000000" w:rsidRPr="00000000">
              <w:rPr>
                <w:rtl w:val="0"/>
              </w:rPr>
              <w:t xml:space="preserve">Case 1: (Provide Name)</w:t>
            </w:r>
          </w:p>
        </w:tc>
        <w:tc>
          <w:tcPr>
            <w:shd w:fill="auto" w:val="clear"/>
          </w:tcPr>
          <w:p w:rsidR="00000000" w:rsidDel="00000000" w:rsidP="00000000" w:rsidRDefault="00000000" w:rsidRPr="00000000" w14:paraId="0000003C">
            <w:pPr>
              <w:spacing w:after="0" w:line="360" w:lineRule="auto"/>
              <w:rPr/>
            </w:pPr>
            <w:r w:rsidDel="00000000" w:rsidR="00000000" w:rsidRPr="00000000">
              <w:rPr>
                <w:rtl w:val="0"/>
              </w:rPr>
              <w:t xml:space="preserve">Case 2: (Provide Name)</w:t>
            </w:r>
          </w:p>
        </w:tc>
      </w:tr>
      <w:tr>
        <w:trPr>
          <w:cantSplit w:val="0"/>
          <w:tblHeader w:val="0"/>
        </w:trPr>
        <w:tc>
          <w:tcPr>
            <w:shd w:fill="auto" w:val="clear"/>
          </w:tcPr>
          <w:p w:rsidR="00000000" w:rsidDel="00000000" w:rsidP="00000000" w:rsidRDefault="00000000" w:rsidRPr="00000000" w14:paraId="0000003D">
            <w:pPr>
              <w:spacing w:after="0" w:lineRule="auto"/>
              <w:rPr>
                <w:sz w:val="20"/>
                <w:szCs w:val="20"/>
              </w:rPr>
            </w:pPr>
            <w:r w:rsidDel="00000000" w:rsidR="00000000" w:rsidRPr="00000000">
              <w:rPr>
                <w:b w:val="1"/>
                <w:sz w:val="20"/>
                <w:szCs w:val="20"/>
                <w:rtl w:val="0"/>
              </w:rPr>
              <w:t xml:space="preserve">Independent Variable 1</w:t>
            </w:r>
            <w:r w:rsidDel="00000000" w:rsidR="00000000" w:rsidRPr="00000000">
              <w:rPr>
                <w:sz w:val="20"/>
                <w:szCs w:val="20"/>
                <w:rtl w:val="0"/>
              </w:rPr>
              <w:t xml:space="preserve"> (Provide Name)</w:t>
            </w:r>
          </w:p>
        </w:tc>
        <w:tc>
          <w:tcPr>
            <w:shd w:fill="auto" w:val="clear"/>
          </w:tcPr>
          <w:p w:rsidR="00000000" w:rsidDel="00000000" w:rsidP="00000000" w:rsidRDefault="00000000" w:rsidRPr="00000000" w14:paraId="0000003E">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3F">
            <w:pPr>
              <w:spacing w:after="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0">
            <w:pPr>
              <w:spacing w:after="0" w:lineRule="auto"/>
              <w:rPr>
                <w:sz w:val="20"/>
                <w:szCs w:val="20"/>
              </w:rPr>
            </w:pPr>
            <w:r w:rsidDel="00000000" w:rsidR="00000000" w:rsidRPr="00000000">
              <w:rPr>
                <w:sz w:val="20"/>
                <w:szCs w:val="20"/>
                <w:rtl w:val="0"/>
              </w:rPr>
              <w:t xml:space="preserve">Indicator 1 (Provide Name)</w:t>
            </w:r>
          </w:p>
        </w:tc>
        <w:tc>
          <w:tcPr>
            <w:shd w:fill="auto" w:val="clear"/>
          </w:tcPr>
          <w:p w:rsidR="00000000" w:rsidDel="00000000" w:rsidP="00000000" w:rsidRDefault="00000000" w:rsidRPr="00000000" w14:paraId="00000041">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42">
            <w:pPr>
              <w:spacing w:after="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3">
            <w:pPr>
              <w:spacing w:after="0" w:lineRule="auto"/>
              <w:rPr>
                <w:sz w:val="20"/>
                <w:szCs w:val="20"/>
              </w:rPr>
            </w:pPr>
            <w:r w:rsidDel="00000000" w:rsidR="00000000" w:rsidRPr="00000000">
              <w:rPr>
                <w:sz w:val="20"/>
                <w:szCs w:val="20"/>
                <w:rtl w:val="0"/>
              </w:rPr>
              <w:t xml:space="preserve">Indicator 2</w:t>
            </w:r>
          </w:p>
          <w:p w:rsidR="00000000" w:rsidDel="00000000" w:rsidP="00000000" w:rsidRDefault="00000000" w:rsidRPr="00000000" w14:paraId="00000044">
            <w:pPr>
              <w:spacing w:after="0" w:lineRule="auto"/>
              <w:rPr>
                <w:sz w:val="20"/>
                <w:szCs w:val="20"/>
              </w:rPr>
            </w:pPr>
            <w:r w:rsidDel="00000000" w:rsidR="00000000" w:rsidRPr="00000000">
              <w:rPr>
                <w:sz w:val="20"/>
                <w:szCs w:val="20"/>
                <w:rtl w:val="0"/>
              </w:rPr>
              <w:t xml:space="preserve">(Provide Name)</w:t>
            </w:r>
          </w:p>
        </w:tc>
        <w:tc>
          <w:tcPr>
            <w:shd w:fill="auto" w:val="clear"/>
          </w:tcPr>
          <w:p w:rsidR="00000000" w:rsidDel="00000000" w:rsidP="00000000" w:rsidRDefault="00000000" w:rsidRPr="00000000" w14:paraId="00000045">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46">
            <w:pPr>
              <w:spacing w:after="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7">
            <w:pPr>
              <w:spacing w:after="0" w:lineRule="auto"/>
              <w:rPr>
                <w:sz w:val="20"/>
                <w:szCs w:val="20"/>
              </w:rPr>
            </w:pPr>
            <w:r w:rsidDel="00000000" w:rsidR="00000000" w:rsidRPr="00000000">
              <w:rPr>
                <w:sz w:val="20"/>
                <w:szCs w:val="20"/>
                <w:rtl w:val="0"/>
              </w:rPr>
              <w:t xml:space="preserve">Indicator 3</w:t>
            </w:r>
          </w:p>
          <w:p w:rsidR="00000000" w:rsidDel="00000000" w:rsidP="00000000" w:rsidRDefault="00000000" w:rsidRPr="00000000" w14:paraId="00000048">
            <w:pPr>
              <w:spacing w:after="0" w:lineRule="auto"/>
              <w:rPr>
                <w:sz w:val="20"/>
                <w:szCs w:val="20"/>
              </w:rPr>
            </w:pPr>
            <w:r w:rsidDel="00000000" w:rsidR="00000000" w:rsidRPr="00000000">
              <w:rPr>
                <w:sz w:val="20"/>
                <w:szCs w:val="20"/>
                <w:rtl w:val="0"/>
              </w:rPr>
              <w:t xml:space="preserve">(Provide Name)</w:t>
            </w:r>
          </w:p>
        </w:tc>
        <w:tc>
          <w:tcPr>
            <w:shd w:fill="auto" w:val="clear"/>
          </w:tcPr>
          <w:p w:rsidR="00000000" w:rsidDel="00000000" w:rsidP="00000000" w:rsidRDefault="00000000" w:rsidRPr="00000000" w14:paraId="00000049">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4A">
            <w:pPr>
              <w:spacing w:after="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Rule="auto"/>
              <w:rPr>
                <w:sz w:val="20"/>
                <w:szCs w:val="20"/>
              </w:rPr>
            </w:pPr>
            <w:r w:rsidDel="00000000" w:rsidR="00000000" w:rsidRPr="00000000">
              <w:rPr>
                <w:b w:val="1"/>
                <w:sz w:val="20"/>
                <w:szCs w:val="20"/>
                <w:rtl w:val="0"/>
              </w:rPr>
              <w:t xml:space="preserve">Composite value</w:t>
            </w:r>
            <w:r w:rsidDel="00000000" w:rsidR="00000000" w:rsidRPr="00000000">
              <w:rPr>
                <w:sz w:val="20"/>
                <w:szCs w:val="20"/>
                <w:rtl w:val="0"/>
              </w:rPr>
              <w:t xml:space="preserve"> (when you “add up” all your indicators, what is your “sum*?”)</w:t>
            </w:r>
          </w:p>
        </w:tc>
        <w:tc>
          <w:tcPr>
            <w:shd w:fill="auto" w:val="clear"/>
          </w:tcPr>
          <w:p w:rsidR="00000000" w:rsidDel="00000000" w:rsidP="00000000" w:rsidRDefault="00000000" w:rsidRPr="00000000" w14:paraId="0000004C">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4D">
            <w:pPr>
              <w:spacing w:after="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after="0" w:lineRule="auto"/>
              <w:rPr>
                <w:sz w:val="20"/>
                <w:szCs w:val="20"/>
              </w:rPr>
            </w:pPr>
            <w:r w:rsidDel="00000000" w:rsidR="00000000" w:rsidRPr="00000000">
              <w:rPr>
                <w:b w:val="1"/>
                <w:sz w:val="20"/>
                <w:szCs w:val="20"/>
                <w:rtl w:val="0"/>
              </w:rPr>
              <w:t xml:space="preserve">Dependent Variable</w:t>
            </w:r>
            <w:r w:rsidDel="00000000" w:rsidR="00000000" w:rsidRPr="00000000">
              <w:rPr>
                <w:sz w:val="20"/>
                <w:szCs w:val="20"/>
                <w:rtl w:val="0"/>
              </w:rPr>
              <w:t xml:space="preserve"> (Provide Name)</w:t>
            </w:r>
          </w:p>
        </w:tc>
        <w:tc>
          <w:tcPr>
            <w:shd w:fill="auto" w:val="clear"/>
          </w:tcPr>
          <w:p w:rsidR="00000000" w:rsidDel="00000000" w:rsidP="00000000" w:rsidRDefault="00000000" w:rsidRPr="00000000" w14:paraId="0000004F">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50">
            <w:pPr>
              <w:spacing w:after="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Rule="auto"/>
              <w:rPr>
                <w:sz w:val="20"/>
                <w:szCs w:val="20"/>
              </w:rPr>
            </w:pPr>
            <w:r w:rsidDel="00000000" w:rsidR="00000000" w:rsidRPr="00000000">
              <w:rPr>
                <w:sz w:val="20"/>
                <w:szCs w:val="20"/>
                <w:rtl w:val="0"/>
              </w:rPr>
              <w:t xml:space="preserve">Indicator 1 (Provide Name)</w:t>
            </w:r>
          </w:p>
        </w:tc>
        <w:tc>
          <w:tcPr>
            <w:shd w:fill="auto" w:val="clear"/>
          </w:tcPr>
          <w:p w:rsidR="00000000" w:rsidDel="00000000" w:rsidP="00000000" w:rsidRDefault="00000000" w:rsidRPr="00000000" w14:paraId="00000052">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53">
            <w:pPr>
              <w:spacing w:after="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after="0" w:lineRule="auto"/>
              <w:rPr>
                <w:sz w:val="20"/>
                <w:szCs w:val="20"/>
              </w:rPr>
            </w:pPr>
            <w:r w:rsidDel="00000000" w:rsidR="00000000" w:rsidRPr="00000000">
              <w:rPr>
                <w:sz w:val="20"/>
                <w:szCs w:val="20"/>
                <w:rtl w:val="0"/>
              </w:rPr>
              <w:t xml:space="preserve">Indicator 2</w:t>
            </w:r>
          </w:p>
          <w:p w:rsidR="00000000" w:rsidDel="00000000" w:rsidP="00000000" w:rsidRDefault="00000000" w:rsidRPr="00000000" w14:paraId="00000055">
            <w:pPr>
              <w:spacing w:after="0" w:lineRule="auto"/>
              <w:rPr>
                <w:sz w:val="20"/>
                <w:szCs w:val="20"/>
              </w:rPr>
            </w:pPr>
            <w:r w:rsidDel="00000000" w:rsidR="00000000" w:rsidRPr="00000000">
              <w:rPr>
                <w:sz w:val="20"/>
                <w:szCs w:val="20"/>
                <w:rtl w:val="0"/>
              </w:rPr>
              <w:t xml:space="preserve">(Provide Name)</w:t>
            </w:r>
          </w:p>
        </w:tc>
        <w:tc>
          <w:tcPr>
            <w:shd w:fill="auto" w:val="clear"/>
          </w:tcPr>
          <w:p w:rsidR="00000000" w:rsidDel="00000000" w:rsidP="00000000" w:rsidRDefault="00000000" w:rsidRPr="00000000" w14:paraId="00000056">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57">
            <w:pPr>
              <w:spacing w:after="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8">
            <w:pPr>
              <w:spacing w:after="0" w:lineRule="auto"/>
              <w:rPr>
                <w:sz w:val="20"/>
                <w:szCs w:val="20"/>
              </w:rPr>
            </w:pPr>
            <w:r w:rsidDel="00000000" w:rsidR="00000000" w:rsidRPr="00000000">
              <w:rPr>
                <w:sz w:val="20"/>
                <w:szCs w:val="20"/>
                <w:rtl w:val="0"/>
              </w:rPr>
              <w:t xml:space="preserve">Indicator 3</w:t>
            </w:r>
          </w:p>
          <w:p w:rsidR="00000000" w:rsidDel="00000000" w:rsidP="00000000" w:rsidRDefault="00000000" w:rsidRPr="00000000" w14:paraId="00000059">
            <w:pPr>
              <w:spacing w:after="0" w:lineRule="auto"/>
              <w:rPr>
                <w:sz w:val="20"/>
                <w:szCs w:val="20"/>
              </w:rPr>
            </w:pPr>
            <w:r w:rsidDel="00000000" w:rsidR="00000000" w:rsidRPr="00000000">
              <w:rPr>
                <w:sz w:val="20"/>
                <w:szCs w:val="20"/>
                <w:rtl w:val="0"/>
              </w:rPr>
              <w:t xml:space="preserve">(Provide Name)</w:t>
            </w:r>
          </w:p>
        </w:tc>
        <w:tc>
          <w:tcPr>
            <w:shd w:fill="auto" w:val="clear"/>
          </w:tcPr>
          <w:p w:rsidR="00000000" w:rsidDel="00000000" w:rsidP="00000000" w:rsidRDefault="00000000" w:rsidRPr="00000000" w14:paraId="0000005A">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5B">
            <w:pPr>
              <w:spacing w:after="0" w:lineRule="auto"/>
              <w:rPr>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C">
            <w:pPr>
              <w:spacing w:after="0" w:lineRule="auto"/>
              <w:rPr>
                <w:sz w:val="20"/>
                <w:szCs w:val="20"/>
              </w:rPr>
            </w:pPr>
            <w:r w:rsidDel="00000000" w:rsidR="00000000" w:rsidRPr="00000000">
              <w:rPr>
                <w:b w:val="1"/>
                <w:sz w:val="20"/>
                <w:szCs w:val="20"/>
                <w:rtl w:val="0"/>
              </w:rPr>
              <w:t xml:space="preserve">Composite value</w:t>
            </w:r>
            <w:r w:rsidDel="00000000" w:rsidR="00000000" w:rsidRPr="00000000">
              <w:rPr>
                <w:sz w:val="20"/>
                <w:szCs w:val="20"/>
                <w:rtl w:val="0"/>
              </w:rPr>
              <w:t xml:space="preserve"> (when you “add up” all your indicators, what is your “sum*?”)</w:t>
            </w:r>
          </w:p>
        </w:tc>
        <w:tc>
          <w:tcPr>
            <w:shd w:fill="auto" w:val="clear"/>
          </w:tcPr>
          <w:p w:rsidR="00000000" w:rsidDel="00000000" w:rsidP="00000000" w:rsidRDefault="00000000" w:rsidRPr="00000000" w14:paraId="0000005D">
            <w:pPr>
              <w:spacing w:after="0"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05E">
            <w:pPr>
              <w:spacing w:after="0" w:lineRule="auto"/>
              <w:rPr>
                <w:sz w:val="20"/>
                <w:szCs w:val="20"/>
              </w:rPr>
            </w:pPr>
            <w:r w:rsidDel="00000000" w:rsidR="00000000" w:rsidRPr="00000000">
              <w:rPr>
                <w:rtl w:val="0"/>
              </w:rPr>
            </w:r>
          </w:p>
        </w:tc>
      </w:tr>
    </w:tbl>
    <w:p w:rsidR="00000000" w:rsidDel="00000000" w:rsidP="00000000" w:rsidRDefault="00000000" w:rsidRPr="00000000" w14:paraId="0000005F">
      <w:pPr>
        <w:spacing w:after="0" w:lineRule="auto"/>
        <w:rPr>
          <w:i w:val="1"/>
          <w:sz w:val="20"/>
          <w:szCs w:val="20"/>
        </w:rPr>
      </w:pPr>
      <w:r w:rsidDel="00000000" w:rsidR="00000000" w:rsidRPr="00000000">
        <w:rPr>
          <w:i w:val="1"/>
          <w:sz w:val="20"/>
          <w:szCs w:val="20"/>
          <w:rtl w:val="0"/>
        </w:rPr>
        <w:t xml:space="preserve">Remember: you might take the balance of quantitative and qualitative measures here. Moreover, “adding up” doesn’t have to mean literally “adding.” Again, see Kevin’s discussion in Chapter 8, mixed methods as an example.</w:t>
      </w:r>
    </w:p>
    <w:p w:rsidR="00000000" w:rsidDel="00000000" w:rsidP="00000000" w:rsidRDefault="00000000" w:rsidRPr="00000000" w14:paraId="00000060">
      <w:pPr>
        <w:spacing w:after="0" w:lineRule="auto"/>
        <w:rPr>
          <w:b w:val="1"/>
          <w:sz w:val="28"/>
          <w:szCs w:val="28"/>
          <w:u w:val="single"/>
        </w:rPr>
      </w:pPr>
      <w:r w:rsidDel="00000000" w:rsidR="00000000" w:rsidRPr="00000000">
        <w:rPr>
          <w:rtl w:val="0"/>
        </w:rPr>
      </w:r>
    </w:p>
    <w:p w:rsidR="00000000" w:rsidDel="00000000" w:rsidP="00000000" w:rsidRDefault="00000000" w:rsidRPr="00000000" w14:paraId="00000061">
      <w:pPr>
        <w:spacing w:after="0" w:lineRule="auto"/>
        <w:rPr>
          <w:b w:val="1"/>
          <w:sz w:val="28"/>
          <w:szCs w:val="28"/>
          <w:u w:val="single"/>
        </w:rPr>
      </w:pPr>
      <w:r w:rsidDel="00000000" w:rsidR="00000000" w:rsidRPr="00000000">
        <w:rPr>
          <w:rtl w:val="0"/>
        </w:rPr>
      </w:r>
    </w:p>
    <w:p w:rsidR="00000000" w:rsidDel="00000000" w:rsidP="00000000" w:rsidRDefault="00000000" w:rsidRPr="00000000" w14:paraId="00000062">
      <w:pPr>
        <w:spacing w:after="0" w:lineRule="auto"/>
        <w:rPr>
          <w:b w:val="1"/>
          <w:sz w:val="28"/>
          <w:szCs w:val="28"/>
        </w:rPr>
      </w:pPr>
      <w:r w:rsidDel="00000000" w:rsidR="00000000" w:rsidRPr="00000000">
        <w:rPr>
          <w:b w:val="1"/>
          <w:sz w:val="28"/>
          <w:szCs w:val="28"/>
          <w:u w:val="single"/>
          <w:rtl w:val="0"/>
        </w:rPr>
        <w:t xml:space="preserve">Hypothesis Testing (Medical Analogy) with Statistical Methods</w:t>
      </w:r>
      <w:r w:rsidDel="00000000" w:rsidR="00000000" w:rsidRPr="00000000">
        <w:rPr>
          <w:b w:val="1"/>
          <w:sz w:val="28"/>
          <w:szCs w:val="28"/>
          <w:rtl w:val="0"/>
        </w:rPr>
        <w:t xml:space="preserve"> </w:t>
      </w:r>
    </w:p>
    <w:p w:rsidR="00000000" w:rsidDel="00000000" w:rsidP="00000000" w:rsidRDefault="00000000" w:rsidRPr="00000000" w14:paraId="00000063">
      <w:pPr>
        <w:spacing w:after="0" w:lineRule="auto"/>
        <w:rPr/>
      </w:pPr>
      <w:r w:rsidDel="00000000" w:rsidR="00000000" w:rsidRPr="00000000">
        <w:rPr>
          <w:rtl w:val="0"/>
        </w:rPr>
        <w:t xml:space="preserve">Assuming you are using SPSS, you will be better served to store these data in an Excel file because it interfaces nicely with that package, but to be able to show the two charts together here, I have done it in Word. I am assuming that you have two indicators (Ind 1 and Ind 2) for both your independent and dependent variables, and then some formula for calculating each composite. You will adjust this table as necessary (i.e., perhaps you have three indicators for your IV, or only one for your DV), and, again, Excel is a great tool for making those intermediate calculations for you. Then, you would use the composite columns in SPSS to make your calculations, but this table would be nice for you to present your reader so that she/he could see exactly what you had done.</w:t>
      </w:r>
    </w:p>
    <w:p w:rsidR="00000000" w:rsidDel="00000000" w:rsidP="00000000" w:rsidRDefault="00000000" w:rsidRPr="00000000" w14:paraId="00000064">
      <w:pPr>
        <w:spacing w:after="0" w:lineRule="auto"/>
        <w:rPr/>
      </w:pPr>
      <w:r w:rsidDel="00000000" w:rsidR="00000000" w:rsidRPr="00000000">
        <w:rPr>
          <w:rtl w:val="0"/>
        </w:rPr>
      </w:r>
    </w:p>
    <w:tbl>
      <w:tblPr>
        <w:tblStyle w:val="Table4"/>
        <w:tblW w:w="895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6"/>
        <w:gridCol w:w="1135"/>
        <w:gridCol w:w="1135"/>
        <w:gridCol w:w="1378"/>
        <w:gridCol w:w="1054"/>
        <w:gridCol w:w="1054"/>
        <w:gridCol w:w="1638"/>
        <w:tblGridChange w:id="0">
          <w:tblGrid>
            <w:gridCol w:w="1556"/>
            <w:gridCol w:w="1135"/>
            <w:gridCol w:w="1135"/>
            <w:gridCol w:w="1378"/>
            <w:gridCol w:w="1054"/>
            <w:gridCol w:w="1054"/>
            <w:gridCol w:w="1638"/>
          </w:tblGrid>
        </w:tblGridChange>
      </w:tblGrid>
      <w:tr>
        <w:trPr>
          <w:cantSplit w:val="0"/>
          <w:tblHeader w:val="0"/>
        </w:trPr>
        <w:tc>
          <w:tcPr>
            <w:gridSpan w:val="7"/>
            <w:shd w:fill="auto" w:val="clear"/>
          </w:tcPr>
          <w:p w:rsidR="00000000" w:rsidDel="00000000" w:rsidP="00000000" w:rsidRDefault="00000000" w:rsidRPr="00000000" w14:paraId="00000065">
            <w:pPr>
              <w:spacing w:after="0" w:lineRule="auto"/>
              <w:rPr>
                <w:b w:val="1"/>
              </w:rPr>
            </w:pPr>
            <w:r w:rsidDel="00000000" w:rsidR="00000000" w:rsidRPr="00000000">
              <w:rPr>
                <w:b w:val="1"/>
                <w:rtl w:val="0"/>
              </w:rPr>
              <w:t xml:space="preserve">Hypothesis:  </w:t>
            </w:r>
          </w:p>
        </w:tc>
      </w:tr>
      <w:tr>
        <w:trPr>
          <w:cantSplit w:val="0"/>
          <w:tblHeader w:val="0"/>
        </w:trPr>
        <w:tc>
          <w:tcPr>
            <w:shd w:fill="auto" w:val="clear"/>
          </w:tcPr>
          <w:p w:rsidR="00000000" w:rsidDel="00000000" w:rsidP="00000000" w:rsidRDefault="00000000" w:rsidRPr="00000000" w14:paraId="0000006C">
            <w:pPr>
              <w:spacing w:after="0" w:lineRule="auto"/>
              <w:rPr/>
            </w:pPr>
            <w:r w:rsidDel="00000000" w:rsidR="00000000" w:rsidRPr="00000000">
              <w:rPr>
                <w:rtl w:val="0"/>
              </w:rPr>
            </w:r>
          </w:p>
        </w:tc>
        <w:tc>
          <w:tcPr>
            <w:gridSpan w:val="3"/>
            <w:shd w:fill="auto" w:val="clear"/>
          </w:tcPr>
          <w:p w:rsidR="00000000" w:rsidDel="00000000" w:rsidP="00000000" w:rsidRDefault="00000000" w:rsidRPr="00000000" w14:paraId="0000006D">
            <w:pPr>
              <w:spacing w:after="0" w:lineRule="auto"/>
              <w:jc w:val="center"/>
              <w:rPr/>
            </w:pPr>
            <w:r w:rsidDel="00000000" w:rsidR="00000000" w:rsidRPr="00000000">
              <w:rPr>
                <w:rtl w:val="0"/>
              </w:rPr>
              <w:t xml:space="preserve">Independent Variable (IV)</w:t>
            </w:r>
          </w:p>
        </w:tc>
        <w:tc>
          <w:tcPr>
            <w:gridSpan w:val="3"/>
            <w:shd w:fill="auto" w:val="clear"/>
          </w:tcPr>
          <w:p w:rsidR="00000000" w:rsidDel="00000000" w:rsidP="00000000" w:rsidRDefault="00000000" w:rsidRPr="00000000" w14:paraId="00000070">
            <w:pPr>
              <w:spacing w:after="0" w:lineRule="auto"/>
              <w:jc w:val="center"/>
              <w:rPr/>
            </w:pPr>
            <w:r w:rsidDel="00000000" w:rsidR="00000000" w:rsidRPr="00000000">
              <w:rPr>
                <w:rtl w:val="0"/>
              </w:rPr>
              <w:t xml:space="preserve">Dependent Variable (DV)</w:t>
            </w:r>
          </w:p>
        </w:tc>
      </w:tr>
      <w:tr>
        <w:trPr>
          <w:cantSplit w:val="0"/>
          <w:tblHeader w:val="0"/>
        </w:trPr>
        <w:tc>
          <w:tcPr>
            <w:shd w:fill="auto" w:val="clear"/>
          </w:tcPr>
          <w:p w:rsidR="00000000" w:rsidDel="00000000" w:rsidP="00000000" w:rsidRDefault="00000000" w:rsidRPr="00000000" w14:paraId="00000073">
            <w:pPr>
              <w:rPr/>
            </w:pPr>
            <w:r w:rsidDel="00000000" w:rsidR="00000000" w:rsidRPr="00000000">
              <w:rPr>
                <w:rtl w:val="0"/>
              </w:rPr>
              <w:t xml:space="preserve">Case</w:t>
            </w:r>
          </w:p>
        </w:tc>
        <w:tc>
          <w:tcPr>
            <w:shd w:fill="auto" w:val="clear"/>
          </w:tcPr>
          <w:p w:rsidR="00000000" w:rsidDel="00000000" w:rsidP="00000000" w:rsidRDefault="00000000" w:rsidRPr="00000000" w14:paraId="00000074">
            <w:pPr>
              <w:spacing w:after="0" w:lineRule="auto"/>
              <w:jc w:val="center"/>
              <w:rPr/>
            </w:pPr>
            <w:r w:rsidDel="00000000" w:rsidR="00000000" w:rsidRPr="00000000">
              <w:rPr>
                <w:rtl w:val="0"/>
              </w:rPr>
              <w:t xml:space="preserve">IV, Ind 1</w:t>
            </w:r>
          </w:p>
        </w:tc>
        <w:tc>
          <w:tcPr>
            <w:shd w:fill="auto" w:val="clear"/>
          </w:tcPr>
          <w:p w:rsidR="00000000" w:rsidDel="00000000" w:rsidP="00000000" w:rsidRDefault="00000000" w:rsidRPr="00000000" w14:paraId="00000075">
            <w:pPr>
              <w:spacing w:after="0" w:lineRule="auto"/>
              <w:jc w:val="center"/>
              <w:rPr/>
            </w:pPr>
            <w:r w:rsidDel="00000000" w:rsidR="00000000" w:rsidRPr="00000000">
              <w:rPr>
                <w:rtl w:val="0"/>
              </w:rPr>
              <w:t xml:space="preserve">IV, Ind 2</w:t>
            </w:r>
          </w:p>
        </w:tc>
        <w:tc>
          <w:tcPr>
            <w:shd w:fill="auto" w:val="clear"/>
          </w:tcPr>
          <w:p w:rsidR="00000000" w:rsidDel="00000000" w:rsidP="00000000" w:rsidRDefault="00000000" w:rsidRPr="00000000" w14:paraId="00000076">
            <w:pPr>
              <w:spacing w:after="0" w:lineRule="auto"/>
              <w:jc w:val="center"/>
              <w:rPr/>
            </w:pPr>
            <w:r w:rsidDel="00000000" w:rsidR="00000000" w:rsidRPr="00000000">
              <w:rPr>
                <w:rtl w:val="0"/>
              </w:rPr>
              <w:t xml:space="preserve">IV Composite Score</w:t>
            </w:r>
          </w:p>
        </w:tc>
        <w:tc>
          <w:tcPr>
            <w:shd w:fill="auto" w:val="clear"/>
          </w:tcPr>
          <w:p w:rsidR="00000000" w:rsidDel="00000000" w:rsidP="00000000" w:rsidRDefault="00000000" w:rsidRPr="00000000" w14:paraId="00000077">
            <w:pPr>
              <w:spacing w:after="0" w:lineRule="auto"/>
              <w:jc w:val="center"/>
              <w:rPr/>
            </w:pPr>
            <w:r w:rsidDel="00000000" w:rsidR="00000000" w:rsidRPr="00000000">
              <w:rPr>
                <w:rtl w:val="0"/>
              </w:rPr>
              <w:t xml:space="preserve">DV, Ind 1</w:t>
            </w:r>
          </w:p>
        </w:tc>
        <w:tc>
          <w:tcPr>
            <w:shd w:fill="auto" w:val="clear"/>
          </w:tcPr>
          <w:p w:rsidR="00000000" w:rsidDel="00000000" w:rsidP="00000000" w:rsidRDefault="00000000" w:rsidRPr="00000000" w14:paraId="00000078">
            <w:pPr>
              <w:spacing w:after="0" w:lineRule="auto"/>
              <w:jc w:val="center"/>
              <w:rPr/>
            </w:pPr>
            <w:r w:rsidDel="00000000" w:rsidR="00000000" w:rsidRPr="00000000">
              <w:rPr>
                <w:rtl w:val="0"/>
              </w:rPr>
              <w:t xml:space="preserve">DV, Ind 2</w:t>
            </w:r>
          </w:p>
        </w:tc>
        <w:tc>
          <w:tcPr>
            <w:shd w:fill="auto" w:val="clear"/>
          </w:tcPr>
          <w:p w:rsidR="00000000" w:rsidDel="00000000" w:rsidP="00000000" w:rsidRDefault="00000000" w:rsidRPr="00000000" w14:paraId="00000079">
            <w:pPr>
              <w:spacing w:after="0" w:lineRule="auto"/>
              <w:jc w:val="center"/>
              <w:rPr/>
            </w:pPr>
            <w:r w:rsidDel="00000000" w:rsidR="00000000" w:rsidRPr="00000000">
              <w:rPr>
                <w:rtl w:val="0"/>
              </w:rPr>
              <w:t xml:space="preserve">DV Composite Score</w:t>
            </w:r>
          </w:p>
        </w:tc>
      </w:tr>
      <w:tr>
        <w:trPr>
          <w:cantSplit w:val="0"/>
          <w:tblHeader w:val="0"/>
        </w:trPr>
        <w:tc>
          <w:tcPr>
            <w:shd w:fill="auto" w:val="clear"/>
          </w:tcPr>
          <w:p w:rsidR="00000000" w:rsidDel="00000000" w:rsidP="00000000" w:rsidRDefault="00000000" w:rsidRPr="00000000" w14:paraId="0000007A">
            <w:pPr>
              <w:rPr/>
            </w:pPr>
            <w:r w:rsidDel="00000000" w:rsidR="00000000" w:rsidRPr="00000000">
              <w:rPr>
                <w:rtl w:val="0"/>
              </w:rPr>
            </w:r>
          </w:p>
        </w:tc>
        <w:tc>
          <w:tcPr>
            <w:shd w:fill="auto" w:val="clear"/>
          </w:tcPr>
          <w:p w:rsidR="00000000" w:rsidDel="00000000" w:rsidP="00000000" w:rsidRDefault="00000000" w:rsidRPr="00000000" w14:paraId="0000007B">
            <w:pPr>
              <w:rPr/>
            </w:pPr>
            <w:r w:rsidDel="00000000" w:rsidR="00000000" w:rsidRPr="00000000">
              <w:rPr>
                <w:rtl w:val="0"/>
              </w:rPr>
            </w:r>
          </w:p>
        </w:tc>
        <w:tc>
          <w:tcPr>
            <w:shd w:fill="auto" w:val="clear"/>
          </w:tcPr>
          <w:p w:rsidR="00000000" w:rsidDel="00000000" w:rsidP="00000000" w:rsidRDefault="00000000" w:rsidRPr="00000000" w14:paraId="0000007C">
            <w:pPr>
              <w:rPr/>
            </w:pPr>
            <w:r w:rsidDel="00000000" w:rsidR="00000000" w:rsidRPr="00000000">
              <w:rPr>
                <w:rtl w:val="0"/>
              </w:rPr>
            </w:r>
          </w:p>
        </w:tc>
        <w:tc>
          <w:tcPr>
            <w:shd w:fill="auto" w:val="clear"/>
          </w:tcPr>
          <w:p w:rsidR="00000000" w:rsidDel="00000000" w:rsidP="00000000" w:rsidRDefault="00000000" w:rsidRPr="00000000" w14:paraId="0000007D">
            <w:pPr>
              <w:rPr/>
            </w:pPr>
            <w:r w:rsidDel="00000000" w:rsidR="00000000" w:rsidRPr="00000000">
              <w:rPr>
                <w:rtl w:val="0"/>
              </w:rPr>
            </w:r>
          </w:p>
        </w:tc>
        <w:tc>
          <w:tcPr>
            <w:shd w:fill="auto" w:val="clear"/>
          </w:tcPr>
          <w:p w:rsidR="00000000" w:rsidDel="00000000" w:rsidP="00000000" w:rsidRDefault="00000000" w:rsidRPr="00000000" w14:paraId="0000007E">
            <w:pPr>
              <w:rPr/>
            </w:pPr>
            <w:r w:rsidDel="00000000" w:rsidR="00000000" w:rsidRPr="00000000">
              <w:rPr>
                <w:rtl w:val="0"/>
              </w:rPr>
            </w:r>
          </w:p>
        </w:tc>
        <w:tc>
          <w:tcPr>
            <w:shd w:fill="auto" w:val="clear"/>
          </w:tcPr>
          <w:p w:rsidR="00000000" w:rsidDel="00000000" w:rsidP="00000000" w:rsidRDefault="00000000" w:rsidRPr="00000000" w14:paraId="0000007F">
            <w:pPr>
              <w:rPr/>
            </w:pPr>
            <w:r w:rsidDel="00000000" w:rsidR="00000000" w:rsidRPr="00000000">
              <w:rPr>
                <w:rtl w:val="0"/>
              </w:rPr>
            </w:r>
          </w:p>
        </w:tc>
        <w:tc>
          <w:tcPr>
            <w:shd w:fill="auto" w:val="clear"/>
          </w:tcPr>
          <w:p w:rsidR="00000000" w:rsidDel="00000000" w:rsidP="00000000" w:rsidRDefault="00000000" w:rsidRPr="00000000" w14:paraId="00000080">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rPr/>
            </w:pPr>
            <w:r w:rsidDel="00000000" w:rsidR="00000000" w:rsidRPr="00000000">
              <w:rPr>
                <w:rtl w:val="0"/>
              </w:rPr>
            </w:r>
          </w:p>
        </w:tc>
        <w:tc>
          <w:tcPr>
            <w:shd w:fill="auto" w:val="clear"/>
          </w:tcPr>
          <w:p w:rsidR="00000000" w:rsidDel="00000000" w:rsidP="00000000" w:rsidRDefault="00000000" w:rsidRPr="00000000" w14:paraId="00000082">
            <w:pPr>
              <w:rPr/>
            </w:pPr>
            <w:r w:rsidDel="00000000" w:rsidR="00000000" w:rsidRPr="00000000">
              <w:rPr>
                <w:rtl w:val="0"/>
              </w:rPr>
            </w:r>
          </w:p>
        </w:tc>
        <w:tc>
          <w:tcPr>
            <w:shd w:fill="auto" w:val="clear"/>
          </w:tcPr>
          <w:p w:rsidR="00000000" w:rsidDel="00000000" w:rsidP="00000000" w:rsidRDefault="00000000" w:rsidRPr="00000000" w14:paraId="00000083">
            <w:pPr>
              <w:rPr/>
            </w:pPr>
            <w:r w:rsidDel="00000000" w:rsidR="00000000" w:rsidRPr="00000000">
              <w:rPr>
                <w:rtl w:val="0"/>
              </w:rPr>
            </w:r>
          </w:p>
        </w:tc>
        <w:tc>
          <w:tcPr>
            <w:shd w:fill="auto" w:val="clear"/>
          </w:tcPr>
          <w:p w:rsidR="00000000" w:rsidDel="00000000" w:rsidP="00000000" w:rsidRDefault="00000000" w:rsidRPr="00000000" w14:paraId="00000084">
            <w:pPr>
              <w:rPr/>
            </w:pPr>
            <w:r w:rsidDel="00000000" w:rsidR="00000000" w:rsidRPr="00000000">
              <w:rPr>
                <w:rtl w:val="0"/>
              </w:rPr>
            </w:r>
          </w:p>
        </w:tc>
        <w:tc>
          <w:tcPr>
            <w:shd w:fill="auto" w:val="clear"/>
          </w:tcPr>
          <w:p w:rsidR="00000000" w:rsidDel="00000000" w:rsidP="00000000" w:rsidRDefault="00000000" w:rsidRPr="00000000" w14:paraId="00000085">
            <w:pPr>
              <w:rPr/>
            </w:pPr>
            <w:r w:rsidDel="00000000" w:rsidR="00000000" w:rsidRPr="00000000">
              <w:rPr>
                <w:rtl w:val="0"/>
              </w:rPr>
            </w:r>
          </w:p>
        </w:tc>
        <w:tc>
          <w:tcPr>
            <w:shd w:fill="auto" w:val="clear"/>
          </w:tcPr>
          <w:p w:rsidR="00000000" w:rsidDel="00000000" w:rsidP="00000000" w:rsidRDefault="00000000" w:rsidRPr="00000000" w14:paraId="00000086">
            <w:pPr>
              <w:rPr/>
            </w:pPr>
            <w:r w:rsidDel="00000000" w:rsidR="00000000" w:rsidRPr="00000000">
              <w:rPr>
                <w:rtl w:val="0"/>
              </w:rPr>
            </w:r>
          </w:p>
        </w:tc>
        <w:tc>
          <w:tcPr>
            <w:shd w:fill="auto" w:val="clear"/>
          </w:tcPr>
          <w:p w:rsidR="00000000" w:rsidDel="00000000" w:rsidP="00000000" w:rsidRDefault="00000000" w:rsidRPr="00000000" w14:paraId="00000087">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8">
            <w:pPr>
              <w:rPr/>
            </w:pPr>
            <w:r w:rsidDel="00000000" w:rsidR="00000000" w:rsidRPr="00000000">
              <w:rPr>
                <w:rtl w:val="0"/>
              </w:rPr>
            </w:r>
          </w:p>
        </w:tc>
        <w:tc>
          <w:tcPr>
            <w:shd w:fill="auto" w:val="clear"/>
          </w:tcPr>
          <w:p w:rsidR="00000000" w:rsidDel="00000000" w:rsidP="00000000" w:rsidRDefault="00000000" w:rsidRPr="00000000" w14:paraId="00000089">
            <w:pPr>
              <w:rPr/>
            </w:pPr>
            <w:r w:rsidDel="00000000" w:rsidR="00000000" w:rsidRPr="00000000">
              <w:rPr>
                <w:rtl w:val="0"/>
              </w:rPr>
            </w:r>
          </w:p>
        </w:tc>
        <w:tc>
          <w:tcPr>
            <w:shd w:fill="auto" w:val="clear"/>
          </w:tcPr>
          <w:p w:rsidR="00000000" w:rsidDel="00000000" w:rsidP="00000000" w:rsidRDefault="00000000" w:rsidRPr="00000000" w14:paraId="0000008A">
            <w:pPr>
              <w:rPr/>
            </w:pPr>
            <w:r w:rsidDel="00000000" w:rsidR="00000000" w:rsidRPr="00000000">
              <w:rPr>
                <w:rtl w:val="0"/>
              </w:rPr>
            </w:r>
          </w:p>
        </w:tc>
        <w:tc>
          <w:tcPr>
            <w:shd w:fill="auto" w:val="clear"/>
          </w:tcPr>
          <w:p w:rsidR="00000000" w:rsidDel="00000000" w:rsidP="00000000" w:rsidRDefault="00000000" w:rsidRPr="00000000" w14:paraId="0000008B">
            <w:pPr>
              <w:rPr/>
            </w:pPr>
            <w:r w:rsidDel="00000000" w:rsidR="00000000" w:rsidRPr="00000000">
              <w:rPr>
                <w:rtl w:val="0"/>
              </w:rPr>
            </w:r>
          </w:p>
        </w:tc>
        <w:tc>
          <w:tcPr>
            <w:shd w:fill="auto" w:val="clear"/>
          </w:tcPr>
          <w:p w:rsidR="00000000" w:rsidDel="00000000" w:rsidP="00000000" w:rsidRDefault="00000000" w:rsidRPr="00000000" w14:paraId="0000008C">
            <w:pPr>
              <w:rPr/>
            </w:pPr>
            <w:r w:rsidDel="00000000" w:rsidR="00000000" w:rsidRPr="00000000">
              <w:rPr>
                <w:rtl w:val="0"/>
              </w:rPr>
            </w:r>
          </w:p>
        </w:tc>
        <w:tc>
          <w:tcPr>
            <w:shd w:fill="auto" w:val="clear"/>
          </w:tcPr>
          <w:p w:rsidR="00000000" w:rsidDel="00000000" w:rsidP="00000000" w:rsidRDefault="00000000" w:rsidRPr="00000000" w14:paraId="0000008D">
            <w:pPr>
              <w:rPr/>
            </w:pPr>
            <w:r w:rsidDel="00000000" w:rsidR="00000000" w:rsidRPr="00000000">
              <w:rPr>
                <w:rtl w:val="0"/>
              </w:rPr>
            </w:r>
          </w:p>
        </w:tc>
        <w:tc>
          <w:tcPr>
            <w:shd w:fill="auto" w:val="clear"/>
          </w:tcPr>
          <w:p w:rsidR="00000000" w:rsidDel="00000000" w:rsidP="00000000" w:rsidRDefault="00000000" w:rsidRPr="00000000" w14:paraId="0000008E">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rPr/>
            </w:pPr>
            <w:r w:rsidDel="00000000" w:rsidR="00000000" w:rsidRPr="00000000">
              <w:rPr>
                <w:rtl w:val="0"/>
              </w:rPr>
            </w:r>
          </w:p>
        </w:tc>
        <w:tc>
          <w:tcPr>
            <w:shd w:fill="auto" w:val="clear"/>
          </w:tcPr>
          <w:p w:rsidR="00000000" w:rsidDel="00000000" w:rsidP="00000000" w:rsidRDefault="00000000" w:rsidRPr="00000000" w14:paraId="00000090">
            <w:pPr>
              <w:rPr/>
            </w:pPr>
            <w:r w:rsidDel="00000000" w:rsidR="00000000" w:rsidRPr="00000000">
              <w:rPr>
                <w:rtl w:val="0"/>
              </w:rPr>
            </w:r>
          </w:p>
        </w:tc>
        <w:tc>
          <w:tcPr>
            <w:shd w:fill="auto" w:val="clear"/>
          </w:tcPr>
          <w:p w:rsidR="00000000" w:rsidDel="00000000" w:rsidP="00000000" w:rsidRDefault="00000000" w:rsidRPr="00000000" w14:paraId="00000091">
            <w:pPr>
              <w:rPr/>
            </w:pPr>
            <w:r w:rsidDel="00000000" w:rsidR="00000000" w:rsidRPr="00000000">
              <w:rPr>
                <w:rtl w:val="0"/>
              </w:rPr>
            </w:r>
          </w:p>
        </w:tc>
        <w:tc>
          <w:tcPr>
            <w:shd w:fill="auto" w:val="clear"/>
          </w:tcPr>
          <w:p w:rsidR="00000000" w:rsidDel="00000000" w:rsidP="00000000" w:rsidRDefault="00000000" w:rsidRPr="00000000" w14:paraId="00000092">
            <w:pPr>
              <w:rPr/>
            </w:pPr>
            <w:r w:rsidDel="00000000" w:rsidR="00000000" w:rsidRPr="00000000">
              <w:rPr>
                <w:rtl w:val="0"/>
              </w:rPr>
            </w:r>
          </w:p>
        </w:tc>
        <w:tc>
          <w:tcPr>
            <w:shd w:fill="auto" w:val="clear"/>
          </w:tcPr>
          <w:p w:rsidR="00000000" w:rsidDel="00000000" w:rsidP="00000000" w:rsidRDefault="00000000" w:rsidRPr="00000000" w14:paraId="00000093">
            <w:pPr>
              <w:rPr/>
            </w:pPr>
            <w:r w:rsidDel="00000000" w:rsidR="00000000" w:rsidRPr="00000000">
              <w:rPr>
                <w:rtl w:val="0"/>
              </w:rPr>
            </w:r>
          </w:p>
        </w:tc>
        <w:tc>
          <w:tcPr>
            <w:shd w:fill="auto" w:val="clear"/>
          </w:tcPr>
          <w:p w:rsidR="00000000" w:rsidDel="00000000" w:rsidP="00000000" w:rsidRDefault="00000000" w:rsidRPr="00000000" w14:paraId="00000094">
            <w:pPr>
              <w:rPr/>
            </w:pPr>
            <w:r w:rsidDel="00000000" w:rsidR="00000000" w:rsidRPr="00000000">
              <w:rPr>
                <w:rtl w:val="0"/>
              </w:rPr>
            </w:r>
          </w:p>
        </w:tc>
        <w:tc>
          <w:tcPr>
            <w:shd w:fill="auto" w:val="clear"/>
          </w:tcPr>
          <w:p w:rsidR="00000000" w:rsidDel="00000000" w:rsidP="00000000" w:rsidRDefault="00000000" w:rsidRPr="00000000" w14:paraId="00000095">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rPr/>
            </w:pPr>
            <w:r w:rsidDel="00000000" w:rsidR="00000000" w:rsidRPr="00000000">
              <w:rPr>
                <w:rtl w:val="0"/>
              </w:rPr>
            </w:r>
          </w:p>
        </w:tc>
        <w:tc>
          <w:tcPr>
            <w:shd w:fill="auto" w:val="clear"/>
          </w:tcPr>
          <w:p w:rsidR="00000000" w:rsidDel="00000000" w:rsidP="00000000" w:rsidRDefault="00000000" w:rsidRPr="00000000" w14:paraId="00000097">
            <w:pPr>
              <w:rPr/>
            </w:pPr>
            <w:r w:rsidDel="00000000" w:rsidR="00000000" w:rsidRPr="00000000">
              <w:rPr>
                <w:rtl w:val="0"/>
              </w:rPr>
            </w:r>
          </w:p>
        </w:tc>
        <w:tc>
          <w:tcPr>
            <w:shd w:fill="auto" w:val="clear"/>
          </w:tcPr>
          <w:p w:rsidR="00000000" w:rsidDel="00000000" w:rsidP="00000000" w:rsidRDefault="00000000" w:rsidRPr="00000000" w14:paraId="00000098">
            <w:pPr>
              <w:rPr/>
            </w:pPr>
            <w:r w:rsidDel="00000000" w:rsidR="00000000" w:rsidRPr="00000000">
              <w:rPr>
                <w:rtl w:val="0"/>
              </w:rPr>
            </w:r>
          </w:p>
        </w:tc>
        <w:tc>
          <w:tcPr>
            <w:shd w:fill="auto" w:val="clear"/>
          </w:tcPr>
          <w:p w:rsidR="00000000" w:rsidDel="00000000" w:rsidP="00000000" w:rsidRDefault="00000000" w:rsidRPr="00000000" w14:paraId="00000099">
            <w:pPr>
              <w:rPr/>
            </w:pPr>
            <w:r w:rsidDel="00000000" w:rsidR="00000000" w:rsidRPr="00000000">
              <w:rPr>
                <w:rtl w:val="0"/>
              </w:rPr>
            </w:r>
          </w:p>
        </w:tc>
        <w:tc>
          <w:tcPr>
            <w:shd w:fill="auto" w:val="clear"/>
          </w:tcPr>
          <w:p w:rsidR="00000000" w:rsidDel="00000000" w:rsidP="00000000" w:rsidRDefault="00000000" w:rsidRPr="00000000" w14:paraId="0000009A">
            <w:pPr>
              <w:rPr/>
            </w:pPr>
            <w:r w:rsidDel="00000000" w:rsidR="00000000" w:rsidRPr="00000000">
              <w:rPr>
                <w:rtl w:val="0"/>
              </w:rPr>
            </w:r>
          </w:p>
        </w:tc>
        <w:tc>
          <w:tcPr>
            <w:shd w:fill="auto" w:val="clear"/>
          </w:tcPr>
          <w:p w:rsidR="00000000" w:rsidDel="00000000" w:rsidP="00000000" w:rsidRDefault="00000000" w:rsidRPr="00000000" w14:paraId="0000009B">
            <w:pPr>
              <w:rPr/>
            </w:pPr>
            <w:r w:rsidDel="00000000" w:rsidR="00000000" w:rsidRPr="00000000">
              <w:rPr>
                <w:rtl w:val="0"/>
              </w:rPr>
            </w:r>
          </w:p>
        </w:tc>
        <w:tc>
          <w:tcPr>
            <w:shd w:fill="auto" w:val="clear"/>
          </w:tcPr>
          <w:p w:rsidR="00000000" w:rsidDel="00000000" w:rsidP="00000000" w:rsidRDefault="00000000" w:rsidRPr="00000000" w14:paraId="0000009C">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rPr/>
            </w:pPr>
            <w:r w:rsidDel="00000000" w:rsidR="00000000" w:rsidRPr="00000000">
              <w:rPr>
                <w:rtl w:val="0"/>
              </w:rPr>
            </w:r>
          </w:p>
        </w:tc>
        <w:tc>
          <w:tcPr>
            <w:shd w:fill="auto" w:val="clear"/>
          </w:tcPr>
          <w:p w:rsidR="00000000" w:rsidDel="00000000" w:rsidP="00000000" w:rsidRDefault="00000000" w:rsidRPr="00000000" w14:paraId="0000009E">
            <w:pPr>
              <w:rPr/>
            </w:pPr>
            <w:r w:rsidDel="00000000" w:rsidR="00000000" w:rsidRPr="00000000">
              <w:rPr>
                <w:rtl w:val="0"/>
              </w:rPr>
            </w:r>
          </w:p>
        </w:tc>
        <w:tc>
          <w:tcPr>
            <w:shd w:fill="auto" w:val="clear"/>
          </w:tcPr>
          <w:p w:rsidR="00000000" w:rsidDel="00000000" w:rsidP="00000000" w:rsidRDefault="00000000" w:rsidRPr="00000000" w14:paraId="0000009F">
            <w:pPr>
              <w:rPr/>
            </w:pPr>
            <w:r w:rsidDel="00000000" w:rsidR="00000000" w:rsidRPr="00000000">
              <w:rPr>
                <w:rtl w:val="0"/>
              </w:rPr>
            </w:r>
          </w:p>
        </w:tc>
        <w:tc>
          <w:tcPr>
            <w:shd w:fill="auto" w:val="clear"/>
          </w:tcPr>
          <w:p w:rsidR="00000000" w:rsidDel="00000000" w:rsidP="00000000" w:rsidRDefault="00000000" w:rsidRPr="00000000" w14:paraId="000000A0">
            <w:pPr>
              <w:rPr/>
            </w:pPr>
            <w:r w:rsidDel="00000000" w:rsidR="00000000" w:rsidRPr="00000000">
              <w:rPr>
                <w:rtl w:val="0"/>
              </w:rPr>
            </w:r>
          </w:p>
        </w:tc>
        <w:tc>
          <w:tcPr>
            <w:shd w:fill="auto" w:val="clear"/>
          </w:tcPr>
          <w:p w:rsidR="00000000" w:rsidDel="00000000" w:rsidP="00000000" w:rsidRDefault="00000000" w:rsidRPr="00000000" w14:paraId="000000A1">
            <w:pPr>
              <w:rPr/>
            </w:pPr>
            <w:r w:rsidDel="00000000" w:rsidR="00000000" w:rsidRPr="00000000">
              <w:rPr>
                <w:rtl w:val="0"/>
              </w:rPr>
            </w:r>
          </w:p>
        </w:tc>
        <w:tc>
          <w:tcPr>
            <w:shd w:fill="auto" w:val="clear"/>
          </w:tcPr>
          <w:p w:rsidR="00000000" w:rsidDel="00000000" w:rsidP="00000000" w:rsidRDefault="00000000" w:rsidRPr="00000000" w14:paraId="000000A2">
            <w:pPr>
              <w:rPr/>
            </w:pPr>
            <w:r w:rsidDel="00000000" w:rsidR="00000000" w:rsidRPr="00000000">
              <w:rPr>
                <w:rtl w:val="0"/>
              </w:rPr>
            </w:r>
          </w:p>
        </w:tc>
        <w:tc>
          <w:tcPr>
            <w:shd w:fill="auto" w:val="clear"/>
          </w:tcPr>
          <w:p w:rsidR="00000000" w:rsidDel="00000000" w:rsidP="00000000" w:rsidRDefault="00000000" w:rsidRPr="00000000" w14:paraId="000000A3">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rPr/>
            </w:pPr>
            <w:r w:rsidDel="00000000" w:rsidR="00000000" w:rsidRPr="00000000">
              <w:rPr>
                <w:rtl w:val="0"/>
              </w:rPr>
            </w:r>
          </w:p>
        </w:tc>
        <w:tc>
          <w:tcPr>
            <w:shd w:fill="auto" w:val="clear"/>
          </w:tcPr>
          <w:p w:rsidR="00000000" w:rsidDel="00000000" w:rsidP="00000000" w:rsidRDefault="00000000" w:rsidRPr="00000000" w14:paraId="000000A5">
            <w:pPr>
              <w:rPr/>
            </w:pPr>
            <w:r w:rsidDel="00000000" w:rsidR="00000000" w:rsidRPr="00000000">
              <w:rPr>
                <w:rtl w:val="0"/>
              </w:rPr>
            </w:r>
          </w:p>
        </w:tc>
        <w:tc>
          <w:tcPr>
            <w:shd w:fill="auto" w:val="clear"/>
          </w:tcPr>
          <w:p w:rsidR="00000000" w:rsidDel="00000000" w:rsidP="00000000" w:rsidRDefault="00000000" w:rsidRPr="00000000" w14:paraId="000000A6">
            <w:pPr>
              <w:rPr/>
            </w:pPr>
            <w:r w:rsidDel="00000000" w:rsidR="00000000" w:rsidRPr="00000000">
              <w:rPr>
                <w:rtl w:val="0"/>
              </w:rPr>
            </w:r>
          </w:p>
        </w:tc>
        <w:tc>
          <w:tcPr>
            <w:shd w:fill="auto" w:val="clear"/>
          </w:tcPr>
          <w:p w:rsidR="00000000" w:rsidDel="00000000" w:rsidP="00000000" w:rsidRDefault="00000000" w:rsidRPr="00000000" w14:paraId="000000A7">
            <w:pPr>
              <w:rPr/>
            </w:pPr>
            <w:r w:rsidDel="00000000" w:rsidR="00000000" w:rsidRPr="00000000">
              <w:rPr>
                <w:rtl w:val="0"/>
              </w:rPr>
            </w:r>
          </w:p>
        </w:tc>
        <w:tc>
          <w:tcPr>
            <w:shd w:fill="auto" w:val="clear"/>
          </w:tcPr>
          <w:p w:rsidR="00000000" w:rsidDel="00000000" w:rsidP="00000000" w:rsidRDefault="00000000" w:rsidRPr="00000000" w14:paraId="000000A8">
            <w:pPr>
              <w:rPr/>
            </w:pPr>
            <w:r w:rsidDel="00000000" w:rsidR="00000000" w:rsidRPr="00000000">
              <w:rPr>
                <w:rtl w:val="0"/>
              </w:rPr>
            </w:r>
          </w:p>
        </w:tc>
        <w:tc>
          <w:tcPr>
            <w:shd w:fill="auto" w:val="clear"/>
          </w:tcPr>
          <w:p w:rsidR="00000000" w:rsidDel="00000000" w:rsidP="00000000" w:rsidRDefault="00000000" w:rsidRPr="00000000" w14:paraId="000000A9">
            <w:pPr>
              <w:rPr/>
            </w:pPr>
            <w:r w:rsidDel="00000000" w:rsidR="00000000" w:rsidRPr="00000000">
              <w:rPr>
                <w:rtl w:val="0"/>
              </w:rPr>
            </w:r>
          </w:p>
        </w:tc>
        <w:tc>
          <w:tcPr>
            <w:shd w:fill="auto" w:val="clear"/>
          </w:tcPr>
          <w:p w:rsidR="00000000" w:rsidDel="00000000" w:rsidP="00000000" w:rsidRDefault="00000000" w:rsidRPr="00000000" w14:paraId="000000AA">
            <w:pPr>
              <w:rPr/>
            </w:pP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headerReference r:id="rId7"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right"/>
      <w:rPr>
        <w:rFonts w:ascii="Arial" w:cs="Arial" w:eastAsia="Arial" w:hAnsi="Arial"/>
        <w:b w:val="0"/>
        <w:i w:val="1"/>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Baglione, </w:t>
    </w:r>
    <w:r w:rsidDel="00000000" w:rsidR="00000000" w:rsidRPr="00000000">
      <w:rPr>
        <w:rFonts w:ascii="Arial" w:cs="Arial" w:eastAsia="Arial" w:hAnsi="Arial"/>
        <w:b w:val="0"/>
        <w:i w:val="1"/>
        <w:smallCaps w:val="0"/>
        <w:strike w:val="0"/>
        <w:color w:val="333333"/>
        <w:sz w:val="20"/>
        <w:szCs w:val="20"/>
        <w:u w:val="none"/>
        <w:shd w:fill="auto" w:val="clear"/>
        <w:vertAlign w:val="baseline"/>
        <w:rtl w:val="0"/>
      </w:rPr>
      <w:t xml:space="preserve">Writing a Research Paper in Political Science, 4e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0" w:right="0" w:firstLine="0"/>
      <w:jc w:val="righ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SAGE Publishing, 2020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b w:val="1"/>
      <w:color w:val="2e75b5"/>
      <w:sz w:val="28"/>
      <w:szCs w:val="28"/>
    </w:rPr>
  </w:style>
  <w:style w:type="paragraph" w:styleId="Heading2">
    <w:name w:val="heading 2"/>
    <w:basedOn w:val="Normal"/>
    <w:next w:val="Normal"/>
    <w:pPr>
      <w:keepNext w:val="1"/>
      <w:keepLines w:val="1"/>
      <w:spacing w:before="200" w:lineRule="auto"/>
    </w:pPr>
    <w:rPr>
      <w:b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8" w:val="single"/>
      </w:pBdr>
      <w:spacing w:after="300" w:lineRule="auto"/>
    </w:pPr>
    <w:rPr>
      <w:color w:val="323e4f"/>
      <w:sz w:val="52"/>
      <w:szCs w:val="52"/>
    </w:rPr>
  </w:style>
  <w:style w:type="paragraph" w:styleId="Normal" w:default="1">
    <w:name w:val="Normal"/>
    <w:qFormat w:val="1"/>
    <w:rsid w:val="00542CC3"/>
    <w:pPr>
      <w:spacing w:after="120"/>
    </w:pPr>
    <w:rPr>
      <w:sz w:val="24"/>
      <w:szCs w:val="24"/>
    </w:rPr>
  </w:style>
  <w:style w:type="paragraph" w:styleId="Heading1">
    <w:name w:val="heading 1"/>
    <w:basedOn w:val="Normal"/>
    <w:next w:val="Normal"/>
    <w:link w:val="Heading1Char"/>
    <w:qFormat w:val="1"/>
    <w:rsid w:val="004762E3"/>
    <w:pPr>
      <w:keepNext w:val="1"/>
      <w:keepLines w:val="1"/>
      <w:spacing w:before="480"/>
      <w:outlineLvl w:val="0"/>
    </w:pPr>
    <w:rPr>
      <w:rFonts w:cstheme="majorBidi" w:eastAsiaTheme="majorEastAsia"/>
      <w:b w:val="1"/>
      <w:bCs w:val="1"/>
      <w:color w:val="2e74b5" w:themeColor="accent1" w:themeShade="0000BF"/>
      <w:sz w:val="28"/>
      <w:szCs w:val="28"/>
    </w:rPr>
  </w:style>
  <w:style w:type="paragraph" w:styleId="Heading2">
    <w:name w:val="heading 2"/>
    <w:basedOn w:val="Normal"/>
    <w:next w:val="Normal"/>
    <w:link w:val="Heading2Char"/>
    <w:unhideWhenUsed w:val="1"/>
    <w:qFormat w:val="1"/>
    <w:rsid w:val="00CB2339"/>
    <w:pPr>
      <w:keepNext w:val="1"/>
      <w:keepLines w:val="1"/>
      <w:spacing w:before="200"/>
      <w:outlineLvl w:val="1"/>
    </w:pPr>
    <w:rPr>
      <w:rFonts w:cstheme="majorBidi" w:eastAsiaTheme="majorEastAsia"/>
      <w:b w:val="1"/>
      <w:bCs w:val="1"/>
      <w:color w:val="5b9bd5" w:themeColor="accent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542CC3"/>
    <w:pPr>
      <w:tabs>
        <w:tab w:val="center" w:pos="4320"/>
        <w:tab w:val="right" w:pos="8640"/>
      </w:tabs>
      <w:spacing w:after="0"/>
    </w:pPr>
  </w:style>
  <w:style w:type="character" w:styleId="PageNumber">
    <w:name w:val="page number"/>
    <w:basedOn w:val="DefaultParagraphFont"/>
    <w:rsid w:val="003E708D"/>
  </w:style>
  <w:style w:type="paragraph" w:styleId="ListParagraph">
    <w:name w:val="List Paragraph"/>
    <w:basedOn w:val="Normal"/>
    <w:uiPriority w:val="34"/>
    <w:qFormat w:val="1"/>
    <w:rsid w:val="00542CC3"/>
    <w:pPr>
      <w:ind w:left="720"/>
    </w:pPr>
    <w:rPr>
      <w:rFonts w:eastAsia="Calibri"/>
      <w:szCs w:val="22"/>
    </w:rPr>
  </w:style>
  <w:style w:type="character" w:styleId="Hyperlink">
    <w:name w:val="Hyperlink"/>
    <w:uiPriority w:val="99"/>
    <w:unhideWhenUsed w:val="1"/>
    <w:rsid w:val="00227074"/>
    <w:rPr>
      <w:color w:val="0000ff"/>
      <w:u w:val="single"/>
    </w:rPr>
  </w:style>
  <w:style w:type="character" w:styleId="apple-converted-space" w:customStyle="1">
    <w:name w:val="apple-converted-space"/>
    <w:basedOn w:val="DefaultParagraphFont"/>
    <w:rsid w:val="00E74418"/>
  </w:style>
  <w:style w:type="paragraph" w:styleId="NumberedList" w:customStyle="1">
    <w:name w:val="Numbered List"/>
    <w:basedOn w:val="Normal"/>
    <w:uiPriority w:val="99"/>
    <w:qFormat w:val="1"/>
    <w:rsid w:val="00542CC3"/>
    <w:pPr>
      <w:numPr>
        <w:numId w:val="11"/>
      </w:numPr>
      <w:spacing w:before="120"/>
    </w:pPr>
    <w:rPr>
      <w:rFonts w:eastAsia="Calibri"/>
      <w:szCs w:val="22"/>
    </w:rPr>
  </w:style>
  <w:style w:type="paragraph" w:styleId="ReferenceText" w:customStyle="1">
    <w:name w:val="Reference Text"/>
    <w:basedOn w:val="Normal"/>
    <w:uiPriority w:val="99"/>
    <w:qFormat w:val="1"/>
    <w:rsid w:val="00542CC3"/>
    <w:pPr>
      <w:spacing w:after="0" w:before="120"/>
      <w:ind w:left="720" w:hanging="720"/>
    </w:pPr>
    <w:rPr>
      <w:rFonts w:cstheme="minorBidi" w:eastAsiaTheme="minorHAnsi"/>
      <w:szCs w:val="22"/>
    </w:rPr>
  </w:style>
  <w:style w:type="paragraph" w:styleId="Footer">
    <w:name w:val="footer"/>
    <w:basedOn w:val="Normal"/>
    <w:link w:val="FooterChar"/>
    <w:rsid w:val="004762E3"/>
    <w:pPr>
      <w:tabs>
        <w:tab w:val="center" w:pos="4680"/>
        <w:tab w:val="right" w:pos="9360"/>
      </w:tabs>
    </w:pPr>
  </w:style>
  <w:style w:type="character" w:styleId="FooterChar" w:customStyle="1">
    <w:name w:val="Footer Char"/>
    <w:basedOn w:val="DefaultParagraphFont"/>
    <w:link w:val="Footer"/>
    <w:rsid w:val="004762E3"/>
    <w:rPr>
      <w:sz w:val="24"/>
      <w:szCs w:val="24"/>
    </w:rPr>
  </w:style>
  <w:style w:type="paragraph" w:styleId="Title">
    <w:name w:val="Title"/>
    <w:basedOn w:val="Normal"/>
    <w:next w:val="Normal"/>
    <w:link w:val="TitleChar"/>
    <w:qFormat w:val="1"/>
    <w:rsid w:val="004762E3"/>
    <w:pPr>
      <w:pBdr>
        <w:bottom w:color="5b9bd5" w:space="4" w:sz="8" w:themeColor="accent1" w:val="single"/>
      </w:pBdr>
      <w:spacing w:after="300"/>
      <w:contextualSpacing w:val="1"/>
    </w:pPr>
    <w:rPr>
      <w:rFonts w:cstheme="majorBidi" w:eastAsiaTheme="majorEastAsia"/>
      <w:color w:val="323e4f" w:themeColor="text2" w:themeShade="0000BF"/>
      <w:spacing w:val="5"/>
      <w:kern w:val="28"/>
      <w:sz w:val="52"/>
      <w:szCs w:val="52"/>
    </w:rPr>
  </w:style>
  <w:style w:type="character" w:styleId="TitleChar" w:customStyle="1">
    <w:name w:val="Title Char"/>
    <w:basedOn w:val="DefaultParagraphFont"/>
    <w:link w:val="Title"/>
    <w:rsid w:val="004762E3"/>
    <w:rPr>
      <w:rFonts w:cstheme="majorBidi" w:eastAsiaTheme="majorEastAsia"/>
      <w:color w:val="323e4f" w:themeColor="text2" w:themeShade="0000BF"/>
      <w:spacing w:val="5"/>
      <w:kern w:val="28"/>
      <w:sz w:val="52"/>
      <w:szCs w:val="52"/>
    </w:rPr>
  </w:style>
  <w:style w:type="character" w:styleId="Heading1Char" w:customStyle="1">
    <w:name w:val="Heading 1 Char"/>
    <w:basedOn w:val="DefaultParagraphFont"/>
    <w:link w:val="Heading1"/>
    <w:rsid w:val="004762E3"/>
    <w:rPr>
      <w:rFonts w:cstheme="majorBidi" w:eastAsiaTheme="majorEastAsia"/>
      <w:b w:val="1"/>
      <w:bCs w:val="1"/>
      <w:color w:val="2e74b5" w:themeColor="accent1" w:themeShade="0000BF"/>
      <w:sz w:val="28"/>
      <w:szCs w:val="28"/>
    </w:rPr>
  </w:style>
  <w:style w:type="paragraph" w:styleId="BalloonText">
    <w:name w:val="Balloon Text"/>
    <w:basedOn w:val="Normal"/>
    <w:link w:val="BalloonTextChar"/>
    <w:rsid w:val="00CF39F3"/>
    <w:rPr>
      <w:rFonts w:ascii="Tahoma" w:cs="Tahoma" w:hAnsi="Tahoma"/>
      <w:sz w:val="16"/>
      <w:szCs w:val="16"/>
    </w:rPr>
  </w:style>
  <w:style w:type="character" w:styleId="BalloonTextChar" w:customStyle="1">
    <w:name w:val="Balloon Text Char"/>
    <w:basedOn w:val="DefaultParagraphFont"/>
    <w:link w:val="BalloonText"/>
    <w:rsid w:val="00CF39F3"/>
    <w:rPr>
      <w:rFonts w:ascii="Tahoma" w:cs="Tahoma" w:hAnsi="Tahoma"/>
      <w:sz w:val="16"/>
      <w:szCs w:val="16"/>
    </w:rPr>
  </w:style>
  <w:style w:type="character" w:styleId="Heading2Char" w:customStyle="1">
    <w:name w:val="Heading 2 Char"/>
    <w:basedOn w:val="DefaultParagraphFont"/>
    <w:link w:val="Heading2"/>
    <w:rsid w:val="00CB2339"/>
    <w:rPr>
      <w:rFonts w:cstheme="majorBidi" w:eastAsiaTheme="majorEastAsia"/>
      <w:b w:val="1"/>
      <w:bCs w:val="1"/>
      <w:color w:val="5b9bd5" w:themeColor="accent1"/>
      <w:sz w:val="26"/>
      <w:szCs w:val="26"/>
    </w:rPr>
  </w:style>
  <w:style w:type="paragraph" w:styleId="BulletedList" w:customStyle="1">
    <w:name w:val="Bulleted List"/>
    <w:basedOn w:val="Normal"/>
    <w:qFormat w:val="1"/>
    <w:rsid w:val="00542CC3"/>
    <w:pPr>
      <w:numPr>
        <w:numId w:val="12"/>
      </w:numPr>
    </w:pPr>
  </w:style>
  <w:style w:type="table" w:styleId="TableGrid">
    <w:name w:val="Table Grid"/>
    <w:basedOn w:val="TableNormal"/>
    <w:uiPriority w:val="59"/>
    <w:rsid w:val="003D6DF3"/>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HeaderChar" w:customStyle="1">
    <w:name w:val="Header Char"/>
    <w:basedOn w:val="DefaultParagraphFont"/>
    <w:link w:val="Header"/>
    <w:uiPriority w:val="99"/>
    <w:rsid w:val="003D6DF3"/>
    <w:rPr>
      <w:sz w:val="24"/>
      <w:szCs w:val="24"/>
    </w:rPr>
  </w:style>
  <w:style w:type="paragraph" w:styleId="NormalWeb">
    <w:name w:val="Normal (Web)"/>
    <w:basedOn w:val="Normal"/>
    <w:uiPriority w:val="99"/>
    <w:semiHidden w:val="1"/>
    <w:unhideWhenUsed w:val="1"/>
    <w:rsid w:val="003D6DF3"/>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VvxNuyCS+wDH+u2D1ACl8nd7Wg==">CgMxLjAyD2lkLm16c2dpbGNiejV1MjgAciExZ2cyX0U0emZpX3pLUGE4dzgyS2t2RlY3SFpsMXBDeTQ=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2025-05-26T11:06:00Z</dcterms:created>
  <dc:creator>Daniel Dhayalan</dc:creator>
</cp:coreProperties>
</file>