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7024" w14:textId="1A149838" w:rsidR="001E3F49" w:rsidRDefault="008E4D2F" w:rsidP="008E4D2F">
      <w:pPr>
        <w:jc w:val="center"/>
      </w:pPr>
      <w:r>
        <w:rPr>
          <w:b/>
          <w:bCs/>
          <w:u w:val="single"/>
        </w:rPr>
        <w:t>HW 1 – Merge and Insertion Sort</w:t>
      </w:r>
    </w:p>
    <w:p w14:paraId="2320604E" w14:textId="2C1B6083" w:rsidR="008E4D2F" w:rsidRDefault="008E4D2F" w:rsidP="008E4D2F"/>
    <w:p w14:paraId="07317EDF" w14:textId="7433EBBB" w:rsidR="008209B0" w:rsidRDefault="008209B0" w:rsidP="008209B0">
      <w:r>
        <w:t xml:space="preserve">To collect these times, I modified my program to first prompt the user for a value </w:t>
      </w:r>
      <m:oMath>
        <m:r>
          <w:rPr>
            <w:rFonts w:ascii="Cambria Math" w:hAnsi="Cambria Math"/>
          </w:rPr>
          <m:t>n</m:t>
        </m:r>
      </m:oMath>
      <w:r>
        <w:rPr>
          <w:rFonts w:eastAsiaTheme="minorEastAsia"/>
        </w:rPr>
        <w:t xml:space="preserve"> which </w:t>
      </w:r>
      <w:proofErr w:type="spellStart"/>
      <w:r>
        <w:rPr>
          <w:rFonts w:eastAsiaTheme="minorEastAsia"/>
        </w:rPr>
        <w:t>woul</w:t>
      </w:r>
      <w:proofErr w:type="spellEnd"/>
      <w:r>
        <w:rPr>
          <w:rFonts w:eastAsiaTheme="minorEastAsia"/>
        </w:rPr>
        <w:t xml:space="preserve"> determine the size of the array to sort. I t</w:t>
      </w:r>
      <w:r w:rsidR="008C6CE2">
        <w:rPr>
          <w:rFonts w:eastAsiaTheme="minorEastAsia"/>
        </w:rPr>
        <w:t xml:space="preserve">hen created and populated an array of size </w:t>
      </w:r>
      <m:oMath>
        <m:r>
          <w:rPr>
            <w:rFonts w:ascii="Cambria Math" w:eastAsiaTheme="minorEastAsia" w:hAnsi="Cambria Math"/>
          </w:rPr>
          <m:t>n</m:t>
        </m:r>
      </m:oMath>
      <w:r w:rsidR="008C6CE2">
        <w:rPr>
          <w:rFonts w:eastAsiaTheme="minorEastAsia"/>
        </w:rPr>
        <w:t xml:space="preserve"> with random numbers. I stored the time right before my call to the sorting algorithm, and subtracted it from the time right after the sorting algorithm completed to find the total time elapsed in sorting. </w:t>
      </w:r>
    </w:p>
    <w:p w14:paraId="078C73F0" w14:textId="77777777" w:rsidR="008209B0" w:rsidRDefault="008209B0" w:rsidP="008209B0"/>
    <w:p w14:paraId="1BE5173A" w14:textId="32692808" w:rsidR="008E4D2F" w:rsidRDefault="008E4D2F" w:rsidP="008209B0">
      <w:pPr>
        <w:ind w:left="360"/>
      </w:pPr>
      <w:r>
        <w:t>Written report and data analysis</w:t>
      </w:r>
    </w:p>
    <w:p w14:paraId="512D7A46" w14:textId="77777777" w:rsidR="008E4D2F" w:rsidRDefault="008E4D2F" w:rsidP="008E4D2F">
      <w:pPr>
        <w:pStyle w:val="ListParagraph"/>
        <w:numPr>
          <w:ilvl w:val="1"/>
          <w:numId w:val="2"/>
        </w:numPr>
      </w:pPr>
      <w:r>
        <w:t>Runtimes:</w:t>
      </w:r>
    </w:p>
    <w:p w14:paraId="7F09091A" w14:textId="1F0B818E" w:rsidR="008E4D2F" w:rsidRDefault="008E4D2F" w:rsidP="008E4D2F">
      <w:pPr>
        <w:pStyle w:val="ListParagraph"/>
        <w:numPr>
          <w:ilvl w:val="2"/>
          <w:numId w:val="2"/>
        </w:numPr>
      </w:pPr>
      <w:r>
        <w:t xml:space="preserve">Merge sort </w:t>
      </w:r>
    </w:p>
    <w:tbl>
      <w:tblPr>
        <w:tblStyle w:val="TableGrid"/>
        <w:tblW w:w="0" w:type="auto"/>
        <w:tblInd w:w="2880" w:type="dxa"/>
        <w:tblLook w:val="04A0" w:firstRow="1" w:lastRow="0" w:firstColumn="1" w:lastColumn="0" w:noHBand="0" w:noVBand="1"/>
      </w:tblPr>
      <w:tblGrid>
        <w:gridCol w:w="3264"/>
        <w:gridCol w:w="3216"/>
      </w:tblGrid>
      <w:tr w:rsidR="00C25328" w14:paraId="5D5B35C5" w14:textId="77777777" w:rsidTr="0092552A">
        <w:tc>
          <w:tcPr>
            <w:tcW w:w="4675" w:type="dxa"/>
            <w:tcBorders>
              <w:top w:val="nil"/>
              <w:left w:val="nil"/>
              <w:bottom w:val="single" w:sz="4" w:space="0" w:color="auto"/>
              <w:right w:val="nil"/>
            </w:tcBorders>
          </w:tcPr>
          <w:p w14:paraId="4D19E55A" w14:textId="4677C6CA" w:rsidR="00BE671D" w:rsidRPr="00BE671D" w:rsidRDefault="0092552A" w:rsidP="00BE671D">
            <w:pPr>
              <w:pStyle w:val="ListParagraph"/>
              <w:ind w:left="0"/>
              <w:jc w:val="center"/>
              <w:rPr>
                <w:b/>
                <w:bCs/>
              </w:rPr>
            </w:pPr>
            <w:r>
              <w:rPr>
                <w:b/>
                <w:bCs/>
              </w:rPr>
              <w:t>n</w:t>
            </w:r>
          </w:p>
        </w:tc>
        <w:tc>
          <w:tcPr>
            <w:tcW w:w="4675" w:type="dxa"/>
            <w:tcBorders>
              <w:top w:val="nil"/>
              <w:left w:val="nil"/>
              <w:bottom w:val="single" w:sz="4" w:space="0" w:color="auto"/>
              <w:right w:val="nil"/>
            </w:tcBorders>
          </w:tcPr>
          <w:p w14:paraId="75807D7E" w14:textId="59BC36ED" w:rsidR="00BE671D" w:rsidRPr="0092552A" w:rsidRDefault="0092552A" w:rsidP="00BE671D">
            <w:pPr>
              <w:pStyle w:val="ListParagraph"/>
              <w:ind w:left="0"/>
              <w:jc w:val="center"/>
              <w:rPr>
                <w:b/>
                <w:bCs/>
              </w:rPr>
            </w:pPr>
            <w:r>
              <w:rPr>
                <w:b/>
                <w:bCs/>
              </w:rPr>
              <w:t>Runtime (s)</w:t>
            </w:r>
          </w:p>
        </w:tc>
      </w:tr>
      <w:tr w:rsidR="00C25328" w14:paraId="5A3A5919" w14:textId="77777777" w:rsidTr="0092552A">
        <w:tc>
          <w:tcPr>
            <w:tcW w:w="4675" w:type="dxa"/>
            <w:tcBorders>
              <w:top w:val="single" w:sz="4" w:space="0" w:color="auto"/>
            </w:tcBorders>
          </w:tcPr>
          <w:p w14:paraId="0F2AAF18" w14:textId="733279B0" w:rsidR="00BE671D" w:rsidRDefault="0092552A" w:rsidP="00BE671D">
            <w:pPr>
              <w:pStyle w:val="ListParagraph"/>
              <w:ind w:left="0"/>
              <w:jc w:val="center"/>
            </w:pPr>
            <w:r>
              <w:t>100</w:t>
            </w:r>
          </w:p>
        </w:tc>
        <w:tc>
          <w:tcPr>
            <w:tcW w:w="4675" w:type="dxa"/>
            <w:tcBorders>
              <w:top w:val="single" w:sz="4" w:space="0" w:color="auto"/>
            </w:tcBorders>
          </w:tcPr>
          <w:p w14:paraId="738BEE1A" w14:textId="6AE146EA" w:rsidR="00BE671D" w:rsidRDefault="0092552A" w:rsidP="00BE671D">
            <w:pPr>
              <w:pStyle w:val="ListParagraph"/>
              <w:ind w:left="0"/>
              <w:jc w:val="center"/>
            </w:pPr>
            <w:r w:rsidRPr="0092552A">
              <w:t>0.0009</w:t>
            </w:r>
          </w:p>
        </w:tc>
      </w:tr>
      <w:tr w:rsidR="00BE671D" w14:paraId="00E078D8" w14:textId="77777777" w:rsidTr="00BE671D">
        <w:tc>
          <w:tcPr>
            <w:tcW w:w="4675" w:type="dxa"/>
          </w:tcPr>
          <w:p w14:paraId="0B790574" w14:textId="1F84B161" w:rsidR="00BE671D" w:rsidRDefault="0092552A" w:rsidP="00BE671D">
            <w:pPr>
              <w:pStyle w:val="ListParagraph"/>
              <w:ind w:left="0"/>
              <w:jc w:val="center"/>
            </w:pPr>
            <w:r>
              <w:t>500</w:t>
            </w:r>
          </w:p>
        </w:tc>
        <w:tc>
          <w:tcPr>
            <w:tcW w:w="4675" w:type="dxa"/>
          </w:tcPr>
          <w:p w14:paraId="3CD2DFCC" w14:textId="61F30E5E" w:rsidR="00BE671D" w:rsidRDefault="0092552A" w:rsidP="00BE671D">
            <w:pPr>
              <w:jc w:val="center"/>
            </w:pPr>
            <w:r w:rsidRPr="0092552A">
              <w:t>0.0022</w:t>
            </w:r>
          </w:p>
        </w:tc>
      </w:tr>
      <w:tr w:rsidR="00BE671D" w14:paraId="3ADFA493" w14:textId="77777777" w:rsidTr="00BE671D">
        <w:tc>
          <w:tcPr>
            <w:tcW w:w="4675" w:type="dxa"/>
          </w:tcPr>
          <w:p w14:paraId="3E88A0E1" w14:textId="139AEF6D" w:rsidR="00BE671D" w:rsidRDefault="0092552A" w:rsidP="00BE671D">
            <w:pPr>
              <w:pStyle w:val="ListParagraph"/>
              <w:ind w:left="0"/>
              <w:jc w:val="center"/>
            </w:pPr>
            <w:r>
              <w:t>1</w:t>
            </w:r>
            <w:r w:rsidR="00C25328">
              <w:t>,</w:t>
            </w:r>
            <w:r>
              <w:t>000</w:t>
            </w:r>
          </w:p>
        </w:tc>
        <w:tc>
          <w:tcPr>
            <w:tcW w:w="4675" w:type="dxa"/>
          </w:tcPr>
          <w:p w14:paraId="1A90AA3D" w14:textId="0F9824CB" w:rsidR="00BE671D" w:rsidRDefault="00C25328" w:rsidP="00BE671D">
            <w:pPr>
              <w:pStyle w:val="ListParagraph"/>
              <w:ind w:left="0"/>
              <w:jc w:val="center"/>
            </w:pPr>
            <w:r w:rsidRPr="00C25328">
              <w:t>0.0039</w:t>
            </w:r>
          </w:p>
        </w:tc>
      </w:tr>
      <w:tr w:rsidR="00BE671D" w14:paraId="53715163" w14:textId="77777777" w:rsidTr="00BE671D">
        <w:tc>
          <w:tcPr>
            <w:tcW w:w="4675" w:type="dxa"/>
          </w:tcPr>
          <w:p w14:paraId="30B98102" w14:textId="39DFE1D8" w:rsidR="00BE671D" w:rsidRDefault="00C25328" w:rsidP="00BE671D">
            <w:pPr>
              <w:pStyle w:val="ListParagraph"/>
              <w:ind w:left="0"/>
              <w:jc w:val="center"/>
            </w:pPr>
            <w:r>
              <w:t>5,000</w:t>
            </w:r>
          </w:p>
        </w:tc>
        <w:tc>
          <w:tcPr>
            <w:tcW w:w="4675" w:type="dxa"/>
          </w:tcPr>
          <w:p w14:paraId="5796E8E4" w14:textId="3BB8C615" w:rsidR="00BE671D" w:rsidRDefault="00C25328" w:rsidP="00BE671D">
            <w:pPr>
              <w:pStyle w:val="ListParagraph"/>
              <w:ind w:left="0"/>
              <w:jc w:val="center"/>
            </w:pPr>
            <w:r w:rsidRPr="00C25328">
              <w:t>0.0183</w:t>
            </w:r>
          </w:p>
        </w:tc>
      </w:tr>
      <w:tr w:rsidR="00BE671D" w14:paraId="00020FB8" w14:textId="77777777" w:rsidTr="00BE671D">
        <w:tc>
          <w:tcPr>
            <w:tcW w:w="4675" w:type="dxa"/>
          </w:tcPr>
          <w:p w14:paraId="3D4C25A5" w14:textId="5CE7EC9D" w:rsidR="00BE671D" w:rsidRDefault="00C25328" w:rsidP="00BE671D">
            <w:pPr>
              <w:pStyle w:val="ListParagraph"/>
              <w:ind w:left="0"/>
              <w:jc w:val="center"/>
            </w:pPr>
            <w:r>
              <w:t>10,000</w:t>
            </w:r>
          </w:p>
        </w:tc>
        <w:tc>
          <w:tcPr>
            <w:tcW w:w="4675" w:type="dxa"/>
          </w:tcPr>
          <w:p w14:paraId="2D4D0D40" w14:textId="5C0A563B" w:rsidR="00BE671D" w:rsidRDefault="00C25328" w:rsidP="00BE671D">
            <w:pPr>
              <w:pStyle w:val="ListParagraph"/>
              <w:ind w:left="0"/>
              <w:jc w:val="center"/>
            </w:pPr>
            <w:r w:rsidRPr="00C25328">
              <w:t>0.0387</w:t>
            </w:r>
          </w:p>
        </w:tc>
      </w:tr>
      <w:tr w:rsidR="00BE671D" w14:paraId="4320CC8A" w14:textId="77777777" w:rsidTr="00BE671D">
        <w:tc>
          <w:tcPr>
            <w:tcW w:w="4675" w:type="dxa"/>
          </w:tcPr>
          <w:p w14:paraId="6A21B38C" w14:textId="6F4BF42E" w:rsidR="00BE671D" w:rsidRDefault="00C25328" w:rsidP="00BE671D">
            <w:pPr>
              <w:pStyle w:val="ListParagraph"/>
              <w:ind w:left="0"/>
              <w:jc w:val="center"/>
            </w:pPr>
            <w:r>
              <w:t>50,000</w:t>
            </w:r>
          </w:p>
        </w:tc>
        <w:tc>
          <w:tcPr>
            <w:tcW w:w="4675" w:type="dxa"/>
          </w:tcPr>
          <w:p w14:paraId="29F1FA6C" w14:textId="38BF5617" w:rsidR="00BE671D" w:rsidRDefault="00C25328" w:rsidP="00BE671D">
            <w:pPr>
              <w:pStyle w:val="ListParagraph"/>
              <w:ind w:left="0"/>
              <w:jc w:val="center"/>
            </w:pPr>
            <w:r w:rsidRPr="00C25328">
              <w:t>0.2252</w:t>
            </w:r>
          </w:p>
        </w:tc>
      </w:tr>
      <w:tr w:rsidR="00BE671D" w14:paraId="45CC93A2" w14:textId="77777777" w:rsidTr="00BE671D">
        <w:tc>
          <w:tcPr>
            <w:tcW w:w="4675" w:type="dxa"/>
          </w:tcPr>
          <w:p w14:paraId="5C5392A9" w14:textId="4BF97E0B" w:rsidR="00BE671D" w:rsidRDefault="00C25328" w:rsidP="00BE671D">
            <w:pPr>
              <w:pStyle w:val="ListParagraph"/>
              <w:ind w:left="0"/>
              <w:jc w:val="center"/>
            </w:pPr>
            <w:r>
              <w:t>100,000</w:t>
            </w:r>
          </w:p>
        </w:tc>
        <w:tc>
          <w:tcPr>
            <w:tcW w:w="4675" w:type="dxa"/>
          </w:tcPr>
          <w:p w14:paraId="0D2E5702" w14:textId="52B108A1" w:rsidR="00BE671D" w:rsidRDefault="00C25328" w:rsidP="00BE671D">
            <w:pPr>
              <w:pStyle w:val="ListParagraph"/>
              <w:ind w:left="0"/>
              <w:jc w:val="center"/>
            </w:pPr>
            <w:r w:rsidRPr="00C25328">
              <w:t>0.4763</w:t>
            </w:r>
          </w:p>
        </w:tc>
      </w:tr>
      <w:tr w:rsidR="00BE671D" w14:paraId="1D40AC75" w14:textId="77777777" w:rsidTr="00BE671D">
        <w:tc>
          <w:tcPr>
            <w:tcW w:w="4675" w:type="dxa"/>
          </w:tcPr>
          <w:p w14:paraId="40AF8C83" w14:textId="5D853505" w:rsidR="00BE671D" w:rsidRDefault="00C25328" w:rsidP="00BE671D">
            <w:pPr>
              <w:pStyle w:val="ListParagraph"/>
              <w:ind w:left="0"/>
              <w:jc w:val="center"/>
            </w:pPr>
            <w:r>
              <w:t>200,000</w:t>
            </w:r>
          </w:p>
        </w:tc>
        <w:tc>
          <w:tcPr>
            <w:tcW w:w="4675" w:type="dxa"/>
          </w:tcPr>
          <w:p w14:paraId="29AE42AD" w14:textId="62EF5FD5" w:rsidR="00BE671D" w:rsidRDefault="00C25328" w:rsidP="00BE671D">
            <w:pPr>
              <w:pStyle w:val="ListParagraph"/>
              <w:ind w:left="0"/>
              <w:jc w:val="center"/>
            </w:pPr>
            <w:r w:rsidRPr="00C25328">
              <w:t>1.0131</w:t>
            </w:r>
          </w:p>
        </w:tc>
      </w:tr>
      <w:tr w:rsidR="00C25328" w14:paraId="1574A845" w14:textId="77777777" w:rsidTr="00BE671D">
        <w:tc>
          <w:tcPr>
            <w:tcW w:w="4675" w:type="dxa"/>
          </w:tcPr>
          <w:p w14:paraId="39F74509" w14:textId="681AA93F" w:rsidR="00C25328" w:rsidRDefault="00C25328" w:rsidP="00BE671D">
            <w:pPr>
              <w:pStyle w:val="ListParagraph"/>
              <w:ind w:left="0"/>
              <w:jc w:val="center"/>
            </w:pPr>
            <w:r>
              <w:t>500,000</w:t>
            </w:r>
          </w:p>
        </w:tc>
        <w:tc>
          <w:tcPr>
            <w:tcW w:w="4675" w:type="dxa"/>
          </w:tcPr>
          <w:p w14:paraId="5E203A97" w14:textId="745AAA85" w:rsidR="00C25328" w:rsidRPr="00C25328" w:rsidRDefault="00C25328" w:rsidP="00BE671D">
            <w:pPr>
              <w:pStyle w:val="ListParagraph"/>
              <w:ind w:left="0"/>
              <w:jc w:val="center"/>
            </w:pPr>
            <w:r w:rsidRPr="00C25328">
              <w:t>2.8181</w:t>
            </w:r>
          </w:p>
        </w:tc>
      </w:tr>
      <w:tr w:rsidR="00C25328" w14:paraId="37911B5D" w14:textId="77777777" w:rsidTr="00BE671D">
        <w:tc>
          <w:tcPr>
            <w:tcW w:w="4675" w:type="dxa"/>
          </w:tcPr>
          <w:p w14:paraId="5BC855B2" w14:textId="0B959CB3" w:rsidR="00C25328" w:rsidRDefault="00C25328" w:rsidP="00BE671D">
            <w:pPr>
              <w:pStyle w:val="ListParagraph"/>
              <w:ind w:left="0"/>
              <w:jc w:val="center"/>
            </w:pPr>
            <w:r>
              <w:t>1,000,000</w:t>
            </w:r>
          </w:p>
        </w:tc>
        <w:tc>
          <w:tcPr>
            <w:tcW w:w="4675" w:type="dxa"/>
          </w:tcPr>
          <w:p w14:paraId="2F8C61CF" w14:textId="146F4D16" w:rsidR="00C25328" w:rsidRPr="00C25328" w:rsidRDefault="00C25328" w:rsidP="00BE671D">
            <w:pPr>
              <w:pStyle w:val="ListParagraph"/>
              <w:ind w:left="0"/>
              <w:jc w:val="center"/>
            </w:pPr>
            <w:r w:rsidRPr="00C25328">
              <w:t>5.7429</w:t>
            </w:r>
          </w:p>
        </w:tc>
      </w:tr>
    </w:tbl>
    <w:p w14:paraId="1775DE82" w14:textId="77777777" w:rsidR="00BE671D" w:rsidRDefault="00BE671D" w:rsidP="00C25328">
      <w:pPr>
        <w:pStyle w:val="ListParagraph"/>
        <w:ind w:left="2880"/>
      </w:pPr>
    </w:p>
    <w:p w14:paraId="0CE7FE92" w14:textId="0313D667" w:rsidR="008E4D2F" w:rsidRDefault="008E4D2F" w:rsidP="008E4D2F">
      <w:pPr>
        <w:pStyle w:val="ListParagraph"/>
        <w:numPr>
          <w:ilvl w:val="2"/>
          <w:numId w:val="2"/>
        </w:numPr>
      </w:pPr>
      <w:r>
        <w:t>Insertion sort</w:t>
      </w:r>
    </w:p>
    <w:tbl>
      <w:tblPr>
        <w:tblStyle w:val="TableGrid"/>
        <w:tblW w:w="0" w:type="auto"/>
        <w:tblInd w:w="2880" w:type="dxa"/>
        <w:tblLook w:val="04A0" w:firstRow="1" w:lastRow="0" w:firstColumn="1" w:lastColumn="0" w:noHBand="0" w:noVBand="1"/>
      </w:tblPr>
      <w:tblGrid>
        <w:gridCol w:w="1496"/>
        <w:gridCol w:w="1529"/>
      </w:tblGrid>
      <w:tr w:rsidR="005A5DF0" w14:paraId="6F9BE191" w14:textId="77777777" w:rsidTr="009A459B">
        <w:trPr>
          <w:trHeight w:val="266"/>
        </w:trPr>
        <w:tc>
          <w:tcPr>
            <w:tcW w:w="1496" w:type="dxa"/>
            <w:tcBorders>
              <w:top w:val="nil"/>
              <w:left w:val="nil"/>
              <w:bottom w:val="single" w:sz="4" w:space="0" w:color="auto"/>
              <w:right w:val="nil"/>
            </w:tcBorders>
          </w:tcPr>
          <w:p w14:paraId="787CFABA" w14:textId="7EF9BCA1" w:rsidR="005A5DF0" w:rsidRPr="009A459B" w:rsidRDefault="005A5DF0" w:rsidP="005A5DF0">
            <w:pPr>
              <w:pStyle w:val="ListParagraph"/>
              <w:ind w:left="0"/>
              <w:jc w:val="center"/>
              <w:rPr>
                <w:b/>
                <w:bCs/>
                <w:sz w:val="20"/>
                <w:szCs w:val="20"/>
              </w:rPr>
            </w:pPr>
            <w:bookmarkStart w:id="0" w:name="OLE_LINK1"/>
            <w:r w:rsidRPr="009A459B">
              <w:rPr>
                <w:b/>
                <w:bCs/>
                <w:sz w:val="20"/>
                <w:szCs w:val="20"/>
              </w:rPr>
              <w:t>n</w:t>
            </w:r>
          </w:p>
        </w:tc>
        <w:tc>
          <w:tcPr>
            <w:tcW w:w="1529" w:type="dxa"/>
            <w:tcBorders>
              <w:top w:val="nil"/>
              <w:left w:val="nil"/>
              <w:bottom w:val="single" w:sz="4" w:space="0" w:color="auto"/>
              <w:right w:val="nil"/>
            </w:tcBorders>
          </w:tcPr>
          <w:p w14:paraId="6DABB717" w14:textId="1215E56D" w:rsidR="005A5DF0" w:rsidRPr="009A459B" w:rsidRDefault="005A5DF0" w:rsidP="005A5DF0">
            <w:pPr>
              <w:pStyle w:val="ListParagraph"/>
              <w:ind w:left="0"/>
              <w:jc w:val="center"/>
              <w:rPr>
                <w:b/>
                <w:bCs/>
                <w:sz w:val="20"/>
                <w:szCs w:val="20"/>
              </w:rPr>
            </w:pPr>
            <w:r w:rsidRPr="009A459B">
              <w:rPr>
                <w:b/>
                <w:bCs/>
                <w:sz w:val="20"/>
                <w:szCs w:val="20"/>
              </w:rPr>
              <w:t>Runtime (s)</w:t>
            </w:r>
          </w:p>
        </w:tc>
      </w:tr>
      <w:tr w:rsidR="005A5DF0" w14:paraId="3544C0B6" w14:textId="77777777" w:rsidTr="009A459B">
        <w:trPr>
          <w:trHeight w:val="266"/>
        </w:trPr>
        <w:tc>
          <w:tcPr>
            <w:tcW w:w="1496" w:type="dxa"/>
            <w:tcBorders>
              <w:top w:val="single" w:sz="4" w:space="0" w:color="auto"/>
            </w:tcBorders>
          </w:tcPr>
          <w:p w14:paraId="4A296D63" w14:textId="7E194B5F" w:rsidR="005A5DF0" w:rsidRPr="009A459B" w:rsidRDefault="005A5DF0" w:rsidP="005A5DF0">
            <w:pPr>
              <w:pStyle w:val="ListParagraph"/>
              <w:ind w:left="0"/>
              <w:jc w:val="center"/>
              <w:rPr>
                <w:sz w:val="20"/>
                <w:szCs w:val="20"/>
              </w:rPr>
            </w:pPr>
            <w:r w:rsidRPr="009A459B">
              <w:rPr>
                <w:sz w:val="20"/>
                <w:szCs w:val="20"/>
              </w:rPr>
              <w:t>100</w:t>
            </w:r>
          </w:p>
        </w:tc>
        <w:tc>
          <w:tcPr>
            <w:tcW w:w="1529" w:type="dxa"/>
            <w:tcBorders>
              <w:top w:val="single" w:sz="4" w:space="0" w:color="auto"/>
            </w:tcBorders>
          </w:tcPr>
          <w:p w14:paraId="32565698" w14:textId="27DEFA04" w:rsidR="005A5DF0" w:rsidRPr="009A459B" w:rsidRDefault="005566A2" w:rsidP="005A5DF0">
            <w:pPr>
              <w:pStyle w:val="ListParagraph"/>
              <w:ind w:left="0"/>
              <w:jc w:val="center"/>
              <w:rPr>
                <w:sz w:val="20"/>
                <w:szCs w:val="20"/>
              </w:rPr>
            </w:pPr>
            <w:r w:rsidRPr="009A459B">
              <w:rPr>
                <w:sz w:val="20"/>
                <w:szCs w:val="20"/>
              </w:rPr>
              <w:t>0.0014</w:t>
            </w:r>
          </w:p>
        </w:tc>
      </w:tr>
      <w:tr w:rsidR="005A5DF0" w14:paraId="046B6CC7" w14:textId="77777777" w:rsidTr="009A459B">
        <w:trPr>
          <w:trHeight w:val="274"/>
        </w:trPr>
        <w:tc>
          <w:tcPr>
            <w:tcW w:w="1496" w:type="dxa"/>
          </w:tcPr>
          <w:p w14:paraId="29A1E880" w14:textId="1D7FB65B" w:rsidR="005A5DF0" w:rsidRPr="009A459B" w:rsidRDefault="005A5DF0" w:rsidP="005A5DF0">
            <w:pPr>
              <w:pStyle w:val="ListParagraph"/>
              <w:ind w:left="0"/>
              <w:jc w:val="center"/>
              <w:rPr>
                <w:sz w:val="20"/>
                <w:szCs w:val="20"/>
              </w:rPr>
            </w:pPr>
            <w:r w:rsidRPr="009A459B">
              <w:rPr>
                <w:sz w:val="20"/>
                <w:szCs w:val="20"/>
              </w:rPr>
              <w:t>500</w:t>
            </w:r>
          </w:p>
        </w:tc>
        <w:tc>
          <w:tcPr>
            <w:tcW w:w="1529" w:type="dxa"/>
          </w:tcPr>
          <w:p w14:paraId="43613CEF" w14:textId="74C8745D" w:rsidR="005A5DF0" w:rsidRPr="009A459B" w:rsidRDefault="005566A2" w:rsidP="005A5DF0">
            <w:pPr>
              <w:pStyle w:val="ListParagraph"/>
              <w:ind w:left="0"/>
              <w:jc w:val="center"/>
              <w:rPr>
                <w:sz w:val="20"/>
                <w:szCs w:val="20"/>
              </w:rPr>
            </w:pPr>
            <w:r w:rsidRPr="009A459B">
              <w:rPr>
                <w:sz w:val="20"/>
                <w:szCs w:val="20"/>
              </w:rPr>
              <w:t>0.0117</w:t>
            </w:r>
          </w:p>
        </w:tc>
      </w:tr>
      <w:tr w:rsidR="005A5DF0" w14:paraId="73C00227" w14:textId="77777777" w:rsidTr="009A459B">
        <w:trPr>
          <w:trHeight w:val="266"/>
        </w:trPr>
        <w:tc>
          <w:tcPr>
            <w:tcW w:w="1496" w:type="dxa"/>
          </w:tcPr>
          <w:p w14:paraId="2838BA81" w14:textId="4859AA25" w:rsidR="005A5DF0" w:rsidRPr="009A459B" w:rsidRDefault="005A5DF0" w:rsidP="005A5DF0">
            <w:pPr>
              <w:pStyle w:val="ListParagraph"/>
              <w:ind w:left="0"/>
              <w:jc w:val="center"/>
              <w:rPr>
                <w:sz w:val="20"/>
                <w:szCs w:val="20"/>
              </w:rPr>
            </w:pPr>
            <w:r w:rsidRPr="009A459B">
              <w:rPr>
                <w:sz w:val="20"/>
                <w:szCs w:val="20"/>
              </w:rPr>
              <w:t>1</w:t>
            </w:r>
            <w:r w:rsidR="005566A2" w:rsidRPr="009A459B">
              <w:rPr>
                <w:sz w:val="20"/>
                <w:szCs w:val="20"/>
              </w:rPr>
              <w:t>,</w:t>
            </w:r>
            <w:r w:rsidRPr="009A459B">
              <w:rPr>
                <w:sz w:val="20"/>
                <w:szCs w:val="20"/>
              </w:rPr>
              <w:t>000</w:t>
            </w:r>
          </w:p>
        </w:tc>
        <w:tc>
          <w:tcPr>
            <w:tcW w:w="1529" w:type="dxa"/>
          </w:tcPr>
          <w:p w14:paraId="2357A0C9" w14:textId="601395FD" w:rsidR="005A5DF0" w:rsidRPr="009A459B" w:rsidRDefault="005566A2" w:rsidP="005A5DF0">
            <w:pPr>
              <w:pStyle w:val="ListParagraph"/>
              <w:ind w:left="0"/>
              <w:jc w:val="center"/>
              <w:rPr>
                <w:sz w:val="20"/>
                <w:szCs w:val="20"/>
              </w:rPr>
            </w:pPr>
            <w:r w:rsidRPr="009A459B">
              <w:rPr>
                <w:sz w:val="20"/>
                <w:szCs w:val="20"/>
              </w:rPr>
              <w:t>0.0410</w:t>
            </w:r>
          </w:p>
        </w:tc>
      </w:tr>
      <w:tr w:rsidR="005A5DF0" w14:paraId="125D8A55" w14:textId="77777777" w:rsidTr="009A459B">
        <w:trPr>
          <w:trHeight w:val="266"/>
        </w:trPr>
        <w:tc>
          <w:tcPr>
            <w:tcW w:w="1496" w:type="dxa"/>
          </w:tcPr>
          <w:p w14:paraId="281F88C8" w14:textId="3F660850" w:rsidR="005A5DF0" w:rsidRPr="009A459B" w:rsidRDefault="005A5DF0" w:rsidP="005A5DF0">
            <w:pPr>
              <w:pStyle w:val="ListParagraph"/>
              <w:ind w:left="0"/>
              <w:jc w:val="center"/>
              <w:rPr>
                <w:sz w:val="20"/>
                <w:szCs w:val="20"/>
              </w:rPr>
            </w:pPr>
            <w:r w:rsidRPr="009A459B">
              <w:rPr>
                <w:sz w:val="20"/>
                <w:szCs w:val="20"/>
              </w:rPr>
              <w:t>1</w:t>
            </w:r>
            <w:r w:rsidR="005566A2" w:rsidRPr="009A459B">
              <w:rPr>
                <w:sz w:val="20"/>
                <w:szCs w:val="20"/>
              </w:rPr>
              <w:t>,</w:t>
            </w:r>
            <w:r w:rsidRPr="009A459B">
              <w:rPr>
                <w:sz w:val="20"/>
                <w:szCs w:val="20"/>
              </w:rPr>
              <w:t>500</w:t>
            </w:r>
          </w:p>
        </w:tc>
        <w:tc>
          <w:tcPr>
            <w:tcW w:w="1529" w:type="dxa"/>
          </w:tcPr>
          <w:p w14:paraId="5CCF28D0" w14:textId="3DC5E4E8" w:rsidR="005A5DF0" w:rsidRPr="009A459B" w:rsidRDefault="005566A2" w:rsidP="005A5DF0">
            <w:pPr>
              <w:pStyle w:val="ListParagraph"/>
              <w:ind w:left="0"/>
              <w:jc w:val="center"/>
              <w:rPr>
                <w:sz w:val="20"/>
                <w:szCs w:val="20"/>
              </w:rPr>
            </w:pPr>
            <w:r w:rsidRPr="009A459B">
              <w:rPr>
                <w:sz w:val="20"/>
                <w:szCs w:val="20"/>
              </w:rPr>
              <w:t>0.0917</w:t>
            </w:r>
          </w:p>
        </w:tc>
      </w:tr>
      <w:tr w:rsidR="005A5DF0" w14:paraId="21259E4D" w14:textId="77777777" w:rsidTr="009A459B">
        <w:trPr>
          <w:trHeight w:val="266"/>
        </w:trPr>
        <w:tc>
          <w:tcPr>
            <w:tcW w:w="1496" w:type="dxa"/>
          </w:tcPr>
          <w:p w14:paraId="29909F65" w14:textId="464AD1F9" w:rsidR="005A5DF0" w:rsidRPr="009A459B" w:rsidRDefault="005A5DF0" w:rsidP="005A5DF0">
            <w:pPr>
              <w:pStyle w:val="ListParagraph"/>
              <w:ind w:left="0"/>
              <w:jc w:val="center"/>
              <w:rPr>
                <w:sz w:val="20"/>
                <w:szCs w:val="20"/>
              </w:rPr>
            </w:pPr>
            <w:r w:rsidRPr="009A459B">
              <w:rPr>
                <w:sz w:val="20"/>
                <w:szCs w:val="20"/>
              </w:rPr>
              <w:t>2</w:t>
            </w:r>
            <w:r w:rsidR="005566A2" w:rsidRPr="009A459B">
              <w:rPr>
                <w:sz w:val="20"/>
                <w:szCs w:val="20"/>
              </w:rPr>
              <w:t>,</w:t>
            </w:r>
            <w:r w:rsidRPr="009A459B">
              <w:rPr>
                <w:sz w:val="20"/>
                <w:szCs w:val="20"/>
              </w:rPr>
              <w:t>000</w:t>
            </w:r>
          </w:p>
        </w:tc>
        <w:tc>
          <w:tcPr>
            <w:tcW w:w="1529" w:type="dxa"/>
          </w:tcPr>
          <w:p w14:paraId="2C3FA83B" w14:textId="03C2951A" w:rsidR="005A5DF0" w:rsidRPr="009A459B" w:rsidRDefault="005566A2" w:rsidP="005A5DF0">
            <w:pPr>
              <w:pStyle w:val="ListParagraph"/>
              <w:ind w:left="0"/>
              <w:jc w:val="center"/>
              <w:rPr>
                <w:sz w:val="20"/>
                <w:szCs w:val="20"/>
              </w:rPr>
            </w:pPr>
            <w:r w:rsidRPr="009A459B">
              <w:rPr>
                <w:sz w:val="20"/>
                <w:szCs w:val="20"/>
              </w:rPr>
              <w:t>0.1480</w:t>
            </w:r>
          </w:p>
        </w:tc>
      </w:tr>
      <w:tr w:rsidR="005A5DF0" w14:paraId="4E09C0F9" w14:textId="77777777" w:rsidTr="009A459B">
        <w:trPr>
          <w:trHeight w:val="274"/>
        </w:trPr>
        <w:tc>
          <w:tcPr>
            <w:tcW w:w="1496" w:type="dxa"/>
          </w:tcPr>
          <w:p w14:paraId="3B36B2A9" w14:textId="7D7D2D96" w:rsidR="005A5DF0" w:rsidRPr="009A459B" w:rsidRDefault="005A5DF0" w:rsidP="005A5DF0">
            <w:pPr>
              <w:pStyle w:val="ListParagraph"/>
              <w:ind w:left="0"/>
              <w:jc w:val="center"/>
              <w:rPr>
                <w:sz w:val="20"/>
                <w:szCs w:val="20"/>
              </w:rPr>
            </w:pPr>
            <w:r w:rsidRPr="009A459B">
              <w:rPr>
                <w:sz w:val="20"/>
                <w:szCs w:val="20"/>
              </w:rPr>
              <w:t>5</w:t>
            </w:r>
            <w:r w:rsidR="005566A2" w:rsidRPr="009A459B">
              <w:rPr>
                <w:sz w:val="20"/>
                <w:szCs w:val="20"/>
              </w:rPr>
              <w:t>,</w:t>
            </w:r>
            <w:r w:rsidRPr="009A459B">
              <w:rPr>
                <w:sz w:val="20"/>
                <w:szCs w:val="20"/>
              </w:rPr>
              <w:t>000</w:t>
            </w:r>
          </w:p>
        </w:tc>
        <w:tc>
          <w:tcPr>
            <w:tcW w:w="1529" w:type="dxa"/>
          </w:tcPr>
          <w:p w14:paraId="3C70CA32" w14:textId="2FBCF488" w:rsidR="005A5DF0" w:rsidRPr="009A459B" w:rsidRDefault="005566A2" w:rsidP="005A5DF0">
            <w:pPr>
              <w:pStyle w:val="ListParagraph"/>
              <w:ind w:left="0"/>
              <w:jc w:val="center"/>
              <w:rPr>
                <w:sz w:val="20"/>
                <w:szCs w:val="20"/>
              </w:rPr>
            </w:pPr>
            <w:r w:rsidRPr="009A459B">
              <w:rPr>
                <w:sz w:val="20"/>
                <w:szCs w:val="20"/>
              </w:rPr>
              <w:t>0.8959</w:t>
            </w:r>
          </w:p>
        </w:tc>
      </w:tr>
      <w:tr w:rsidR="005A5DF0" w14:paraId="033AC87B" w14:textId="77777777" w:rsidTr="009A459B">
        <w:trPr>
          <w:trHeight w:val="266"/>
        </w:trPr>
        <w:tc>
          <w:tcPr>
            <w:tcW w:w="1496" w:type="dxa"/>
          </w:tcPr>
          <w:p w14:paraId="673CDE01" w14:textId="3802AD85" w:rsidR="005A5DF0" w:rsidRPr="009A459B" w:rsidRDefault="005A5DF0" w:rsidP="005A5DF0">
            <w:pPr>
              <w:pStyle w:val="ListParagraph"/>
              <w:ind w:left="0"/>
              <w:jc w:val="center"/>
              <w:rPr>
                <w:sz w:val="20"/>
                <w:szCs w:val="20"/>
              </w:rPr>
            </w:pPr>
            <w:r w:rsidRPr="009A459B">
              <w:rPr>
                <w:sz w:val="20"/>
                <w:szCs w:val="20"/>
              </w:rPr>
              <w:t>10</w:t>
            </w:r>
            <w:r w:rsidR="005566A2" w:rsidRPr="009A459B">
              <w:rPr>
                <w:sz w:val="20"/>
                <w:szCs w:val="20"/>
              </w:rPr>
              <w:t>,</w:t>
            </w:r>
            <w:r w:rsidRPr="009A459B">
              <w:rPr>
                <w:sz w:val="20"/>
                <w:szCs w:val="20"/>
              </w:rPr>
              <w:t>000</w:t>
            </w:r>
          </w:p>
        </w:tc>
        <w:tc>
          <w:tcPr>
            <w:tcW w:w="1529" w:type="dxa"/>
          </w:tcPr>
          <w:p w14:paraId="251DCC7E" w14:textId="6D56DA54" w:rsidR="005A5DF0" w:rsidRPr="009A459B" w:rsidRDefault="005566A2" w:rsidP="005A5DF0">
            <w:pPr>
              <w:pStyle w:val="ListParagraph"/>
              <w:ind w:left="0"/>
              <w:jc w:val="center"/>
              <w:rPr>
                <w:sz w:val="20"/>
                <w:szCs w:val="20"/>
              </w:rPr>
            </w:pPr>
            <w:r w:rsidRPr="009A459B">
              <w:rPr>
                <w:sz w:val="20"/>
                <w:szCs w:val="20"/>
              </w:rPr>
              <w:t>3.4306</w:t>
            </w:r>
          </w:p>
        </w:tc>
      </w:tr>
      <w:tr w:rsidR="005A5DF0" w14:paraId="4C50B1D3" w14:textId="77777777" w:rsidTr="009A459B">
        <w:trPr>
          <w:trHeight w:val="266"/>
        </w:trPr>
        <w:tc>
          <w:tcPr>
            <w:tcW w:w="1496" w:type="dxa"/>
          </w:tcPr>
          <w:p w14:paraId="3179731D" w14:textId="59C79B76" w:rsidR="005A5DF0" w:rsidRPr="009A459B" w:rsidRDefault="005566A2" w:rsidP="005A5DF0">
            <w:pPr>
              <w:pStyle w:val="ListParagraph"/>
              <w:ind w:left="0"/>
              <w:jc w:val="center"/>
              <w:rPr>
                <w:sz w:val="20"/>
                <w:szCs w:val="20"/>
              </w:rPr>
            </w:pPr>
            <w:r w:rsidRPr="009A459B">
              <w:rPr>
                <w:sz w:val="20"/>
                <w:szCs w:val="20"/>
              </w:rPr>
              <w:t>20</w:t>
            </w:r>
            <w:r w:rsidRPr="009A459B">
              <w:rPr>
                <w:sz w:val="20"/>
                <w:szCs w:val="20"/>
              </w:rPr>
              <w:t>,</w:t>
            </w:r>
            <w:r w:rsidRPr="009A459B">
              <w:rPr>
                <w:sz w:val="20"/>
                <w:szCs w:val="20"/>
              </w:rPr>
              <w:t>000</w:t>
            </w:r>
          </w:p>
        </w:tc>
        <w:tc>
          <w:tcPr>
            <w:tcW w:w="1529" w:type="dxa"/>
          </w:tcPr>
          <w:p w14:paraId="1B41F495" w14:textId="0788EB24" w:rsidR="005A5DF0" w:rsidRPr="009A459B" w:rsidRDefault="005566A2" w:rsidP="005A5DF0">
            <w:pPr>
              <w:pStyle w:val="ListParagraph"/>
              <w:ind w:left="0"/>
              <w:jc w:val="center"/>
              <w:rPr>
                <w:sz w:val="20"/>
                <w:szCs w:val="20"/>
              </w:rPr>
            </w:pPr>
            <w:r w:rsidRPr="009A459B">
              <w:rPr>
                <w:sz w:val="20"/>
                <w:szCs w:val="20"/>
              </w:rPr>
              <w:t>14.1836</w:t>
            </w:r>
          </w:p>
        </w:tc>
      </w:tr>
      <w:tr w:rsidR="005A5DF0" w14:paraId="399258BC" w14:textId="77777777" w:rsidTr="009A459B">
        <w:trPr>
          <w:trHeight w:val="266"/>
        </w:trPr>
        <w:tc>
          <w:tcPr>
            <w:tcW w:w="1496" w:type="dxa"/>
          </w:tcPr>
          <w:p w14:paraId="2050AE76" w14:textId="59A3D708" w:rsidR="005A5DF0" w:rsidRPr="009A459B" w:rsidRDefault="005566A2" w:rsidP="005A5DF0">
            <w:pPr>
              <w:pStyle w:val="ListParagraph"/>
              <w:ind w:left="0"/>
              <w:jc w:val="center"/>
              <w:rPr>
                <w:sz w:val="20"/>
                <w:szCs w:val="20"/>
              </w:rPr>
            </w:pPr>
            <w:r w:rsidRPr="009A459B">
              <w:rPr>
                <w:sz w:val="20"/>
                <w:szCs w:val="20"/>
              </w:rPr>
              <w:t>30</w:t>
            </w:r>
            <w:r w:rsidRPr="009A459B">
              <w:rPr>
                <w:sz w:val="20"/>
                <w:szCs w:val="20"/>
              </w:rPr>
              <w:t>,</w:t>
            </w:r>
            <w:r w:rsidRPr="009A459B">
              <w:rPr>
                <w:sz w:val="20"/>
                <w:szCs w:val="20"/>
              </w:rPr>
              <w:t>000</w:t>
            </w:r>
          </w:p>
        </w:tc>
        <w:tc>
          <w:tcPr>
            <w:tcW w:w="1529" w:type="dxa"/>
          </w:tcPr>
          <w:p w14:paraId="524198DE" w14:textId="558DCCFA" w:rsidR="005A5DF0" w:rsidRPr="009A459B" w:rsidRDefault="005566A2" w:rsidP="005A5DF0">
            <w:pPr>
              <w:pStyle w:val="ListParagraph"/>
              <w:ind w:left="0"/>
              <w:jc w:val="center"/>
              <w:rPr>
                <w:sz w:val="20"/>
                <w:szCs w:val="20"/>
              </w:rPr>
            </w:pPr>
            <w:r w:rsidRPr="009A459B">
              <w:rPr>
                <w:sz w:val="20"/>
                <w:szCs w:val="20"/>
              </w:rPr>
              <w:t>31.7555</w:t>
            </w:r>
          </w:p>
        </w:tc>
      </w:tr>
      <w:tr w:rsidR="005A5DF0" w14:paraId="235169AA" w14:textId="77777777" w:rsidTr="009A459B">
        <w:trPr>
          <w:trHeight w:val="274"/>
        </w:trPr>
        <w:tc>
          <w:tcPr>
            <w:tcW w:w="1496" w:type="dxa"/>
          </w:tcPr>
          <w:p w14:paraId="5192FA20" w14:textId="28F1B61C" w:rsidR="005A5DF0" w:rsidRPr="009A459B" w:rsidRDefault="005566A2" w:rsidP="005A5DF0">
            <w:pPr>
              <w:pStyle w:val="ListParagraph"/>
              <w:ind w:left="0"/>
              <w:jc w:val="center"/>
              <w:rPr>
                <w:sz w:val="20"/>
                <w:szCs w:val="20"/>
              </w:rPr>
            </w:pPr>
            <w:r w:rsidRPr="009A459B">
              <w:rPr>
                <w:sz w:val="20"/>
                <w:szCs w:val="20"/>
              </w:rPr>
              <w:t>40,000</w:t>
            </w:r>
          </w:p>
        </w:tc>
        <w:tc>
          <w:tcPr>
            <w:tcW w:w="1529" w:type="dxa"/>
          </w:tcPr>
          <w:p w14:paraId="0E9272F9" w14:textId="42B9632A" w:rsidR="005A5DF0" w:rsidRPr="009A459B" w:rsidRDefault="005566A2" w:rsidP="005A5DF0">
            <w:pPr>
              <w:pStyle w:val="ListParagraph"/>
              <w:ind w:left="0"/>
              <w:jc w:val="center"/>
              <w:rPr>
                <w:sz w:val="20"/>
                <w:szCs w:val="20"/>
              </w:rPr>
            </w:pPr>
            <w:r w:rsidRPr="009A459B">
              <w:rPr>
                <w:sz w:val="20"/>
                <w:szCs w:val="20"/>
              </w:rPr>
              <w:t>59.2988</w:t>
            </w:r>
          </w:p>
        </w:tc>
      </w:tr>
      <w:bookmarkEnd w:id="0"/>
    </w:tbl>
    <w:p w14:paraId="2B14D79B" w14:textId="6D01FE3C" w:rsidR="005A5DF0" w:rsidRDefault="005A5DF0" w:rsidP="005A5DF0">
      <w:pPr>
        <w:pStyle w:val="ListParagraph"/>
        <w:ind w:left="2880"/>
      </w:pPr>
    </w:p>
    <w:p w14:paraId="34252FF6" w14:textId="336F3C94" w:rsidR="001D5302" w:rsidRDefault="008E4D2F" w:rsidP="008E4D2F">
      <w:pPr>
        <w:pStyle w:val="ListParagraph"/>
        <w:numPr>
          <w:ilvl w:val="1"/>
          <w:numId w:val="2"/>
        </w:numPr>
      </w:pPr>
      <w:r>
        <w:t xml:space="preserve">Data plot and </w:t>
      </w:r>
      <w:r w:rsidR="001D5302">
        <w:t>fit curve</w:t>
      </w:r>
    </w:p>
    <w:p w14:paraId="2431301D" w14:textId="77777777" w:rsidR="008209B0" w:rsidRDefault="009A459B" w:rsidP="009A459B">
      <w:r>
        <w:rPr>
          <w:noProof/>
        </w:rPr>
        <w:lastRenderedPageBreak/>
        <w:drawing>
          <wp:inline distT="0" distB="0" distL="0" distR="0" wp14:anchorId="53FF67E9" wp14:editId="070FE55A">
            <wp:extent cx="6319777" cy="2754775"/>
            <wp:effectExtent l="0" t="0" r="17780" b="13970"/>
            <wp:docPr id="1" name="Chart 1">
              <a:extLst xmlns:a="http://schemas.openxmlformats.org/drawingml/2006/main">
                <a:ext uri="{FF2B5EF4-FFF2-40B4-BE49-F238E27FC236}">
                  <a16:creationId xmlns:a16="http://schemas.microsoft.com/office/drawing/2014/main" id="{278D58A4-4191-F641-90FF-C2BD3B915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ECE711" w14:textId="77777777" w:rsidR="008209B0" w:rsidRDefault="008209B0" w:rsidP="009A459B"/>
    <w:p w14:paraId="4D73BBD0" w14:textId="0E0F81A2" w:rsidR="005D2D94" w:rsidRDefault="00755CFC" w:rsidP="009A459B">
      <w:r>
        <w:rPr>
          <w:noProof/>
        </w:rPr>
        <w:drawing>
          <wp:inline distT="0" distB="0" distL="0" distR="0" wp14:anchorId="192AA39F" wp14:editId="7CFF6CE6">
            <wp:extent cx="6319520" cy="2713990"/>
            <wp:effectExtent l="0" t="0" r="17780" b="16510"/>
            <wp:docPr id="3" name="Chart 3">
              <a:extLst xmlns:a="http://schemas.openxmlformats.org/drawingml/2006/main">
                <a:ext uri="{FF2B5EF4-FFF2-40B4-BE49-F238E27FC236}">
                  <a16:creationId xmlns:a16="http://schemas.microsoft.com/office/drawing/2014/main" id="{B8453B5D-C84E-3B48-ABA5-65D5E017F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8DA703" w14:textId="1CB6AF52" w:rsidR="00755CFC" w:rsidRDefault="00755CFC" w:rsidP="009A459B">
      <w:r>
        <w:tab/>
      </w:r>
    </w:p>
    <w:p w14:paraId="27709330" w14:textId="372096A3" w:rsidR="00755CFC" w:rsidRDefault="00755CFC" w:rsidP="009A459B">
      <w:pPr>
        <w:rPr>
          <w:rFonts w:eastAsiaTheme="minorEastAsia"/>
        </w:rPr>
      </w:pPr>
      <w:r>
        <w:tab/>
        <w:t xml:space="preserve">For merge sort, although the algorithm is </w:t>
      </w:r>
      <m:oMath>
        <m:r>
          <w:rPr>
            <w:rFonts w:ascii="Cambria Math" w:hAnsi="Cambria Math"/>
          </w:rPr>
          <m:t>O(nlogn)</m:t>
        </m:r>
      </m:oMath>
      <w:r>
        <w:t xml:space="preserve">, I was not able to get excel to </w:t>
      </w:r>
      <w:r w:rsidR="006630A1">
        <w:t xml:space="preserve">give me a correct logarithmic regression. </w:t>
      </w:r>
      <w:r w:rsidR="008209B0">
        <w:t>However,</w:t>
      </w:r>
      <w:r w:rsidR="006630A1">
        <w:t xml:space="preserve"> when plotting an </w:t>
      </w:r>
      <m:oMath>
        <m:r>
          <w:rPr>
            <w:rFonts w:ascii="Cambria Math" w:hAnsi="Cambria Math"/>
          </w:rPr>
          <m:t>nlog(n)</m:t>
        </m:r>
      </m:oMath>
      <w:r w:rsidR="006630A1">
        <w:rPr>
          <w:rFonts w:eastAsiaTheme="minorEastAsia"/>
        </w:rPr>
        <w:t xml:space="preserve"> graph in Desmos, the shape of the graph matches the data for merge sort extremely well. </w:t>
      </w:r>
    </w:p>
    <w:p w14:paraId="41B06C60" w14:textId="49A5539C" w:rsidR="006630A1" w:rsidRDefault="006630A1" w:rsidP="009A459B">
      <w:r>
        <w:rPr>
          <w:rFonts w:eastAsiaTheme="minorEastAsia"/>
        </w:rPr>
        <w:tab/>
        <w:t xml:space="preserve">For insertion sort, the data confirms that the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The equation of the regression is given in the plot. </w:t>
      </w:r>
    </w:p>
    <w:p w14:paraId="78D224A5" w14:textId="7150C65B" w:rsidR="001D5302" w:rsidRDefault="001D5302" w:rsidP="008E4D2F">
      <w:pPr>
        <w:pStyle w:val="ListParagraph"/>
        <w:numPr>
          <w:ilvl w:val="1"/>
          <w:numId w:val="2"/>
        </w:numPr>
      </w:pPr>
      <w:r>
        <w:t>Combined graph</w:t>
      </w:r>
    </w:p>
    <w:p w14:paraId="69B97AAF" w14:textId="6AD264CF" w:rsidR="00004F48" w:rsidRDefault="00004F48" w:rsidP="00004F48">
      <w:r>
        <w:rPr>
          <w:noProof/>
        </w:rPr>
        <w:lastRenderedPageBreak/>
        <w:drawing>
          <wp:inline distT="0" distB="0" distL="0" distR="0" wp14:anchorId="24724938" wp14:editId="579E5549">
            <wp:extent cx="5943600" cy="3086735"/>
            <wp:effectExtent l="0" t="0" r="12700" b="12065"/>
            <wp:docPr id="4" name="Chart 4">
              <a:extLst xmlns:a="http://schemas.openxmlformats.org/drawingml/2006/main">
                <a:ext uri="{FF2B5EF4-FFF2-40B4-BE49-F238E27FC236}">
                  <a16:creationId xmlns:a16="http://schemas.microsoft.com/office/drawing/2014/main" id="{5E84CD7A-DAB5-024A-86E2-4328BB57A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9EF389" w14:textId="5124FD85" w:rsidR="001D5302" w:rsidRDefault="001D5302" w:rsidP="008E4D2F">
      <w:pPr>
        <w:pStyle w:val="ListParagraph"/>
        <w:numPr>
          <w:ilvl w:val="1"/>
          <w:numId w:val="2"/>
        </w:numPr>
      </w:pPr>
      <w:r>
        <w:t>Prediction</w:t>
      </w:r>
    </w:p>
    <w:p w14:paraId="17DB5CDC" w14:textId="3C260A97" w:rsidR="008209B0" w:rsidRPr="008209B0" w:rsidRDefault="005A7A0F" w:rsidP="008209B0">
      <w:pPr>
        <w:rPr>
          <w:rFonts w:ascii="Times New Roman" w:eastAsia="Times New Roman" w:hAnsi="Times New Roman" w:cs="Times New Roman"/>
        </w:rPr>
      </w:pPr>
      <w:r>
        <w:t xml:space="preserve">Since my data includes </w:t>
      </w:r>
      <m:oMath>
        <m:r>
          <w:rPr>
            <w:rFonts w:ascii="Cambria Math" w:hAnsi="Cambria Math"/>
          </w:rPr>
          <m:t>n=500,000</m:t>
        </m:r>
      </m:oMath>
      <w:r>
        <w:rPr>
          <w:rFonts w:eastAsiaTheme="minorEastAsia"/>
        </w:rPr>
        <w:t xml:space="preserve"> for merge sort, I will be predicting the runtime for </w:t>
      </w:r>
      <m:oMath>
        <m:r>
          <w:rPr>
            <w:rFonts w:ascii="Cambria Math" w:eastAsiaTheme="minorEastAsia" w:hAnsi="Cambria Math"/>
          </w:rPr>
          <m:t>n=2,000,000</m:t>
        </m:r>
      </m:oMath>
      <w:r>
        <w:rPr>
          <w:rFonts w:eastAsiaTheme="minorEastAsia"/>
        </w:rPr>
        <w:t xml:space="preserve">. </w:t>
      </w:r>
      <w:r w:rsidR="008209B0">
        <w:rPr>
          <w:rFonts w:eastAsiaTheme="minorEastAsia"/>
        </w:rPr>
        <w:t xml:space="preserve">For merge sort, </w:t>
      </w:r>
      <w:r w:rsidR="008209B0" w:rsidRPr="008209B0">
        <w:rPr>
          <w:rFonts w:ascii="Times New Roman" w:eastAsia="Times New Roman" w:hAnsi="Times New Roman" w:cs="Times New Roman"/>
        </w:rPr>
        <w:fldChar w:fldCharType="begin"/>
      </w:r>
      <w:r w:rsidR="008209B0" w:rsidRPr="008209B0">
        <w:rPr>
          <w:rFonts w:ascii="Times New Roman" w:eastAsia="Times New Roman" w:hAnsi="Times New Roman" w:cs="Times New Roman"/>
        </w:rPr>
        <w:instrText xml:space="preserve"> INCLUDEPICTURE "/var/folders/3_/cb5dydvs6ld98k0337dk37200000gn/T/com.microsoft.Word/WebArchiveCopyPasteTempFiles/gif&amp;s=19" \* MERGEFORMATINET </w:instrText>
      </w:r>
      <w:r w:rsidR="008209B0" w:rsidRPr="008209B0">
        <w:rPr>
          <w:rFonts w:ascii="Times New Roman" w:eastAsia="Times New Roman" w:hAnsi="Times New Roman" w:cs="Times New Roman"/>
        </w:rPr>
        <w:fldChar w:fldCharType="separate"/>
      </w:r>
      <w:r w:rsidR="008209B0" w:rsidRPr="008209B0">
        <w:rPr>
          <w:rFonts w:ascii="Times New Roman" w:eastAsia="Times New Roman" w:hAnsi="Times New Roman" w:cs="Times New Roman"/>
          <w:noProof/>
        </w:rPr>
        <w:drawing>
          <wp:inline distT="0" distB="0" distL="0" distR="0" wp14:anchorId="49664F5E" wp14:editId="4B244826">
            <wp:extent cx="2233914" cy="144145"/>
            <wp:effectExtent l="0" t="0" r="1905" b="0"/>
            <wp:docPr id="5" name="Picture 5" descr="4×10^(-13)×2000000^2 + 5×10^(-6)×2000000 - 0.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0^(-13)×2000000^2 + 5×10^(-6)×2000000 - 0.02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206" cy="376392"/>
                    </a:xfrm>
                    <a:prstGeom prst="rect">
                      <a:avLst/>
                    </a:prstGeom>
                    <a:noFill/>
                    <a:ln>
                      <a:noFill/>
                    </a:ln>
                  </pic:spPr>
                </pic:pic>
              </a:graphicData>
            </a:graphic>
          </wp:inline>
        </w:drawing>
      </w:r>
      <w:r w:rsidR="008209B0" w:rsidRPr="008209B0">
        <w:rPr>
          <w:rFonts w:ascii="Times New Roman" w:eastAsia="Times New Roman" w:hAnsi="Times New Roman" w:cs="Times New Roman"/>
        </w:rPr>
        <w:fldChar w:fldCharType="end"/>
      </w:r>
      <w:r w:rsidR="008209B0">
        <w:rPr>
          <w:rFonts w:ascii="Times New Roman" w:eastAsia="Times New Roman" w:hAnsi="Times New Roman" w:cs="Times New Roman"/>
        </w:rPr>
        <w:t xml:space="preserve"> gives 11.5794 seconds. For insertion sort, </w:t>
      </w:r>
      <w:r w:rsidR="008209B0" w:rsidRPr="008209B0">
        <w:rPr>
          <w:rFonts w:ascii="Times New Roman" w:eastAsia="Times New Roman" w:hAnsi="Times New Roman" w:cs="Times New Roman"/>
        </w:rPr>
        <w:fldChar w:fldCharType="begin"/>
      </w:r>
      <w:r w:rsidR="008209B0" w:rsidRPr="008209B0">
        <w:rPr>
          <w:rFonts w:ascii="Times New Roman" w:eastAsia="Times New Roman" w:hAnsi="Times New Roman" w:cs="Times New Roman"/>
        </w:rPr>
        <w:instrText xml:space="preserve"> INCLUDEPICTURE "/var/folders/3_/cb5dydvs6ld98k0337dk37200000gn/T/com.microsoft.Word/WebArchiveCopyPasteTempFiles/gif&amp;s=4" \* MERGEFORMATINET </w:instrText>
      </w:r>
      <w:r w:rsidR="008209B0" w:rsidRPr="008209B0">
        <w:rPr>
          <w:rFonts w:ascii="Times New Roman" w:eastAsia="Times New Roman" w:hAnsi="Times New Roman" w:cs="Times New Roman"/>
        </w:rPr>
        <w:fldChar w:fldCharType="separate"/>
      </w:r>
      <w:r w:rsidR="008209B0" w:rsidRPr="008209B0">
        <w:rPr>
          <w:rFonts w:ascii="Times New Roman" w:eastAsia="Times New Roman" w:hAnsi="Times New Roman" w:cs="Times New Roman"/>
          <w:noProof/>
        </w:rPr>
        <w:drawing>
          <wp:inline distT="0" distB="0" distL="0" distR="0" wp14:anchorId="6D5603C4" wp14:editId="6CE45BAA">
            <wp:extent cx="2106295" cy="133109"/>
            <wp:effectExtent l="0" t="0" r="0" b="0"/>
            <wp:docPr id="6" name="Picture 6" descr="4×10^(-8)×2000000^2 - 1×10^(-4)×2000000 + 0.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0^(-8)×2000000^2 - 1×10^(-4)×2000000 + 0.17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995" cy="457727"/>
                    </a:xfrm>
                    <a:prstGeom prst="rect">
                      <a:avLst/>
                    </a:prstGeom>
                    <a:noFill/>
                    <a:ln>
                      <a:noFill/>
                    </a:ln>
                  </pic:spPr>
                </pic:pic>
              </a:graphicData>
            </a:graphic>
          </wp:inline>
        </w:drawing>
      </w:r>
      <w:r w:rsidR="008209B0" w:rsidRPr="008209B0">
        <w:rPr>
          <w:rFonts w:ascii="Times New Roman" w:eastAsia="Times New Roman" w:hAnsi="Times New Roman" w:cs="Times New Roman"/>
        </w:rPr>
        <w:fldChar w:fldCharType="end"/>
      </w:r>
      <w:r w:rsidR="008209B0">
        <w:rPr>
          <w:rFonts w:ascii="Times New Roman" w:eastAsia="Times New Roman" w:hAnsi="Times New Roman" w:cs="Times New Roman"/>
        </w:rPr>
        <w:t xml:space="preserve"> gives </w:t>
      </w:r>
      <w:r w:rsidR="008209B0" w:rsidRPr="008209B0">
        <w:rPr>
          <w:rFonts w:ascii="Times New Roman" w:eastAsia="Times New Roman" w:hAnsi="Times New Roman" w:cs="Times New Roman"/>
        </w:rPr>
        <w:t>159800.1706</w:t>
      </w:r>
      <w:r w:rsidR="008209B0">
        <w:rPr>
          <w:rFonts w:ascii="Times New Roman" w:eastAsia="Times New Roman" w:hAnsi="Times New Roman" w:cs="Times New Roman"/>
        </w:rPr>
        <w:t xml:space="preserve"> seconds, approximately 2 days.</w:t>
      </w:r>
    </w:p>
    <w:p w14:paraId="131EBEF2" w14:textId="558611B4" w:rsidR="005A7A0F" w:rsidRPr="008209B0" w:rsidRDefault="005A7A0F" w:rsidP="008209B0">
      <w:pPr>
        <w:rPr>
          <w:rFonts w:ascii="Times New Roman" w:eastAsia="Times New Roman" w:hAnsi="Times New Roman" w:cs="Times New Roman"/>
        </w:rPr>
      </w:pPr>
    </w:p>
    <w:p w14:paraId="3C59FE2D" w14:textId="4BD60488" w:rsidR="008E4D2F" w:rsidRPr="008E4D2F" w:rsidRDefault="003C65C8" w:rsidP="001D5302">
      <w:r>
        <w:t xml:space="preserve">  </w:t>
      </w:r>
      <w:r w:rsidR="008E4D2F">
        <w:t xml:space="preserve"> </w:t>
      </w:r>
    </w:p>
    <w:sectPr w:rsidR="008E4D2F" w:rsidRPr="008E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03DB"/>
    <w:multiLevelType w:val="hybridMultilevel"/>
    <w:tmpl w:val="E480C89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22378"/>
    <w:multiLevelType w:val="hybridMultilevel"/>
    <w:tmpl w:val="90A46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F"/>
    <w:rsid w:val="00004F48"/>
    <w:rsid w:val="001D5302"/>
    <w:rsid w:val="001E3F49"/>
    <w:rsid w:val="001E5EED"/>
    <w:rsid w:val="003C65C8"/>
    <w:rsid w:val="005566A2"/>
    <w:rsid w:val="005A5DF0"/>
    <w:rsid w:val="005A7A0F"/>
    <w:rsid w:val="005D2D94"/>
    <w:rsid w:val="006630A1"/>
    <w:rsid w:val="00755CFC"/>
    <w:rsid w:val="008209B0"/>
    <w:rsid w:val="008C6CE2"/>
    <w:rsid w:val="008E4D2F"/>
    <w:rsid w:val="008E5EC2"/>
    <w:rsid w:val="0092552A"/>
    <w:rsid w:val="009A459B"/>
    <w:rsid w:val="00A26004"/>
    <w:rsid w:val="00BE671D"/>
    <w:rsid w:val="00C2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5813A"/>
  <w15:chartTrackingRefBased/>
  <w15:docId w15:val="{ADA5CAE5-7747-F744-90BC-980B4B1E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2F"/>
    <w:pPr>
      <w:ind w:left="720"/>
      <w:contextualSpacing/>
    </w:pPr>
  </w:style>
  <w:style w:type="table" w:styleId="TableGrid">
    <w:name w:val="Table Grid"/>
    <w:basedOn w:val="TableNormal"/>
    <w:uiPriority w:val="39"/>
    <w:rsid w:val="00BE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30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1232">
      <w:bodyDiv w:val="1"/>
      <w:marLeft w:val="0"/>
      <w:marRight w:val="0"/>
      <w:marTop w:val="0"/>
      <w:marBottom w:val="0"/>
      <w:divBdr>
        <w:top w:val="none" w:sz="0" w:space="0" w:color="auto"/>
        <w:left w:val="none" w:sz="0" w:space="0" w:color="auto"/>
        <w:bottom w:val="none" w:sz="0" w:space="0" w:color="auto"/>
        <w:right w:val="none" w:sz="0" w:space="0" w:color="auto"/>
      </w:divBdr>
    </w:div>
    <w:div w:id="1518618754">
      <w:bodyDiv w:val="1"/>
      <w:marLeft w:val="0"/>
      <w:marRight w:val="0"/>
      <w:marTop w:val="0"/>
      <w:marBottom w:val="0"/>
      <w:divBdr>
        <w:top w:val="none" w:sz="0" w:space="0" w:color="auto"/>
        <w:left w:val="none" w:sz="0" w:space="0" w:color="auto"/>
        <w:bottom w:val="none" w:sz="0" w:space="0" w:color="auto"/>
        <w:right w:val="none" w:sz="0" w:space="0" w:color="auto"/>
      </w:divBdr>
    </w:div>
    <w:div w:id="16374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Merge Sort</a:t>
            </a:r>
            <a:r>
              <a:rPr lang="en-US" baseline="0"/>
              <a:t> Runtime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c:f>
              <c:strCache>
                <c:ptCount val="1"/>
                <c:pt idx="0">
                  <c:v>Runtime (s)</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22225" cap="rnd">
                <a:solidFill>
                  <a:schemeClr val="accent1"/>
                </a:solidFill>
              </a:ln>
              <a:effectLst/>
            </c:spPr>
            <c:trendlineType val="poly"/>
            <c:order val="2"/>
            <c:dispRSqr val="1"/>
            <c:dispEq val="1"/>
            <c:trendlineLbl>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1100" baseline="0"/>
                      <a:t>y = 4E-13x2 + 5E-06x - 0.0206</a:t>
                    </a:r>
                    <a:br>
                      <a:rPr lang="en-US" sz="1100" baseline="0"/>
                    </a:br>
                    <a:r>
                      <a:rPr lang="en-US" sz="1100" baseline="0"/>
                      <a:t>R² = 0.9997 </a:t>
                    </a:r>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Sheet1!$B$6:$B$15</c:f>
              <c:numCache>
                <c:formatCode>General</c:formatCode>
                <c:ptCount val="10"/>
                <c:pt idx="0">
                  <c:v>100</c:v>
                </c:pt>
                <c:pt idx="1">
                  <c:v>500</c:v>
                </c:pt>
                <c:pt idx="2" formatCode="#,##0">
                  <c:v>1000</c:v>
                </c:pt>
                <c:pt idx="3" formatCode="#,##0">
                  <c:v>5000</c:v>
                </c:pt>
                <c:pt idx="4" formatCode="#,##0">
                  <c:v>10000</c:v>
                </c:pt>
                <c:pt idx="5" formatCode="#,##0">
                  <c:v>50000</c:v>
                </c:pt>
                <c:pt idx="6" formatCode="#,##0">
                  <c:v>100000</c:v>
                </c:pt>
                <c:pt idx="7" formatCode="#,##0">
                  <c:v>200000</c:v>
                </c:pt>
                <c:pt idx="8" formatCode="#,##0">
                  <c:v>500000</c:v>
                </c:pt>
                <c:pt idx="9" formatCode="#,##0">
                  <c:v>1000000</c:v>
                </c:pt>
              </c:numCache>
            </c:numRef>
          </c:xVal>
          <c:yVal>
            <c:numRef>
              <c:f>Sheet1!$C$6:$C$15</c:f>
              <c:numCache>
                <c:formatCode>General</c:formatCode>
                <c:ptCount val="10"/>
                <c:pt idx="0">
                  <c:v>8.9999999999999998E-4</c:v>
                </c:pt>
                <c:pt idx="1">
                  <c:v>2.2000000000000001E-3</c:v>
                </c:pt>
                <c:pt idx="2">
                  <c:v>3.8999999999999998E-3</c:v>
                </c:pt>
                <c:pt idx="3">
                  <c:v>1.83E-2</c:v>
                </c:pt>
                <c:pt idx="4">
                  <c:v>3.8699999999999998E-2</c:v>
                </c:pt>
                <c:pt idx="5">
                  <c:v>0.22520000000000001</c:v>
                </c:pt>
                <c:pt idx="6">
                  <c:v>0.4763</c:v>
                </c:pt>
                <c:pt idx="7">
                  <c:v>1.0130999999999999</c:v>
                </c:pt>
                <c:pt idx="8">
                  <c:v>2.8180999999999998</c:v>
                </c:pt>
                <c:pt idx="9">
                  <c:v>5.7428999999999997</c:v>
                </c:pt>
              </c:numCache>
            </c:numRef>
          </c:yVal>
          <c:smooth val="0"/>
          <c:extLst>
            <c:ext xmlns:c16="http://schemas.microsoft.com/office/drawing/2014/chart" uri="{C3380CC4-5D6E-409C-BE32-E72D297353CC}">
              <c16:uniqueId val="{00000001-59A2-6B4A-97E7-2FFC83C3B1AB}"/>
            </c:ext>
          </c:extLst>
        </c:ser>
        <c:dLbls>
          <c:showLegendKey val="0"/>
          <c:showVal val="0"/>
          <c:showCatName val="0"/>
          <c:showSerName val="0"/>
          <c:showPercent val="0"/>
          <c:showBubbleSize val="0"/>
        </c:dLbls>
        <c:axId val="207974560"/>
        <c:axId val="207976208"/>
      </c:scatterChart>
      <c:valAx>
        <c:axId val="20797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7976208"/>
        <c:crosses val="autoZero"/>
        <c:crossBetween val="midCat"/>
      </c:valAx>
      <c:valAx>
        <c:axId val="20797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456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Sheet1!$C$38:$C$39</c:f>
              <c:strCache>
                <c:ptCount val="2"/>
                <c:pt idx="0">
                  <c:v>Insertion Sort</c:v>
                </c:pt>
                <c:pt idx="1">
                  <c:v>Runtime (s)</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22225" cap="rnd">
                <a:solidFill>
                  <a:schemeClr val="accent1"/>
                </a:solidFill>
              </a:ln>
              <a:effectLst/>
            </c:spPr>
            <c:trendlineType val="poly"/>
            <c:order val="2"/>
            <c:dispRSqr val="1"/>
            <c:dispEq val="1"/>
            <c:trendlineLbl>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1100" baseline="0"/>
                      <a:t>y = 4E-08x</a:t>
                    </a:r>
                    <a:r>
                      <a:rPr lang="en-US" sz="1100" baseline="30000"/>
                      <a:t>2</a:t>
                    </a:r>
                    <a:r>
                      <a:rPr lang="en-US" sz="1100" baseline="0"/>
                      <a:t> - 1E-04x + 0.1706</a:t>
                    </a:r>
                    <a:br>
                      <a:rPr lang="en-US" sz="1100" baseline="0"/>
                    </a:br>
                    <a:r>
                      <a:rPr lang="en-US" sz="1100" baseline="0"/>
                      <a:t>R² = 0.9997</a:t>
                    </a:r>
                    <a:endParaRPr lang="en-US" sz="1100"/>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Sheet1!$B$40:$B$49</c:f>
              <c:numCache>
                <c:formatCode>General</c:formatCode>
                <c:ptCount val="10"/>
                <c:pt idx="0">
                  <c:v>100</c:v>
                </c:pt>
                <c:pt idx="1">
                  <c:v>500</c:v>
                </c:pt>
                <c:pt idx="2" formatCode="#,##0">
                  <c:v>1000</c:v>
                </c:pt>
                <c:pt idx="3" formatCode="#,##0">
                  <c:v>1500</c:v>
                </c:pt>
                <c:pt idx="4" formatCode="#,##0">
                  <c:v>2000</c:v>
                </c:pt>
                <c:pt idx="5" formatCode="#,##0">
                  <c:v>5000</c:v>
                </c:pt>
                <c:pt idx="6" formatCode="#,##0">
                  <c:v>10000</c:v>
                </c:pt>
                <c:pt idx="7" formatCode="#,##0">
                  <c:v>20000</c:v>
                </c:pt>
                <c:pt idx="8" formatCode="#,##0">
                  <c:v>30000</c:v>
                </c:pt>
                <c:pt idx="9" formatCode="#,##0">
                  <c:v>40000</c:v>
                </c:pt>
              </c:numCache>
            </c:numRef>
          </c:xVal>
          <c:yVal>
            <c:numRef>
              <c:f>Sheet1!$C$40:$C$49</c:f>
              <c:numCache>
                <c:formatCode>General</c:formatCode>
                <c:ptCount val="10"/>
                <c:pt idx="0">
                  <c:v>1.4E-3</c:v>
                </c:pt>
                <c:pt idx="1">
                  <c:v>1.17E-2</c:v>
                </c:pt>
                <c:pt idx="2">
                  <c:v>4.1000000000000002E-2</c:v>
                </c:pt>
                <c:pt idx="3">
                  <c:v>9.1700000000000004E-2</c:v>
                </c:pt>
                <c:pt idx="4">
                  <c:v>0.14799999999999999</c:v>
                </c:pt>
                <c:pt idx="5">
                  <c:v>0.89590000000000003</c:v>
                </c:pt>
                <c:pt idx="6">
                  <c:v>3.4306000000000001</c:v>
                </c:pt>
                <c:pt idx="7">
                  <c:v>14.1836</c:v>
                </c:pt>
                <c:pt idx="8">
                  <c:v>31.755500000000001</c:v>
                </c:pt>
                <c:pt idx="9">
                  <c:v>59.2988</c:v>
                </c:pt>
              </c:numCache>
            </c:numRef>
          </c:yVal>
          <c:smooth val="0"/>
          <c:extLst>
            <c:ext xmlns:c16="http://schemas.microsoft.com/office/drawing/2014/chart" uri="{C3380CC4-5D6E-409C-BE32-E72D297353CC}">
              <c16:uniqueId val="{00000001-20C5-DB4B-BE0E-18423EA0B107}"/>
            </c:ext>
          </c:extLst>
        </c:ser>
        <c:dLbls>
          <c:showLegendKey val="0"/>
          <c:showVal val="0"/>
          <c:showCatName val="0"/>
          <c:showSerName val="0"/>
          <c:showPercent val="0"/>
          <c:showBubbleSize val="0"/>
        </c:dLbls>
        <c:axId val="289246096"/>
        <c:axId val="289247744"/>
      </c:scatterChart>
      <c:valAx>
        <c:axId val="28924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Elements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89247744"/>
        <c:crosses val="autoZero"/>
        <c:crossBetween val="midCat"/>
      </c:valAx>
      <c:valAx>
        <c:axId val="28924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24609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and Insertion</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Sheet1!$C$17:$C$18</c:f>
              <c:strCache>
                <c:ptCount val="2"/>
                <c:pt idx="0">
                  <c:v>Merge Sort Log</c:v>
                </c:pt>
                <c:pt idx="1">
                  <c:v>log(runtime)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Sheet1!$B$19:$B$28</c:f>
              <c:numCache>
                <c:formatCode>General</c:formatCode>
                <c:ptCount val="10"/>
                <c:pt idx="0">
                  <c:v>2</c:v>
                </c:pt>
                <c:pt idx="1">
                  <c:v>2.6989700043360187</c:v>
                </c:pt>
                <c:pt idx="2">
                  <c:v>3</c:v>
                </c:pt>
                <c:pt idx="3">
                  <c:v>3.6989700043360187</c:v>
                </c:pt>
                <c:pt idx="4">
                  <c:v>4</c:v>
                </c:pt>
                <c:pt idx="5">
                  <c:v>4.6989700043360187</c:v>
                </c:pt>
                <c:pt idx="6">
                  <c:v>5</c:v>
                </c:pt>
                <c:pt idx="7">
                  <c:v>5.3010299956639813</c:v>
                </c:pt>
                <c:pt idx="8">
                  <c:v>5.6989700043360187</c:v>
                </c:pt>
                <c:pt idx="9">
                  <c:v>6</c:v>
                </c:pt>
              </c:numCache>
            </c:numRef>
          </c:xVal>
          <c:yVal>
            <c:numRef>
              <c:f>Sheet1!$C$19:$C$28</c:f>
              <c:numCache>
                <c:formatCode>General</c:formatCode>
                <c:ptCount val="10"/>
                <c:pt idx="0">
                  <c:v>-3.0457574905606752</c:v>
                </c:pt>
                <c:pt idx="1">
                  <c:v>-2.6575773191777938</c:v>
                </c:pt>
                <c:pt idx="2">
                  <c:v>-2.4089353929735009</c:v>
                </c:pt>
                <c:pt idx="3">
                  <c:v>-1.7375489102695705</c:v>
                </c:pt>
                <c:pt idx="4">
                  <c:v>-1.4122890349810886</c:v>
                </c:pt>
                <c:pt idx="5">
                  <c:v>-0.64743161382069137</c:v>
                </c:pt>
                <c:pt idx="6">
                  <c:v>-0.32211941848840953</c:v>
                </c:pt>
                <c:pt idx="7">
                  <c:v>5.6523153550739154E-3</c:v>
                </c:pt>
                <c:pt idx="8">
                  <c:v>0.44995639994354214</c:v>
                </c:pt>
                <c:pt idx="9">
                  <c:v>0.75913125406171622</c:v>
                </c:pt>
              </c:numCache>
            </c:numRef>
          </c:yVal>
          <c:smooth val="0"/>
          <c:extLst>
            <c:ext xmlns:c16="http://schemas.microsoft.com/office/drawing/2014/chart" uri="{C3380CC4-5D6E-409C-BE32-E72D297353CC}">
              <c16:uniqueId val="{00000000-8930-044A-858A-506B1893D502}"/>
            </c:ext>
          </c:extLst>
        </c:ser>
        <c:ser>
          <c:idx val="1"/>
          <c:order val="1"/>
          <c:tx>
            <c:strRef>
              <c:f>Sheet1!$B$51</c:f>
              <c:strCache>
                <c:ptCount val="1"/>
                <c:pt idx="0">
                  <c:v>Insertion Sort Log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Sheet1!$B$53:$B$62</c:f>
              <c:numCache>
                <c:formatCode>General</c:formatCode>
                <c:ptCount val="10"/>
                <c:pt idx="0">
                  <c:v>2</c:v>
                </c:pt>
                <c:pt idx="1">
                  <c:v>2.6989700043360187</c:v>
                </c:pt>
                <c:pt idx="2">
                  <c:v>3</c:v>
                </c:pt>
                <c:pt idx="3">
                  <c:v>3.1760912590556813</c:v>
                </c:pt>
                <c:pt idx="4">
                  <c:v>3.3010299956639813</c:v>
                </c:pt>
                <c:pt idx="5">
                  <c:v>3.6989700043360187</c:v>
                </c:pt>
                <c:pt idx="6">
                  <c:v>4</c:v>
                </c:pt>
                <c:pt idx="7">
                  <c:v>4.3010299956639813</c:v>
                </c:pt>
                <c:pt idx="8">
                  <c:v>4.4771212547196626</c:v>
                </c:pt>
                <c:pt idx="9">
                  <c:v>4.6020599913279625</c:v>
                </c:pt>
              </c:numCache>
            </c:numRef>
          </c:xVal>
          <c:yVal>
            <c:numRef>
              <c:f>Sheet1!$C$53:$C$62</c:f>
              <c:numCache>
                <c:formatCode>General</c:formatCode>
                <c:ptCount val="10"/>
                <c:pt idx="0">
                  <c:v>-2.8538719643217618</c:v>
                </c:pt>
                <c:pt idx="1">
                  <c:v>-1.9318141382538383</c:v>
                </c:pt>
                <c:pt idx="2">
                  <c:v>-1.3872161432802645</c:v>
                </c:pt>
                <c:pt idx="3">
                  <c:v>-1.0376306643299789</c:v>
                </c:pt>
                <c:pt idx="4">
                  <c:v>-0.82973828460504262</c:v>
                </c:pt>
                <c:pt idx="5">
                  <c:v>-4.7740463409179451E-2</c:v>
                </c:pt>
                <c:pt idx="6">
                  <c:v>0.53537008327916569</c:v>
                </c:pt>
                <c:pt idx="7">
                  <c:v>1.1517864749728461</c:v>
                </c:pt>
                <c:pt idx="8">
                  <c:v>1.5018189552275549</c:v>
                </c:pt>
                <c:pt idx="9">
                  <c:v>1.7730459048541207</c:v>
                </c:pt>
              </c:numCache>
            </c:numRef>
          </c:yVal>
          <c:smooth val="0"/>
          <c:extLst>
            <c:ext xmlns:c16="http://schemas.microsoft.com/office/drawing/2014/chart" uri="{C3380CC4-5D6E-409C-BE32-E72D297353CC}">
              <c16:uniqueId val="{00000001-8930-044A-858A-506B1893D502}"/>
            </c:ext>
          </c:extLst>
        </c:ser>
        <c:dLbls>
          <c:showLegendKey val="0"/>
          <c:showVal val="0"/>
          <c:showCatName val="0"/>
          <c:showSerName val="0"/>
          <c:showPercent val="0"/>
          <c:showBubbleSize val="0"/>
        </c:dLbls>
        <c:axId val="1199592831"/>
        <c:axId val="1199888495"/>
      </c:scatterChart>
      <c:valAx>
        <c:axId val="1199592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888495"/>
        <c:crosses val="autoZero"/>
        <c:crossBetween val="midCat"/>
      </c:valAx>
      <c:valAx>
        <c:axId val="119988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928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Moncada, Emmanuel Fernando</dc:creator>
  <cp:keywords/>
  <dc:description/>
  <cp:lastModifiedBy>Moncada, Emmanuel Fernando</cp:lastModifiedBy>
  <cp:revision>4</cp:revision>
  <dcterms:created xsi:type="dcterms:W3CDTF">2022-01-07T06:02:00Z</dcterms:created>
  <dcterms:modified xsi:type="dcterms:W3CDTF">2022-01-15T06:46:00Z</dcterms:modified>
</cp:coreProperties>
</file>