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1224" w:rsidRPr="00D61224" w:rsidTr="00D61224">
        <w:trPr>
          <w:trHeight w:val="720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Y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-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D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U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-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O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1224" w:rsidRPr="00D61224" w:rsidRDefault="00D61224" w:rsidP="00D61224">
            <w:pPr>
              <w:jc w:val="center"/>
              <w:rPr>
                <w:sz w:val="44"/>
              </w:rPr>
            </w:pPr>
            <w:r w:rsidRPr="00D61224">
              <w:rPr>
                <w:sz w:val="44"/>
              </w:rPr>
              <w:t>T</w:t>
            </w:r>
          </w:p>
        </w:tc>
      </w:tr>
    </w:tbl>
    <w:p w:rsidR="00CE4977" w:rsidRDefault="0068441B" w:rsidP="001208BA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-1015365</wp:posOffset>
            </wp:positionV>
            <wp:extent cx="521970" cy="520700"/>
            <wp:effectExtent l="0" t="0" r="0" b="0"/>
            <wp:wrapNone/>
            <wp:docPr id="9" name="Picture 9" descr="C:\Users\ibath\AppData\Local\Microsoft\Windows\INetCache\Content.Word\Di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ath\AppData\Local\Microsoft\Windows\INetCache\Content.Word\Die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-287761</wp:posOffset>
            </wp:positionV>
            <wp:extent cx="520700" cy="520700"/>
            <wp:effectExtent l="0" t="0" r="0" b="0"/>
            <wp:wrapNone/>
            <wp:docPr id="10" name="Picture 10" descr="C:\Users\ibath\AppData\Local\Microsoft\Windows\INetCache\Content.Word\Di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th\AppData\Local\Microsoft\Windows\INetCache\Content.Word\Die 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-359118</wp:posOffset>
            </wp:positionV>
            <wp:extent cx="520700" cy="520700"/>
            <wp:effectExtent l="0" t="0" r="0" b="0"/>
            <wp:wrapNone/>
            <wp:docPr id="7" name="Picture 7" descr="C:\Users\ibath\AppData\Local\Microsoft\Windows\INetCache\Content.Word\Di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bath\AppData\Local\Microsoft\Windows\INetCache\Content.Word\Die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-1028065</wp:posOffset>
            </wp:positionV>
            <wp:extent cx="523875" cy="523875"/>
            <wp:effectExtent l="0" t="0" r="9525" b="9525"/>
            <wp:wrapNone/>
            <wp:docPr id="6" name="Picture 6" descr="C:\Users\ibath\AppData\Local\Microsoft\Windows\INetCache\Content.Word\Di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ath\AppData\Local\Microsoft\Windows\INetCache\Content.Word\Die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08BA" w:rsidRDefault="0068441B" w:rsidP="00E157C7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166897</wp:posOffset>
            </wp:positionV>
            <wp:extent cx="520065" cy="520700"/>
            <wp:effectExtent l="0" t="0" r="0" b="0"/>
            <wp:wrapNone/>
            <wp:docPr id="11" name="Picture 11" descr="C:\Users\ibath\AppData\Local\Microsoft\Windows\INetCache\Content.Word\Di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ath\AppData\Local\Microsoft\Windows\INetCache\Content.Word\Die 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-715</wp:posOffset>
            </wp:positionH>
            <wp:positionV relativeFrom="paragraph">
              <wp:posOffset>104329</wp:posOffset>
            </wp:positionV>
            <wp:extent cx="520700" cy="520700"/>
            <wp:effectExtent l="0" t="0" r="0" b="0"/>
            <wp:wrapNone/>
            <wp:docPr id="8" name="Picture 8" descr="C:\Users\ibath\AppData\Local\Microsoft\Windows\INetCache\Content.Word\Di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ath\AppData\Local\Microsoft\Windows\INetCache\Content.Word\Die 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7C7">
        <w:rPr>
          <w:sz w:val="28"/>
        </w:rPr>
        <w:t>UML Class Design</w:t>
      </w:r>
    </w:p>
    <w:p w:rsidR="001208BA" w:rsidRDefault="001208BA" w:rsidP="001208BA">
      <w:pPr>
        <w:jc w:val="center"/>
        <w:rPr>
          <w:sz w:val="28"/>
        </w:rPr>
      </w:pPr>
      <w:r>
        <w:rPr>
          <w:sz w:val="28"/>
        </w:rPr>
        <w:t xml:space="preserve">Erik Fox, Max McKee, Will </w:t>
      </w:r>
      <w:proofErr w:type="spellStart"/>
      <w:r>
        <w:rPr>
          <w:sz w:val="28"/>
        </w:rPr>
        <w:t>Fraisl</w:t>
      </w:r>
      <w:proofErr w:type="spellEnd"/>
    </w:p>
    <w:p w:rsidR="00595CB8" w:rsidRDefault="00595CB8" w:rsidP="001208BA">
      <w:pPr>
        <w:jc w:val="center"/>
        <w:rPr>
          <w:sz w:val="28"/>
        </w:rPr>
      </w:pPr>
    </w:p>
    <w:p w:rsidR="00595CB8" w:rsidRPr="00DD14F5" w:rsidRDefault="006A2C76" w:rsidP="00595CB8">
      <w:pPr>
        <w:rPr>
          <w:rFonts w:ascii="Franklin Gothic Book" w:hAnsi="Franklin Gothic Book"/>
          <w:color w:val="2E74B5" w:themeColor="accent5" w:themeShade="BF"/>
          <w:sz w:val="36"/>
        </w:rPr>
      </w:pPr>
      <w:r w:rsidRPr="00DD14F5">
        <w:rPr>
          <w:rFonts w:ascii="Franklin Gothic Book" w:hAnsi="Franklin Gothic Book"/>
          <w:b/>
          <w:color w:val="2E74B5" w:themeColor="accent5" w:themeShade="BF"/>
          <w:sz w:val="36"/>
        </w:rPr>
        <w:t>Design Pattern</w:t>
      </w:r>
    </w:p>
    <w:p w:rsidR="00DD14F5" w:rsidRDefault="00566FA9" w:rsidP="00595CB8">
      <w:r>
        <w:t>We are approaching the design of this game using the Model-View-Controller design pattern. This design pattern lends itself to UI/UX projects, and fits Yah-du-</w:t>
      </w:r>
      <w:proofErr w:type="spellStart"/>
      <w:r>
        <w:t>ot</w:t>
      </w:r>
      <w:proofErr w:type="spellEnd"/>
      <w:r>
        <w:t xml:space="preserve"> well. </w:t>
      </w:r>
      <w:r w:rsidR="003E0C20">
        <w:t>Yah-du-</w:t>
      </w:r>
      <w:proofErr w:type="spellStart"/>
      <w:r w:rsidR="003E0C20">
        <w:t>ot</w:t>
      </w:r>
      <w:proofErr w:type="spellEnd"/>
      <w:r w:rsidR="003E0C20">
        <w:t xml:space="preserve"> is a traditional </w:t>
      </w:r>
      <w:r w:rsidR="00AC2772">
        <w:t>style board game designed for a computer. Like most traditional style board games, Yah-du-</w:t>
      </w:r>
      <w:proofErr w:type="spellStart"/>
      <w:r w:rsidR="00AC2772">
        <w:t>ot</w:t>
      </w:r>
      <w:proofErr w:type="spellEnd"/>
      <w:r w:rsidR="00AC2772">
        <w:t xml:space="preserve"> t</w:t>
      </w:r>
      <w:r>
        <w:t xml:space="preserve"> is </w:t>
      </w:r>
      <w:r w:rsidR="00AC2772">
        <w:t xml:space="preserve">at its core </w:t>
      </w:r>
      <w:r>
        <w:t xml:space="preserve">based around data being manipulated, and having the </w:t>
      </w:r>
      <w:r w:rsidR="00AC2772">
        <w:t>play-space reflect those changes. Certain combinations of data and user selection determine a winner. We have chosen the Model-View-Controller so that we can separate the data (the model), the play-space (the view), and the user in</w:t>
      </w:r>
      <w:r w:rsidR="00373FEC">
        <w:t>put (the controller) eloquently. Additionally, this will help us pursue alternate design choices for parts of the program without affecting other parts.</w:t>
      </w:r>
    </w:p>
    <w:p w:rsidR="002F62DF" w:rsidRDefault="002F62DF">
      <w:pPr>
        <w:rPr>
          <w:rFonts w:ascii="Franklin Gothic Book" w:hAnsi="Franklin Gothic Book"/>
          <w:b/>
          <w:color w:val="2E74B5" w:themeColor="accent5" w:themeShade="BF"/>
          <w:sz w:val="36"/>
        </w:rPr>
      </w:pPr>
      <w:r>
        <w:rPr>
          <w:rFonts w:ascii="Franklin Gothic Book" w:hAnsi="Franklin Gothic Book"/>
          <w:b/>
          <w:color w:val="2E74B5" w:themeColor="accent5" w:themeShade="BF"/>
          <w:sz w:val="36"/>
        </w:rPr>
        <w:br w:type="page"/>
      </w:r>
    </w:p>
    <w:p w:rsidR="00DD14F5" w:rsidRPr="00E157C7" w:rsidRDefault="00E157C7" w:rsidP="00595CB8">
      <w:pPr>
        <w:rPr>
          <w:rFonts w:ascii="Franklin Gothic Book" w:hAnsi="Franklin Gothic Book"/>
          <w:b/>
          <w:color w:val="2E74B5" w:themeColor="accent5" w:themeShade="BF"/>
          <w:sz w:val="36"/>
        </w:rPr>
      </w:pPr>
      <w:r>
        <w:rPr>
          <w:rFonts w:ascii="Franklin Gothic Book" w:hAnsi="Franklin Gothic Book"/>
          <w:b/>
          <w:color w:val="2E74B5" w:themeColor="accent5" w:themeShade="BF"/>
          <w:sz w:val="36"/>
        </w:rPr>
        <w:lastRenderedPageBreak/>
        <w:t>Classes</w:t>
      </w:r>
    </w:p>
    <w:p w:rsidR="00E157C7" w:rsidRDefault="00E157C7" w:rsidP="00595CB8">
      <w:pPr>
        <w:rPr>
          <w:rFonts w:ascii="Franklin Gothic Book" w:hAnsi="Franklin Gothic Book"/>
          <w:b/>
          <w:sz w:val="20"/>
        </w:rPr>
      </w:pPr>
      <w:r>
        <w:rPr>
          <w:rFonts w:ascii="Franklin Gothic Book" w:hAnsi="Franklin Gothic Book"/>
          <w:b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3924035</wp:posOffset>
            </wp:positionH>
            <wp:positionV relativeFrom="paragraph">
              <wp:posOffset>4858</wp:posOffset>
            </wp:positionV>
            <wp:extent cx="2771775" cy="4114800"/>
            <wp:effectExtent l="0" t="0" r="9525" b="0"/>
            <wp:wrapNone/>
            <wp:docPr id="4" name="Picture 4" descr="C:\Users\ibath\AppData\Local\Microsoft\Windows\INetCache\Content.Word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ath\AppData\Local\Microsoft\Windows\INetCache\Content.Word\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4F5" w:rsidRPr="00DD14F5">
        <w:rPr>
          <w:rFonts w:ascii="Franklin Gothic Book" w:hAnsi="Franklin Gothic Book"/>
          <w:b/>
          <w:sz w:val="32"/>
        </w:rPr>
        <w:t>Controller</w:t>
      </w:r>
    </w:p>
    <w:p w:rsidR="00BE7487" w:rsidRPr="00E157C7" w:rsidRDefault="0083532D" w:rsidP="00595CB8">
      <w:pPr>
        <w:rPr>
          <w:rFonts w:ascii="Franklin Gothic Book" w:hAnsi="Franklin Gothic Book"/>
          <w:b/>
          <w:sz w:val="20"/>
        </w:rPr>
      </w:pPr>
      <w:r>
        <w:object w:dxaOrig="3653" w:dyaOrig="2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82.5pt;height:136.8pt" o:ole="">
            <v:imagedata r:id="rId12" o:title=""/>
          </v:shape>
          <o:OLEObject Type="Embed" ProgID="Visio.Drawing.15" ShapeID="_x0000_i1088" DrawAspect="Content" ObjectID="_1551817130" r:id="rId13"/>
        </w:object>
      </w:r>
    </w:p>
    <w:p w:rsidR="00087AEF" w:rsidRDefault="00087AEF" w:rsidP="00595CB8">
      <w:r>
        <w:t xml:space="preserve">This is the main class of the program. This class will handle </w:t>
      </w:r>
    </w:p>
    <w:p w:rsidR="00087AEF" w:rsidRDefault="00087AEF" w:rsidP="00595CB8">
      <w:r>
        <w:t xml:space="preserve">user input and pass data between the model and the view. </w:t>
      </w:r>
    </w:p>
    <w:p w:rsidR="00DD14F5" w:rsidRDefault="00087AEF" w:rsidP="00595CB8">
      <w:r>
        <w:t>This class is the most subject to change, and will likely require</w:t>
      </w:r>
      <w:r>
        <w:br/>
        <w:t>more helper methods to improve readability. This class will</w:t>
      </w:r>
      <w:r>
        <w:br/>
        <w:t xml:space="preserve">contain references to a </w:t>
      </w:r>
      <w:r w:rsidRPr="00087AEF">
        <w:rPr>
          <w:rFonts w:ascii="Courier New" w:hAnsi="Courier New" w:cs="Courier New"/>
        </w:rPr>
        <w:t>Die</w:t>
      </w:r>
      <w:r>
        <w:t xml:space="preserve">, a </w:t>
      </w:r>
      <w:proofErr w:type="spellStart"/>
      <w:r w:rsidRPr="00087AEF">
        <w:rPr>
          <w:rFonts w:ascii="Courier New" w:hAnsi="Courier New" w:cs="Courier New"/>
        </w:rPr>
        <w:t>GameBoard</w:t>
      </w:r>
      <w:proofErr w:type="spellEnd"/>
      <w:r w:rsidR="00EE15BD">
        <w:t xml:space="preserve">, a </w:t>
      </w:r>
      <w:proofErr w:type="spellStart"/>
      <w:r w:rsidR="00EE15BD" w:rsidRPr="00EE15BD">
        <w:rPr>
          <w:rFonts w:ascii="Courier New" w:hAnsi="Courier New" w:cs="Courier New"/>
        </w:rPr>
        <w:t>ScoreCard</w:t>
      </w:r>
      <w:proofErr w:type="spellEnd"/>
      <w:r w:rsidR="00EE15BD">
        <w:t xml:space="preserve">, and </w:t>
      </w:r>
      <w:r w:rsidR="00EE15BD">
        <w:br/>
      </w:r>
      <w:proofErr w:type="spellStart"/>
      <w:r w:rsidR="00EE15BD" w:rsidRPr="00EE15BD">
        <w:rPr>
          <w:rFonts w:ascii="Courier New" w:hAnsi="Courier New" w:cs="Courier New"/>
        </w:rPr>
        <w:t>Yahduot</w:t>
      </w:r>
      <w:r w:rsidR="00EE15BD">
        <w:rPr>
          <w:rFonts w:ascii="Courier New" w:hAnsi="Courier New" w:cs="Courier New"/>
        </w:rPr>
        <w:t>UX</w:t>
      </w:r>
      <w:proofErr w:type="spellEnd"/>
      <w:r w:rsidR="00EE15BD">
        <w:rPr>
          <w:rFonts w:ascii="Courier New" w:hAnsi="Courier New" w:cs="Courier New"/>
        </w:rPr>
        <w:t xml:space="preserve"> </w:t>
      </w:r>
      <w:r w:rsidR="00EE15BD">
        <w:t xml:space="preserve">object. It will then be responsible for passing </w:t>
      </w:r>
      <w:r w:rsidR="00EE15BD">
        <w:br/>
        <w:t>information between the objects during runtime.</w:t>
      </w:r>
    </w:p>
    <w:p w:rsidR="009A1757" w:rsidRDefault="009A1757" w:rsidP="00595CB8"/>
    <w:p w:rsidR="00BE7487" w:rsidRDefault="00BE7487" w:rsidP="00595CB8">
      <w:r>
        <w:object w:dxaOrig="3653" w:dyaOrig="2018">
          <v:shape id="_x0000_i1087" type="#_x0000_t75" style="width:182.5pt;height:100.8pt" o:ole="">
            <v:imagedata r:id="rId14" o:title=""/>
          </v:shape>
          <o:OLEObject Type="Embed" ProgID="Visio.Drawing.15" ShapeID="_x0000_i1087" DrawAspect="Content" ObjectID="_1551817131" r:id="rId15"/>
        </w:object>
      </w:r>
    </w:p>
    <w:p w:rsidR="009A1757" w:rsidRDefault="009A1757" w:rsidP="00595CB8">
      <w:pPr>
        <w:rPr>
          <w:rFonts w:cs="Courier New"/>
        </w:rPr>
      </w:pPr>
      <w:r>
        <w:rPr>
          <w:rFonts w:cstheme="minorHAnsi"/>
        </w:rPr>
        <w:t xml:space="preserve">The Die class is a tool to be used by the </w:t>
      </w:r>
      <w:r>
        <w:rPr>
          <w:rFonts w:ascii="Courier New" w:hAnsi="Courier New" w:cs="Courier New"/>
        </w:rPr>
        <w:t>Yahduot</w:t>
      </w:r>
      <w:r w:rsidR="00E157C7">
        <w:rPr>
          <w:rFonts w:cstheme="minorHAnsi"/>
        </w:rPr>
        <w:t xml:space="preserve"> class to generate </w:t>
      </w:r>
      <w:r>
        <w:rPr>
          <w:rFonts w:cstheme="minorHAnsi"/>
        </w:rPr>
        <w:t xml:space="preserve">a new roll for the player. </w:t>
      </w:r>
      <w:r w:rsidR="00E157C7">
        <w:rPr>
          <w:rFonts w:cstheme="minorHAnsi"/>
        </w:rPr>
        <w:t>T</w:t>
      </w:r>
      <w:r>
        <w:rPr>
          <w:rFonts w:cstheme="minorHAnsi"/>
        </w:rPr>
        <w:t>he image associated with the current</w:t>
      </w:r>
      <w:r w:rsidR="00E157C7">
        <w:rPr>
          <w:rFonts w:cstheme="minorHAnsi"/>
        </w:rPr>
        <w:t xml:space="preserve"> </w:t>
      </w:r>
      <w:r>
        <w:rPr>
          <w:rFonts w:cstheme="minorHAnsi"/>
        </w:rPr>
        <w:t xml:space="preserve">side </w:t>
      </w:r>
      <w:r w:rsidR="008F78A6">
        <w:rPr>
          <w:rFonts w:cstheme="minorHAnsi"/>
        </w:rPr>
        <w:t xml:space="preserve">is stored by the </w:t>
      </w:r>
      <w:r w:rsidR="008F78A6">
        <w:rPr>
          <w:rFonts w:ascii="Courier New" w:hAnsi="Courier New" w:cs="Courier New"/>
        </w:rPr>
        <w:t>Die</w:t>
      </w:r>
      <w:r w:rsidR="008F78A6">
        <w:rPr>
          <w:rFonts w:cs="Courier New"/>
        </w:rPr>
        <w:t xml:space="preserve"> to be updated with every roll, and be passed to the view.</w:t>
      </w:r>
    </w:p>
    <w:p w:rsidR="008F78A6" w:rsidRDefault="008F78A6" w:rsidP="00595CB8">
      <w:pPr>
        <w:rPr>
          <w:rFonts w:cs="Courier New"/>
        </w:rPr>
      </w:pPr>
    </w:p>
    <w:p w:rsidR="002F62DF" w:rsidRDefault="002F62DF">
      <w:pPr>
        <w:rPr>
          <w:rFonts w:ascii="Franklin Gothic Book" w:hAnsi="Franklin Gothic Book" w:cs="Courier New"/>
          <w:b/>
          <w:sz w:val="32"/>
        </w:rPr>
      </w:pPr>
      <w:r>
        <w:rPr>
          <w:rFonts w:ascii="Franklin Gothic Book" w:hAnsi="Franklin Gothic Book" w:cs="Courier New"/>
          <w:b/>
          <w:sz w:val="32"/>
        </w:rPr>
        <w:br w:type="page"/>
      </w:r>
    </w:p>
    <w:p w:rsidR="008F78A6" w:rsidRDefault="008F78A6" w:rsidP="00595CB8">
      <w:pPr>
        <w:rPr>
          <w:rFonts w:ascii="Franklin Gothic Book" w:hAnsi="Franklin Gothic Book" w:cs="Courier New"/>
          <w:b/>
          <w:sz w:val="32"/>
        </w:rPr>
      </w:pPr>
      <w:r>
        <w:rPr>
          <w:rFonts w:ascii="Franklin Gothic Book" w:hAnsi="Franklin Gothic Book" w:cs="Courier New"/>
          <w:b/>
          <w:sz w:val="32"/>
        </w:rPr>
        <w:lastRenderedPageBreak/>
        <w:t>Model</w:t>
      </w:r>
    </w:p>
    <w:p w:rsidR="008F78A6" w:rsidRDefault="008F78A6" w:rsidP="00595CB8">
      <w:pPr>
        <w:rPr>
          <w:rFonts w:ascii="Franklin Gothic Book" w:hAnsi="Franklin Gothic Book" w:cs="Courier New"/>
          <w:b/>
          <w:sz w:val="20"/>
        </w:rPr>
      </w:pPr>
    </w:p>
    <w:p w:rsidR="008F78A6" w:rsidRDefault="008F78A6" w:rsidP="00595CB8">
      <w:pPr>
        <w:rPr>
          <w:rFonts w:ascii="Franklin Gothic Book" w:hAnsi="Franklin Gothic Book" w:cs="Courier New"/>
          <w:sz w:val="32"/>
          <w:u w:val="single"/>
        </w:rPr>
      </w:pPr>
      <w:r w:rsidRPr="008F78A6">
        <w:rPr>
          <w:rFonts w:ascii="Franklin Gothic Book" w:hAnsi="Franklin Gothic Book" w:cs="Courier New"/>
          <w:noProof/>
          <w:sz w:val="32"/>
        </w:rPr>
        <w:drawing>
          <wp:inline distT="0" distB="0" distL="0" distR="0">
            <wp:extent cx="5115740" cy="4238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ath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DF" w:rsidRDefault="002F62DF" w:rsidP="00595CB8">
      <w:r>
        <w:object w:dxaOrig="3653" w:dyaOrig="2498">
          <v:shape id="_x0000_i1089" type="#_x0000_t75" style="width:182.5pt;height:124.9pt" o:ole="">
            <v:imagedata r:id="rId17" o:title=""/>
          </v:shape>
          <o:OLEObject Type="Embed" ProgID="Visio.Drawing.15" ShapeID="_x0000_i1089" DrawAspect="Content" ObjectID="_1551817132" r:id="rId18"/>
        </w:object>
      </w:r>
    </w:p>
    <w:p w:rsidR="008F78A6" w:rsidRDefault="008F78A6" w:rsidP="00595CB8">
      <w:pPr>
        <w:rPr>
          <w:rFonts w:ascii="Calibri" w:hAnsi="Calibri" w:cs="Courier New"/>
        </w:rPr>
      </w:pPr>
      <w:r>
        <w:rPr>
          <w:rFonts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GameBoard</w:t>
      </w:r>
      <w:proofErr w:type="spellEnd"/>
      <w:r>
        <w:rPr>
          <w:rFonts w:cs="Courier New"/>
        </w:rPr>
        <w:t xml:space="preserve"> class uses </w:t>
      </w:r>
      <w:r>
        <w:rPr>
          <w:rFonts w:ascii="Courier New" w:hAnsi="Courier New" w:cs="Courier New"/>
        </w:rPr>
        <w:t>Grouping</w:t>
      </w:r>
      <w:r>
        <w:rPr>
          <w:rFonts w:cs="Courier New"/>
        </w:rPr>
        <w:t xml:space="preserve"> objects </w:t>
      </w:r>
      <w:r w:rsidR="00E51092">
        <w:rPr>
          <w:rFonts w:cs="Courier New"/>
        </w:rPr>
        <w:t xml:space="preserve">to </w:t>
      </w:r>
      <w:r w:rsidR="00094970">
        <w:rPr>
          <w:rFonts w:cs="Courier New"/>
        </w:rPr>
        <w:t xml:space="preserve">organize the values played by the players. When a grouping is completed by a new value, control will be passed to the </w:t>
      </w:r>
      <w:proofErr w:type="spellStart"/>
      <w:r w:rsidR="00094970">
        <w:rPr>
          <w:rFonts w:ascii="Courier New" w:hAnsi="Courier New" w:cs="Courier New"/>
        </w:rPr>
        <w:t>ScoreCard</w:t>
      </w:r>
      <w:proofErr w:type="spellEnd"/>
      <w:r w:rsidR="00094970">
        <w:rPr>
          <w:rFonts w:ascii="Calibri" w:hAnsi="Calibri" w:cs="Courier New"/>
        </w:rPr>
        <w:t xml:space="preserve"> object to score the grouping. The object will not allow a new value to be placed over an old value, and will return false to signify the value could not be added. The object also </w:t>
      </w:r>
      <w:r w:rsidR="00336F8B">
        <w:rPr>
          <w:rFonts w:ascii="Calibri" w:hAnsi="Calibri" w:cs="Courier New"/>
        </w:rPr>
        <w:t>creates</w:t>
      </w:r>
      <w:r w:rsidR="00094970">
        <w:rPr>
          <w:rFonts w:ascii="Calibri" w:hAnsi="Calibri" w:cs="Courier New"/>
        </w:rPr>
        <w:t xml:space="preserve"> a </w:t>
      </w:r>
      <w:proofErr w:type="spellStart"/>
      <w:r w:rsidR="00094970">
        <w:rPr>
          <w:rFonts w:ascii="Courier New" w:hAnsi="Courier New" w:cs="Courier New"/>
        </w:rPr>
        <w:t>GridLayout</w:t>
      </w:r>
      <w:proofErr w:type="spellEnd"/>
      <w:r w:rsidR="00094970">
        <w:rPr>
          <w:rFonts w:ascii="Calibri" w:hAnsi="Calibri" w:cs="Courier New"/>
        </w:rPr>
        <w:t xml:space="preserve"> object represent</w:t>
      </w:r>
      <w:r w:rsidR="00336F8B">
        <w:rPr>
          <w:rFonts w:ascii="Calibri" w:hAnsi="Calibri" w:cs="Courier New"/>
        </w:rPr>
        <w:t>ation of itself to be passed for display in order to keep data private.</w:t>
      </w:r>
    </w:p>
    <w:p w:rsidR="001B1F28" w:rsidRDefault="001B1F28" w:rsidP="00595CB8">
      <w:pPr>
        <w:rPr>
          <w:rFonts w:ascii="Calibri" w:hAnsi="Calibri" w:cs="Courier New"/>
        </w:rPr>
      </w:pPr>
    </w:p>
    <w:p w:rsidR="00790A23" w:rsidRDefault="00790A23" w:rsidP="00595CB8">
      <w:pPr>
        <w:rPr>
          <w:rFonts w:ascii="Franklin Gothic Book" w:hAnsi="Franklin Gothic Book" w:cs="Courier New"/>
          <w:sz w:val="32"/>
          <w:u w:val="single"/>
        </w:rPr>
      </w:pPr>
    </w:p>
    <w:p w:rsidR="00790A23" w:rsidRDefault="00277164" w:rsidP="00595CB8">
      <w:r>
        <w:object w:dxaOrig="3653" w:dyaOrig="2018">
          <v:shape id="_x0000_i1090" type="#_x0000_t75" style="width:182.5pt;height:100.8pt" o:ole="">
            <v:imagedata r:id="rId19" o:title=""/>
          </v:shape>
          <o:OLEObject Type="Embed" ProgID="Visio.Drawing.15" ShapeID="_x0000_i1090" DrawAspect="Content" ObjectID="_1551817133" r:id="rId20"/>
        </w:object>
      </w:r>
    </w:p>
    <w:p w:rsidR="001B1F28" w:rsidRDefault="001B1F28" w:rsidP="00595CB8">
      <w:pPr>
        <w:rPr>
          <w:rFonts w:cs="Courier New"/>
        </w:rPr>
      </w:pPr>
      <w:r>
        <w:rPr>
          <w:rFonts w:cs="Courier New"/>
        </w:rPr>
        <w:t xml:space="preserve">The </w:t>
      </w:r>
      <w:r>
        <w:rPr>
          <w:rFonts w:ascii="Courier New" w:hAnsi="Courier New" w:cs="Courier New"/>
        </w:rPr>
        <w:t>Grouping</w:t>
      </w:r>
      <w:r>
        <w:rPr>
          <w:rFonts w:cs="Courier New"/>
        </w:rPr>
        <w:t xml:space="preserve"> class contains an array of values representing a row, column, or cluster on the board. It will accept a value and an index for a new value, and will not overwrite existing values. The object will be able to </w:t>
      </w:r>
      <w:r w:rsidR="00FB390E">
        <w:rPr>
          <w:rFonts w:cs="Courier New"/>
        </w:rPr>
        <w:t xml:space="preserve">check whether or not space is available for new values. </w:t>
      </w:r>
      <w:r w:rsidR="00AF72D6">
        <w:rPr>
          <w:rFonts w:cs="Courier New"/>
        </w:rPr>
        <w:t xml:space="preserve">The object will determine valid scoring options for the grouping when filled. The object then return an array of </w:t>
      </w:r>
      <w:proofErr w:type="spellStart"/>
      <w:r w:rsidR="00790A23">
        <w:rPr>
          <w:rFonts w:cs="Courier New"/>
        </w:rPr>
        <w:t>b</w:t>
      </w:r>
      <w:r w:rsidR="00AF72D6">
        <w:rPr>
          <w:rFonts w:cs="Courier New"/>
        </w:rPr>
        <w:t>oolean</w:t>
      </w:r>
      <w:proofErr w:type="spellEnd"/>
      <w:r w:rsidR="00AF72D6">
        <w:rPr>
          <w:rFonts w:cs="Courier New"/>
        </w:rPr>
        <w:t xml:space="preserve"> values to represent the valid scoring options to be presented to the user</w:t>
      </w:r>
      <w:r w:rsidR="00790A23">
        <w:rPr>
          <w:rFonts w:cs="Courier New"/>
        </w:rPr>
        <w:t xml:space="preserve"> by the UX.</w:t>
      </w:r>
    </w:p>
    <w:p w:rsidR="00790A23" w:rsidRDefault="00790A23" w:rsidP="00595CB8">
      <w:pPr>
        <w:rPr>
          <w:rFonts w:cs="Courier New"/>
        </w:rPr>
      </w:pPr>
    </w:p>
    <w:p w:rsidR="00790A23" w:rsidRDefault="00277164" w:rsidP="00595CB8">
      <w:r>
        <w:object w:dxaOrig="3653" w:dyaOrig="2258">
          <v:shape id="_x0000_i1091" type="#_x0000_t75" style="width:182.5pt;height:113pt" o:ole="">
            <v:imagedata r:id="rId21" o:title=""/>
          </v:shape>
          <o:OLEObject Type="Embed" ProgID="Visio.Drawing.15" ShapeID="_x0000_i1091" DrawAspect="Content" ObjectID="_1551817134" r:id="rId22"/>
        </w:object>
      </w:r>
    </w:p>
    <w:p w:rsidR="00790A23" w:rsidRDefault="005942A5" w:rsidP="00595CB8">
      <w:pPr>
        <w:rPr>
          <w:rFonts w:ascii="Calibri" w:hAnsi="Calibri" w:cs="Calibri"/>
        </w:rPr>
      </w:pPr>
      <w:r>
        <w:t xml:space="preserve">The </w:t>
      </w:r>
      <w:proofErr w:type="spellStart"/>
      <w:r>
        <w:rPr>
          <w:rFonts w:ascii="Courier New" w:hAnsi="Courier New" w:cs="Courier New"/>
        </w:rPr>
        <w:t>ScoreCard</w:t>
      </w:r>
      <w:proofErr w:type="spellEnd"/>
      <w:r>
        <w:rPr>
          <w:rFonts w:ascii="Calibri" w:hAnsi="Calibri" w:cs="Calibri"/>
        </w:rPr>
        <w:t xml:space="preserve"> class is responsible for </w:t>
      </w:r>
      <w:r w:rsidR="00382A75">
        <w:rPr>
          <w:rFonts w:ascii="Calibri" w:hAnsi="Calibri" w:cs="Calibri"/>
        </w:rPr>
        <w:t xml:space="preserve">maintaining the score of the user </w:t>
      </w:r>
      <w:r w:rsidR="00277164">
        <w:rPr>
          <w:rFonts w:ascii="Calibri" w:hAnsi="Calibri" w:cs="Calibri"/>
        </w:rPr>
        <w:t xml:space="preserve">at the current point in the game. The object maintains a UX representation of itself to </w:t>
      </w:r>
      <w:r w:rsidR="00F9606C">
        <w:rPr>
          <w:rFonts w:ascii="Calibri" w:hAnsi="Calibri" w:cs="Calibri"/>
        </w:rPr>
        <w:t>be passed to the UX object for display. The object will also maintain a running total and tally of each line being scored.</w:t>
      </w:r>
    </w:p>
    <w:p w:rsidR="00670887" w:rsidRDefault="0067088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70887" w:rsidRDefault="00670887" w:rsidP="00595CB8">
      <w:pPr>
        <w:rPr>
          <w:rFonts w:ascii="Franklin Gothic Book" w:hAnsi="Franklin Gothic Book" w:cs="Times New Roman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3645369</wp:posOffset>
            </wp:positionH>
            <wp:positionV relativeFrom="paragraph">
              <wp:posOffset>226309</wp:posOffset>
            </wp:positionV>
            <wp:extent cx="3392424" cy="1911096"/>
            <wp:effectExtent l="0" t="0" r="0" b="0"/>
            <wp:wrapNone/>
            <wp:docPr id="12" name="Picture 12" descr="C:\Users\ibath\AppData\Local\Microsoft\Windows\INetCache\Content.Word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ibath\AppData\Local\Microsoft\Windows\INetCache\Content.Word\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="Times New Roman"/>
          <w:b/>
          <w:sz w:val="32"/>
        </w:rPr>
        <w:t>View</w:t>
      </w:r>
    </w:p>
    <w:p w:rsidR="00670887" w:rsidRDefault="00670887" w:rsidP="00595CB8">
      <w:r>
        <w:object w:dxaOrig="3653" w:dyaOrig="1778">
          <v:shape id="_x0000_i1092" type="#_x0000_t75" style="width:182.5pt;height:88.9pt" o:ole="">
            <v:imagedata r:id="rId24" o:title=""/>
          </v:shape>
          <o:OLEObject Type="Embed" ProgID="Visio.Drawing.15" ShapeID="_x0000_i1092" DrawAspect="Content" ObjectID="_1551817135" r:id="rId25"/>
        </w:object>
      </w:r>
    </w:p>
    <w:p w:rsidR="00670887" w:rsidRDefault="00670887" w:rsidP="00595CB8">
      <w:pPr>
        <w:rPr>
          <w:rFonts w:ascii="Calibri" w:hAnsi="Calibri" w:cs="Calibri"/>
        </w:rPr>
      </w:pPr>
      <w:r>
        <w:t xml:space="preserve">The </w:t>
      </w:r>
      <w:proofErr w:type="spellStart"/>
      <w:r>
        <w:rPr>
          <w:rFonts w:ascii="Courier New" w:hAnsi="Courier New" w:cs="Courier New"/>
        </w:rPr>
        <w:t>YahduotUX</w:t>
      </w:r>
      <w:proofErr w:type="spellEnd"/>
      <w:r>
        <w:rPr>
          <w:rFonts w:ascii="Calibri" w:hAnsi="Calibri" w:cs="Calibri"/>
        </w:rPr>
        <w:t xml:space="preserve"> class handles the various UX elements of </w:t>
      </w:r>
    </w:p>
    <w:p w:rsidR="00670887" w:rsidRDefault="00670887" w:rsidP="00595C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program </w:t>
      </w:r>
      <w:r w:rsidR="00E07AC4">
        <w:rPr>
          <w:rFonts w:ascii="Calibri" w:hAnsi="Calibri" w:cs="Calibri"/>
        </w:rPr>
        <w:t xml:space="preserve">and displays the data passed into it by the </w:t>
      </w:r>
    </w:p>
    <w:p w:rsidR="00E07AC4" w:rsidRDefault="00E07AC4" w:rsidP="00595CB8">
      <w:pPr>
        <w:rPr>
          <w:rFonts w:ascii="Calibri" w:hAnsi="Calibri" w:cs="Calibri"/>
        </w:rPr>
      </w:pPr>
      <w:r>
        <w:rPr>
          <w:rFonts w:ascii="Courier New" w:hAnsi="Courier New" w:cs="Courier New"/>
        </w:rPr>
        <w:t>Yahduot</w:t>
      </w:r>
      <w:r>
        <w:rPr>
          <w:rFonts w:ascii="Calibri" w:hAnsi="Calibri" w:cs="Calibri"/>
        </w:rPr>
        <w:t xml:space="preserve"> main class. </w:t>
      </w:r>
      <w:r w:rsidR="00660316">
        <w:rPr>
          <w:rFonts w:ascii="Calibri" w:hAnsi="Calibri" w:cs="Calibri"/>
        </w:rPr>
        <w:t xml:space="preserve">The object will not modify game </w:t>
      </w:r>
    </w:p>
    <w:p w:rsidR="009C4DB2" w:rsidRDefault="00660316" w:rsidP="00595CB8">
      <w:pPr>
        <w:rPr>
          <w:rFonts w:ascii="Calibri" w:hAnsi="Calibri" w:cs="Calibri"/>
        </w:rPr>
      </w:pPr>
      <w:r>
        <w:rPr>
          <w:rFonts w:ascii="Calibri" w:hAnsi="Calibri" w:cs="Calibri"/>
        </w:rPr>
        <w:t>data, but will provide UX elements to enable user input</w:t>
      </w:r>
      <w:r w:rsidR="002D72C4">
        <w:rPr>
          <w:rFonts w:ascii="Calibri" w:hAnsi="Calibri" w:cs="Calibri"/>
        </w:rPr>
        <w:t>.</w:t>
      </w:r>
    </w:p>
    <w:p w:rsidR="009C4DB2" w:rsidRDefault="009C4DB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60316" w:rsidRPr="00E07AC4" w:rsidRDefault="00660316" w:rsidP="00595CB8">
      <w:pPr>
        <w:rPr>
          <w:rFonts w:ascii="Calibri" w:hAnsi="Calibri" w:cs="Calibri"/>
        </w:rPr>
      </w:pP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74E02" w:rsidRPr="00474E02" w:rsidTr="00474E02">
        <w:trPr>
          <w:trHeight w:val="1152"/>
          <w:jc w:val="center"/>
        </w:trPr>
        <w:tc>
          <w:tcPr>
            <w:tcW w:w="1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Y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A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H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-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D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U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-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O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4DB2" w:rsidRPr="00474E02" w:rsidRDefault="009C4DB2" w:rsidP="00950CC9">
            <w:pPr>
              <w:jc w:val="center"/>
              <w:rPr>
                <w:sz w:val="96"/>
              </w:rPr>
            </w:pPr>
            <w:r w:rsidRPr="00474E02">
              <w:rPr>
                <w:sz w:val="96"/>
              </w:rPr>
              <w:t>T</w:t>
            </w:r>
          </w:p>
        </w:tc>
      </w:tr>
    </w:tbl>
    <w:p w:rsidR="009C4DB2" w:rsidRDefault="009C4DB2" w:rsidP="00670887">
      <w:pPr>
        <w:jc w:val="right"/>
        <w:rPr>
          <w:rFonts w:ascii="Franklin Gothic Book" w:hAnsi="Franklin Gothic Book" w:cs="Times New Roman"/>
        </w:rPr>
      </w:pPr>
    </w:p>
    <w:p w:rsidR="00474E02" w:rsidRDefault="00474E02" w:rsidP="009C4DB2">
      <w:pPr>
        <w:jc w:val="center"/>
        <w:rPr>
          <w:rFonts w:ascii="Franklin Gothic Book" w:hAnsi="Franklin Gothic Book" w:cs="Times New Roman"/>
          <w:sz w:val="40"/>
        </w:rPr>
      </w:pPr>
    </w:p>
    <w:p w:rsidR="00474E02" w:rsidRDefault="00474E02" w:rsidP="009C4DB2">
      <w:pPr>
        <w:jc w:val="center"/>
        <w:rPr>
          <w:rFonts w:ascii="Franklin Gothic Book" w:hAnsi="Franklin Gothic Book" w:cs="Times New Roman"/>
          <w:sz w:val="40"/>
        </w:rPr>
      </w:pPr>
    </w:p>
    <w:p w:rsidR="009C4DB2" w:rsidRPr="00474E02" w:rsidRDefault="009C4DB2" w:rsidP="009C4DB2">
      <w:pPr>
        <w:jc w:val="center"/>
        <w:rPr>
          <w:rFonts w:ascii="Franklin Gothic Book" w:hAnsi="Franklin Gothic Book" w:cs="Times New Roman"/>
          <w:sz w:val="96"/>
        </w:rPr>
      </w:pPr>
      <w:r w:rsidRPr="00474E02">
        <w:rPr>
          <w:rFonts w:ascii="Franklin Gothic Book" w:hAnsi="Franklin Gothic Book" w:cs="Times New Roman"/>
          <w:sz w:val="96"/>
        </w:rPr>
        <w:t>Complete UML Class Diagram</w:t>
      </w:r>
      <w:bookmarkStart w:id="0" w:name="_GoBack"/>
      <w:bookmarkEnd w:id="0"/>
    </w:p>
    <w:sectPr w:rsidR="009C4DB2" w:rsidRPr="004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43"/>
    <w:rsid w:val="00087AEF"/>
    <w:rsid w:val="00094970"/>
    <w:rsid w:val="001208BA"/>
    <w:rsid w:val="001B1F28"/>
    <w:rsid w:val="00277164"/>
    <w:rsid w:val="002D72C4"/>
    <w:rsid w:val="002F62DF"/>
    <w:rsid w:val="00336F8B"/>
    <w:rsid w:val="00373FEC"/>
    <w:rsid w:val="00382A75"/>
    <w:rsid w:val="003E0C20"/>
    <w:rsid w:val="00474E02"/>
    <w:rsid w:val="00566FA9"/>
    <w:rsid w:val="005942A5"/>
    <w:rsid w:val="00595CB8"/>
    <w:rsid w:val="005A0743"/>
    <w:rsid w:val="00660316"/>
    <w:rsid w:val="00670887"/>
    <w:rsid w:val="0068441B"/>
    <w:rsid w:val="006A2C76"/>
    <w:rsid w:val="00790A23"/>
    <w:rsid w:val="0083532D"/>
    <w:rsid w:val="008F78A6"/>
    <w:rsid w:val="009A1757"/>
    <w:rsid w:val="009C4DB2"/>
    <w:rsid w:val="00AC2772"/>
    <w:rsid w:val="00AF72D6"/>
    <w:rsid w:val="00BE7487"/>
    <w:rsid w:val="00CE4977"/>
    <w:rsid w:val="00D61224"/>
    <w:rsid w:val="00DD14F5"/>
    <w:rsid w:val="00E07AC4"/>
    <w:rsid w:val="00E157C7"/>
    <w:rsid w:val="00E51092"/>
    <w:rsid w:val="00EE15BD"/>
    <w:rsid w:val="00F432B1"/>
    <w:rsid w:val="00F9606C"/>
    <w:rsid w:val="00FB390E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E142"/>
  <w15:chartTrackingRefBased/>
  <w15:docId w15:val="{C04827F2-23E9-4589-BEB3-8D0E7705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2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Microsoft_Visio_Drawing.vsdx"/><Relationship Id="rId18" Type="http://schemas.openxmlformats.org/officeDocument/2006/relationships/package" Target="embeddings/Microsoft_Visio_Drawing2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image" Target="media/image11.emf"/><Relationship Id="rId25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5.emf"/><Relationship Id="rId5" Type="http://schemas.openxmlformats.org/officeDocument/2006/relationships/image" Target="media/image1.jpeg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4.png"/><Relationship Id="rId10" Type="http://schemas.openxmlformats.org/officeDocument/2006/relationships/image" Target="media/image6.jpe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Relationship Id="rId22" Type="http://schemas.openxmlformats.org/officeDocument/2006/relationships/package" Target="embeddings/Microsoft_Visio_Drawing4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FA5C-5504-48A7-A4DF-6DC62BAE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McKee, Maxwell Montagu</dc:creator>
  <cp:keywords/>
  <dc:description/>
  <cp:lastModifiedBy>McKee, Maxwell Montagu</cp:lastModifiedBy>
  <cp:revision>23</cp:revision>
  <dcterms:created xsi:type="dcterms:W3CDTF">2017-03-24T03:12:00Z</dcterms:created>
  <dcterms:modified xsi:type="dcterms:W3CDTF">2017-03-24T06:31:00Z</dcterms:modified>
</cp:coreProperties>
</file>