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598" w:rsidRDefault="00215598" w:rsidP="00215598">
      <w:pPr>
        <w:pStyle w:val="first"/>
        <w:spacing w:before="0" w:beforeAutospacing="0" w:after="0" w:afterAutospacing="0"/>
        <w:rPr>
          <w:rFonts w:ascii="Calibri" w:hAnsi="Calibri" w:cs="Calibri"/>
          <w:color w:val="000000"/>
          <w:sz w:val="22"/>
          <w:szCs w:val="22"/>
        </w:rPr>
      </w:pPr>
      <w:r>
        <w:rPr>
          <w:rFonts w:ascii="Calibri" w:hAnsi="Calibri" w:cs="Calibri"/>
          <w:color w:val="000000"/>
          <w:sz w:val="22"/>
          <w:szCs w:val="22"/>
        </w:rPr>
        <w:t>Pacific Premier Bank</w:t>
      </w:r>
    </w:p>
    <w:p w:rsidR="00215598" w:rsidRDefault="00215598" w:rsidP="00215598">
      <w:pPr>
        <w:pStyle w:val="first"/>
        <w:spacing w:before="0" w:beforeAutospacing="0" w:after="0" w:afterAutospacing="0"/>
        <w:rPr>
          <w:rFonts w:ascii="Calibri" w:hAnsi="Calibri" w:cs="Calibri"/>
          <w:color w:val="000000"/>
          <w:sz w:val="22"/>
          <w:szCs w:val="22"/>
        </w:rPr>
      </w:pPr>
    </w:p>
    <w:p w:rsidR="00215598" w:rsidRDefault="00215598" w:rsidP="00215598">
      <w:pPr>
        <w:pStyle w:val="first"/>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Founded in 1983, Pacific Premier Bank® </w:t>
      </w:r>
      <w:proofErr w:type="gramStart"/>
      <w:r>
        <w:rPr>
          <w:rFonts w:ascii="Calibri" w:hAnsi="Calibri" w:cs="Calibri"/>
          <w:color w:val="000000"/>
          <w:sz w:val="22"/>
          <w:szCs w:val="22"/>
        </w:rPr>
        <w:t>is headquartered</w:t>
      </w:r>
      <w:proofErr w:type="gramEnd"/>
      <w:r>
        <w:rPr>
          <w:rFonts w:ascii="Calibri" w:hAnsi="Calibri" w:cs="Calibri"/>
          <w:color w:val="000000"/>
          <w:sz w:val="22"/>
          <w:szCs w:val="22"/>
        </w:rPr>
        <w:t xml:space="preserve"> in Irvine, California, serving businesses and consumers throughout Santa Barbara and the United States. With approximately $11.5 billion in total assets*, </w:t>
      </w:r>
      <w:proofErr w:type="gramStart"/>
      <w:r>
        <w:rPr>
          <w:rFonts w:ascii="Calibri" w:hAnsi="Calibri" w:cs="Calibri"/>
          <w:color w:val="000000"/>
          <w:sz w:val="22"/>
          <w:szCs w:val="22"/>
        </w:rPr>
        <w:t>we’re</w:t>
      </w:r>
      <w:proofErr w:type="gramEnd"/>
      <w:r>
        <w:rPr>
          <w:rFonts w:ascii="Calibri" w:hAnsi="Calibri" w:cs="Calibri"/>
          <w:color w:val="000000"/>
          <w:sz w:val="22"/>
          <w:szCs w:val="22"/>
        </w:rPr>
        <w:t xml:space="preserve"> one of the strongest-performing, diversified, and fastest-growing community banks in the nation. Our commitment to providing unparalleled client service, supporting the businesses and individuals in the communities we serve, and enhancing shareholder value drives everything we do.</w:t>
      </w:r>
    </w:p>
    <w:p w:rsidR="00215598" w:rsidRDefault="00215598" w:rsidP="00215598">
      <w:pPr>
        <w:pStyle w:val="NormalWeb"/>
        <w:rPr>
          <w:rFonts w:ascii="Calibri" w:hAnsi="Calibri" w:cs="Calibri"/>
          <w:color w:val="000000"/>
          <w:sz w:val="22"/>
          <w:szCs w:val="22"/>
        </w:rPr>
      </w:pPr>
      <w:r>
        <w:rPr>
          <w:rFonts w:ascii="Calibri" w:hAnsi="Calibri" w:cs="Calibri"/>
          <w:color w:val="000000"/>
          <w:sz w:val="22"/>
          <w:szCs w:val="22"/>
        </w:rPr>
        <w:t>We have the strength and performance** to meet your business banking and commercial lending needs.</w:t>
      </w:r>
    </w:p>
    <w:p w:rsidR="00215598" w:rsidRDefault="00215598" w:rsidP="00215598">
      <w:pPr>
        <w:pStyle w:val="NormalWeb"/>
        <w:rPr>
          <w:rFonts w:ascii="Calibri" w:hAnsi="Calibri" w:cs="Calibri"/>
          <w:color w:val="000000"/>
          <w:sz w:val="22"/>
          <w:szCs w:val="22"/>
        </w:rPr>
      </w:pPr>
      <w:r>
        <w:rPr>
          <w:rFonts w:ascii="Calibri" w:hAnsi="Calibri" w:cs="Calibri"/>
          <w:color w:val="000000"/>
          <w:sz w:val="22"/>
          <w:szCs w:val="22"/>
        </w:rPr>
        <w:t>Ranked as one of America’s Best Banks by Forbes (2019)**</w:t>
      </w:r>
      <w:r>
        <w:rPr>
          <w:rFonts w:ascii="Calibri" w:hAnsi="Calibri" w:cs="Calibri"/>
          <w:color w:val="000000"/>
          <w:sz w:val="22"/>
          <w:szCs w:val="22"/>
        </w:rPr>
        <w:br/>
        <w:t xml:space="preserve">5-Star Rating from </w:t>
      </w:r>
      <w:proofErr w:type="spellStart"/>
      <w:r>
        <w:rPr>
          <w:rFonts w:ascii="Calibri" w:hAnsi="Calibri" w:cs="Calibri"/>
          <w:color w:val="000000"/>
          <w:sz w:val="22"/>
          <w:szCs w:val="22"/>
        </w:rPr>
        <w:t>BauerFinancial</w:t>
      </w:r>
      <w:proofErr w:type="spellEnd"/>
      <w:r>
        <w:rPr>
          <w:rFonts w:ascii="Calibri" w:hAnsi="Calibri" w:cs="Calibri"/>
          <w:color w:val="000000"/>
          <w:sz w:val="22"/>
          <w:szCs w:val="22"/>
        </w:rPr>
        <w:t xml:space="preserve"> – Recommended for 51 consecutive quarters (2018)</w:t>
      </w:r>
      <w:r>
        <w:rPr>
          <w:rFonts w:ascii="Calibri" w:hAnsi="Calibri" w:cs="Calibri"/>
          <w:color w:val="000000"/>
          <w:sz w:val="22"/>
          <w:szCs w:val="22"/>
        </w:rPr>
        <w:br/>
        <w:t>Fortune's 100 Fastest Growing Companies (2017 - 2018)</w:t>
      </w:r>
      <w:r>
        <w:rPr>
          <w:rFonts w:ascii="Calibri" w:hAnsi="Calibri" w:cs="Calibri"/>
          <w:color w:val="000000"/>
          <w:sz w:val="22"/>
          <w:szCs w:val="22"/>
        </w:rPr>
        <w:br/>
        <w:t>S&amp;P Global Market Intelligence – A Top-Performing Community Bank (2015 - 2017)</w:t>
      </w:r>
    </w:p>
    <w:p w:rsidR="00215598" w:rsidRDefault="00215598" w:rsidP="00215598">
      <w:pPr>
        <w:pStyle w:val="NormalWeb"/>
        <w:rPr>
          <w:rFonts w:ascii="Calibri" w:hAnsi="Calibri" w:cs="Calibri"/>
          <w:color w:val="000000"/>
          <w:sz w:val="22"/>
          <w:szCs w:val="22"/>
        </w:rPr>
      </w:pPr>
      <w:r>
        <w:rPr>
          <w:rFonts w:ascii="Calibri" w:hAnsi="Calibri" w:cs="Calibri"/>
          <w:color w:val="000000"/>
          <w:sz w:val="22"/>
          <w:szCs w:val="22"/>
        </w:rPr>
        <w:t>We offer a full array of banking products and services for commercial businesses, nonprofit organizations, and consumers. In addition, we have specific market sector expertise in:</w:t>
      </w:r>
    </w:p>
    <w:p w:rsidR="00215598" w:rsidRDefault="00215598" w:rsidP="00215598">
      <w:pPr>
        <w:pStyle w:val="NormalWeb"/>
        <w:rPr>
          <w:rFonts w:ascii="Calibri" w:hAnsi="Calibri" w:cs="Calibri"/>
          <w:color w:val="000000"/>
          <w:sz w:val="22"/>
          <w:szCs w:val="22"/>
        </w:rPr>
      </w:pPr>
      <w:r>
        <w:rPr>
          <w:rFonts w:ascii="Calibri" w:hAnsi="Calibri" w:cs="Calibri"/>
          <w:color w:val="000000"/>
          <w:sz w:val="22"/>
          <w:szCs w:val="22"/>
        </w:rPr>
        <w:t>• Commercial Banking</w:t>
      </w:r>
      <w:r>
        <w:rPr>
          <w:rFonts w:ascii="Calibri" w:hAnsi="Calibri" w:cs="Calibri"/>
          <w:color w:val="000000"/>
          <w:sz w:val="22"/>
          <w:szCs w:val="22"/>
        </w:rPr>
        <w:br/>
        <w:t>• Commercial Real Estate Lending</w:t>
      </w:r>
      <w:r>
        <w:rPr>
          <w:rFonts w:ascii="Calibri" w:hAnsi="Calibri" w:cs="Calibri"/>
          <w:color w:val="000000"/>
          <w:sz w:val="22"/>
          <w:szCs w:val="22"/>
        </w:rPr>
        <w:br/>
        <w:t>• SBA Financing</w:t>
      </w:r>
      <w:r>
        <w:rPr>
          <w:rFonts w:ascii="Calibri" w:hAnsi="Calibri" w:cs="Calibri"/>
          <w:color w:val="000000"/>
          <w:sz w:val="22"/>
          <w:szCs w:val="22"/>
        </w:rPr>
        <w:br/>
        <w:t>• Franchise Capital</w:t>
      </w:r>
      <w:r>
        <w:rPr>
          <w:rFonts w:ascii="Calibri" w:hAnsi="Calibri" w:cs="Calibri"/>
          <w:color w:val="000000"/>
          <w:sz w:val="22"/>
          <w:szCs w:val="22"/>
        </w:rPr>
        <w:br/>
        <w:t>• HOA &amp; Property Management</w:t>
      </w:r>
      <w:r>
        <w:rPr>
          <w:rFonts w:ascii="Calibri" w:hAnsi="Calibri" w:cs="Calibri"/>
          <w:color w:val="000000"/>
          <w:sz w:val="22"/>
          <w:szCs w:val="22"/>
        </w:rPr>
        <w:br/>
        <w:t>• Specialty Deposits</w:t>
      </w:r>
      <w:r>
        <w:rPr>
          <w:rFonts w:ascii="Calibri" w:hAnsi="Calibri" w:cs="Calibri"/>
          <w:color w:val="000000"/>
          <w:sz w:val="22"/>
          <w:szCs w:val="22"/>
        </w:rPr>
        <w:br/>
        <w:t>• Agribusiness</w:t>
      </w:r>
    </w:p>
    <w:p w:rsidR="00215598" w:rsidRDefault="00215598" w:rsidP="00215598">
      <w:pPr>
        <w:pStyle w:val="NormalWeb"/>
        <w:rPr>
          <w:rFonts w:ascii="Calibri" w:hAnsi="Calibri" w:cs="Calibri"/>
          <w:color w:val="000000"/>
          <w:sz w:val="22"/>
          <w:szCs w:val="22"/>
        </w:rPr>
      </w:pPr>
      <w:r>
        <w:rPr>
          <w:rFonts w:ascii="Calibri" w:hAnsi="Calibri" w:cs="Calibri"/>
          <w:color w:val="000000"/>
          <w:sz w:val="22"/>
          <w:szCs w:val="22"/>
        </w:rPr>
        <w:t xml:space="preserve">We know that when our clients do well, we do well. </w:t>
      </w:r>
      <w:proofErr w:type="gramStart"/>
      <w:r>
        <w:rPr>
          <w:rFonts w:ascii="Calibri" w:hAnsi="Calibri" w:cs="Calibri"/>
          <w:color w:val="000000"/>
          <w:sz w:val="22"/>
          <w:szCs w:val="22"/>
        </w:rPr>
        <w:t>And</w:t>
      </w:r>
      <w:proofErr w:type="gramEnd"/>
      <w:r>
        <w:rPr>
          <w:rFonts w:ascii="Calibri" w:hAnsi="Calibri" w:cs="Calibri"/>
          <w:color w:val="000000"/>
          <w:sz w:val="22"/>
          <w:szCs w:val="22"/>
        </w:rPr>
        <w:t xml:space="preserve"> it is our focus every day to find new opportunities for our clients to grow and succeed.</w:t>
      </w:r>
    </w:p>
    <w:p w:rsidR="00215598" w:rsidRDefault="00215598" w:rsidP="00215598">
      <w:pPr>
        <w:pStyle w:val="NormalWeb"/>
        <w:rPr>
          <w:rFonts w:ascii="Calibri" w:hAnsi="Calibri" w:cs="Calibri"/>
          <w:color w:val="000000"/>
          <w:sz w:val="22"/>
          <w:szCs w:val="22"/>
        </w:rPr>
      </w:pPr>
      <w:r>
        <w:rPr>
          <w:rFonts w:ascii="Calibri" w:hAnsi="Calibri" w:cs="Calibri"/>
          <w:color w:val="000000"/>
          <w:sz w:val="22"/>
          <w:szCs w:val="22"/>
        </w:rPr>
        <w:t>Visit us at </w:t>
      </w:r>
      <w:hyperlink r:id="rId4" w:tgtFrame="_blank" w:history="1">
        <w:r>
          <w:rPr>
            <w:rStyle w:val="Hyperlink"/>
            <w:rFonts w:ascii="Calibri" w:hAnsi="Calibri" w:cs="Calibri"/>
            <w:color w:val="000000"/>
            <w:sz w:val="22"/>
            <w:szCs w:val="22"/>
          </w:rPr>
          <w:t>ppbi.com</w:t>
        </w:r>
      </w:hyperlink>
      <w:r>
        <w:rPr>
          <w:rFonts w:ascii="Calibri" w:hAnsi="Calibri" w:cs="Calibri"/>
          <w:color w:val="000000"/>
          <w:sz w:val="22"/>
          <w:szCs w:val="22"/>
        </w:rPr>
        <w:t xml:space="preserve"> and follow us on LinkedIn. </w:t>
      </w:r>
    </w:p>
    <w:p w:rsidR="00215598" w:rsidRDefault="00215598" w:rsidP="00215598">
      <w:pPr>
        <w:pStyle w:val="NormalWeb"/>
        <w:rPr>
          <w:rFonts w:ascii="Calibri" w:hAnsi="Calibri" w:cs="Calibri"/>
          <w:color w:val="000000"/>
          <w:sz w:val="22"/>
          <w:szCs w:val="22"/>
        </w:rPr>
      </w:pPr>
      <w:r>
        <w:rPr>
          <w:rFonts w:ascii="Calibri" w:hAnsi="Calibri" w:cs="Calibri"/>
          <w:color w:val="000000"/>
          <w:sz w:val="22"/>
          <w:szCs w:val="22"/>
        </w:rPr>
        <w:t>Member FDIC</w:t>
      </w:r>
    </w:p>
    <w:p w:rsidR="00215598" w:rsidRDefault="00215598" w:rsidP="00215598">
      <w:pPr>
        <w:pStyle w:val="NormalWeb"/>
        <w:rPr>
          <w:rFonts w:ascii="Calibri" w:hAnsi="Calibri" w:cs="Calibri"/>
          <w:color w:val="000000"/>
          <w:sz w:val="22"/>
          <w:szCs w:val="22"/>
        </w:rPr>
      </w:pPr>
      <w:r>
        <w:rPr>
          <w:rFonts w:ascii="Calibri" w:hAnsi="Calibri" w:cs="Calibri"/>
          <w:color w:val="000000"/>
          <w:sz w:val="22"/>
          <w:szCs w:val="22"/>
        </w:rPr>
        <w:t>*Pacific Premier Bancorp, Inc. as of 12/31/2018.**Pacific Premier Bank is a wholly owned subsidiary of Pacific Premier Bancorp, Inc.</w:t>
      </w:r>
      <w:r>
        <w:rPr>
          <w:rFonts w:ascii="Calibri" w:hAnsi="Calibri" w:cs="Calibri"/>
          <w:color w:val="000000"/>
          <w:sz w:val="22"/>
          <w:szCs w:val="22"/>
        </w:rPr>
        <w:t xml:space="preserve"> </w:t>
      </w:r>
      <w:bookmarkStart w:id="0" w:name="_GoBack"/>
      <w:bookmarkEnd w:id="0"/>
      <w:r>
        <w:rPr>
          <w:rFonts w:ascii="Calibri" w:hAnsi="Calibri" w:cs="Calibri"/>
          <w:color w:val="000000"/>
          <w:sz w:val="22"/>
          <w:szCs w:val="22"/>
        </w:rPr>
        <w:t xml:space="preserve">From Forbes.com, Jan 16, 2019 © 2019 Forbes. All rights reserved. Used by permission and protected by the Copyright Laws of the United States. The printing, copying, redistribution, or retransmission of this Content without express written permission </w:t>
      </w:r>
      <w:proofErr w:type="gramStart"/>
      <w:r>
        <w:rPr>
          <w:rFonts w:ascii="Calibri" w:hAnsi="Calibri" w:cs="Calibri"/>
          <w:color w:val="000000"/>
          <w:sz w:val="22"/>
          <w:szCs w:val="22"/>
        </w:rPr>
        <w:t>is prohibited</w:t>
      </w:r>
      <w:proofErr w:type="gramEnd"/>
      <w:r>
        <w:rPr>
          <w:rFonts w:ascii="Calibri" w:hAnsi="Calibri" w:cs="Calibri"/>
          <w:color w:val="000000"/>
          <w:sz w:val="22"/>
          <w:szCs w:val="22"/>
        </w:rPr>
        <w:t>.</w:t>
      </w:r>
    </w:p>
    <w:p w:rsidR="00260F8B" w:rsidRDefault="00215598"/>
    <w:sectPr w:rsidR="00260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598"/>
    <w:rsid w:val="000E46E9"/>
    <w:rsid w:val="00215598"/>
    <w:rsid w:val="008B3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7A248"/>
  <w15:chartTrackingRefBased/>
  <w15:docId w15:val="{9D231026-519D-47D7-BAF1-594E65CF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5598"/>
    <w:rPr>
      <w:color w:val="0563C1"/>
      <w:u w:val="single"/>
    </w:rPr>
  </w:style>
  <w:style w:type="paragraph" w:styleId="NormalWeb">
    <w:name w:val="Normal (Web)"/>
    <w:basedOn w:val="Normal"/>
    <w:uiPriority w:val="99"/>
    <w:semiHidden/>
    <w:unhideWhenUsed/>
    <w:rsid w:val="00215598"/>
    <w:pPr>
      <w:spacing w:before="100" w:beforeAutospacing="1" w:after="100" w:afterAutospacing="1" w:line="240" w:lineRule="auto"/>
    </w:pPr>
    <w:rPr>
      <w:rFonts w:ascii="Times New Roman" w:hAnsi="Times New Roman" w:cs="Times New Roman"/>
      <w:sz w:val="24"/>
      <w:szCs w:val="24"/>
    </w:rPr>
  </w:style>
  <w:style w:type="paragraph" w:customStyle="1" w:styleId="first">
    <w:name w:val="first"/>
    <w:basedOn w:val="Normal"/>
    <w:uiPriority w:val="99"/>
    <w:semiHidden/>
    <w:rsid w:val="00215598"/>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90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pb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Pacific Premier Bank</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Capps</dc:creator>
  <cp:keywords/>
  <dc:description/>
  <cp:lastModifiedBy>Kelly Capps</cp:lastModifiedBy>
  <cp:revision>1</cp:revision>
  <dcterms:created xsi:type="dcterms:W3CDTF">2019-03-27T20:22:00Z</dcterms:created>
  <dcterms:modified xsi:type="dcterms:W3CDTF">2019-03-27T20:23:00Z</dcterms:modified>
</cp:coreProperties>
</file>