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pacing w:val="20"/>
          <w:sz w:val="30"/>
          <w:szCs w:val="30"/>
        </w:rPr>
        <w:t xml:space="preserve">FIRST 90 DAYS — MID-ATLANTIC REGION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Evan Parnell  ·  Regional Laboratory Operations Director, Mid-Atlantic</w:t>
      </w:r>
    </w:p>
    <w:p>
      <w:pPr>
        <w:spacing w:after="180" w:before="0"/>
        <w:jc w:val="center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 working outline offered for discussion, not a finished plan — it should change once I can see the region’s actual numbers.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Operating Principle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A region of independently accredited laboratories with different scopes, licenses and histories cannot be managed as one until its numbers mean the same thing at every site.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Measurement first, standardization second, structure last.</w:t>
      </w:r>
      <w:r>
        <w:rPr>
          <w:rFonts w:ascii="Calibri" w:cs="Calibri" w:eastAsia="Calibri" w:hAnsi="Calibri"/>
          <w:sz w:val="20"/>
          <w:szCs w:val="20"/>
        </w:rPr>
        <w:t xml:space="preserve"> I would rather be deliberately slow for thirty days than reorganize something in week two that I do not yet understand.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1–30 · Listen and measure. Change almost nothing.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Visit every laboratory and service center in the region — time at the bench, not only in the office.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Sit with each site’s leadership, and separately with analysts and sample receiving. The people who receive samples and release data know where the losses 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Pull twelve months by site: revenue and margin to plan, cost per sample, on-time turnaround, reanalysis and rework, overtime, instrument uptime, open corrective actions, accredited scope.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Determine whether every site defines those the same way.</w:t>
      </w:r>
      <w:r>
        <w:rPr>
          <w:rFonts w:ascii="Calibri" w:cs="Calibri" w:eastAsia="Calibri" w:hAnsi="Calibri"/>
          <w:sz w:val="20"/>
          <w:szCs w:val="20"/>
        </w:rPr>
        <w:t xml:space="preserve"> On-time turnaround especially — received-to-reported or scheduled-to-reported is where variance hides.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Map the region honestly: which sites are full-service laboratories, which are focused benches, which are service centers, and where each site’s accredited scope begins and ends.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Understand the top clients per site, and what each would say about us if I called them.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30 days: </w:t>
      </w:r>
      <w:r>
        <w:rPr>
          <w:rFonts w:ascii="Calibri" w:cs="Calibri" w:eastAsia="Calibri" w:hAnsi="Calibri"/>
          <w:sz w:val="20"/>
          <w:szCs w:val="20"/>
        </w:rPr>
        <w:t xml:space="preserve">a written baseline of the region as it actually is, including where our numbers are not yet comparable.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31–60 · Install one operating cadence.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One weekly metric set, defined identically everywhere, small enough that site leaders can produce it without a project: backlog and aging, on-time turnaround, open corrective actions, overtime.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One monthly operating review per site, same agenda: performance to plan, capacity, quality, people.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Fix definitions before setting targets.</w:t>
      </w:r>
      <w:r>
        <w:rPr>
          <w:rFonts w:ascii="Calibri" w:cs="Calibri" w:eastAsia="Calibri" w:hAnsi="Calibri"/>
          <w:sz w:val="20"/>
          <w:szCs w:val="20"/>
        </w:rPr>
        <w:t xml:space="preserve"> A target on an inconsistent measure produces reporting behavior, not operating improvement.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Publish the region’s numbers internally so sites can see each other. Visible comparability drives more improvement than any target set from Baltimore.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Protect what works. Where a sub-region already performs, the cadence should confirm it and get out of the way. Technical authority stays with the technical leaders who hold the licenses.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60 days: </w:t>
      </w:r>
      <w:r>
        <w:rPr>
          <w:rFonts w:ascii="Calibri" w:cs="Calibri" w:eastAsia="Calibri" w:hAnsi="Calibri"/>
          <w:sz w:val="20"/>
          <w:szCs w:val="20"/>
        </w:rPr>
        <w:t xml:space="preserve">a single regional operating review running on common definitions.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61–90 · One visible win, and a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Fix the most expensive addressable problem found in the first thirty days, end to end, at one site, with a number attached. Usually a turnaround bottleneck — often data review queued behind one or two approvers — or a reanalysis rate nobody has priced.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Bring an answer to the 2027 demand question. Two federal drinking-water deadlines land that year, and compliance samples arrive in the final quarters before a deadline rather than evenly. Capacity, staffing and scheduling should be decided in advance, not absorbed.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Deliver a written twelve-month regional plan: capacity and capital, accredited scope, staffing and development, and where growth comes from.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90 days: </w:t>
      </w:r>
      <w:r>
        <w:rPr>
          <w:rFonts w:ascii="Calibri" w:cs="Calibri" w:eastAsia="Calibri" w:hAnsi="Calibri"/>
          <w:sz w:val="20"/>
          <w:szCs w:val="20"/>
        </w:rPr>
        <w:t xml:space="preserve">one proven improvement, and a plan the region has agreed to.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What I Would Want From You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Clarity on which sites are mine, and whether the P&amp;L is cut by site, by division, or by region.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Clarity on what I can decide and what comes to you first.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An introduction to my finance counterpart, and access to whatever facility-level tracking already exists.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Patience for thirty days of questions before I propose changes.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What I Will Not Do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Reorganize a functioning team before I understand why it works. Set targets on measures that are not yet consistent. Trade defensible data for a faster month — a late result is recoverable, a result that does not hold up is not.</w:t>
      </w:r>
    </w:p>
    <w:sectPr>
      <w:pgSz w:w="12240" w:h="15840" w:orient="portrait"/>
      <w:pgMar w:top="800" w:right="1000" w:bottom="8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5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2026-10-05T19:41:48.285Z</dcterms:created>
  <dcterms:modified xsi:type="dcterms:W3CDTF">2026-10-05T19:41:48.285Z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