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Doubled annual sample volume</w:t>
      </w:r>
      <w:r>
        <w:rPr>
          <w:rFonts w:ascii="Calibri" w:cs="Calibri" w:eastAsia="Calibri" w:hAnsi="Calibri"/>
          <w:sz w:val="20"/>
          <w:szCs w:val="20"/>
        </w:rPr>
        <w:t xml:space="preserve"> from ~25,000 to ~48,000 on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35% increase in staff</w:t>
      </w:r>
      <w:r>
        <w:rPr>
          <w:rFonts w:ascii="Calibri" w:cs="Calibri" w:eastAsia="Calibri" w:hAnsi="Calibri"/>
          <w:sz w:val="20"/>
          <w:szCs w:val="20"/>
        </w:rPr>
        <w:t xml:space="preserve"> — roughly 50%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~75%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architecture with published pay bands — while company headcount grew 40%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30% sales increase and 40% operating-cost reduction in four months</w:t>
      </w:r>
      <w:r>
        <w:rPr>
          <w:rFonts w:ascii="Calibri" w:cs="Calibri" w:eastAsia="Calibri" w:hAnsi="Calibri"/>
          <w:sz w:val="20"/>
          <w:szCs w:val="20"/>
        </w:rPr>
        <w:t xml:space="preserve">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Directly led roughly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 people</w:t>
      </w:r>
      <w:r>
        <w:rPr>
          <w:rFonts w:ascii="Calibri" w:cs="Calibri" w:eastAsia="Calibri" w:hAnsi="Calibri"/>
          <w:sz w:val="20"/>
          <w:szCs w:val="20"/>
        </w:rPr>
        <w:t xml:space="preserve">: three department managers (chemistry, microbiology, sampling), three shift leads, ~16 analysts and technicians.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Doubled annual sample volume, ~25,000 to ~48,000, on 35% more staff</w:t>
      </w:r>
      <w:r>
        <w:rPr>
          <w:rFonts w:ascii="Calibri" w:cs="Calibri" w:eastAsia="Calibri" w:hAnsi="Calibri"/>
          <w:sz w:val="20"/>
          <w:szCs w:val="20"/>
        </w:rPr>
        <w:t xml:space="preserve"> — about 50%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~75%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program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adopted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across an eight-location organization that grew from 250 to ~350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 and leadership systems — carried enterprise-wide through influence rather than formal authority.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2026-09-30T01:44:53.878Z</dcterms:created>
  <dcterms:modified xsi:type="dcterms:W3CDTF">2026-09-30T01:44:53.879Z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