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pacing w:val="40"/>
          <w:sz w:val="44"/>
          <w:szCs w:val="44"/>
        </w:rPr>
        <w:t xml:space="preserve">EVAN PARNELL</w:t>
      </w:r>
    </w:p>
    <w:p>
      <w:pPr>
        <w:spacing w:after="20" w:before="0"/>
        <w:jc w:val="center"/>
      </w:pPr>
      <w:r>
        <w:rPr>
          <w:rFonts w:ascii="Calibri" w:cs="Calibri" w:eastAsia="Calibri" w:hAnsi="Calibri"/>
          <w:b/>
          <w:bCs/>
          <w:color w:val="333333"/>
          <w:sz w:val="21"/>
          <w:szCs w:val="21"/>
        </w:rPr>
        <w:t xml:space="preserve">Laboratory Operations Executive</w:t>
      </w:r>
    </w:p>
    <w:p>
      <w:pPr>
        <w:spacing w:after="140" w:before="0"/>
        <w:jc w:val="center"/>
      </w:pPr>
      <w:r>
        <w:rPr>
          <w:rFonts w:ascii="Calibri" w:cs="Calibri" w:eastAsia="Calibri" w:hAnsi="Calibri"/>
          <w:color w:val="444444"/>
          <w:sz w:val="18"/>
          <w:szCs w:val="18"/>
        </w:rPr>
        <w:t xml:space="preserve">Annapolis, Maryland  ·  (443) 294-5481  ·  efparnell@gmail.com  ·  linkedin.com/in/evanparnell</w:t>
      </w:r>
    </w:p>
    <w:p>
      <w:pPr>
        <w:spacing w:after="160" w:before="0"/>
      </w:pPr>
      <w:r>
        <w:rPr>
          <w:rFonts w:ascii="Calibri" w:cs="Calibri" w:eastAsia="Calibri" w:hAnsi="Calibri"/>
          <w:sz w:val="20"/>
          <w:szCs w:val="20"/>
        </w:rPr>
        <w:t xml:space="preserve">September 30, 2026</w:t>
      </w:r>
    </w:p>
    <w:p>
      <w:pPr>
        <w:spacing w:after="0" w:before="0"/>
      </w:pPr>
      <w:r>
        <w:rPr>
          <w:rFonts w:ascii="Calibri" w:cs="Calibri" w:eastAsia="Calibri" w:hAnsi="Calibri"/>
          <w:sz w:val="20"/>
          <w:szCs w:val="20"/>
        </w:rPr>
        <w:t xml:space="preserve">Chris Long</w:t>
      </w:r>
    </w:p>
    <w:p>
      <w:pPr>
        <w:spacing w:after="0" w:before="0"/>
      </w:pPr>
      <w:r>
        <w:rPr>
          <w:rFonts w:ascii="Calibri" w:cs="Calibri" w:eastAsia="Calibri" w:hAnsi="Calibri"/>
          <w:sz w:val="20"/>
          <w:szCs w:val="20"/>
        </w:rPr>
        <w:t xml:space="preserve">Chief Operating Officer</w:t>
      </w:r>
    </w:p>
    <w:p>
      <w:pPr>
        <w:spacing w:after="160" w:before="0"/>
      </w:pPr>
      <w:r>
        <w:rPr>
          <w:rFonts w:ascii="Calibri" w:cs="Calibri" w:eastAsia="Calibri" w:hAnsi="Calibri"/>
          <w:sz w:val="20"/>
          <w:szCs w:val="20"/>
        </w:rPr>
        <w:t xml:space="preserve">Microbac Laboratories, Inc.</w:t>
      </w:r>
    </w:p>
    <w:p>
      <w:pPr>
        <w:spacing w:after="140" w:before="0"/>
      </w:pPr>
      <w:r>
        <w:rPr>
          <w:rFonts w:ascii="Calibri" w:cs="Calibri" w:eastAsia="Calibri" w:hAnsi="Calibri"/>
          <w:sz w:val="20"/>
          <w:szCs w:val="20"/>
        </w:rPr>
        <w:t xml:space="preserve">Dear Mr. Long,</w:t>
      </w:r>
    </w:p>
    <w:p>
      <w:pPr>
        <w:spacing w:after="140" w:before="0"/>
      </w:pPr>
      <w:r>
        <w:rPr>
          <w:rFonts w:ascii="Calibri" w:cs="Calibri" w:eastAsia="Calibri" w:hAnsi="Calibri"/>
          <w:sz w:val="20"/>
          <w:szCs w:val="20"/>
        </w:rPr>
        <w:t xml:space="preserve">I am applying for the Regional Laboratory Operations Director role for the Northeast. The short version of my case: I ran the inside of a high-throughput analytical laboratory and doubled its output without doubling anything else.</w:t>
      </w:r>
    </w:p>
    <w:p>
      <w:pPr>
        <w:spacing w:after="140" w:before="0"/>
      </w:pPr>
      <w:r>
        <w:rPr>
          <w:rFonts w:ascii="Calibri" w:cs="Calibri" w:eastAsia="Calibri" w:hAnsi="Calibri"/>
          <w:sz w:val="20"/>
          <w:szCs w:val="20"/>
        </w:rPr>
        <w:t xml:space="preserve">As Associate Laboratory Director at Green Analytics, I owned everything inside the building — three department managers across chemistry, microbiology and sampling, three shift leads, and roughly sixteen technicians and analysts. Annual sample volume went from about 25,000 to just under 50,000 on a 35% increase in staff, close to a 50% gain in output per person. Turnaround went from five days to three. Turnover fell about 75%.</w:t>
      </w:r>
    </w:p>
    <w:p>
      <w:pPr>
        <w:spacing w:after="140" w:before="0"/>
      </w:pPr>
      <w:r>
        <w:rPr>
          <w:rFonts w:ascii="Calibri" w:cs="Calibri" w:eastAsia="Calibri" w:hAnsi="Calibri"/>
          <w:sz w:val="20"/>
          <w:szCs w:val="20"/>
        </w:rPr>
        <w:t xml:space="preserve">That came from unglamorous work: analyzing purchasing and workflow to take out cost, redesigning the physical laboratory around how samples actually move, and building a job-leveling program — Technician and Analyst levels one through three, with published pay ranges, skill checklists and supervisor sign-offs — to replace a structure where identical titles carried widely different pay and responsibility. That program is the main reason turnover dropped, and the management infrastructure behind it was adopted across all eight of the company’s locations as it grew from 250 to roughly 350 people.</w:t>
      </w:r>
    </w:p>
    <w:p>
      <w:pPr>
        <w:spacing w:after="140" w:before="0"/>
      </w:pPr>
      <w:r>
        <w:rPr>
          <w:rFonts w:ascii="Calibri" w:cs="Calibri" w:eastAsia="Calibri" w:hAnsi="Calibri"/>
          <w:sz w:val="20"/>
          <w:szCs w:val="20"/>
        </w:rPr>
        <w:t xml:space="preserve">Earlier in my career I took laboratories through accreditation rather than inheriting it. At Atlas Labs I built a greenfield laboratory from market selection and financing through construction to ISO/IEC 17025 accreditation and DEA registration. At Atlantic Test Labs I led the 17025 quality management system implementation for a startup laboratory. At Atlantic Technical Services I rebuilt the operating system after an unsuccessful external audit and implemented ISO 9001. My analytical background spans pharmaceutical, environmental and cannabis testing — HPLC, LC-MS/MS, GC-MS/MS, ICP-MS, qPCR and microbiological methods — and I am comfortable in any analytical method.</w:t>
      </w:r>
    </w:p>
    <w:p>
      <w:pPr>
        <w:spacing w:after="140" w:before="0"/>
      </w:pPr>
      <w:r>
        <w:rPr>
          <w:rFonts w:ascii="Calibri" w:cs="Calibri" w:eastAsia="Calibri" w:hAnsi="Calibri"/>
          <w:sz w:val="20"/>
          <w:szCs w:val="20"/>
        </w:rPr>
        <w:t xml:space="preserve">Why this role: a region of independently accredited laboratories with different scopes and different licences cannot be managed as one until its numbers mean the same thing at every site. Making several operations comparable — the same definitions, the same cadence, the same standard — while leaving technical authority where it belongs is the work I am best at, and it is why a multi-laboratory regional seat interests me more than another single-site job.</w:t>
      </w:r>
    </w:p>
    <w:p>
      <w:pPr>
        <w:spacing w:after="180" w:before="0"/>
      </w:pPr>
      <w:r>
        <w:rPr>
          <w:rFonts w:ascii="Calibri" w:cs="Calibri" w:eastAsia="Calibri" w:hAnsi="Calibri"/>
          <w:sz w:val="20"/>
          <w:szCs w:val="20"/>
        </w:rPr>
        <w:t xml:space="preserve">I am based in Edgewater, twenty-five minutes from the Baltimore laboratory, and I would welcome a conversation about what you need this region to accomplish in the next year.</w:t>
      </w:r>
    </w:p>
    <w:p>
      <w:pPr>
        <w:spacing w:after="220" w:before="0"/>
      </w:pPr>
      <w:r>
        <w:rPr>
          <w:rFonts w:ascii="Calibri" w:cs="Calibri" w:eastAsia="Calibri" w:hAnsi="Calibri"/>
          <w:sz w:val="20"/>
          <w:szCs w:val="20"/>
        </w:rPr>
        <w:t xml:space="preserve">Sincerely,</w:t>
      </w:r>
    </w:p>
    <w:p>
      <w:pPr>
        <w:spacing w:after="0" w:before="0"/>
      </w:pPr>
      <w:r>
        <w:rPr>
          <w:rFonts w:ascii="Calibri" w:cs="Calibri" w:eastAsia="Calibri" w:hAnsi="Calibri"/>
          <w:b/>
          <w:bCs/>
          <w:sz w:val="20"/>
          <w:szCs w:val="20"/>
        </w:rPr>
        <w:t xml:space="preserve">Evan Parnell</w:t>
      </w:r>
    </w:p>
    <w:sectPr>
      <w:pgSz w:w="12240" w:h="15840" w:orient="portrait"/>
      <w:pgMar w:top="900" w:right="1100" w:bottom="9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5"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2026-09-30T01:44:53.902Z</dcterms:created>
  <dcterms:modified xsi:type="dcterms:W3CDTF">2026-09-30T01:44:53.902Z</dcterms:modified>
</cp:coreProperties>
</file>

<file path=docProps/custom.xml><?xml version="1.0" encoding="utf-8"?>
<Properties xmlns="http://schemas.openxmlformats.org/officeDocument/2006/custom-properties" xmlns:vt="http://schemas.openxmlformats.org/officeDocument/2006/docPropsVTypes"/>
</file>