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spacing w:val="20"/>
          <w:sz w:val="30"/>
          <w:szCs w:val="30"/>
        </w:rPr>
        <w:t xml:space="preserve">FIRST 90 DAYS — MID-ATLANTIC REGION</w:t>
      </w:r>
    </w:p>
    <w:p>
      <w:pPr>
        <w:spacing w:after="40" w:before="0"/>
        <w:jc w:val="center"/>
      </w:pPr>
      <w:r>
        <w:rPr>
          <w:rFonts w:ascii="Calibri" w:cs="Calibri" w:eastAsia="Calibri" w:hAnsi="Calibri"/>
          <w:b/>
          <w:bCs/>
          <w:color w:val="333333"/>
          <w:sz w:val="20"/>
          <w:szCs w:val="20"/>
        </w:rPr>
        <w:t xml:space="preserve">Evan Parnell  ·  Regional Laboratory Operations Director, Mid-Atlantic</w:t>
      </w:r>
    </w:p>
    <w:p>
      <w:pPr>
        <w:spacing w:after="180" w:before="0"/>
        <w:jc w:val="center"/>
      </w:pPr>
      <w:r>
        <w:rPr>
          <w:rFonts w:ascii="Calibri" w:cs="Calibri" w:eastAsia="Calibri" w:hAnsi="Calibri"/>
          <w:i/>
          <w:iCs/>
          <w:color w:val="444444"/>
          <w:sz w:val="18"/>
          <w:szCs w:val="18"/>
        </w:rPr>
        <w:t xml:space="preserve">A working outline offered for discussion — it should change once I can see the region’s actual data.</w:t>
      </w:r>
    </w:p>
    <w:p>
      <w:pPr>
        <w:pBdr>
          <w:bottom w:val="single" w:color="999999" w:sz="6" w:space="2"/>
        </w:pBdr>
        <w:spacing w:after="90" w:before="200"/>
      </w:pPr>
      <w:r>
        <w:rPr>
          <w:rFonts w:ascii="Calibri" w:cs="Calibri" w:eastAsia="Calibri" w:hAnsi="Calibri"/>
          <w:b/>
          <w:bCs/>
          <w:caps/>
          <w:spacing w:val="30"/>
          <w:sz w:val="21"/>
          <w:szCs w:val="21"/>
        </w:rPr>
        <w:t xml:space="preserve">Operating Principle</w:t>
      </w:r>
    </w:p>
    <w:p>
      <w:pPr>
        <w:spacing w:after="90" w:before="0"/>
      </w:pPr>
      <w:r>
        <w:rPr>
          <w:rFonts w:ascii="Calibri" w:cs="Calibri" w:eastAsia="Calibri" w:hAnsi="Calibri"/>
          <w:sz w:val="20"/>
          <w:szCs w:val="20"/>
        </w:rPr>
        <w:t xml:space="preserve">A region of independently accredited laboratories, each with its own scope and its own state approvals, cannot be managed as one system until its data mean the same thing at every site. </w:t>
      </w:r>
      <w:r>
        <w:rPr>
          <w:rFonts w:ascii="Calibri" w:cs="Calibri" w:eastAsia="Calibri" w:hAnsi="Calibri"/>
          <w:b/>
          <w:bCs/>
          <w:sz w:val="20"/>
          <w:szCs w:val="20"/>
        </w:rPr>
        <w:t xml:space="preserve">Characterize first, harmonize second, restructure last.</w:t>
      </w:r>
    </w:p>
    <w:p>
      <w:pPr>
        <w:spacing w:after="90" w:before="0"/>
      </w:pPr>
      <w:r>
        <w:rPr>
          <w:rFonts w:ascii="Calibri" w:cs="Calibri" w:eastAsia="Calibri" w:hAnsi="Calibri"/>
          <w:b/>
          <w:bCs/>
          <w:sz w:val="20"/>
          <w:szCs w:val="20"/>
        </w:rPr>
        <w:t xml:space="preserve">And sequence it. </w:t>
      </w:r>
      <w:r>
        <w:rPr>
          <w:rFonts w:ascii="Calibri" w:cs="Calibri" w:eastAsia="Calibri" w:hAnsi="Calibri"/>
          <w:sz w:val="20"/>
          <w:szCs w:val="20"/>
        </w:rPr>
        <w:t xml:space="preserve">Baltimore is the anchor and my base, so it comes first — several days a week on site, not a visit. Richmond follows. The remaining sites get a defined schedule across the first year. </w:t>
      </w:r>
      <w:r>
        <w:rPr>
          <w:rFonts w:ascii="Calibri" w:cs="Calibri" w:eastAsia="Calibri" w:hAnsi="Calibri"/>
          <w:b/>
          <w:bCs/>
          <w:sz w:val="20"/>
          <w:szCs w:val="20"/>
        </w:rPr>
        <w:t xml:space="preserve">I would not widen the scope until Baltimore meets stated exit criteria</w:t>
      </w:r>
      <w:r>
        <w:rPr>
          <w:rFonts w:ascii="Calibri" w:cs="Calibri" w:eastAsia="Calibri" w:hAnsi="Calibri"/>
          <w:sz w:val="20"/>
          <w:szCs w:val="20"/>
        </w:rPr>
        <w:t xml:space="preserve"> — taking on five sites at once is how a regional role becomes a reporting function instead of an operating one.</w:t>
      </w:r>
    </w:p>
    <w:p>
      <w:pPr>
        <w:pBdr>
          <w:bottom w:val="single" w:color="999999" w:sz="6" w:space="2"/>
        </w:pBdr>
        <w:spacing w:after="90" w:before="200"/>
      </w:pPr>
      <w:r>
        <w:rPr>
          <w:rFonts w:ascii="Calibri" w:cs="Calibri" w:eastAsia="Calibri" w:hAnsi="Calibri"/>
          <w:b/>
          <w:bCs/>
          <w:caps/>
          <w:spacing w:val="30"/>
          <w:sz w:val="21"/>
          <w:szCs w:val="21"/>
        </w:rPr>
        <w:t xml:space="preserve">Phase I · Days 1–30 · Current-State Assessment, Baltimore</w:t>
      </w:r>
    </w:p>
    <w:p>
      <w:pPr>
        <w:spacing w:after="80" w:before="0"/>
      </w:pPr>
      <w:r>
        <w:rPr>
          <w:rFonts w:ascii="Calibri" w:cs="Calibri" w:eastAsia="Calibri" w:hAnsi="Calibri"/>
          <w:i/>
          <w:iCs/>
          <w:sz w:val="20"/>
          <w:szCs w:val="20"/>
        </w:rPr>
        <w:t xml:space="preserve">Observations only. No corrective action until the data set is complete.</w:t>
      </w:r>
    </w:p>
    <w:p>
      <w:pPr>
        <w:pStyle w:val="ListParagraph"/>
        <w:numPr>
          <w:ilvl w:val="0"/>
          <w:numId w:val="2"/>
        </w:numPr>
        <w:spacing w:after="60"/>
      </w:pPr>
      <w:r>
        <w:rPr>
          <w:rFonts w:ascii="Calibri" w:cs="Calibri" w:eastAsia="Calibri" w:hAnsi="Calibri"/>
          <w:b/>
          <w:bCs/>
          <w:sz w:val="20"/>
          <w:szCs w:val="20"/>
        </w:rPr>
        <w:t xml:space="preserve">Baltimore, two to three days a week</w:t>
      </w:r>
      <w:r>
        <w:rPr>
          <w:rFonts w:ascii="Calibri" w:cs="Calibri" w:eastAsia="Calibri" w:hAnsi="Calibri"/>
          <w:sz w:val="20"/>
          <w:szCs w:val="20"/>
        </w:rPr>
        <w:t xml:space="preserve"> — time at the bench and in sample receiving, not only in the office.</w:t>
      </w:r>
    </w:p>
    <w:p>
      <w:pPr>
        <w:pStyle w:val="ListParagraph"/>
        <w:numPr>
          <w:ilvl w:val="0"/>
          <w:numId w:val="2"/>
        </w:numPr>
        <w:spacing w:after="60"/>
      </w:pPr>
      <w:r>
        <w:rPr>
          <w:rFonts w:ascii="Calibri" w:cs="Calibri" w:eastAsia="Calibri" w:hAnsi="Calibri"/>
          <w:sz w:val="20"/>
          <w:szCs w:val="20"/>
        </w:rPr>
        <w:t xml:space="preserve">Interviews at three levels: site and division management, technical and quality leadership, and the analysts and receiving staff who see the failures first.</w:t>
      </w:r>
    </w:p>
    <w:p>
      <w:pPr>
        <w:pStyle w:val="ListParagraph"/>
        <w:numPr>
          <w:ilvl w:val="0"/>
          <w:numId w:val="2"/>
        </w:numPr>
        <w:spacing w:after="60"/>
      </w:pPr>
      <w:r>
        <w:rPr>
          <w:rFonts w:ascii="Calibri" w:cs="Calibri" w:eastAsia="Calibri" w:hAnsi="Calibri"/>
          <w:sz w:val="20"/>
          <w:szCs w:val="20"/>
        </w:rPr>
        <w:t xml:space="preserve">Retrospective review of twelve months at Baltimore: revenue and margin to plan, cost per sample, on-time turnaround, reanalysis and rework rate, overtime, instrument uptime, open corrective actions, accredited scope, and certified method coverage by analyst.</w:t>
      </w:r>
    </w:p>
    <w:p>
      <w:pPr>
        <w:pStyle w:val="ListParagraph"/>
        <w:numPr>
          <w:ilvl w:val="0"/>
          <w:numId w:val="2"/>
        </w:numPr>
        <w:spacing w:after="60"/>
      </w:pPr>
      <w:r>
        <w:rPr>
          <w:rFonts w:ascii="Calibri" w:cs="Calibri" w:eastAsia="Calibri" w:hAnsi="Calibri"/>
          <w:b/>
          <w:bCs/>
          <w:sz w:val="20"/>
          <w:szCs w:val="20"/>
        </w:rPr>
        <w:t xml:space="preserve">Verify the measurement system before trusting the measurements.</w:t>
      </w:r>
      <w:r>
        <w:rPr>
          <w:rFonts w:ascii="Calibri" w:cs="Calibri" w:eastAsia="Calibri" w:hAnsi="Calibri"/>
          <w:sz w:val="20"/>
          <w:szCs w:val="20"/>
        </w:rPr>
        <w:t xml:space="preserve"> Turnaround especially — received-to-reported versus scheduled-to-reported is where the variance hides.</w:t>
      </w:r>
    </w:p>
    <w:p>
      <w:pPr>
        <w:pStyle w:val="ListParagraph"/>
        <w:numPr>
          <w:ilvl w:val="0"/>
          <w:numId w:val="2"/>
        </w:numPr>
        <w:spacing w:after="60"/>
      </w:pPr>
      <w:r>
        <w:rPr>
          <w:rFonts w:ascii="Calibri" w:cs="Calibri" w:eastAsia="Calibri" w:hAnsi="Calibri"/>
          <w:b/>
          <w:bCs/>
          <w:sz w:val="20"/>
          <w:szCs w:val="20"/>
        </w:rPr>
        <w:t xml:space="preserve">One familiarization visit to Richmond</w:t>
      </w:r>
      <w:r>
        <w:rPr>
          <w:rFonts w:ascii="Calibri" w:cs="Calibri" w:eastAsia="Calibri" w:hAnsi="Calibri"/>
          <w:sz w:val="20"/>
          <w:szCs w:val="20"/>
        </w:rPr>
        <w:t xml:space="preserve">, and a data-level review of the rest of the territory so the region is mapped even where I am not yet working: which sites are full-service laboratories, which are focused benches, which are service centers, and where each accredited scope begins and ends.</w:t>
      </w:r>
    </w:p>
    <w:p>
      <w:pPr>
        <w:pStyle w:val="ListParagraph"/>
        <w:numPr>
          <w:ilvl w:val="0"/>
          <w:numId w:val="2"/>
        </w:numPr>
        <w:spacing w:after="60"/>
      </w:pPr>
      <w:r>
        <w:rPr>
          <w:rFonts w:ascii="Calibri" w:cs="Calibri" w:eastAsia="Calibri" w:hAnsi="Calibri"/>
          <w:sz w:val="20"/>
          <w:szCs w:val="20"/>
        </w:rPr>
        <w:t xml:space="preserve">Client view: the top accounts at Baltimore, and what each would say about us if I called them.</w:t>
      </w:r>
    </w:p>
    <w:p>
      <w:pPr>
        <w:spacing w:after="40" w:before="0"/>
      </w:pPr>
      <w:r>
        <w:rPr>
          <w:rFonts w:ascii="Calibri" w:cs="Calibri" w:eastAsia="Calibri" w:hAnsi="Calibri"/>
          <w:b/>
          <w:bCs/>
          <w:sz w:val="20"/>
          <w:szCs w:val="20"/>
        </w:rPr>
        <w:t xml:space="preserve">Deliverable at 30 days: </w:t>
      </w:r>
      <w:r>
        <w:rPr>
          <w:rFonts w:ascii="Calibri" w:cs="Calibri" w:eastAsia="Calibri" w:hAnsi="Calibri"/>
          <w:sz w:val="20"/>
          <w:szCs w:val="20"/>
        </w:rPr>
        <w:t xml:space="preserve">a written baseline for Baltimore, a map of the territory, and anything not yet verifiable identified as such rather than assumed.</w:t>
      </w:r>
    </w:p>
    <w:p>
      <w:pPr>
        <w:pBdr>
          <w:bottom w:val="single" w:color="999999" w:sz="6" w:space="2"/>
        </w:pBdr>
        <w:spacing w:after="90" w:before="200"/>
      </w:pPr>
      <w:r>
        <w:rPr>
          <w:rFonts w:ascii="Calibri" w:cs="Calibri" w:eastAsia="Calibri" w:hAnsi="Calibri"/>
          <w:b/>
          <w:bCs/>
          <w:caps/>
          <w:spacing w:val="30"/>
          <w:sz w:val="21"/>
          <w:szCs w:val="21"/>
        </w:rPr>
        <w:t xml:space="preserve">Phase II · Days 31–60 · Gap Analysis and Harmonization</w:t>
      </w:r>
    </w:p>
    <w:p>
      <w:pPr>
        <w:pStyle w:val="ListParagraph"/>
        <w:numPr>
          <w:ilvl w:val="0"/>
          <w:numId w:val="2"/>
        </w:numPr>
        <w:spacing w:after="60"/>
      </w:pPr>
      <w:r>
        <w:rPr>
          <w:rFonts w:ascii="Calibri" w:cs="Calibri" w:eastAsia="Calibri" w:hAnsi="Calibri"/>
          <w:sz w:val="20"/>
          <w:szCs w:val="20"/>
        </w:rPr>
        <w:t xml:space="preserve">Gap analysis at Baltimore against a single defined standard: what the site does today versus what the region needs to do in common.</w:t>
      </w:r>
    </w:p>
    <w:p>
      <w:pPr>
        <w:pStyle w:val="ListParagraph"/>
        <w:numPr>
          <w:ilvl w:val="0"/>
          <w:numId w:val="2"/>
        </w:numPr>
        <w:spacing w:after="60"/>
      </w:pPr>
      <w:r>
        <w:rPr>
          <w:rFonts w:ascii="Calibri" w:cs="Calibri" w:eastAsia="Calibri" w:hAnsi="Calibri"/>
          <w:b/>
          <w:bCs/>
          <w:sz w:val="20"/>
          <w:szCs w:val="20"/>
        </w:rPr>
        <w:t xml:space="preserve">Build the regional metric set at Baltimore first</w:t>
      </w:r>
      <w:r>
        <w:rPr>
          <w:rFonts w:ascii="Calibri" w:cs="Calibri" w:eastAsia="Calibri" w:hAnsi="Calibri"/>
          <w:sz w:val="20"/>
          <w:szCs w:val="20"/>
        </w:rPr>
        <w:t xml:space="preserve"> — defined identically, and small enough that site leadership can produce it without a project: backlog and aging, on-time turnaround, open corrective actions, overtime. Proving it at one site before imposing it on five is the difference between a standard and a memo.</w:t>
      </w:r>
    </w:p>
    <w:p>
      <w:pPr>
        <w:pStyle w:val="ListParagraph"/>
        <w:numPr>
          <w:ilvl w:val="0"/>
          <w:numId w:val="2"/>
        </w:numPr>
        <w:spacing w:after="60"/>
      </w:pPr>
      <w:r>
        <w:rPr>
          <w:rFonts w:ascii="Calibri" w:cs="Calibri" w:eastAsia="Calibri" w:hAnsi="Calibri"/>
          <w:sz w:val="20"/>
          <w:szCs w:val="20"/>
        </w:rPr>
        <w:t xml:space="preserve">A monthly management review on a common agenda — performance to plan, capacity, quality, people — so the regional roll-up is built from comparable inputs.</w:t>
      </w:r>
    </w:p>
    <w:p>
      <w:pPr>
        <w:pStyle w:val="ListParagraph"/>
        <w:numPr>
          <w:ilvl w:val="0"/>
          <w:numId w:val="2"/>
        </w:numPr>
        <w:spacing w:after="60"/>
      </w:pPr>
      <w:r>
        <w:rPr>
          <w:rFonts w:ascii="Calibri" w:cs="Calibri" w:eastAsia="Calibri" w:hAnsi="Calibri"/>
          <w:b/>
          <w:bCs/>
          <w:sz w:val="20"/>
          <w:szCs w:val="20"/>
        </w:rPr>
        <w:t xml:space="preserve">Richmond current-state assessment</w:t>
      </w:r>
      <w:r>
        <w:rPr>
          <w:rFonts w:ascii="Calibri" w:cs="Calibri" w:eastAsia="Calibri" w:hAnsi="Calibri"/>
          <w:sz w:val="20"/>
          <w:szCs w:val="20"/>
        </w:rPr>
        <w:t xml:space="preserve"> in the same format, now that the format has been tested.</w:t>
      </w:r>
    </w:p>
    <w:p>
      <w:pPr>
        <w:pStyle w:val="ListParagraph"/>
        <w:numPr>
          <w:ilvl w:val="0"/>
          <w:numId w:val="2"/>
        </w:numPr>
        <w:spacing w:after="60"/>
      </w:pPr>
      <w:r>
        <w:rPr>
          <w:rFonts w:ascii="Calibri" w:cs="Calibri" w:eastAsia="Calibri" w:hAnsi="Calibri"/>
          <w:b/>
          <w:bCs/>
          <w:sz w:val="20"/>
          <w:szCs w:val="20"/>
        </w:rPr>
        <w:t xml:space="preserve">Specification before target.</w:t>
      </w:r>
      <w:r>
        <w:rPr>
          <w:rFonts w:ascii="Calibri" w:cs="Calibri" w:eastAsia="Calibri" w:hAnsi="Calibri"/>
          <w:sz w:val="20"/>
          <w:szCs w:val="20"/>
        </w:rPr>
        <w:t xml:space="preserve"> Setting a target on an unharmonized measure produces reporting behavior rather than improvement — the same reason a method is qualified before its results are trended.</w:t>
      </w:r>
    </w:p>
    <w:p>
      <w:pPr>
        <w:pStyle w:val="ListParagraph"/>
        <w:numPr>
          <w:ilvl w:val="0"/>
          <w:numId w:val="2"/>
        </w:numPr>
        <w:spacing w:after="60"/>
      </w:pPr>
      <w:r>
        <w:rPr>
          <w:rFonts w:ascii="Calibri" w:cs="Calibri" w:eastAsia="Calibri" w:hAnsi="Calibri"/>
          <w:b/>
          <w:bCs/>
          <w:sz w:val="20"/>
          <w:szCs w:val="20"/>
        </w:rPr>
        <w:t xml:space="preserve">Protect what already conforms.</w:t>
      </w:r>
      <w:r>
        <w:rPr>
          <w:rFonts w:ascii="Calibri" w:cs="Calibri" w:eastAsia="Calibri" w:hAnsi="Calibri"/>
          <w:sz w:val="20"/>
          <w:szCs w:val="20"/>
        </w:rPr>
        <w:t xml:space="preserve"> Where a site performs, the cadence confirms it and gets out of the way. Technical authority stays with the technical leadership holding the licenses — this is an operations harmonization, not a scientific one.</w:t>
      </w:r>
    </w:p>
    <w:p>
      <w:pPr>
        <w:spacing w:after="40" w:before="0"/>
      </w:pPr>
      <w:r>
        <w:rPr>
          <w:rFonts w:ascii="Calibri" w:cs="Calibri" w:eastAsia="Calibri" w:hAnsi="Calibri"/>
          <w:b/>
          <w:bCs/>
          <w:sz w:val="20"/>
          <w:szCs w:val="20"/>
        </w:rPr>
        <w:t xml:space="preserve">Deliverable at 60 days: </w:t>
      </w:r>
      <w:r>
        <w:rPr>
          <w:rFonts w:ascii="Calibri" w:cs="Calibri" w:eastAsia="Calibri" w:hAnsi="Calibri"/>
          <w:sz w:val="20"/>
          <w:szCs w:val="20"/>
        </w:rPr>
        <w:t xml:space="preserve">a documented gap analysis for Baltimore, a current-state assessment for Richmond, and a management review running on harmonized definitions.</w:t>
      </w:r>
    </w:p>
    <w:p>
      <w:pPr>
        <w:pBdr>
          <w:bottom w:val="single" w:color="999999" w:sz="6" w:space="2"/>
        </w:pBdr>
        <w:spacing w:after="90" w:before="200"/>
      </w:pPr>
      <w:r>
        <w:rPr>
          <w:rFonts w:ascii="Calibri" w:cs="Calibri" w:eastAsia="Calibri" w:hAnsi="Calibri"/>
          <w:b/>
          <w:bCs/>
          <w:caps/>
          <w:spacing w:val="30"/>
          <w:sz w:val="21"/>
          <w:szCs w:val="21"/>
        </w:rPr>
        <w:t xml:space="preserve">Phase III · Days 61–90 · Corrective Action and the Year-One Plan</w:t>
      </w:r>
    </w:p>
    <w:p>
      <w:pPr>
        <w:pStyle w:val="ListParagraph"/>
        <w:numPr>
          <w:ilvl w:val="0"/>
          <w:numId w:val="2"/>
        </w:numPr>
        <w:spacing w:after="60"/>
      </w:pPr>
      <w:r>
        <w:rPr>
          <w:rFonts w:ascii="Calibri" w:cs="Calibri" w:eastAsia="Calibri" w:hAnsi="Calibri"/>
          <w:sz w:val="20"/>
          <w:szCs w:val="20"/>
        </w:rPr>
        <w:t xml:space="preserve">Take the highest-cost finding at Baltimore, establish root cause rather than treating the symptom, implement the correction, and define the effectiveness check. In most laboratories this is a turnaround bottleneck — often data review queued behind one or two approvers — or a reanalysis rate nobody has priced.</w:t>
      </w:r>
    </w:p>
    <w:p>
      <w:pPr>
        <w:pStyle w:val="ListParagraph"/>
        <w:numPr>
          <w:ilvl w:val="0"/>
          <w:numId w:val="2"/>
        </w:numPr>
        <w:spacing w:after="60"/>
      </w:pPr>
      <w:r>
        <w:rPr>
          <w:rFonts w:ascii="Calibri" w:cs="Calibri" w:eastAsia="Calibri" w:hAnsi="Calibri"/>
          <w:sz w:val="20"/>
          <w:szCs w:val="20"/>
        </w:rPr>
        <w:t xml:space="preserve">Richmond gap analysis and a corrective plan, sequenced behind Baltimore rather than alongside it.</w:t>
      </w:r>
    </w:p>
    <w:p>
      <w:pPr>
        <w:pStyle w:val="ListParagraph"/>
        <w:numPr>
          <w:ilvl w:val="0"/>
          <w:numId w:val="2"/>
        </w:numPr>
        <w:spacing w:after="60"/>
      </w:pPr>
      <w:r>
        <w:rPr>
          <w:rFonts w:ascii="Calibri" w:cs="Calibri" w:eastAsia="Calibri" w:hAnsi="Calibri"/>
          <w:sz w:val="20"/>
          <w:szCs w:val="20"/>
        </w:rPr>
        <w:t xml:space="preserve">Capacity planning for 2027: two federal drinking-water deadlines land that year, and compliance samples arrive in the final quarters before a deadline rather than evenly. Staffing, scheduling and scope decided in advance rather than absorbed.</w:t>
      </w:r>
    </w:p>
    <w:p>
      <w:pPr>
        <w:pStyle w:val="ListParagraph"/>
        <w:numPr>
          <w:ilvl w:val="0"/>
          <w:numId w:val="2"/>
        </w:numPr>
        <w:spacing w:after="60"/>
      </w:pPr>
      <w:r>
        <w:rPr>
          <w:rFonts w:ascii="Calibri" w:cs="Calibri" w:eastAsia="Calibri" w:hAnsi="Calibri"/>
          <w:b/>
          <w:bCs/>
          <w:sz w:val="20"/>
          <w:szCs w:val="20"/>
        </w:rPr>
        <w:t xml:space="preserve">A written twelve-month plan</w:t>
      </w:r>
      <w:r>
        <w:rPr>
          <w:rFonts w:ascii="Calibri" w:cs="Calibri" w:eastAsia="Calibri" w:hAnsi="Calibri"/>
          <w:sz w:val="20"/>
          <w:szCs w:val="20"/>
        </w:rPr>
        <w:t xml:space="preserve"> covering the rest of the territory: the visit schedule, capacity and capital, accredited scope, staffing and development, and where growth comes from.</w:t>
      </w:r>
    </w:p>
    <w:p>
      <w:pPr>
        <w:spacing w:after="40" w:before="0"/>
      </w:pPr>
      <w:r>
        <w:rPr>
          <w:rFonts w:ascii="Calibri" w:cs="Calibri" w:eastAsia="Calibri" w:hAnsi="Calibri"/>
          <w:b/>
          <w:bCs/>
          <w:sz w:val="20"/>
          <w:szCs w:val="20"/>
        </w:rPr>
        <w:t xml:space="preserve">Deliverable at 90 days: </w:t>
      </w:r>
      <w:r>
        <w:rPr>
          <w:rFonts w:ascii="Calibri" w:cs="Calibri" w:eastAsia="Calibri" w:hAnsi="Calibri"/>
          <w:sz w:val="20"/>
          <w:szCs w:val="20"/>
        </w:rPr>
        <w:t xml:space="preserve">one corrective action implemented with its effectiveness check defined, Richmond characterized, and a twelve-month plan the region has agreed to.</w:t>
      </w:r>
    </w:p>
    <w:p>
      <w:pPr>
        <w:pBdr>
          <w:bottom w:val="single" w:color="999999" w:sz="6" w:space="2"/>
        </w:pBdr>
        <w:spacing w:after="90" w:before="200"/>
      </w:pPr>
      <w:r>
        <w:rPr>
          <w:rFonts w:ascii="Calibri" w:cs="Calibri" w:eastAsia="Calibri" w:hAnsi="Calibri"/>
          <w:b/>
          <w:bCs/>
          <w:caps/>
          <w:spacing w:val="30"/>
          <w:sz w:val="21"/>
          <w:szCs w:val="21"/>
        </w:rPr>
        <w:t xml:space="preserve">Exit Criteria — When Baltimore Stops Being the Priority</w:t>
      </w:r>
    </w:p>
    <w:p>
      <w:pPr>
        <w:spacing w:after="70" w:before="0"/>
      </w:pPr>
      <w:r>
        <w:rPr>
          <w:rFonts w:ascii="Calibri" w:cs="Calibri" w:eastAsia="Calibri" w:hAnsi="Calibri"/>
          <w:sz w:val="20"/>
          <w:szCs w:val="20"/>
        </w:rPr>
        <w:t xml:space="preserve">Widening scope should be a decision against evidence, not a calendar date. I would propose moving focus off Baltimore when:</w:t>
      </w:r>
    </w:p>
    <w:p>
      <w:pPr>
        <w:pStyle w:val="ListParagraph"/>
        <w:numPr>
          <w:ilvl w:val="0"/>
          <w:numId w:val="2"/>
        </w:numPr>
        <w:spacing w:after="60"/>
      </w:pPr>
      <w:r>
        <w:rPr>
          <w:rFonts w:ascii="Calibri" w:cs="Calibri" w:eastAsia="Calibri" w:hAnsi="Calibri"/>
          <w:sz w:val="20"/>
          <w:szCs w:val="20"/>
        </w:rPr>
        <w:t xml:space="preserve">On-time turnaround holds at or above target for two consecutive months, on the harmonized definition.</w:t>
      </w:r>
    </w:p>
    <w:p>
      <w:pPr>
        <w:pStyle w:val="ListParagraph"/>
        <w:numPr>
          <w:ilvl w:val="0"/>
          <w:numId w:val="2"/>
        </w:numPr>
        <w:spacing w:after="60"/>
      </w:pPr>
      <w:r>
        <w:rPr>
          <w:rFonts w:ascii="Calibri" w:cs="Calibri" w:eastAsia="Calibri" w:hAnsi="Calibri"/>
          <w:sz w:val="20"/>
          <w:szCs w:val="20"/>
        </w:rPr>
        <w:t xml:space="preserve">Backlog and aging sit within defined limits, with a stable trend rather than a rescued one.</w:t>
      </w:r>
    </w:p>
    <w:p>
      <w:pPr>
        <w:pStyle w:val="ListParagraph"/>
        <w:numPr>
          <w:ilvl w:val="0"/>
          <w:numId w:val="2"/>
        </w:numPr>
        <w:spacing w:after="60"/>
      </w:pPr>
      <w:r>
        <w:rPr>
          <w:rFonts w:ascii="Calibri" w:cs="Calibri" w:eastAsia="Calibri" w:hAnsi="Calibri"/>
          <w:sz w:val="20"/>
          <w:szCs w:val="20"/>
        </w:rPr>
        <w:t xml:space="preserve">Open corrective actions are closing faster than they open.</w:t>
      </w:r>
    </w:p>
    <w:p>
      <w:pPr>
        <w:pStyle w:val="ListParagraph"/>
        <w:numPr>
          <w:ilvl w:val="0"/>
          <w:numId w:val="2"/>
        </w:numPr>
        <w:spacing w:after="60"/>
      </w:pPr>
      <w:r>
        <w:rPr>
          <w:rFonts w:ascii="Calibri" w:cs="Calibri" w:eastAsia="Calibri" w:hAnsi="Calibri"/>
          <w:b/>
          <w:bCs/>
          <w:sz w:val="20"/>
          <w:szCs w:val="20"/>
        </w:rPr>
        <w:t xml:space="preserve">Site leadership produces the weekly metric set without me</w:t>
      </w:r>
      <w:r>
        <w:rPr>
          <w:rFonts w:ascii="Calibri" w:cs="Calibri" w:eastAsia="Calibri" w:hAnsi="Calibri"/>
          <w:sz w:val="20"/>
          <w:szCs w:val="20"/>
        </w:rPr>
        <w:t xml:space="preserve"> — the real test, because it means the cadence belongs to them.</w:t>
      </w:r>
    </w:p>
    <w:p>
      <w:pPr>
        <w:pStyle w:val="ListParagraph"/>
        <w:numPr>
          <w:ilvl w:val="0"/>
          <w:numId w:val="2"/>
        </w:numPr>
        <w:spacing w:after="60"/>
      </w:pPr>
      <w:r>
        <w:rPr>
          <w:rFonts w:ascii="Calibri" w:cs="Calibri" w:eastAsia="Calibri" w:hAnsi="Calibri"/>
          <w:sz w:val="20"/>
          <w:szCs w:val="20"/>
        </w:rPr>
        <w:t xml:space="preserve">One documented improvement has passed its effectiveness check.</w:t>
      </w:r>
    </w:p>
    <w:p>
      <w:pPr>
        <w:pBdr>
          <w:bottom w:val="single" w:color="999999" w:sz="6" w:space="2"/>
        </w:pBdr>
        <w:spacing w:after="90" w:before="200"/>
      </w:pPr>
      <w:r>
        <w:rPr>
          <w:rFonts w:ascii="Calibri" w:cs="Calibri" w:eastAsia="Calibri" w:hAnsi="Calibri"/>
          <w:b/>
          <w:bCs/>
          <w:caps/>
          <w:spacing w:val="30"/>
          <w:sz w:val="21"/>
          <w:szCs w:val="21"/>
        </w:rPr>
        <w:t xml:space="preserve">The First Year</w:t>
      </w:r>
    </w:p>
    <w:p>
      <w:pPr>
        <w:spacing w:after="90" w:before="0"/>
      </w:pPr>
      <w:r>
        <w:rPr>
          <w:rFonts w:ascii="Calibri" w:cs="Calibri" w:eastAsia="Calibri" w:hAnsi="Calibri"/>
          <w:sz w:val="20"/>
          <w:szCs w:val="20"/>
        </w:rPr>
        <w:t xml:space="preserve">By the end of year one: every laboratory in the territory visited and characterized, the regional review running on common definitions, and </w:t>
      </w:r>
      <w:r>
        <w:rPr>
          <w:rFonts w:ascii="Calibri" w:cs="Calibri" w:eastAsia="Calibri" w:hAnsi="Calibri"/>
          <w:b/>
          <w:bCs/>
          <w:sz w:val="20"/>
          <w:szCs w:val="20"/>
        </w:rPr>
        <w:t xml:space="preserve">Baltimore and Richmond at steady state rather than in progress</w:t>
      </w:r>
      <w:r>
        <w:rPr>
          <w:rFonts w:ascii="Calibri" w:cs="Calibri" w:eastAsia="Calibri" w:hAnsi="Calibri"/>
          <w:sz w:val="20"/>
          <w:szCs w:val="20"/>
        </w:rPr>
        <w:t xml:space="preserve">. Those two are projects before they are sites — the rest of the territory gets added as they stabilize, not before.</w:t>
      </w:r>
    </w:p>
    <w:p>
      <w:pPr>
        <w:pBdr>
          <w:bottom w:val="single" w:color="999999" w:sz="6" w:space="2"/>
        </w:pBdr>
        <w:spacing w:after="90" w:before="200"/>
      </w:pPr>
      <w:r>
        <w:rPr>
          <w:rFonts w:ascii="Calibri" w:cs="Calibri" w:eastAsia="Calibri" w:hAnsi="Calibri"/>
          <w:b/>
          <w:bCs/>
          <w:caps/>
          <w:spacing w:val="30"/>
          <w:sz w:val="21"/>
          <w:szCs w:val="21"/>
        </w:rPr>
        <w:t xml:space="preserve">Inputs I Would Need</w:t>
      </w:r>
    </w:p>
    <w:p>
      <w:pPr>
        <w:pStyle w:val="ListParagraph"/>
        <w:numPr>
          <w:ilvl w:val="0"/>
          <w:numId w:val="2"/>
        </w:numPr>
        <w:spacing w:after="60"/>
      </w:pPr>
      <w:r>
        <w:rPr>
          <w:rFonts w:ascii="Calibri" w:cs="Calibri" w:eastAsia="Calibri" w:hAnsi="Calibri"/>
          <w:sz w:val="20"/>
          <w:szCs w:val="20"/>
        </w:rPr>
        <w:t xml:space="preserve">Which sites are in scope, and whether the P&amp;L is cut by site, by division, or by region.</w:t>
      </w:r>
    </w:p>
    <w:p>
      <w:pPr>
        <w:pStyle w:val="ListParagraph"/>
        <w:numPr>
          <w:ilvl w:val="0"/>
          <w:numId w:val="2"/>
        </w:numPr>
        <w:spacing w:after="60"/>
      </w:pPr>
      <w:r>
        <w:rPr>
          <w:rFonts w:ascii="Calibri" w:cs="Calibri" w:eastAsia="Calibri" w:hAnsi="Calibri"/>
          <w:sz w:val="20"/>
          <w:szCs w:val="20"/>
        </w:rPr>
        <w:t xml:space="preserve">Defined decision rights — what I can approve, and what comes to you first.</w:t>
      </w:r>
    </w:p>
    <w:p>
      <w:pPr>
        <w:pStyle w:val="ListParagraph"/>
        <w:numPr>
          <w:ilvl w:val="0"/>
          <w:numId w:val="2"/>
        </w:numPr>
        <w:spacing w:after="60"/>
      </w:pPr>
      <w:r>
        <w:rPr>
          <w:rFonts w:ascii="Calibri" w:cs="Calibri" w:eastAsia="Calibri" w:hAnsi="Calibri"/>
          <w:sz w:val="20"/>
          <w:szCs w:val="20"/>
        </w:rPr>
        <w:t xml:space="preserve">An introduction to my finance counterpart, and access to whatever facility-level reporting already exists.</w:t>
      </w:r>
    </w:p>
    <w:p>
      <w:pPr>
        <w:pStyle w:val="ListParagraph"/>
        <w:numPr>
          <w:ilvl w:val="0"/>
          <w:numId w:val="2"/>
        </w:numPr>
        <w:spacing w:after="60"/>
      </w:pPr>
      <w:r>
        <w:rPr>
          <w:rFonts w:ascii="Calibri" w:cs="Calibri" w:eastAsia="Calibri" w:hAnsi="Calibri"/>
          <w:sz w:val="20"/>
          <w:szCs w:val="20"/>
        </w:rPr>
        <w:t xml:space="preserve">Thirty days of questions before I propose changes.</w:t>
      </w:r>
    </w:p>
    <w:p>
      <w:pPr>
        <w:pBdr>
          <w:bottom w:val="single" w:color="999999" w:sz="6" w:space="2"/>
        </w:pBdr>
        <w:spacing w:after="90" w:before="200"/>
      </w:pPr>
      <w:r>
        <w:rPr>
          <w:rFonts w:ascii="Calibri" w:cs="Calibri" w:eastAsia="Calibri" w:hAnsi="Calibri"/>
          <w:b/>
          <w:bCs/>
          <w:caps/>
          <w:spacing w:val="30"/>
          <w:sz w:val="21"/>
          <w:szCs w:val="21"/>
        </w:rPr>
        <w:t xml:space="preserve">Controls I Would Hold Myself To</w:t>
      </w:r>
    </w:p>
    <w:p>
      <w:pPr>
        <w:spacing w:after="90" w:before="0"/>
      </w:pPr>
      <w:r>
        <w:rPr>
          <w:rFonts w:ascii="Calibri" w:cs="Calibri" w:eastAsia="Calibri" w:hAnsi="Calibri"/>
          <w:sz w:val="20"/>
          <w:szCs w:val="20"/>
        </w:rPr>
        <w:t xml:space="preserve">No reorganization of a functioning team before the root cause is understood. No targets on measures that are not yet harmonized. No new site added while Baltimore is still unstable. And no trading defensible data for a faster month — a late result is recoverable, a result that does not hold up is not.</w:t>
      </w:r>
    </w:p>
    <w:sectPr>
      <w:pgSz w:w="12240" w:h="15840" w:orient="portrait"/>
      <w:pgMar w:top="800" w:right="1000" w:bottom="8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5"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2026-10-17T17:04:00.865Z</dcterms:created>
  <dcterms:modified xsi:type="dcterms:W3CDTF">2026-10-17T17:04:00.866Z</dcterms:modified>
</cp:coreProperties>
</file>

<file path=docProps/custom.xml><?xml version="1.0" encoding="utf-8"?>
<Properties xmlns="http://schemas.openxmlformats.org/officeDocument/2006/custom-properties" xmlns:vt="http://schemas.openxmlformats.org/officeDocument/2006/docPropsVTypes"/>
</file>