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spacing w:val="20"/>
          <w:sz w:val="30"/>
          <w:szCs w:val="30"/>
        </w:rPr>
        <w:t xml:space="preserve">FIRST 90 DAYS — NORTHEAST REGION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Evan Parnell  ·  Regional Laboratory Operations Director, Northeast</w:t>
      </w:r>
    </w:p>
    <w:p>
      <w:pPr>
        <w:spacing w:after="180" w:before="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A working outline offered for discussion, not a finished plan — it should change once I can see the region’s actual numbers.</w:t>
      </w:r>
    </w:p>
    <w:p>
      <w:pPr>
        <w:pBdr>
          <w:bottom w:val="single" w:color="999999" w:sz="6" w:space="2"/>
        </w:pBdr>
        <w:spacing w:after="90" w:before="200"/>
      </w:pPr>
      <w:r>
        <w:rPr>
          <w:rFonts w:ascii="Calibri" w:cs="Calibri" w:eastAsia="Calibri" w:hAnsi="Calibri"/>
          <w:b/>
          <w:bCs/>
          <w:caps/>
          <w:spacing w:val="30"/>
          <w:sz w:val="21"/>
          <w:szCs w:val="21"/>
        </w:rPr>
        <w:t xml:space="preserve">Operating Principle</w:t>
      </w:r>
    </w:p>
    <w:p>
      <w:pPr>
        <w:spacing w:after="90" w:before="0"/>
      </w:pPr>
      <w:r>
        <w:rPr>
          <w:rFonts w:ascii="Calibri" w:cs="Calibri" w:eastAsia="Calibri" w:hAnsi="Calibri"/>
          <w:sz w:val="20"/>
          <w:szCs w:val="20"/>
        </w:rPr>
        <w:t xml:space="preserve">A region of independently accredited laboratories with different scopes, licences and histories cannot be managed as one until its numbers mean the same thing at every site.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Measurement first, standardization second, structure last.</w:t>
      </w:r>
      <w:r>
        <w:rPr>
          <w:rFonts w:ascii="Calibri" w:cs="Calibri" w:eastAsia="Calibri" w:hAnsi="Calibri"/>
          <w:sz w:val="20"/>
          <w:szCs w:val="20"/>
        </w:rPr>
        <w:t xml:space="preserve"> I would rather be deliberately slow for thirty days than reorganize something in week two that I do not yet understand.</w:t>
      </w:r>
    </w:p>
    <w:p>
      <w:pPr>
        <w:pBdr>
          <w:bottom w:val="single" w:color="999999" w:sz="6" w:space="2"/>
        </w:pBdr>
        <w:spacing w:after="90" w:before="200"/>
      </w:pPr>
      <w:r>
        <w:rPr>
          <w:rFonts w:ascii="Calibri" w:cs="Calibri" w:eastAsia="Calibri" w:hAnsi="Calibri"/>
          <w:b/>
          <w:bCs/>
          <w:caps/>
          <w:spacing w:val="30"/>
          <w:sz w:val="21"/>
          <w:szCs w:val="21"/>
        </w:rPr>
        <w:t xml:space="preserve">Days 1–30 · Listen and measure. Change almost nothing.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Visit every laboratory and service center in the region — time at the bench, not only in the office.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Sit with each site’s leadership, and separately with analysts and sample receiving. The people who receive samples and release data know where the losses 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Pull twelve months by site: revenue and margin to plan, cost per sample, on-time turnaround, reanalysis and rework, overtime, instrument uptime, open corrective actions, accredited 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Determine whether every site defines those the same way.</w:t>
      </w:r>
      <w:r>
        <w:rPr>
          <w:rFonts w:ascii="Calibri" w:cs="Calibri" w:eastAsia="Calibri" w:hAnsi="Calibri"/>
          <w:sz w:val="20"/>
          <w:szCs w:val="20"/>
        </w:rPr>
        <w:t xml:space="preserve"> On-time turnaround especially — received-to-reported or scheduled-to-reported is where variance hides.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Map the region honestly: which sites are full-service laboratories, which are focused benches, which are service centers, and where each site’s accredited scope begins and ends.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Understand the top clients per site, and what each would say about us if I called them.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Deliverable at 30 days: </w:t>
      </w:r>
      <w:r>
        <w:rPr>
          <w:rFonts w:ascii="Calibri" w:cs="Calibri" w:eastAsia="Calibri" w:hAnsi="Calibri"/>
          <w:sz w:val="20"/>
          <w:szCs w:val="20"/>
        </w:rPr>
        <w:t xml:space="preserve">a written baseline of the region as it actually is, including where our numbers are not yet comparable.</w:t>
      </w:r>
    </w:p>
    <w:p>
      <w:pPr>
        <w:pBdr>
          <w:bottom w:val="single" w:color="999999" w:sz="6" w:space="2"/>
        </w:pBdr>
        <w:spacing w:after="90" w:before="200"/>
      </w:pPr>
      <w:r>
        <w:rPr>
          <w:rFonts w:ascii="Calibri" w:cs="Calibri" w:eastAsia="Calibri" w:hAnsi="Calibri"/>
          <w:b/>
          <w:bCs/>
          <w:caps/>
          <w:spacing w:val="30"/>
          <w:sz w:val="21"/>
          <w:szCs w:val="21"/>
        </w:rPr>
        <w:t xml:space="preserve">Days 31–60 · Install one operating cadence.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One weekly metric set, defined identically everywhere, small enough that site leaders can produce it without a project: backlog and aging, on-time turnaround, open corrective actions, overtime.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One monthly operating review per site, same agenda: performance to plan, capacity, quality, people.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Fix definitions before setting targets.</w:t>
      </w:r>
      <w:r>
        <w:rPr>
          <w:rFonts w:ascii="Calibri" w:cs="Calibri" w:eastAsia="Calibri" w:hAnsi="Calibri"/>
          <w:sz w:val="20"/>
          <w:szCs w:val="20"/>
        </w:rPr>
        <w:t xml:space="preserve"> A target on an inconsistent measure produces reporting behavior, not operating improvement.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Publish the region’s numbers internally so sites can see each other. Visible comparability drives more improvement than any target set from Baltimore.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Protect what works. Where a sub-region already performs, the cadence should confirm it and get out of the way. Technical authority stays with the technical leaders who hold the licences.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Deliverable at 60 days: </w:t>
      </w:r>
      <w:r>
        <w:rPr>
          <w:rFonts w:ascii="Calibri" w:cs="Calibri" w:eastAsia="Calibri" w:hAnsi="Calibri"/>
          <w:sz w:val="20"/>
          <w:szCs w:val="20"/>
        </w:rPr>
        <w:t xml:space="preserve">a single regional operating review running on common definitions.</w:t>
      </w:r>
    </w:p>
    <w:p>
      <w:pPr>
        <w:pBdr>
          <w:bottom w:val="single" w:color="999999" w:sz="6" w:space="2"/>
        </w:pBdr>
        <w:spacing w:after="90" w:before="200"/>
      </w:pPr>
      <w:r>
        <w:rPr>
          <w:rFonts w:ascii="Calibri" w:cs="Calibri" w:eastAsia="Calibri" w:hAnsi="Calibri"/>
          <w:b/>
          <w:bCs/>
          <w:caps/>
          <w:spacing w:val="30"/>
          <w:sz w:val="21"/>
          <w:szCs w:val="21"/>
        </w:rPr>
        <w:t xml:space="preserve">Days 61–90 · One visible win, and a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Fix the most expensive addressable problem found in the first thirty days, end to end, at one site, with a number attached. Usually a turnaround bottleneck — often data review queued behind one or two approvers — or a reanalysis rate nobody has priced.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Bring an answer to the 2027 demand question. Two federal drinking-water deadlines land that year, and compliance samples arrive in the final quarters before a deadline rather than evenly. Capacity, staffing and scheduling should be decided in advance, not absorbed.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Deliver a written twelve-month regional plan: capacity and capital, accredited scope, staffing and development, and where growth comes from.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Deliverable at 90 days: </w:t>
      </w:r>
      <w:r>
        <w:rPr>
          <w:rFonts w:ascii="Calibri" w:cs="Calibri" w:eastAsia="Calibri" w:hAnsi="Calibri"/>
          <w:sz w:val="20"/>
          <w:szCs w:val="20"/>
        </w:rPr>
        <w:t xml:space="preserve">one proven improvement, and a plan the region has agreed to.</w:t>
      </w:r>
    </w:p>
    <w:p>
      <w:pPr>
        <w:pBdr>
          <w:bottom w:val="single" w:color="999999" w:sz="6" w:space="2"/>
        </w:pBdr>
        <w:spacing w:after="90" w:before="200"/>
      </w:pPr>
      <w:r>
        <w:rPr>
          <w:rFonts w:ascii="Calibri" w:cs="Calibri" w:eastAsia="Calibri" w:hAnsi="Calibri"/>
          <w:b/>
          <w:bCs/>
          <w:caps/>
          <w:spacing w:val="30"/>
          <w:sz w:val="21"/>
          <w:szCs w:val="21"/>
        </w:rPr>
        <w:t xml:space="preserve">What I Would Want From You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Clarity on which sites are mine, and whether the P&amp;L is cut by site, by division, or by region.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Clarity on what I can decide and what comes to you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An introduction to my finance counterpart, and access to whatever facility-level tracking already exists.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Patience for thirty days of questions before I propose changes.</w:t>
      </w:r>
    </w:p>
    <w:p>
      <w:pPr>
        <w:pBdr>
          <w:bottom w:val="single" w:color="999999" w:sz="6" w:space="2"/>
        </w:pBdr>
        <w:spacing w:after="90" w:before="200"/>
      </w:pPr>
      <w:r>
        <w:rPr>
          <w:rFonts w:ascii="Calibri" w:cs="Calibri" w:eastAsia="Calibri" w:hAnsi="Calibri"/>
          <w:b/>
          <w:bCs/>
          <w:caps/>
          <w:spacing w:val="30"/>
          <w:sz w:val="21"/>
          <w:szCs w:val="21"/>
        </w:rPr>
        <w:t xml:space="preserve">What I Will Not Do</w:t>
      </w:r>
    </w:p>
    <w:p>
      <w:pPr>
        <w:spacing w:after="90" w:before="0"/>
      </w:pPr>
      <w:r>
        <w:rPr>
          <w:rFonts w:ascii="Calibri" w:cs="Calibri" w:eastAsia="Calibri" w:hAnsi="Calibri"/>
          <w:sz w:val="20"/>
          <w:szCs w:val="20"/>
        </w:rPr>
        <w:t xml:space="preserve">Reorganize a functioning team before I understand why it works. Set targets on measures that are not yet consistent. Trade defensible data for a faster month — a late result is recoverable, a result that does not hold up is not.</w:t>
      </w:r>
    </w:p>
    <w:sectPr>
      <w:pgSz w:w="12240" w:h="15840" w:orient="portrait"/>
      <w:pgMar w:top="800" w:right="1000" w:bottom="8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45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2026-09-30T01:51:41.988Z</dcterms:created>
  <dcterms:modified xsi:type="dcterms:W3CDTF">2026-09-30T01:51:41.988Z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