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spacing w:val="40"/>
          <w:sz w:val="44"/>
          <w:szCs w:val="44"/>
        </w:rPr>
        <w:t xml:space="preserve">EVAN PARNELL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Laboratory Operations Executive  |  Multi-Site Technical Services  |  ISO/IEC 17025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Annapolis, Maryland  ·  (443) 294-5481  ·  efparnell@gmail.com  ·  linkedin.com/in/evanparnell</w:t>
      </w:r>
    </w:p>
    <w:p>
      <w:pPr>
        <w:pBdr>
          <w:bottom w:val="single" w:color="999999" w:sz="6" w:space="2"/>
        </w:pBdr>
        <w:spacing w:after="90" w:before="200"/>
      </w:pPr>
      <w:r>
        <w:rPr>
          <w:rFonts w:ascii="Calibri" w:cs="Calibri" w:eastAsia="Calibri" w:hAnsi="Calibri"/>
          <w:b/>
          <w:bCs/>
          <w:caps/>
          <w:spacing w:val="30"/>
          <w:sz w:val="21"/>
          <w:szCs w:val="21"/>
        </w:rPr>
        <w:t xml:space="preserve">Executive Profile</w:t>
      </w:r>
    </w:p>
    <w:p>
      <w:pPr>
        <w:spacing w:after="90" w:before="0"/>
      </w:pPr>
      <w:r>
        <w:rPr>
          <w:rFonts w:ascii="Calibri" w:cs="Calibri" w:eastAsia="Calibri" w:hAnsi="Calibri"/>
          <w:sz w:val="20"/>
          <w:szCs w:val="20"/>
        </w:rPr>
        <w:t xml:space="preserve">Laboratory operations executive with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14 years in commercial analytical laboratories</w:t>
      </w:r>
      <w:r>
        <w:rPr>
          <w:rFonts w:ascii="Calibri" w:cs="Calibri" w:eastAsia="Calibri" w:hAnsi="Calibri"/>
          <w:sz w:val="20"/>
          <w:szCs w:val="20"/>
        </w:rPr>
        <w:t xml:space="preserve">: environmental, pharmaceutical and regulated cannabis testing, including a decade running analytical microbiology operations, and spanning laboratory startup, ISO/IEC 17025 accreditation, quality-system ownership and multi-site operational leadership.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I run the inside of a laboratory: throughput, turnaround, quality discipline, capacity, cost per sample, and the people who deliver it. I have built two laboratories from an empty building through accreditation and commercial operation, rebuilt a quality system after a failed external audit, and doubled the annual volume of a high-throughput laboratory while cutting both turnaround time and turnover. My work is the same in every setting: find the constraint keeping a technically excellent laboratory from performing commercially, then build the operating system that removes it and keeps it removed.</w:t>
      </w:r>
    </w:p>
    <w:p>
      <w:pPr>
        <w:pBdr>
          <w:bottom w:val="single" w:color="999999" w:sz="6" w:space="2"/>
        </w:pBdr>
        <w:spacing w:after="90" w:before="200"/>
      </w:pPr>
      <w:r>
        <w:rPr>
          <w:rFonts w:ascii="Calibri" w:cs="Calibri" w:eastAsia="Calibri" w:hAnsi="Calibri"/>
          <w:b/>
          <w:bCs/>
          <w:caps/>
          <w:spacing w:val="30"/>
          <w:sz w:val="21"/>
          <w:szCs w:val="21"/>
        </w:rPr>
        <w:t xml:space="preserve">Selected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Grew annual testing volume from ~25,000 to ~47,000 samples</w:t>
      </w:r>
      <w:r>
        <w:rPr>
          <w:rFonts w:ascii="Calibri" w:cs="Calibri" w:eastAsia="Calibri" w:hAnsi="Calibri"/>
          <w:sz w:val="20"/>
          <w:szCs w:val="20"/>
        </w:rPr>
        <w:t xml:space="preserve"> (27,000 / 33,000 / 39,000 / 47,000 by year) while staff grew from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32 to 45 (+40%)</w:t>
      </w:r>
      <w:r>
        <w:rPr>
          <w:rFonts w:ascii="Calibri" w:cs="Calibri" w:eastAsia="Calibri" w:hAnsi="Calibri"/>
          <w:sz w:val="20"/>
          <w:szCs w:val="20"/>
        </w:rPr>
        <w:t xml:space="preserve">, roughly a third more output per person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Turnaround time reduced from 5 days to 3 days</w:t>
      </w:r>
      <w:r>
        <w:rPr>
          <w:rFonts w:ascii="Calibri" w:cs="Calibri" w:eastAsia="Calibri" w:hAnsi="Calibri"/>
          <w:sz w:val="20"/>
          <w:szCs w:val="20"/>
        </w:rPr>
        <w:t xml:space="preserve"> in a market where clients choose on speed and defensibility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Turnover reduced from twelve departures a year to four</w:t>
      </w:r>
      <w:r>
        <w:rPr>
          <w:rFonts w:ascii="Calibri" w:cs="Calibri" w:eastAsia="Calibri" w:hAnsi="Calibri"/>
          <w:sz w:val="20"/>
          <w:szCs w:val="20"/>
        </w:rPr>
        <w:t xml:space="preserve"> through a documented competency framework that protects certified method coverage, which is a laboratory’s real capacity constraint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Two laboratories accredited to ISO/IEC 17025</w:t>
      </w:r>
      <w:r>
        <w:rPr>
          <w:rFonts w:ascii="Calibri" w:cs="Calibri" w:eastAsia="Calibri" w:hAnsi="Calibri"/>
          <w:sz w:val="20"/>
          <w:szCs w:val="20"/>
        </w:rPr>
        <w:t xml:space="preserve">; one also licensed for DEA controlled substances.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ISO 9001 system</w:t>
      </w:r>
      <w:r>
        <w:rPr>
          <w:rFonts w:ascii="Calibri" w:cs="Calibri" w:eastAsia="Calibri" w:hAnsi="Calibri"/>
          <w:sz w:val="20"/>
          <w:szCs w:val="20"/>
        </w:rPr>
        <w:t xml:space="preserve"> built after an unsuccessful external audit.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Audited dozens of times across three organizations at a ~97% success rate</w:t>
      </w:r>
      <w:r>
        <w:rPr>
          <w:rFonts w:ascii="Calibri" w:cs="Calibri" w:eastAsia="Calibri" w:hAnsi="Calibri"/>
          <w:sz w:val="20"/>
          <w:szCs w:val="20"/>
        </w:rPr>
        <w:t xml:space="preserve">: A2LA, PJLA, IAS, FDA, DEA and state programs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$1M+ financing secured</w:t>
      </w:r>
      <w:r>
        <w:rPr>
          <w:rFonts w:ascii="Calibri" w:cs="Calibri" w:eastAsia="Calibri" w:hAnsi="Calibri"/>
          <w:sz w:val="20"/>
          <w:szCs w:val="20"/>
        </w:rPr>
        <w:t xml:space="preserve"> for a greenfield laboratory build, carried through construction, validation and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Operating costs reduced ~15% while expanding capabilities</w:t>
      </w:r>
      <w:r>
        <w:rPr>
          <w:rFonts w:ascii="Calibri" w:cs="Calibri" w:eastAsia="Calibri" w:hAnsi="Calibri"/>
          <w:sz w:val="20"/>
          <w:szCs w:val="20"/>
        </w:rPr>
        <w:t xml:space="preserve">, and a 30% sales increase with a 40% cost reduction in four months at an earlier laboratory during a leadership transition</w:t>
      </w:r>
    </w:p>
    <w:p>
      <w:pPr>
        <w:pBdr>
          <w:bottom w:val="single" w:color="999999" w:sz="6" w:space="2"/>
        </w:pBdr>
        <w:spacing w:after="90" w:before="200"/>
      </w:pPr>
      <w:r>
        <w:rPr>
          <w:rFonts w:ascii="Calibri" w:cs="Calibri" w:eastAsia="Calibri" w:hAnsi="Calibri"/>
          <w:b/>
          <w:bCs/>
          <w:caps/>
          <w:spacing w:val="30"/>
          <w:sz w:val="21"/>
          <w:szCs w:val="21"/>
        </w:rPr>
        <w:t xml:space="preserve">Core Competencies</w:t>
      </w:r>
    </w:p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Laboratory Operations · P&amp;L and Budget Ownership · ISO/IEC 17025 · ISO 9001 · Method Validation · Accreditation and Regulatory Readiness · Throughput and Turnaround Optimization · Capacity Planning · Multi-Site Leadership · Workforce Development and Retention · KPI Systems and Management Cadence · SOP Architecture · Laboratory Design and Workflow · Facility and Capital Projects · Purchasing Analysis · Chain of Custody and Data Defensibility</w:t>
      </w:r>
    </w:p>
    <w:p>
      <w:pPr>
        <w:pBdr>
          <w:bottom w:val="single" w:color="999999" w:sz="6" w:space="2"/>
        </w:pBdr>
        <w:spacing w:after="90" w:before="200"/>
      </w:pPr>
      <w:r>
        <w:rPr>
          <w:rFonts w:ascii="Calibri" w:cs="Calibri" w:eastAsia="Calibri" w:hAnsi="Calibri"/>
          <w:b/>
          <w:bCs/>
          <w:caps/>
          <w:spacing w:val="30"/>
          <w:sz w:val="21"/>
          <w:szCs w:val="21"/>
        </w:rPr>
        <w:t xml:space="preserve">Technical Experience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Instrumentation and methods: </w:t>
      </w:r>
      <w:r>
        <w:rPr>
          <w:rFonts w:ascii="Calibri" w:cs="Calibri" w:eastAsia="Calibri" w:hAnsi="Calibri"/>
          <w:sz w:val="20"/>
          <w:szCs w:val="20"/>
        </w:rPr>
        <w:t xml:space="preserve">HPLC · LC-MS/MS · GC-MS/MS · ICP-MS · ICP-OES · qPCR · Total Aerobic Count · Total Yeast and Mold Count · pathogen detection and confirmation · pesticide residues · heavy metals · residual solvents · potency · terpenes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Matrices: </w:t>
      </w:r>
      <w:r>
        <w:rPr>
          <w:rFonts w:ascii="Calibri" w:cs="Calibri" w:eastAsia="Calibri" w:hAnsi="Calibri"/>
          <w:sz w:val="20"/>
          <w:szCs w:val="20"/>
        </w:rPr>
        <w:t xml:space="preserve">water and liquid samples of all types (drinking, ground, surface, waste) · soil · agricultural inputs · surface and air environmental monitoring for microbials, pesticides and heavy metals · pharmaceutical drug product and pharmaceutical environmental · cannabis and hemp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Quality and compliance: </w:t>
      </w:r>
      <w:r>
        <w:rPr>
          <w:rFonts w:ascii="Calibri" w:cs="Calibri" w:eastAsia="Calibri" w:hAnsi="Calibri"/>
          <w:sz w:val="20"/>
          <w:szCs w:val="20"/>
        </w:rPr>
        <w:t xml:space="preserve">ISO/IEC 17025 · ISO 9001 · method validation and verification · demonstration of capability · proficiency testing · CAPA · state regulatory programs · DEA registration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Controlled environments (early career): </w:t>
      </w:r>
      <w:r>
        <w:rPr>
          <w:rFonts w:ascii="Calibri" w:cs="Calibri" w:eastAsia="Calibri" w:hAnsi="Calibri"/>
          <w:sz w:val="20"/>
          <w:szCs w:val="20"/>
        </w:rPr>
        <w:t xml:space="preserve">cleanroom certification · ASHRAE 110 fume hood testing · HEPA/HEGA filtration · pharmaceutical, healthcare, semiconductor and nuclear facilities</w:t>
      </w:r>
    </w:p>
    <w:p>
      <w:pPr>
        <w:pBdr>
          <w:bottom w:val="single" w:color="999999" w:sz="6" w:space="2"/>
        </w:pBdr>
        <w:spacing w:after="90" w:before="200"/>
      </w:pPr>
      <w:r>
        <w:rPr>
          <w:rFonts w:ascii="Calibri" w:cs="Calibri" w:eastAsia="Calibri" w:hAnsi="Calibri"/>
          <w:b/>
          <w:bCs/>
          <w:caps/>
          <w:spacing w:val="30"/>
          <w:sz w:val="21"/>
          <w:szCs w:val="21"/>
        </w:rPr>
        <w:t xml:space="preserve">Professional Experience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Laboratory Operations Consultant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October 2025 – present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Green Analytics MD, LLC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Named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backup reporting officer on the laboratory’s state license</w:t>
      </w:r>
      <w:r>
        <w:rPr>
          <w:rFonts w:ascii="Calibri" w:cs="Calibri" w:eastAsia="Calibri" w:hAnsi="Calibri"/>
          <w:sz w:val="20"/>
          <w:szCs w:val="20"/>
        </w:rPr>
        <w:t xml:space="preserve">; led the handoff and execution of a laboratory renovation I had specified before stepping out of the director seat, and covered weekend results reporting through mid-2026.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Associate Laboratory Director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November 2021 – October 2025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Green Analytics MD, LLC</w:t>
      </w:r>
    </w:p>
    <w:p>
      <w:pPr>
        <w:spacing w:after="7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Owned all internal operations of a high-throughput regulated analytical laboratory: people, workflow, throughput, quality practice and facility, partnered with a Laboratory Director who owned technical specialty and external relationships.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Led a site organization of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40 to 45 people</w:t>
      </w:r>
      <w:r>
        <w:rPr>
          <w:rFonts w:ascii="Calibri" w:cs="Calibri" w:eastAsia="Calibri" w:hAnsi="Calibri"/>
          <w:sz w:val="20"/>
          <w:szCs w:val="20"/>
        </w:rPr>
        <w:t xml:space="preserve"> through a middle-management cadre of five (department managers across chemistry, microbiology and sampling, plus shift leads), with roughly sixteen analysts and technicians beneath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Grew annual volume from ~25,000 to ~47,000 samples on a staff that went from 32 to 45</w:t>
      </w:r>
      <w:r>
        <w:rPr>
          <w:rFonts w:ascii="Calibri" w:cs="Calibri" w:eastAsia="Calibri" w:hAnsi="Calibri"/>
          <w:sz w:val="20"/>
          <w:szCs w:val="20"/>
        </w:rPr>
        <w:t xml:space="preserve">, about a third more output per person, by analyzing purchasing and workflow to take out cost, re-laying out the laboratory around how samples actually move, and building a management layer accountable for its own results.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Cut turnaround from five days to three</w:t>
      </w:r>
      <w:r>
        <w:rPr>
          <w:rFonts w:ascii="Calibri" w:cs="Calibri" w:eastAsia="Calibri" w:hAnsi="Calibri"/>
          <w:sz w:val="20"/>
          <w:szCs w:val="20"/>
        </w:rPr>
        <w:t xml:space="preserve">, and reduced operating costs ~15% while expanding service capability.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Reduced turnover from twelve departures a year to four</w:t>
      </w:r>
      <w:r>
        <w:rPr>
          <w:rFonts w:ascii="Calibri" w:cs="Calibri" w:eastAsia="Calibri" w:hAnsi="Calibri"/>
          <w:sz w:val="20"/>
          <w:szCs w:val="20"/>
        </w:rPr>
        <w:t xml:space="preserve"> by designing a competency framework (Technician and Analyst levels I to III with published pay ranges, documented skill requirements and supervisor qualification sign-off) in place of a structure where identical titles carried widely different pay and responsibility. Retention is a capacity question: every analyst who leaves takes qualified methods out the door.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management infrastructure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adopted across eight laboratories and 250+ employees on a $10M operating budget</w:t>
      </w:r>
      <w:r>
        <w:rPr>
          <w:rFonts w:ascii="Calibri" w:cs="Calibri" w:eastAsia="Calibri" w:hAnsi="Calibri"/>
          <w:sz w:val="20"/>
          <w:szCs w:val="20"/>
        </w:rPr>
        <w:t xml:space="preserve">: job architecture, workforce development, operating procedures, career progression and leadership development, carried enterprise-wide through influence rather than formal authority as the company grew toward ~350 people.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and taught a management-development curriculum for middle managers covering accountability, retention and psychological safety; moved the culture from blame to ownership.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Held local authority for pricing, capital requests and headcount. Served as site facility manager: contractors, capital projects and laboratory redesign for throughput. Monitored method-level pass/fail excursions as a leading quality indicator.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Co-Founder &amp; Managing Partner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2019 – 2021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Atlas Labs FL, LLC</w:t>
      </w:r>
    </w:p>
    <w:p>
      <w:pPr>
        <w:spacing w:after="7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Built a greenfield analytical laboratory end to end, from market selection and financing through construction, accreditation and operational readiness.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Secured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more than $1M in financing</w:t>
      </w:r>
      <w:r>
        <w:rPr>
          <w:rFonts w:ascii="Calibri" w:cs="Calibri" w:eastAsia="Calibri" w:hAnsi="Calibri"/>
          <w:sz w:val="20"/>
          <w:szCs w:val="20"/>
        </w:rPr>
        <w:t xml:space="preserve">; led facility design and construction, equipment procurement, installation and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Achieved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ISO/IEC 17025 accreditation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DEA registration</w:t>
      </w:r>
      <w:r>
        <w:rPr>
          <w:rFonts w:ascii="Calibri" w:cs="Calibri" w:eastAsia="Calibri" w:hAnsi="Calibri"/>
          <w:sz w:val="20"/>
          <w:szCs w:val="20"/>
        </w:rPr>
        <w:t xml:space="preserve"> for controlled substances, with the method validation, documentation and quality infrastructure behind both, through the COVID-19 disruption.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Manager  |  Quality Manager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2017 – 2019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Atlantic Test Labs, Inc.</w:t>
      </w:r>
    </w:p>
    <w:p>
      <w:pPr>
        <w:spacing w:after="7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Launched an ISO/IEC 17025 analytical laboratory serving Maryland's newly regulated cannabis market.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Led implementation of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ISO/IEC 17025 quality management system</w:t>
      </w:r>
      <w:r>
        <w:rPr>
          <w:rFonts w:ascii="Calibri" w:cs="Calibri" w:eastAsia="Calibri" w:hAnsi="Calibri"/>
          <w:sz w:val="20"/>
          <w:szCs w:val="20"/>
        </w:rPr>
        <w:t xml:space="preserve"> (accreditation, method validation, documentation and regulatory readiness) and directed startup: equipment selection, workflow design, training and operating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Built the laboratory information management system</w:t>
      </w:r>
      <w:r>
        <w:rPr>
          <w:rFonts w:ascii="Calibri" w:cs="Calibri" w:eastAsia="Calibri" w:hAnsi="Calibri"/>
          <w:sz w:val="20"/>
          <w:szCs w:val="20"/>
        </w:rPr>
        <w:t xml:space="preserve"> that ran the laboratory, later carried into Atlas Labs and used as the kernel of the system built at Green Analytics: one system across three laboratories over nine years.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During a leadership transition, contributed to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30% increase in sales and 40% reduction in operating costs across four months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Field Service Technician → Technical Manager → Quality Manager</w:t>
      </w:r>
      <w:r>
        <w:rPr>
          <w:rFonts w:ascii="Calibri" w:cs="Calibri" w:eastAsia="Calibri" w:hAnsi="Calibri"/>
          <w:sz w:val="20"/>
          <w:szCs w:val="20"/>
        </w:rPr>
        <w:ptab w:alignment="right" w:relativeTo="margin" w:leader="none"/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2012 – 2017</w:t>
      </w:r>
    </w:p>
    <w:p>
      <w:pPr>
        <w:spacing w:after="50" w:before="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Atlantic Technical Services, Inc.</w:t>
      </w:r>
    </w:p>
    <w:p>
      <w:pPr>
        <w:spacing w:after="7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Joined a $400K field-services company as a technician and progressively assumed its most complex technical and operational responsibilities as it became a regulated laboratory business; acquired in 2019.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Helped build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one of Maryland's first pharmaceutical microbiology laboratories of its kind</w:t>
      </w:r>
      <w:r>
        <w:rPr>
          <w:rFonts w:ascii="Calibri" w:cs="Calibri" w:eastAsia="Calibri" w:hAnsi="Calibri"/>
          <w:sz w:val="20"/>
          <w:szCs w:val="20"/>
        </w:rPr>
        <w:t xml:space="preserve">, expanding the company from field services into regulated laboratory testing.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Rebuilt the quality system after an unsuccessful external audit</w:t>
      </w:r>
      <w:r>
        <w:rPr>
          <w:rFonts w:ascii="Calibri" w:cs="Calibri" w:eastAsia="Calibri" w:hAnsi="Calibri"/>
          <w:sz w:val="20"/>
          <w:szCs w:val="20"/>
        </w:rPr>
        <w:t xml:space="preserve">: implemented ISO 9001, rewrote the procedural infrastructure behind it, and closed out the findings. Became the organization’s primary resource for controlled-environment certification, regulatory compliance and technician development.</w:t>
      </w:r>
    </w:p>
    <w:p>
      <w:pPr>
        <w:pBdr>
          <w:bottom w:val="single" w:color="999999" w:sz="6" w:space="2"/>
        </w:pBdr>
        <w:spacing w:after="90" w:before="200"/>
      </w:pPr>
      <w:r>
        <w:rPr>
          <w:rFonts w:ascii="Calibri" w:cs="Calibri" w:eastAsia="Calibri" w:hAnsi="Calibri"/>
          <w:b/>
          <w:bCs/>
          <w:caps/>
          <w:spacing w:val="30"/>
          <w:sz w:val="21"/>
          <w:szCs w:val="21"/>
        </w:rPr>
        <w:t xml:space="preserve">Earlier Experience and Education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Dann Marine Towing</w:t>
      </w:r>
      <w:r>
        <w:rPr>
          <w:rFonts w:ascii="Calibri" w:cs="Calibri" w:eastAsia="Calibri" w:hAnsi="Calibri"/>
          <w:sz w:val="20"/>
          <w:szCs w:val="20"/>
        </w:rPr>
        <w:t xml:space="preserve">, Able Seaman / Deckhand, 2010 to 2012.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United States Navy</w:t>
      </w:r>
      <w:r>
        <w:rPr>
          <w:rFonts w:ascii="Calibri" w:cs="Calibri" w:eastAsia="Calibri" w:hAnsi="Calibri"/>
          <w:sz w:val="20"/>
          <w:szCs w:val="20"/>
        </w:rPr>
        <w:t xml:space="preserve">, Surface Warfare Officer, USS McFaul (DDG-74), 2008 to 2010.</w:t>
      </w:r>
    </w:p>
    <w:p>
      <w:pPr>
        <w:spacing w:after="9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Science, Chemistry</w:t>
      </w:r>
      <w:r>
        <w:rPr>
          <w:rFonts w:ascii="Calibri" w:cs="Calibri" w:eastAsia="Calibri" w:hAnsi="Calibri"/>
          <w:sz w:val="20"/>
          <w:szCs w:val="20"/>
        </w:rPr>
        <w:t xml:space="preserve">. United States Naval Academy, 2008</w:t>
      </w:r>
    </w:p>
    <w:sectPr>
      <w:pgSz w:w="12240" w:h="15840" w:orient="portrait"/>
      <w:pgMar w:top="700" w:right="880" w:bottom="700" w:left="8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45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2026-10-06T18:16:51.822Z</dcterms:created>
  <dcterms:modified xsi:type="dcterms:W3CDTF">2026-10-06T18:16:51.823Z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