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Calibri" w:cs="Calibri" w:eastAsia="Calibri" w:hAnsi="Calibri"/>
          <w:b/>
          <w:bCs/>
          <w:spacing w:val="40"/>
          <w:sz w:val="44"/>
          <w:szCs w:val="44"/>
        </w:rPr>
        <w:t xml:space="preserve">EVAN PARNELL</w:t>
      </w:r>
    </w:p>
    <w:p>
      <w:pPr>
        <w:spacing w:after="20" w:before="0"/>
        <w:jc w:val="center"/>
      </w:pPr>
      <w:r>
        <w:rPr>
          <w:rFonts w:ascii="Calibri" w:cs="Calibri" w:eastAsia="Calibri" w:hAnsi="Calibri"/>
          <w:b/>
          <w:bCs/>
          <w:color w:val="333333"/>
          <w:sz w:val="21"/>
          <w:szCs w:val="21"/>
        </w:rPr>
        <w:t xml:space="preserve">Laboratory Operations Executive</w:t>
      </w:r>
    </w:p>
    <w:p>
      <w:pPr>
        <w:spacing w:after="140" w:before="0"/>
        <w:jc w:val="center"/>
      </w:pPr>
      <w:r>
        <w:rPr>
          <w:rFonts w:ascii="Calibri" w:cs="Calibri" w:eastAsia="Calibri" w:hAnsi="Calibri"/>
          <w:color w:val="444444"/>
          <w:sz w:val="18"/>
          <w:szCs w:val="18"/>
        </w:rPr>
        <w:t xml:space="preserve">Annapolis, Maryland  ·  (443) 294-5481  ·  efparnell@gmail.com  ·  linkedin.com/in/evanparnell</w:t>
      </w:r>
    </w:p>
    <w:p>
      <w:pPr>
        <w:spacing w:after="160" w:before="0"/>
      </w:pPr>
      <w:r>
        <w:rPr>
          <w:rFonts w:ascii="Calibri" w:cs="Calibri" w:eastAsia="Calibri" w:hAnsi="Calibri"/>
          <w:sz w:val="20"/>
          <w:szCs w:val="20"/>
        </w:rPr>
        <w:t xml:space="preserve">October 6, 2026</w:t>
      </w:r>
    </w:p>
    <w:p>
      <w:pPr>
        <w:spacing w:after="0" w:before="0"/>
      </w:pPr>
      <w:r>
        <w:rPr>
          <w:rFonts w:ascii="Calibri" w:cs="Calibri" w:eastAsia="Calibri" w:hAnsi="Calibri"/>
          <w:sz w:val="20"/>
          <w:szCs w:val="20"/>
        </w:rPr>
        <w:t xml:space="preserve">Chris Long</w:t>
      </w:r>
    </w:p>
    <w:p>
      <w:pPr>
        <w:spacing w:after="0" w:before="0"/>
      </w:pPr>
      <w:r>
        <w:rPr>
          <w:rFonts w:ascii="Calibri" w:cs="Calibri" w:eastAsia="Calibri" w:hAnsi="Calibri"/>
          <w:sz w:val="20"/>
          <w:szCs w:val="20"/>
        </w:rPr>
        <w:t xml:space="preserve">Chief Operating Officer</w:t>
      </w:r>
    </w:p>
    <w:p>
      <w:pPr>
        <w:spacing w:after="160" w:before="0"/>
      </w:pPr>
      <w:r>
        <w:rPr>
          <w:rFonts w:ascii="Calibri" w:cs="Calibri" w:eastAsia="Calibri" w:hAnsi="Calibri"/>
          <w:sz w:val="20"/>
          <w:szCs w:val="20"/>
        </w:rPr>
        <w:t xml:space="preserve">Microbac Laboratories, Inc.</w:t>
      </w:r>
    </w:p>
    <w:p>
      <w:pPr>
        <w:spacing w:after="140" w:before="0"/>
      </w:pPr>
      <w:r>
        <w:rPr>
          <w:rFonts w:ascii="Calibri" w:cs="Calibri" w:eastAsia="Calibri" w:hAnsi="Calibri"/>
          <w:sz w:val="20"/>
          <w:szCs w:val="20"/>
        </w:rPr>
        <w:t xml:space="preserve">Dear Chris Long,</w:t>
      </w:r>
    </w:p>
    <w:p>
      <w:pPr>
        <w:spacing w:after="140" w:before="0"/>
      </w:pPr>
      <w:r>
        <w:rPr>
          <w:rFonts w:ascii="Calibri" w:cs="Calibri" w:eastAsia="Calibri" w:hAnsi="Calibri"/>
          <w:sz w:val="20"/>
          <w:szCs w:val="20"/>
        </w:rPr>
        <w:t xml:space="preserve">I am applying for the Regional Laboratory Operations Director role for the Mid-Atlantic (requisition 2196). The short version: I came up through analytical chemistry and laboratory operations, spent a decade running analytical microbiology operations, the bench your Baltimore scope is built on, and then learned to run the business side of a laboratory.</w:t>
      </w:r>
    </w:p>
    <w:p>
      <w:pPr>
        <w:spacing w:after="140" w:before="0"/>
      </w:pPr>
      <w:r>
        <w:rPr>
          <w:rFonts w:ascii="Calibri" w:cs="Calibri" w:eastAsia="Calibri" w:hAnsi="Calibri"/>
          <w:sz w:val="20"/>
          <w:szCs w:val="20"/>
        </w:rPr>
        <w:t xml:space="preserve">As Associate Laboratory Director at Green Analytics I owned everything inside the building, leading a site of 40 to 45 people through five department and shift managers. Annual volume went from about 25,000 samples to 47,000 (27,000, 33,000, 39,000 and 47,000 by year) while the staff went from 32 to 45. Turnaround went from five days to three. Annual turnover went from twelve departures to four, and operating costs fell about 15% while we added capability.</w:t>
      </w:r>
    </w:p>
    <w:p>
      <w:pPr>
        <w:spacing w:after="140" w:before="0"/>
      </w:pPr>
      <w:r>
        <w:rPr>
          <w:rFonts w:ascii="Calibri" w:cs="Calibri" w:eastAsia="Calibri" w:hAnsi="Calibri"/>
          <w:sz w:val="20"/>
          <w:szCs w:val="20"/>
        </w:rPr>
        <w:t xml:space="preserve">That came from unglamorous work: analyzing purchasing and workflow to take out cost, re-laying out the laboratory around how samples actually move, and building a competency framework (Technician and Analyst levels one through three, with published pay ranges, documented skill requirements and supervisor sign-off) in place of a structure where identical titles carried widely different pay and responsibility. That framework is the main reason retention improved, and retention is a capacity question: a laboratory’s real capacity is certified method coverage rather than headcount, so every analyst who leaves takes qualified methods out the door. The framework was adopted across eight laboratories and more than 250 employees. What I was asked to fix was described as on-site leadership; the actual constraint was that management systems built for a ten-person startup were running a multi-site organization.</w:t>
      </w:r>
    </w:p>
    <w:p>
      <w:pPr>
        <w:spacing w:after="140" w:before="0"/>
      </w:pPr>
      <w:r>
        <w:rPr>
          <w:rFonts w:ascii="Calibri" w:cs="Calibri" w:eastAsia="Calibri" w:hAnsi="Calibri"/>
          <w:sz w:val="20"/>
          <w:szCs w:val="20"/>
        </w:rPr>
        <w:t xml:space="preserve">Earlier I took laboratories through accreditation rather than inheriting it. At Atlas Labs I built a greenfield laboratory from market selection and financing through construction to ISO/IEC 17025 accreditation and DEA registration. At Atlantic Test Labs I led the 17025 quality system implementation (accreditation, method validation and documentation) and built the LIMS the laboratory ran on, which is still the kernel of the system my last laboratory uses. At Atlantic Technical Services I rebuilt the quality system after an unsuccessful external audit and implemented ISO 9001.</w:t>
      </w:r>
    </w:p>
    <w:p>
      <w:pPr>
        <w:spacing w:after="140" w:before="0"/>
      </w:pPr>
      <w:r>
        <w:rPr>
          <w:rFonts w:ascii="Calibri" w:cs="Calibri" w:eastAsia="Calibri" w:hAnsi="Calibri"/>
          <w:sz w:val="20"/>
          <w:szCs w:val="20"/>
        </w:rPr>
        <w:t xml:space="preserve">Why this role: a region of independently accredited laboratories, each with its own scope and its own state approvals, cannot be managed as one until its data mean the same thing at every site. Making those operations comparable, with the same definitions, the same cadence, and the same standard, without encroaching on the technical authority that holds the licenses is the work I am best at, and it is why a multi-laboratory regional seat interests me more than another single-site job.</w:t>
      </w:r>
    </w:p>
    <w:p>
      <w:pPr>
        <w:spacing w:after="180" w:before="0"/>
      </w:pPr>
      <w:r>
        <w:rPr>
          <w:rFonts w:ascii="Calibri" w:cs="Calibri" w:eastAsia="Calibri" w:hAnsi="Calibri"/>
          <w:sz w:val="20"/>
          <w:szCs w:val="20"/>
        </w:rPr>
        <w:t xml:space="preserve">I live in southern Anne Arundel County, a straight run up to the Baltimore laboratory, which matters for a role that should be spent in the laboratories rather than described from a distance. I would welcome a conversation about what you need this region to accomplish in the next year.</w:t>
      </w:r>
    </w:p>
    <w:p>
      <w:pPr>
        <w:spacing w:after="220" w:before="0"/>
      </w:pPr>
      <w:r>
        <w:rPr>
          <w:rFonts w:ascii="Calibri" w:cs="Calibri" w:eastAsia="Calibri" w:hAnsi="Calibri"/>
          <w:sz w:val="20"/>
          <w:szCs w:val="20"/>
        </w:rPr>
        <w:t xml:space="preserve">Sincerely,</w:t>
      </w:r>
    </w:p>
    <w:p>
      <w:pPr>
        <w:spacing w:after="0" w:before="0"/>
      </w:pPr>
      <w:r>
        <w:rPr>
          <w:rFonts w:ascii="Calibri" w:cs="Calibri" w:eastAsia="Calibri" w:hAnsi="Calibri"/>
          <w:b/>
          <w:bCs/>
          <w:sz w:val="20"/>
          <w:szCs w:val="20"/>
        </w:rPr>
        <w:t xml:space="preserve">Evan Parnell</w:t>
      </w:r>
    </w:p>
    <w:sectPr>
      <w:pgSz w:w="12240" w:h="15840" w:orient="portrait"/>
      <w:pgMar w:top="900" w:right="1100" w:bottom="9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5" w:hanging="23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2026-10-06T18:16:51.847Z</dcterms:created>
  <dcterms:modified xsi:type="dcterms:W3CDTF">2026-10-06T18:16:51.847Z</dcterms:modified>
</cp:coreProperties>
</file>

<file path=docProps/custom.xml><?xml version="1.0" encoding="utf-8"?>
<Properties xmlns="http://schemas.openxmlformats.org/officeDocument/2006/custom-properties" xmlns:vt="http://schemas.openxmlformats.org/officeDocument/2006/docPropsVTypes"/>
</file>