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September 30,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Chris Long,</w:t>
      </w:r>
    </w:p>
    <w:p>
      <w:pPr>
        <w:spacing w:after="140" w:before="0"/>
      </w:pPr>
      <w:r>
        <w:rPr>
          <w:rFonts w:ascii="Calibri" w:cs="Calibri" w:eastAsia="Calibri" w:hAnsi="Calibri"/>
          <w:sz w:val="20"/>
          <w:szCs w:val="20"/>
        </w:rPr>
        <w:t xml:space="preserve">I am applying for the Regional Laboratory Operations Director role for the Mid-Atlantic (requisition 2196). The short version of my case: I ran the inside of a high-throughput analytical laboratory and nearly doubled its output without doubling anything else.</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a middle-management cadre of five. Annual testing volume went from about 25,000 samples to 47,000 — 27,000, 33,000, 39,000 and 47,000 by year — while the staff went from 32 to 45, roughly a third more output per person. Turnaround went from five days to three. Annual turnover went from twelve departures to four, and operating costs fell about 15% while we expanded what we could offer.</w:t>
      </w:r>
    </w:p>
    <w:p>
      <w:pPr>
        <w:spacing w:after="140" w:before="0"/>
      </w:pPr>
      <w:r>
        <w:rPr>
          <w:rFonts w:ascii="Calibri" w:cs="Calibri" w:eastAsia="Calibri" w:hAnsi="Calibri"/>
          <w:sz w:val="20"/>
          <w:szCs w:val="20"/>
        </w:rPr>
        <w:t xml:space="preserve">That came from unglamorous work: analyzing purchasing and workflow to take out cost, redesigning the physical laboratory around how samples actually move, and building a job-leveling and competency framework — Technician and Analyst levels one through three, with published pay ranges, skill checklists and supervisor sign-offs — to replace a structure where identical titles carried widely different pay and responsibility. That framework is the main reason turnover dropped, and it was adopted across eight laboratories and more than 250 employees.</w:t>
      </w:r>
    </w:p>
    <w:p>
      <w:pPr>
        <w:spacing w:after="140" w:before="0"/>
      </w:pPr>
      <w:r>
        <w:rPr>
          <w:rFonts w:ascii="Calibri" w:cs="Calibri" w:eastAsia="Calibri" w:hAnsi="Calibri"/>
          <w:sz w:val="20"/>
          <w:szCs w:val="20"/>
        </w:rPr>
        <w:t xml:space="preserve">Earlier in my career I took laboratories through accreditation rather than inheriting it. At Atlas Labs I built a greenfield laboratory from market selection and financing through construction to ISO/IEC 17025 accreditation and DEA registration. At Atlantic Test Labs I led the 17025 quality management system implementation for a startup laboratory. At Atlantic Technical Services I rebuilt the operating system after an unsuccessful external audit and implemented ISO 9001. My analytical background spans pharmaceutical, environmental and cannabis testing — HPLC, LC-MS/MS, GC-MS/MS, ICP-MS, qPCR and microbiological methods — and I am comfortable in any analytical method.</w:t>
      </w:r>
    </w:p>
    <w:p>
      <w:pPr>
        <w:spacing w:after="140" w:before="0"/>
      </w:pPr>
      <w:r>
        <w:rPr>
          <w:rFonts w:ascii="Calibri" w:cs="Calibri" w:eastAsia="Calibri" w:hAnsi="Calibri"/>
          <w:sz w:val="20"/>
          <w:szCs w:val="20"/>
        </w:rPr>
        <w:t xml:space="preserve">Why this role: a region of independently accredited laboratories, each with its own scope and its own state licenses, cannot be managed as one until its numbers mean the same thing at every site. Making several operations comparable — the same definitions, the same cadence, the same standard — while leaving technical authority where it belongs is the work I am best at, and it is why a multi-laboratory regional seat interests me more than another single-site job. At Green Analytics what I was asked to fix was described as on-site leadership; the real constraint was that management systems built for a ten-person startup were running a multi-site organization.</w:t>
      </w:r>
    </w:p>
    <w:p>
      <w:pPr>
        <w:spacing w:after="180" w:before="0"/>
      </w:pPr>
      <w:r>
        <w:rPr>
          <w:rFonts w:ascii="Calibri" w:cs="Calibri" w:eastAsia="Calibri" w:hAnsi="Calibri"/>
          <w:sz w:val="20"/>
          <w:szCs w:val="20"/>
        </w:rPr>
        <w:t xml:space="preserve">I live in southern Anne Arundel County, a straight run up to the Baltimore laboratory, which matters for a role that should be spent in the laboratories rather than described from a distance.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2026-09-30T14:58:37.573Z</dcterms:created>
  <dcterms:modified xsi:type="dcterms:W3CDTF">2026-09-30T14:58:37.573Z</dcterms:modified>
</cp:coreProperties>
</file>

<file path=docProps/custom.xml><?xml version="1.0" encoding="utf-8"?>
<Properties xmlns="http://schemas.openxmlformats.org/officeDocument/2006/custom-properties" xmlns:vt="http://schemas.openxmlformats.org/officeDocument/2006/docPropsVTypes"/>
</file>