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Mr.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of my case: I ran the inside of a high-throughput analytical laboratory and nearly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each with its own scope and its own state licenses,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 At Green Analytics what I was asked to fix was described as on-site leadership; the real constraint was that management systems built for a ten-person startup were running a multi-site organization.</w:t>
      </w:r>
    </w:p>
    <w:p>
      <w:pPr>
        <w:spacing w:after="180" w:before="0"/>
      </w:pPr>
      <w:r>
        <w:rPr>
          <w:rFonts w:ascii="Calibri" w:cs="Calibri" w:eastAsia="Calibri" w:hAnsi="Calibri"/>
          <w:sz w:val="20"/>
          <w:szCs w:val="20"/>
        </w:rPr>
        <w:t xml:space="preserve">I live in southern Anne Arundel County, a straight run up to the Baltimore laboratory, which matters for a role that should be spent in the laboratories rather than described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2026-09-30T13:54:33.735Z</dcterms:created>
  <dcterms:modified xsi:type="dcterms:W3CDTF">2026-09-30T13:54:33.735Z</dcterms:modified>
</cp:coreProperties>
</file>

<file path=docProps/custom.xml><?xml version="1.0" encoding="utf-8"?>
<Properties xmlns="http://schemas.openxmlformats.org/officeDocument/2006/custom-properties" xmlns:vt="http://schemas.openxmlformats.org/officeDocument/2006/docPropsVTypes"/>
</file>